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auto"/>
          <w:sz w:val="22"/>
          <w:szCs w:val="22"/>
          <w:lang w:val="en-GB"/>
        </w:rPr>
        <w:id w:val="-1132393017"/>
        <w:docPartObj>
          <w:docPartGallery w:val="Table of Contents"/>
          <w:docPartUnique/>
        </w:docPartObj>
      </w:sdtPr>
      <w:sdtEndPr>
        <w:rPr>
          <w:b/>
          <w:bCs/>
          <w:noProof/>
        </w:rPr>
      </w:sdtEndPr>
      <w:sdtContent>
        <w:p w14:paraId="12279FD0" w14:textId="66CD6D1A" w:rsidR="008F5895" w:rsidRPr="008F5895" w:rsidRDefault="008F5895" w:rsidP="008F5895">
          <w:pPr>
            <w:pStyle w:val="TOCHeading"/>
            <w:spacing w:before="0"/>
          </w:pPr>
          <w:r w:rsidRPr="008F5895">
            <w:rPr>
              <w:rFonts w:cstheme="majorHAnsi"/>
              <w:color w:val="auto"/>
            </w:rPr>
            <w:t>Table of Contents</w:t>
          </w:r>
        </w:p>
        <w:p w14:paraId="07D86B5C" w14:textId="5A517A6B" w:rsidR="008F5895" w:rsidRPr="008F5895" w:rsidRDefault="008F5895" w:rsidP="008F5895">
          <w:pPr>
            <w:pStyle w:val="TOC2"/>
            <w:tabs>
              <w:tab w:val="right" w:leader="dot" w:pos="15388"/>
            </w:tabs>
            <w:rPr>
              <w:rFonts w:asciiTheme="majorHAnsi" w:hAnsiTheme="majorHAnsi" w:cstheme="majorHAnsi"/>
              <w:noProof/>
            </w:rPr>
          </w:pPr>
          <w:r w:rsidRPr="008F5895">
            <w:rPr>
              <w:rFonts w:asciiTheme="majorHAnsi" w:hAnsiTheme="majorHAnsi" w:cstheme="majorHAnsi"/>
            </w:rPr>
            <w:fldChar w:fldCharType="begin"/>
          </w:r>
          <w:r w:rsidRPr="008F5895">
            <w:rPr>
              <w:rFonts w:asciiTheme="majorHAnsi" w:hAnsiTheme="majorHAnsi" w:cstheme="majorHAnsi"/>
            </w:rPr>
            <w:instrText xml:space="preserve"> TOC \o "1-3" \h \z \u </w:instrText>
          </w:r>
          <w:r w:rsidRPr="008F5895">
            <w:rPr>
              <w:rFonts w:asciiTheme="majorHAnsi" w:hAnsiTheme="majorHAnsi" w:cstheme="majorHAnsi"/>
            </w:rPr>
            <w:fldChar w:fldCharType="separate"/>
          </w:r>
          <w:hyperlink w:anchor="_Toc65760828" w:history="1">
            <w:r w:rsidRPr="008F5895">
              <w:rPr>
                <w:rStyle w:val="Hyperlink"/>
                <w:rFonts w:asciiTheme="majorHAnsi" w:hAnsiTheme="majorHAnsi" w:cstheme="majorHAnsi"/>
                <w:noProof/>
                <w:color w:val="auto"/>
              </w:rPr>
              <w:t>Figure S1</w:t>
            </w:r>
            <w:r w:rsidRPr="008F5895">
              <w:rPr>
                <w:rFonts w:asciiTheme="majorHAnsi" w:hAnsiTheme="majorHAnsi" w:cstheme="majorHAnsi"/>
                <w:noProof/>
                <w:webHidden/>
              </w:rPr>
              <w:tab/>
            </w:r>
            <w:r w:rsidRPr="008F5895">
              <w:rPr>
                <w:rFonts w:asciiTheme="majorHAnsi" w:hAnsiTheme="majorHAnsi" w:cstheme="majorHAnsi"/>
                <w:noProof/>
                <w:webHidden/>
              </w:rPr>
              <w:fldChar w:fldCharType="begin"/>
            </w:r>
            <w:r w:rsidRPr="008F5895">
              <w:rPr>
                <w:rFonts w:asciiTheme="majorHAnsi" w:hAnsiTheme="majorHAnsi" w:cstheme="majorHAnsi"/>
                <w:noProof/>
                <w:webHidden/>
              </w:rPr>
              <w:instrText xml:space="preserve"> PAGEREF _Toc65760828 \h </w:instrText>
            </w:r>
            <w:r w:rsidRPr="008F5895">
              <w:rPr>
                <w:rFonts w:asciiTheme="majorHAnsi" w:hAnsiTheme="majorHAnsi" w:cstheme="majorHAnsi"/>
                <w:noProof/>
                <w:webHidden/>
              </w:rPr>
            </w:r>
            <w:r w:rsidRPr="008F5895">
              <w:rPr>
                <w:rFonts w:asciiTheme="majorHAnsi" w:hAnsiTheme="majorHAnsi" w:cstheme="majorHAnsi"/>
                <w:noProof/>
                <w:webHidden/>
              </w:rPr>
              <w:fldChar w:fldCharType="separate"/>
            </w:r>
            <w:r w:rsidRPr="008F5895">
              <w:rPr>
                <w:rFonts w:asciiTheme="majorHAnsi" w:hAnsiTheme="majorHAnsi" w:cstheme="majorHAnsi"/>
                <w:noProof/>
                <w:webHidden/>
              </w:rPr>
              <w:t>2</w:t>
            </w:r>
            <w:r w:rsidRPr="008F5895">
              <w:rPr>
                <w:rFonts w:asciiTheme="majorHAnsi" w:hAnsiTheme="majorHAnsi" w:cstheme="majorHAnsi"/>
                <w:noProof/>
                <w:webHidden/>
              </w:rPr>
              <w:fldChar w:fldCharType="end"/>
            </w:r>
          </w:hyperlink>
        </w:p>
        <w:p w14:paraId="149B54A2" w14:textId="6B64E0B3" w:rsidR="008F5895" w:rsidRPr="008F5895" w:rsidRDefault="001D6B8A" w:rsidP="008F5895">
          <w:pPr>
            <w:pStyle w:val="TOC2"/>
            <w:tabs>
              <w:tab w:val="right" w:leader="dot" w:pos="15388"/>
            </w:tabs>
            <w:rPr>
              <w:rFonts w:asciiTheme="majorHAnsi" w:hAnsiTheme="majorHAnsi" w:cstheme="majorHAnsi"/>
              <w:noProof/>
            </w:rPr>
          </w:pPr>
          <w:hyperlink w:anchor="_Toc65760829" w:history="1">
            <w:r w:rsidR="008F5895" w:rsidRPr="008F5895">
              <w:rPr>
                <w:rStyle w:val="Hyperlink"/>
                <w:rFonts w:asciiTheme="majorHAnsi" w:hAnsiTheme="majorHAnsi" w:cstheme="majorHAnsi"/>
                <w:noProof/>
                <w:color w:val="auto"/>
              </w:rPr>
              <w:t>TABLE S1 - Full list of studies included in the meta-analysis with demographic and problematic internet use characteristics</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_Toc65760829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3</w:t>
            </w:r>
            <w:r w:rsidR="008F5895" w:rsidRPr="008F5895">
              <w:rPr>
                <w:rFonts w:asciiTheme="majorHAnsi" w:hAnsiTheme="majorHAnsi" w:cstheme="majorHAnsi"/>
                <w:noProof/>
                <w:webHidden/>
              </w:rPr>
              <w:fldChar w:fldCharType="end"/>
            </w:r>
          </w:hyperlink>
        </w:p>
        <w:p w14:paraId="260A84C6" w14:textId="1E535BB1" w:rsidR="008F5895" w:rsidRPr="008F5895" w:rsidRDefault="001D6B8A" w:rsidP="008F5895">
          <w:pPr>
            <w:pStyle w:val="TOC3"/>
            <w:tabs>
              <w:tab w:val="right" w:leader="dot" w:pos="15388"/>
            </w:tabs>
            <w:rPr>
              <w:rFonts w:asciiTheme="majorHAnsi" w:hAnsiTheme="majorHAnsi" w:cstheme="majorHAnsi"/>
              <w:noProof/>
            </w:rPr>
          </w:pPr>
          <w:hyperlink w:anchor="_Toc65760830" w:history="1">
            <w:r w:rsidR="008F5895" w:rsidRPr="008F5895">
              <w:rPr>
                <w:rStyle w:val="Hyperlink"/>
                <w:rFonts w:asciiTheme="majorHAnsi" w:hAnsiTheme="majorHAnsi" w:cstheme="majorHAnsi"/>
                <w:noProof/>
                <w:color w:val="auto"/>
              </w:rPr>
              <w:t>Legend Table S1</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_Toc65760830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11</w:t>
            </w:r>
            <w:r w:rsidR="008F5895" w:rsidRPr="008F5895">
              <w:rPr>
                <w:rFonts w:asciiTheme="majorHAnsi" w:hAnsiTheme="majorHAnsi" w:cstheme="majorHAnsi"/>
                <w:noProof/>
                <w:webHidden/>
              </w:rPr>
              <w:fldChar w:fldCharType="end"/>
            </w:r>
          </w:hyperlink>
        </w:p>
        <w:p w14:paraId="7C946310" w14:textId="2D82208F" w:rsidR="008F5895" w:rsidRPr="008F5895" w:rsidRDefault="001D6B8A" w:rsidP="008F5895">
          <w:pPr>
            <w:pStyle w:val="TOC2"/>
            <w:tabs>
              <w:tab w:val="right" w:leader="dot" w:pos="15388"/>
            </w:tabs>
            <w:rPr>
              <w:rFonts w:asciiTheme="majorHAnsi" w:hAnsiTheme="majorHAnsi" w:cstheme="majorHAnsi"/>
              <w:noProof/>
            </w:rPr>
          </w:pPr>
          <w:hyperlink w:anchor="_Toc65760831" w:history="1">
            <w:r w:rsidR="008F5895" w:rsidRPr="008F5895">
              <w:rPr>
                <w:rStyle w:val="Hyperlink"/>
                <w:rFonts w:asciiTheme="majorHAnsi" w:hAnsiTheme="majorHAnsi" w:cstheme="majorHAnsi"/>
                <w:noProof/>
                <w:color w:val="auto"/>
              </w:rPr>
              <w:t>TABLE S2 - Ad-hoc quality score system</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_Toc65760831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13</w:t>
            </w:r>
            <w:r w:rsidR="008F5895" w:rsidRPr="008F5895">
              <w:rPr>
                <w:rFonts w:asciiTheme="majorHAnsi" w:hAnsiTheme="majorHAnsi" w:cstheme="majorHAnsi"/>
                <w:noProof/>
                <w:webHidden/>
              </w:rPr>
              <w:fldChar w:fldCharType="end"/>
            </w:r>
          </w:hyperlink>
        </w:p>
        <w:p w14:paraId="63A9536C" w14:textId="316A0018" w:rsidR="008F5895" w:rsidRPr="008F5895" w:rsidRDefault="001D6B8A" w:rsidP="008F5895">
          <w:pPr>
            <w:pStyle w:val="TOC2"/>
            <w:tabs>
              <w:tab w:val="right" w:leader="dot" w:pos="15388"/>
            </w:tabs>
            <w:rPr>
              <w:rFonts w:asciiTheme="majorHAnsi" w:hAnsiTheme="majorHAnsi" w:cstheme="majorHAnsi"/>
              <w:noProof/>
            </w:rPr>
          </w:pPr>
          <w:hyperlink w:anchor="_Toc65760832" w:history="1">
            <w:r w:rsidR="008F5895" w:rsidRPr="008F5895">
              <w:rPr>
                <w:rStyle w:val="Hyperlink"/>
                <w:rFonts w:asciiTheme="majorHAnsi" w:hAnsiTheme="majorHAnsi" w:cstheme="majorHAnsi"/>
                <w:noProof/>
                <w:color w:val="auto"/>
              </w:rPr>
              <w:t>TABLE S3 – Heterogeneity and model estimate measures for different domains of eating disorder</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_Toc65760832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15</w:t>
            </w:r>
            <w:r w:rsidR="008F5895" w:rsidRPr="008F5895">
              <w:rPr>
                <w:rFonts w:asciiTheme="majorHAnsi" w:hAnsiTheme="majorHAnsi" w:cstheme="majorHAnsi"/>
                <w:noProof/>
                <w:webHidden/>
              </w:rPr>
              <w:fldChar w:fldCharType="end"/>
            </w:r>
          </w:hyperlink>
        </w:p>
        <w:p w14:paraId="71F244C0" w14:textId="6AA6960B" w:rsidR="008F5895" w:rsidRPr="008F5895" w:rsidRDefault="001D6B8A" w:rsidP="008F5895">
          <w:pPr>
            <w:pStyle w:val="TOC2"/>
            <w:tabs>
              <w:tab w:val="right" w:leader="dot" w:pos="15388"/>
            </w:tabs>
            <w:rPr>
              <w:rFonts w:asciiTheme="majorHAnsi" w:hAnsiTheme="majorHAnsi" w:cstheme="majorHAnsi"/>
              <w:noProof/>
            </w:rPr>
          </w:pPr>
          <w:hyperlink w:anchor="_Toc65760833" w:history="1">
            <w:r w:rsidR="008F5895" w:rsidRPr="008F5895">
              <w:rPr>
                <w:rStyle w:val="Hyperlink"/>
                <w:rFonts w:asciiTheme="majorHAnsi" w:hAnsiTheme="majorHAnsi" w:cstheme="majorHAnsi"/>
                <w:noProof/>
                <w:color w:val="auto"/>
              </w:rPr>
              <w:t>TABLE S4 – Heterogeneity and model estimate measures for different domains without exclusion of influential cases</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_Toc65760833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16</w:t>
            </w:r>
            <w:r w:rsidR="008F5895" w:rsidRPr="008F5895">
              <w:rPr>
                <w:rFonts w:asciiTheme="majorHAnsi" w:hAnsiTheme="majorHAnsi" w:cstheme="majorHAnsi"/>
                <w:noProof/>
                <w:webHidden/>
              </w:rPr>
              <w:fldChar w:fldCharType="end"/>
            </w:r>
          </w:hyperlink>
        </w:p>
        <w:p w14:paraId="764476E1" w14:textId="24906418" w:rsidR="008F5895" w:rsidRPr="008F5895" w:rsidRDefault="001D6B8A" w:rsidP="008F5895">
          <w:pPr>
            <w:pStyle w:val="TOC3"/>
            <w:tabs>
              <w:tab w:val="right" w:leader="dot" w:pos="15388"/>
            </w:tabs>
            <w:rPr>
              <w:rFonts w:asciiTheme="majorHAnsi" w:hAnsiTheme="majorHAnsi" w:cstheme="majorHAnsi"/>
              <w:noProof/>
            </w:rPr>
          </w:pPr>
          <w:hyperlink w:anchor="_Toc65760834" w:history="1">
            <w:r w:rsidR="008F5895" w:rsidRPr="008F5895">
              <w:rPr>
                <w:rStyle w:val="Hyperlink"/>
                <w:rFonts w:asciiTheme="majorHAnsi" w:hAnsiTheme="majorHAnsi" w:cstheme="majorHAnsi"/>
                <w:noProof/>
                <w:color w:val="auto"/>
              </w:rPr>
              <w:t>Figure S2 – At-risk-eating-disorders: Influence plots describing the influential effects of studies (pre-exclusion)</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_Toc65760834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17</w:t>
            </w:r>
            <w:r w:rsidR="008F5895" w:rsidRPr="008F5895">
              <w:rPr>
                <w:rFonts w:asciiTheme="majorHAnsi" w:hAnsiTheme="majorHAnsi" w:cstheme="majorHAnsi"/>
                <w:noProof/>
                <w:webHidden/>
              </w:rPr>
              <w:fldChar w:fldCharType="end"/>
            </w:r>
          </w:hyperlink>
        </w:p>
        <w:p w14:paraId="3B917CC4" w14:textId="625582CA" w:rsidR="008F5895" w:rsidRPr="008F5895" w:rsidRDefault="001D6B8A" w:rsidP="008F5895">
          <w:pPr>
            <w:pStyle w:val="TOC3"/>
            <w:tabs>
              <w:tab w:val="right" w:leader="dot" w:pos="15388"/>
            </w:tabs>
            <w:rPr>
              <w:rFonts w:asciiTheme="majorHAnsi" w:hAnsiTheme="majorHAnsi" w:cstheme="majorHAnsi"/>
              <w:noProof/>
            </w:rPr>
          </w:pPr>
          <w:hyperlink w:anchor="_Toc65760835" w:history="1">
            <w:r w:rsidR="008F5895" w:rsidRPr="008F5895">
              <w:rPr>
                <w:rStyle w:val="Hyperlink"/>
                <w:rFonts w:asciiTheme="majorHAnsi" w:hAnsiTheme="majorHAnsi" w:cstheme="majorHAnsi"/>
                <w:noProof/>
                <w:color w:val="auto"/>
              </w:rPr>
              <w:t>Figure S3 – Drive-for-thinness: Influence plots describing the influential effects of studies (pre-exclusion)</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_Toc65760835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18</w:t>
            </w:r>
            <w:r w:rsidR="008F5895" w:rsidRPr="008F5895">
              <w:rPr>
                <w:rFonts w:asciiTheme="majorHAnsi" w:hAnsiTheme="majorHAnsi" w:cstheme="majorHAnsi"/>
                <w:noProof/>
                <w:webHidden/>
              </w:rPr>
              <w:fldChar w:fldCharType="end"/>
            </w:r>
          </w:hyperlink>
        </w:p>
        <w:p w14:paraId="576C3BC0" w14:textId="6FB4D12B" w:rsidR="008F5895" w:rsidRPr="008F5895" w:rsidRDefault="001D6B8A" w:rsidP="008F5895">
          <w:pPr>
            <w:pStyle w:val="TOC2"/>
            <w:tabs>
              <w:tab w:val="right" w:leader="dot" w:pos="15388"/>
            </w:tabs>
            <w:rPr>
              <w:rFonts w:asciiTheme="majorHAnsi" w:hAnsiTheme="majorHAnsi" w:cstheme="majorHAnsi"/>
              <w:noProof/>
            </w:rPr>
          </w:pPr>
          <w:hyperlink w:anchor="_Toc65760836" w:history="1">
            <w:r w:rsidR="008F5895" w:rsidRPr="008F5895">
              <w:rPr>
                <w:rStyle w:val="Hyperlink"/>
                <w:rFonts w:asciiTheme="majorHAnsi" w:hAnsiTheme="majorHAnsi" w:cstheme="majorHAnsi"/>
                <w:noProof/>
                <w:color w:val="auto"/>
              </w:rPr>
              <w:t>∫ - S1 Metrics of Problematic usage of the internet</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_Toc65760836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19</w:t>
            </w:r>
            <w:r w:rsidR="008F5895" w:rsidRPr="008F5895">
              <w:rPr>
                <w:rFonts w:asciiTheme="majorHAnsi" w:hAnsiTheme="majorHAnsi" w:cstheme="majorHAnsi"/>
                <w:noProof/>
                <w:webHidden/>
              </w:rPr>
              <w:fldChar w:fldCharType="end"/>
            </w:r>
          </w:hyperlink>
        </w:p>
        <w:p w14:paraId="6E3D18B4" w14:textId="213BC943" w:rsidR="008F5895" w:rsidRPr="008F5895" w:rsidRDefault="001D6B8A" w:rsidP="008F5895">
          <w:pPr>
            <w:pStyle w:val="TOC2"/>
            <w:tabs>
              <w:tab w:val="right" w:leader="dot" w:pos="15388"/>
            </w:tabs>
            <w:rPr>
              <w:rFonts w:asciiTheme="majorHAnsi" w:hAnsiTheme="majorHAnsi" w:cstheme="majorHAnsi"/>
              <w:noProof/>
            </w:rPr>
          </w:pPr>
          <w:hyperlink w:anchor="_Toc65760837" w:history="1">
            <w:r w:rsidR="008F5895" w:rsidRPr="008F5895">
              <w:rPr>
                <w:rStyle w:val="Hyperlink"/>
                <w:rFonts w:asciiTheme="majorHAnsi" w:hAnsiTheme="majorHAnsi" w:cstheme="majorHAnsi"/>
                <w:noProof/>
                <w:color w:val="auto"/>
              </w:rPr>
              <w:t>∫ - S2 Metrics of eating disorders</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_Toc65760837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19</w:t>
            </w:r>
            <w:r w:rsidR="008F5895" w:rsidRPr="008F5895">
              <w:rPr>
                <w:rFonts w:asciiTheme="majorHAnsi" w:hAnsiTheme="majorHAnsi" w:cstheme="majorHAnsi"/>
                <w:noProof/>
                <w:webHidden/>
              </w:rPr>
              <w:fldChar w:fldCharType="end"/>
            </w:r>
          </w:hyperlink>
        </w:p>
        <w:p w14:paraId="38E99712" w14:textId="2EA8373B" w:rsidR="008F5895" w:rsidRPr="008F5895" w:rsidRDefault="001D6B8A" w:rsidP="008F5895">
          <w:pPr>
            <w:pStyle w:val="TOC3"/>
            <w:tabs>
              <w:tab w:val="right" w:leader="dot" w:pos="15388"/>
            </w:tabs>
            <w:rPr>
              <w:rFonts w:asciiTheme="majorHAnsi" w:hAnsiTheme="majorHAnsi" w:cstheme="majorHAnsi"/>
              <w:noProof/>
            </w:rPr>
          </w:pPr>
          <w:hyperlink w:anchor="_Toc65760838" w:history="1">
            <w:r w:rsidR="008F5895" w:rsidRPr="008F5895">
              <w:rPr>
                <w:rStyle w:val="Hyperlink"/>
                <w:rFonts w:asciiTheme="majorHAnsi" w:hAnsiTheme="majorHAnsi" w:cstheme="majorHAnsi"/>
                <w:noProof/>
                <w:color w:val="auto"/>
              </w:rPr>
              <w:t>S2.1 Eating Attitudes Test</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_Toc65760838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19</w:t>
            </w:r>
            <w:r w:rsidR="008F5895" w:rsidRPr="008F5895">
              <w:rPr>
                <w:rFonts w:asciiTheme="majorHAnsi" w:hAnsiTheme="majorHAnsi" w:cstheme="majorHAnsi"/>
                <w:noProof/>
                <w:webHidden/>
              </w:rPr>
              <w:fldChar w:fldCharType="end"/>
            </w:r>
          </w:hyperlink>
        </w:p>
        <w:p w14:paraId="745553BE" w14:textId="14F12613" w:rsidR="008F5895" w:rsidRPr="008F5895" w:rsidRDefault="001D6B8A" w:rsidP="008F5895">
          <w:pPr>
            <w:pStyle w:val="TOC3"/>
            <w:tabs>
              <w:tab w:val="right" w:leader="dot" w:pos="15388"/>
            </w:tabs>
            <w:rPr>
              <w:rFonts w:asciiTheme="majorHAnsi" w:hAnsiTheme="majorHAnsi" w:cstheme="majorHAnsi"/>
              <w:noProof/>
            </w:rPr>
          </w:pPr>
          <w:hyperlink w:anchor="_Toc65760839" w:history="1">
            <w:r w:rsidR="008F5895" w:rsidRPr="008F5895">
              <w:rPr>
                <w:rStyle w:val="Hyperlink"/>
                <w:rFonts w:asciiTheme="majorHAnsi" w:hAnsiTheme="majorHAnsi" w:cstheme="majorHAnsi"/>
                <w:noProof/>
                <w:color w:val="auto"/>
                <w:shd w:val="clear" w:color="auto" w:fill="FFFFFF"/>
              </w:rPr>
              <w:t>S2.2 Eating Disorder Inventory</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_Toc65760839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20</w:t>
            </w:r>
            <w:r w:rsidR="008F5895" w:rsidRPr="008F5895">
              <w:rPr>
                <w:rFonts w:asciiTheme="majorHAnsi" w:hAnsiTheme="majorHAnsi" w:cstheme="majorHAnsi"/>
                <w:noProof/>
                <w:webHidden/>
              </w:rPr>
              <w:fldChar w:fldCharType="end"/>
            </w:r>
          </w:hyperlink>
        </w:p>
        <w:p w14:paraId="087AA7CC" w14:textId="6C967309" w:rsidR="008F5895" w:rsidRPr="008F5895" w:rsidRDefault="001D6B8A" w:rsidP="008F5895">
          <w:pPr>
            <w:pStyle w:val="TOC3"/>
            <w:tabs>
              <w:tab w:val="right" w:leader="dot" w:pos="15388"/>
            </w:tabs>
            <w:rPr>
              <w:rFonts w:asciiTheme="majorHAnsi" w:hAnsiTheme="majorHAnsi" w:cstheme="majorHAnsi"/>
              <w:noProof/>
            </w:rPr>
          </w:pPr>
          <w:hyperlink w:anchor="_Toc65760840" w:history="1">
            <w:r w:rsidR="008F5895" w:rsidRPr="008F5895">
              <w:rPr>
                <w:rStyle w:val="Hyperlink"/>
                <w:rFonts w:asciiTheme="majorHAnsi" w:hAnsiTheme="majorHAnsi" w:cstheme="majorHAnsi"/>
                <w:noProof/>
                <w:color w:val="auto"/>
              </w:rPr>
              <w:t>S2.3 SCOFF Questionnaire</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_Toc65760840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20</w:t>
            </w:r>
            <w:r w:rsidR="008F5895" w:rsidRPr="008F5895">
              <w:rPr>
                <w:rFonts w:asciiTheme="majorHAnsi" w:hAnsiTheme="majorHAnsi" w:cstheme="majorHAnsi"/>
                <w:noProof/>
                <w:webHidden/>
              </w:rPr>
              <w:fldChar w:fldCharType="end"/>
            </w:r>
          </w:hyperlink>
        </w:p>
        <w:p w14:paraId="6483F5AE" w14:textId="55DE1101" w:rsidR="008F5895" w:rsidRPr="008F5895" w:rsidRDefault="001D6B8A" w:rsidP="008F5895">
          <w:pPr>
            <w:pStyle w:val="TOC3"/>
            <w:tabs>
              <w:tab w:val="right" w:leader="dot" w:pos="15388"/>
            </w:tabs>
            <w:rPr>
              <w:rFonts w:asciiTheme="majorHAnsi" w:hAnsiTheme="majorHAnsi" w:cstheme="majorHAnsi"/>
              <w:noProof/>
            </w:rPr>
          </w:pPr>
          <w:hyperlink w:anchor="_Toc65760841" w:history="1">
            <w:r w:rsidR="008F5895" w:rsidRPr="008F5895">
              <w:rPr>
                <w:rStyle w:val="Hyperlink"/>
                <w:rFonts w:asciiTheme="majorHAnsi" w:hAnsiTheme="majorHAnsi" w:cstheme="majorHAnsi"/>
                <w:noProof/>
                <w:color w:val="auto"/>
              </w:rPr>
              <w:t>S2.4 Eating Disorder Examination Questionnaire</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_Toc65760841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20</w:t>
            </w:r>
            <w:r w:rsidR="008F5895" w:rsidRPr="008F5895">
              <w:rPr>
                <w:rFonts w:asciiTheme="majorHAnsi" w:hAnsiTheme="majorHAnsi" w:cstheme="majorHAnsi"/>
                <w:noProof/>
                <w:webHidden/>
              </w:rPr>
              <w:fldChar w:fldCharType="end"/>
            </w:r>
          </w:hyperlink>
        </w:p>
        <w:p w14:paraId="3574F35F" w14:textId="1799C0EF" w:rsidR="008F5895" w:rsidRPr="008F5895" w:rsidRDefault="001D6B8A" w:rsidP="008F5895">
          <w:pPr>
            <w:pStyle w:val="TOC3"/>
            <w:tabs>
              <w:tab w:val="right" w:leader="dot" w:pos="15388"/>
            </w:tabs>
            <w:rPr>
              <w:rFonts w:asciiTheme="majorHAnsi" w:hAnsiTheme="majorHAnsi" w:cstheme="majorHAnsi"/>
              <w:noProof/>
            </w:rPr>
          </w:pPr>
          <w:hyperlink w:anchor="_Toc65760842" w:history="1">
            <w:r w:rsidR="008F5895" w:rsidRPr="008F5895">
              <w:rPr>
                <w:rStyle w:val="Hyperlink"/>
                <w:rFonts w:asciiTheme="majorHAnsi" w:hAnsiTheme="majorHAnsi" w:cstheme="majorHAnsi"/>
                <w:noProof/>
                <w:color w:val="auto"/>
              </w:rPr>
              <w:t>S2.5 Body dissatisfaction</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_Toc65760842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20</w:t>
            </w:r>
            <w:r w:rsidR="008F5895" w:rsidRPr="008F5895">
              <w:rPr>
                <w:rFonts w:asciiTheme="majorHAnsi" w:hAnsiTheme="majorHAnsi" w:cstheme="majorHAnsi"/>
                <w:noProof/>
                <w:webHidden/>
              </w:rPr>
              <w:fldChar w:fldCharType="end"/>
            </w:r>
          </w:hyperlink>
        </w:p>
        <w:p w14:paraId="62A95136" w14:textId="61BD403B" w:rsidR="008F5895" w:rsidRPr="008F5895" w:rsidRDefault="001D6B8A" w:rsidP="008F5895">
          <w:pPr>
            <w:pStyle w:val="TOC3"/>
            <w:tabs>
              <w:tab w:val="right" w:leader="dot" w:pos="15388"/>
            </w:tabs>
            <w:rPr>
              <w:rFonts w:asciiTheme="majorHAnsi" w:hAnsiTheme="majorHAnsi" w:cstheme="majorHAnsi"/>
              <w:noProof/>
            </w:rPr>
          </w:pPr>
          <w:hyperlink w:anchor="_Toc65760843" w:history="1">
            <w:r w:rsidR="008F5895" w:rsidRPr="008F5895">
              <w:rPr>
                <w:rStyle w:val="Hyperlink"/>
                <w:rFonts w:asciiTheme="majorHAnsi" w:hAnsiTheme="majorHAnsi" w:cstheme="majorHAnsi"/>
                <w:noProof/>
                <w:color w:val="auto"/>
              </w:rPr>
              <w:t>S2.6 Dietary restrai</w:t>
            </w:r>
            <w:r w:rsidR="008F5895" w:rsidRPr="008F5895">
              <w:rPr>
                <w:rStyle w:val="Hyperlink"/>
                <w:rFonts w:asciiTheme="majorHAnsi" w:hAnsiTheme="majorHAnsi" w:cstheme="majorHAnsi"/>
                <w:iCs/>
                <w:noProof/>
                <w:color w:val="auto"/>
              </w:rPr>
              <w:t>n</w:t>
            </w:r>
            <w:r w:rsidR="008F5895" w:rsidRPr="008F5895">
              <w:rPr>
                <w:rStyle w:val="Hyperlink"/>
                <w:rFonts w:asciiTheme="majorHAnsi" w:hAnsiTheme="majorHAnsi" w:cstheme="majorHAnsi"/>
                <w:noProof/>
                <w:color w:val="auto"/>
              </w:rPr>
              <w:t>t</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_Toc65760843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21</w:t>
            </w:r>
            <w:r w:rsidR="008F5895" w:rsidRPr="008F5895">
              <w:rPr>
                <w:rFonts w:asciiTheme="majorHAnsi" w:hAnsiTheme="majorHAnsi" w:cstheme="majorHAnsi"/>
                <w:noProof/>
                <w:webHidden/>
              </w:rPr>
              <w:fldChar w:fldCharType="end"/>
            </w:r>
          </w:hyperlink>
        </w:p>
        <w:p w14:paraId="149D6C52" w14:textId="6697FDED" w:rsidR="008F5895" w:rsidRPr="008F5895" w:rsidRDefault="001D6B8A" w:rsidP="008F5895">
          <w:pPr>
            <w:pStyle w:val="TOC2"/>
            <w:tabs>
              <w:tab w:val="right" w:leader="dot" w:pos="15388"/>
            </w:tabs>
            <w:rPr>
              <w:rFonts w:asciiTheme="majorHAnsi" w:hAnsiTheme="majorHAnsi" w:cstheme="majorHAnsi"/>
              <w:noProof/>
            </w:rPr>
          </w:pPr>
          <w:hyperlink w:anchor="_Toc65760844" w:history="1">
            <w:r w:rsidR="008F5895" w:rsidRPr="008F5895">
              <w:rPr>
                <w:rStyle w:val="Hyperlink"/>
                <w:rFonts w:asciiTheme="majorHAnsi" w:hAnsiTheme="majorHAnsi" w:cstheme="majorHAnsi"/>
                <w:noProof/>
                <w:color w:val="auto"/>
              </w:rPr>
              <w:t>Figure S4</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_Toc65760844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22</w:t>
            </w:r>
            <w:r w:rsidR="008F5895" w:rsidRPr="008F5895">
              <w:rPr>
                <w:rFonts w:asciiTheme="majorHAnsi" w:hAnsiTheme="majorHAnsi" w:cstheme="majorHAnsi"/>
                <w:noProof/>
                <w:webHidden/>
              </w:rPr>
              <w:fldChar w:fldCharType="end"/>
            </w:r>
          </w:hyperlink>
        </w:p>
        <w:p w14:paraId="7651483F" w14:textId="28BF9DF2" w:rsidR="008F5895" w:rsidRPr="008F5895" w:rsidRDefault="001D6B8A" w:rsidP="008F5895">
          <w:pPr>
            <w:pStyle w:val="TOC2"/>
            <w:tabs>
              <w:tab w:val="right" w:leader="dot" w:pos="15388"/>
            </w:tabs>
            <w:rPr>
              <w:rFonts w:asciiTheme="majorHAnsi" w:hAnsiTheme="majorHAnsi" w:cstheme="majorHAnsi"/>
              <w:noProof/>
            </w:rPr>
          </w:pPr>
          <w:hyperlink w:anchor="_Toc65760845" w:history="1">
            <w:r w:rsidR="008F5895" w:rsidRPr="008F5895">
              <w:rPr>
                <w:rStyle w:val="Hyperlink"/>
                <w:rFonts w:asciiTheme="majorHAnsi" w:hAnsiTheme="majorHAnsi" w:cstheme="majorHAnsi"/>
                <w:noProof/>
                <w:color w:val="auto"/>
              </w:rPr>
              <w:t>References</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_Toc65760845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23</w:t>
            </w:r>
            <w:r w:rsidR="008F5895" w:rsidRPr="008F5895">
              <w:rPr>
                <w:rFonts w:asciiTheme="majorHAnsi" w:hAnsiTheme="majorHAnsi" w:cstheme="majorHAnsi"/>
                <w:noProof/>
                <w:webHidden/>
              </w:rPr>
              <w:fldChar w:fldCharType="end"/>
            </w:r>
          </w:hyperlink>
        </w:p>
        <w:p w14:paraId="274D9D83" w14:textId="22995F33" w:rsidR="008F5895" w:rsidRPr="008F5895" w:rsidRDefault="001D6B8A" w:rsidP="008F5895">
          <w:pPr>
            <w:pStyle w:val="TOC2"/>
            <w:tabs>
              <w:tab w:val="right" w:leader="dot" w:pos="15388"/>
            </w:tabs>
            <w:rPr>
              <w:rFonts w:asciiTheme="majorHAnsi" w:hAnsiTheme="majorHAnsi" w:cstheme="majorHAnsi"/>
              <w:noProof/>
            </w:rPr>
          </w:pPr>
          <w:hyperlink w:anchor="_Toc65760846" w:history="1">
            <w:r w:rsidR="008F5895" w:rsidRPr="008F5895">
              <w:rPr>
                <w:rStyle w:val="Hyperlink"/>
                <w:rFonts w:asciiTheme="majorHAnsi" w:hAnsiTheme="majorHAnsi" w:cstheme="majorHAnsi"/>
                <w:noProof/>
                <w:color w:val="auto"/>
              </w:rPr>
              <w:t>R code used in the analysis</w:t>
            </w:r>
            <w:r w:rsidR="008F5895" w:rsidRPr="008F5895">
              <w:rPr>
                <w:rFonts w:asciiTheme="majorHAnsi" w:hAnsiTheme="majorHAnsi" w:cstheme="majorHAnsi"/>
                <w:noProof/>
                <w:webHidden/>
              </w:rPr>
              <w:tab/>
            </w:r>
            <w:r w:rsidR="008F5895" w:rsidRPr="008F5895">
              <w:rPr>
                <w:rFonts w:asciiTheme="majorHAnsi" w:hAnsiTheme="majorHAnsi" w:cstheme="majorHAnsi"/>
                <w:noProof/>
                <w:webHidden/>
              </w:rPr>
              <w:fldChar w:fldCharType="begin"/>
            </w:r>
            <w:r w:rsidR="008F5895" w:rsidRPr="008F5895">
              <w:rPr>
                <w:rFonts w:asciiTheme="majorHAnsi" w:hAnsiTheme="majorHAnsi" w:cstheme="majorHAnsi"/>
                <w:noProof/>
                <w:webHidden/>
              </w:rPr>
              <w:instrText xml:space="preserve"> PAGEREF _Toc65760846 \h </w:instrText>
            </w:r>
            <w:r w:rsidR="008F5895" w:rsidRPr="008F5895">
              <w:rPr>
                <w:rFonts w:asciiTheme="majorHAnsi" w:hAnsiTheme="majorHAnsi" w:cstheme="majorHAnsi"/>
                <w:noProof/>
                <w:webHidden/>
              </w:rPr>
            </w:r>
            <w:r w:rsidR="008F5895" w:rsidRPr="008F5895">
              <w:rPr>
                <w:rFonts w:asciiTheme="majorHAnsi" w:hAnsiTheme="majorHAnsi" w:cstheme="majorHAnsi"/>
                <w:noProof/>
                <w:webHidden/>
              </w:rPr>
              <w:fldChar w:fldCharType="separate"/>
            </w:r>
            <w:r w:rsidR="008F5895" w:rsidRPr="008F5895">
              <w:rPr>
                <w:rFonts w:asciiTheme="majorHAnsi" w:hAnsiTheme="majorHAnsi" w:cstheme="majorHAnsi"/>
                <w:noProof/>
                <w:webHidden/>
              </w:rPr>
              <w:t>37</w:t>
            </w:r>
            <w:r w:rsidR="008F5895" w:rsidRPr="008F5895">
              <w:rPr>
                <w:rFonts w:asciiTheme="majorHAnsi" w:hAnsiTheme="majorHAnsi" w:cstheme="majorHAnsi"/>
                <w:noProof/>
                <w:webHidden/>
              </w:rPr>
              <w:fldChar w:fldCharType="end"/>
            </w:r>
          </w:hyperlink>
        </w:p>
        <w:p w14:paraId="152AAFE7" w14:textId="70E5E6FD" w:rsidR="008F5895" w:rsidRDefault="008F5895" w:rsidP="008F5895">
          <w:r w:rsidRPr="008F5895">
            <w:rPr>
              <w:rFonts w:asciiTheme="majorHAnsi" w:hAnsiTheme="majorHAnsi" w:cstheme="majorHAnsi"/>
              <w:b/>
              <w:bCs/>
              <w:noProof/>
            </w:rPr>
            <w:fldChar w:fldCharType="end"/>
          </w:r>
        </w:p>
      </w:sdtContent>
    </w:sdt>
    <w:p w14:paraId="34B94B9D" w14:textId="323627FF" w:rsidR="008F5895" w:rsidRDefault="008F5895">
      <w:pPr>
        <w:spacing w:line="259" w:lineRule="auto"/>
        <w:jc w:val="left"/>
        <w:rPr>
          <w:rFonts w:asciiTheme="majorHAnsi" w:eastAsiaTheme="majorEastAsia" w:hAnsiTheme="majorHAnsi" w:cstheme="majorBidi"/>
          <w:b/>
          <w:sz w:val="26"/>
          <w:szCs w:val="26"/>
        </w:rPr>
      </w:pPr>
    </w:p>
    <w:p w14:paraId="5CA8F706" w14:textId="4174B10E" w:rsidR="0079101C" w:rsidRDefault="0079101C" w:rsidP="0079101C">
      <w:pPr>
        <w:pStyle w:val="Heading2"/>
      </w:pPr>
      <w:bookmarkStart w:id="0" w:name="_Toc65760828"/>
      <w:r>
        <w:lastRenderedPageBreak/>
        <w:t>Figure S1</w:t>
      </w:r>
      <w:bookmarkEnd w:id="0"/>
    </w:p>
    <w:p w14:paraId="59199252" w14:textId="77777777" w:rsidR="0079101C" w:rsidRDefault="0079101C" w:rsidP="0079101C">
      <w:pPr>
        <w:jc w:val="center"/>
      </w:pPr>
      <w:r>
        <w:rPr>
          <w:noProof/>
        </w:rPr>
        <w:drawing>
          <wp:inline distT="0" distB="0" distL="0" distR="0" wp14:anchorId="1E9CF9C3" wp14:editId="3BE5FC2C">
            <wp:extent cx="6638656" cy="4267160"/>
            <wp:effectExtent l="0" t="0" r="0" b="635"/>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667832" cy="4285914"/>
                    </a:xfrm>
                    <a:prstGeom prst="rect">
                      <a:avLst/>
                    </a:prstGeom>
                  </pic:spPr>
                </pic:pic>
              </a:graphicData>
            </a:graphic>
          </wp:inline>
        </w:drawing>
      </w:r>
    </w:p>
    <w:p w14:paraId="450F3845" w14:textId="77777777" w:rsidR="0079101C" w:rsidRDefault="0079101C" w:rsidP="0079101C">
      <w:r w:rsidRPr="00B04615">
        <w:rPr>
          <w:b/>
          <w:i/>
        </w:rPr>
        <w:t>Legend</w:t>
      </w:r>
      <w:r w:rsidRPr="00B04615">
        <w:rPr>
          <w:i/>
        </w:rPr>
        <w:t>:</w:t>
      </w:r>
      <w:r>
        <w:t xml:space="preserve"> Histogram representing the number of studies examining the problematic use of internet and eating disorders. X-axis: period covered; to note, the 2020 bar covers a period only Jan-May 2020. Y-axis, number of manuscripts identified as relevant titles through </w:t>
      </w:r>
      <w:proofErr w:type="spellStart"/>
      <w:r>
        <w:t>Pubmed</w:t>
      </w:r>
      <w:proofErr w:type="spellEnd"/>
      <w:r>
        <w:t xml:space="preserve"> search. </w:t>
      </w:r>
    </w:p>
    <w:p w14:paraId="4B60ABC5" w14:textId="77777777" w:rsidR="000E1816" w:rsidRDefault="00FE07DA" w:rsidP="00FE07DA">
      <w:pPr>
        <w:pStyle w:val="Heading2"/>
      </w:pPr>
      <w:bookmarkStart w:id="1" w:name="_Toc65760829"/>
      <w:r>
        <w:lastRenderedPageBreak/>
        <w:t>T</w:t>
      </w:r>
      <w:r w:rsidR="006E5EF8">
        <w:t>ABLE</w:t>
      </w:r>
      <w:r>
        <w:t xml:space="preserve"> S1 - Full list of studies included in the meta-analysis with demographic and problematic internet use characteristics</w:t>
      </w:r>
      <w:bookmarkEnd w:id="1"/>
    </w:p>
    <w:tbl>
      <w:tblPr>
        <w:tblStyle w:val="TableGrid"/>
        <w:tblW w:w="15304" w:type="dxa"/>
        <w:tblLayout w:type="fixed"/>
        <w:tblLook w:val="04A0" w:firstRow="1" w:lastRow="0" w:firstColumn="1" w:lastColumn="0" w:noHBand="0" w:noVBand="1"/>
      </w:tblPr>
      <w:tblGrid>
        <w:gridCol w:w="440"/>
        <w:gridCol w:w="1256"/>
        <w:gridCol w:w="709"/>
        <w:gridCol w:w="1418"/>
        <w:gridCol w:w="708"/>
        <w:gridCol w:w="851"/>
        <w:gridCol w:w="850"/>
        <w:gridCol w:w="1276"/>
        <w:gridCol w:w="1276"/>
        <w:gridCol w:w="1984"/>
        <w:gridCol w:w="1134"/>
        <w:gridCol w:w="1985"/>
        <w:gridCol w:w="709"/>
        <w:gridCol w:w="708"/>
      </w:tblGrid>
      <w:tr w:rsidR="005C11BC" w14:paraId="0F702582" w14:textId="0DCF6B15" w:rsidTr="00EE6214">
        <w:trPr>
          <w:cantSplit/>
          <w:trHeight w:val="1457"/>
        </w:trPr>
        <w:tc>
          <w:tcPr>
            <w:tcW w:w="440" w:type="dxa"/>
            <w:shd w:val="clear" w:color="auto" w:fill="E7E6E6" w:themeFill="background2"/>
          </w:tcPr>
          <w:p w14:paraId="56AA7111" w14:textId="77777777" w:rsidR="005C11BC" w:rsidRPr="00B514A7" w:rsidRDefault="005C11BC" w:rsidP="00210D1E">
            <w:pPr>
              <w:rPr>
                <w:rFonts w:cstheme="minorHAnsi"/>
                <w:b/>
                <w:sz w:val="20"/>
                <w:szCs w:val="20"/>
              </w:rPr>
            </w:pPr>
            <w:r w:rsidRPr="00B514A7">
              <w:rPr>
                <w:rFonts w:cstheme="minorHAnsi"/>
                <w:b/>
                <w:sz w:val="20"/>
                <w:szCs w:val="20"/>
                <w:lang w:eastAsia="en-GB"/>
              </w:rPr>
              <w:t>ID</w:t>
            </w:r>
          </w:p>
        </w:tc>
        <w:tc>
          <w:tcPr>
            <w:tcW w:w="1256" w:type="dxa"/>
            <w:shd w:val="clear" w:color="auto" w:fill="E7E6E6" w:themeFill="background2"/>
          </w:tcPr>
          <w:p w14:paraId="138BFF3E" w14:textId="77777777" w:rsidR="005C11BC" w:rsidRDefault="005C11BC" w:rsidP="00D36851">
            <w:pPr>
              <w:spacing w:line="240" w:lineRule="auto"/>
              <w:jc w:val="left"/>
              <w:rPr>
                <w:rFonts w:cstheme="minorHAnsi"/>
                <w:b/>
                <w:bCs/>
                <w:sz w:val="20"/>
                <w:szCs w:val="20"/>
                <w:lang w:eastAsia="en-GB"/>
              </w:rPr>
            </w:pPr>
          </w:p>
          <w:p w14:paraId="69FEBF35" w14:textId="77777777" w:rsidR="005C11BC" w:rsidRDefault="005C11BC" w:rsidP="00D36851">
            <w:pPr>
              <w:spacing w:line="240" w:lineRule="auto"/>
              <w:jc w:val="left"/>
              <w:rPr>
                <w:rFonts w:cstheme="minorHAnsi"/>
                <w:b/>
                <w:bCs/>
                <w:sz w:val="20"/>
                <w:szCs w:val="20"/>
                <w:lang w:eastAsia="en-GB"/>
              </w:rPr>
            </w:pPr>
          </w:p>
          <w:p w14:paraId="63C08479" w14:textId="3C10C267" w:rsidR="005C11BC" w:rsidRPr="00B514A7" w:rsidRDefault="005C11BC" w:rsidP="00D36851">
            <w:pPr>
              <w:spacing w:line="240" w:lineRule="auto"/>
              <w:jc w:val="left"/>
              <w:rPr>
                <w:rFonts w:cstheme="minorHAnsi"/>
                <w:b/>
                <w:sz w:val="20"/>
                <w:szCs w:val="20"/>
              </w:rPr>
            </w:pPr>
            <w:r>
              <w:rPr>
                <w:rFonts w:cstheme="minorHAnsi"/>
                <w:b/>
                <w:bCs/>
                <w:sz w:val="20"/>
                <w:szCs w:val="20"/>
                <w:lang w:eastAsia="en-GB"/>
              </w:rPr>
              <w:t xml:space="preserve">First Author </w:t>
            </w:r>
            <w:r w:rsidRPr="00104E53">
              <w:rPr>
                <w:rFonts w:cstheme="minorHAnsi"/>
                <w:b/>
                <w:bCs/>
                <w:i/>
                <w:iCs/>
                <w:sz w:val="20"/>
                <w:szCs w:val="20"/>
                <w:lang w:eastAsia="en-GB"/>
              </w:rPr>
              <w:t>(surname)</w:t>
            </w:r>
          </w:p>
        </w:tc>
        <w:tc>
          <w:tcPr>
            <w:tcW w:w="709" w:type="dxa"/>
            <w:shd w:val="clear" w:color="auto" w:fill="E7E6E6" w:themeFill="background2"/>
            <w:textDirection w:val="btLr"/>
          </w:tcPr>
          <w:p w14:paraId="3291CD05" w14:textId="161AFE1C" w:rsidR="005C11BC" w:rsidRPr="00B514A7" w:rsidRDefault="005C11BC" w:rsidP="00D36851">
            <w:pPr>
              <w:spacing w:line="240" w:lineRule="auto"/>
              <w:ind w:left="113" w:right="113"/>
              <w:jc w:val="center"/>
              <w:rPr>
                <w:rFonts w:cstheme="minorHAnsi"/>
                <w:b/>
                <w:bCs/>
                <w:sz w:val="20"/>
                <w:szCs w:val="20"/>
                <w:lang w:eastAsia="en-GB"/>
              </w:rPr>
            </w:pPr>
            <w:r>
              <w:rPr>
                <w:rFonts w:cstheme="minorHAnsi"/>
                <w:b/>
                <w:bCs/>
                <w:sz w:val="20"/>
                <w:szCs w:val="20"/>
                <w:lang w:eastAsia="en-GB"/>
              </w:rPr>
              <w:t>Year of Publication</w:t>
            </w:r>
          </w:p>
        </w:tc>
        <w:tc>
          <w:tcPr>
            <w:tcW w:w="1418" w:type="dxa"/>
            <w:shd w:val="clear" w:color="auto" w:fill="E7E6E6" w:themeFill="background2"/>
          </w:tcPr>
          <w:p w14:paraId="2D4DB342" w14:textId="77777777" w:rsidR="005C11BC" w:rsidRDefault="005C11BC" w:rsidP="00D36851">
            <w:pPr>
              <w:spacing w:line="240" w:lineRule="auto"/>
              <w:rPr>
                <w:rFonts w:cstheme="minorHAnsi"/>
                <w:b/>
                <w:bCs/>
                <w:sz w:val="20"/>
                <w:szCs w:val="20"/>
                <w:lang w:eastAsia="en-GB"/>
              </w:rPr>
            </w:pPr>
          </w:p>
          <w:p w14:paraId="4A278B54" w14:textId="77777777" w:rsidR="005C11BC" w:rsidRDefault="005C11BC" w:rsidP="00D36851">
            <w:pPr>
              <w:spacing w:line="240" w:lineRule="auto"/>
              <w:rPr>
                <w:rFonts w:cstheme="minorHAnsi"/>
                <w:b/>
                <w:bCs/>
                <w:sz w:val="20"/>
                <w:szCs w:val="20"/>
                <w:lang w:eastAsia="en-GB"/>
              </w:rPr>
            </w:pPr>
          </w:p>
          <w:p w14:paraId="160A0EC9" w14:textId="18E2A6D9" w:rsidR="005C11BC" w:rsidRPr="00B514A7" w:rsidRDefault="005C11BC" w:rsidP="002C23C2">
            <w:pPr>
              <w:spacing w:line="240" w:lineRule="auto"/>
              <w:jc w:val="center"/>
              <w:rPr>
                <w:rFonts w:cstheme="minorHAnsi"/>
                <w:b/>
                <w:bCs/>
                <w:sz w:val="20"/>
                <w:szCs w:val="20"/>
                <w:lang w:eastAsia="en-GB"/>
              </w:rPr>
            </w:pPr>
            <w:r>
              <w:rPr>
                <w:rFonts w:cstheme="minorHAnsi"/>
                <w:b/>
                <w:bCs/>
                <w:sz w:val="20"/>
                <w:szCs w:val="20"/>
                <w:lang w:eastAsia="en-GB"/>
              </w:rPr>
              <w:t>Journal</w:t>
            </w:r>
          </w:p>
        </w:tc>
        <w:tc>
          <w:tcPr>
            <w:tcW w:w="708" w:type="dxa"/>
            <w:shd w:val="clear" w:color="auto" w:fill="E7E6E6" w:themeFill="background2"/>
            <w:textDirection w:val="btLr"/>
          </w:tcPr>
          <w:p w14:paraId="6BA6F3FD" w14:textId="4957EAE7" w:rsidR="005C11BC" w:rsidRPr="00B514A7" w:rsidRDefault="005C11BC" w:rsidP="00D36851">
            <w:pPr>
              <w:spacing w:line="240" w:lineRule="auto"/>
              <w:ind w:left="113" w:right="113"/>
              <w:jc w:val="center"/>
              <w:rPr>
                <w:rFonts w:cstheme="minorHAnsi"/>
                <w:b/>
                <w:sz w:val="20"/>
                <w:szCs w:val="20"/>
              </w:rPr>
            </w:pPr>
            <w:r>
              <w:rPr>
                <w:rFonts w:cstheme="minorHAnsi"/>
                <w:b/>
                <w:sz w:val="20"/>
                <w:szCs w:val="20"/>
              </w:rPr>
              <w:t>Number of participants</w:t>
            </w:r>
          </w:p>
        </w:tc>
        <w:tc>
          <w:tcPr>
            <w:tcW w:w="851" w:type="dxa"/>
            <w:shd w:val="clear" w:color="auto" w:fill="E7E6E6" w:themeFill="background2"/>
          </w:tcPr>
          <w:p w14:paraId="59640A93" w14:textId="77777777" w:rsidR="005C11BC" w:rsidRDefault="005C11BC" w:rsidP="00D36851">
            <w:pPr>
              <w:spacing w:line="240" w:lineRule="auto"/>
              <w:jc w:val="center"/>
              <w:rPr>
                <w:rFonts w:cstheme="minorHAnsi"/>
                <w:b/>
                <w:bCs/>
                <w:sz w:val="20"/>
                <w:szCs w:val="20"/>
                <w:lang w:eastAsia="en-GB"/>
              </w:rPr>
            </w:pPr>
          </w:p>
          <w:p w14:paraId="3A0F028B" w14:textId="77777777" w:rsidR="00B25400" w:rsidRDefault="00B25400" w:rsidP="00D36851">
            <w:pPr>
              <w:spacing w:line="240" w:lineRule="auto"/>
              <w:jc w:val="center"/>
              <w:rPr>
                <w:rFonts w:cstheme="minorHAnsi"/>
                <w:b/>
                <w:bCs/>
                <w:sz w:val="20"/>
                <w:szCs w:val="20"/>
                <w:lang w:eastAsia="en-GB"/>
              </w:rPr>
            </w:pPr>
          </w:p>
          <w:p w14:paraId="7EEB2F89" w14:textId="6A18EDB4" w:rsidR="005C11BC" w:rsidRPr="00B514A7" w:rsidRDefault="005C11BC" w:rsidP="00D36851">
            <w:pPr>
              <w:spacing w:line="240" w:lineRule="auto"/>
              <w:jc w:val="center"/>
              <w:rPr>
                <w:rFonts w:cstheme="minorHAnsi"/>
                <w:b/>
                <w:sz w:val="20"/>
                <w:szCs w:val="20"/>
              </w:rPr>
            </w:pPr>
            <w:r w:rsidRPr="00B514A7">
              <w:rPr>
                <w:rFonts w:cstheme="minorHAnsi"/>
                <w:b/>
                <w:bCs/>
                <w:sz w:val="20"/>
                <w:szCs w:val="20"/>
                <w:lang w:eastAsia="en-GB"/>
              </w:rPr>
              <w:t>Age</w:t>
            </w:r>
            <w:r>
              <w:rPr>
                <w:rFonts w:cstheme="minorHAnsi"/>
                <w:b/>
                <w:bCs/>
                <w:sz w:val="20"/>
                <w:szCs w:val="20"/>
                <w:lang w:eastAsia="en-GB"/>
              </w:rPr>
              <w:t xml:space="preserve"> </w:t>
            </w:r>
            <w:r w:rsidRPr="00104E53">
              <w:rPr>
                <w:rFonts w:cstheme="minorHAnsi"/>
                <w:b/>
                <w:bCs/>
                <w:i/>
                <w:iCs/>
                <w:sz w:val="20"/>
                <w:szCs w:val="20"/>
                <w:lang w:eastAsia="en-GB"/>
              </w:rPr>
              <w:t>(mean)</w:t>
            </w:r>
          </w:p>
        </w:tc>
        <w:tc>
          <w:tcPr>
            <w:tcW w:w="850" w:type="dxa"/>
            <w:shd w:val="clear" w:color="auto" w:fill="E7E6E6" w:themeFill="background2"/>
          </w:tcPr>
          <w:p w14:paraId="271B1BEB" w14:textId="77777777" w:rsidR="005C11BC" w:rsidRDefault="005C11BC" w:rsidP="00D36851">
            <w:pPr>
              <w:spacing w:line="240" w:lineRule="auto"/>
              <w:jc w:val="center"/>
              <w:rPr>
                <w:rFonts w:cstheme="minorHAnsi"/>
                <w:b/>
                <w:bCs/>
                <w:sz w:val="20"/>
                <w:szCs w:val="20"/>
                <w:lang w:eastAsia="en-GB"/>
              </w:rPr>
            </w:pPr>
          </w:p>
          <w:p w14:paraId="6CE1506E" w14:textId="77777777" w:rsidR="00B25400" w:rsidRDefault="00B25400" w:rsidP="00D36851">
            <w:pPr>
              <w:spacing w:line="240" w:lineRule="auto"/>
              <w:jc w:val="center"/>
              <w:rPr>
                <w:rFonts w:cstheme="minorHAnsi"/>
                <w:b/>
                <w:bCs/>
                <w:sz w:val="20"/>
                <w:szCs w:val="20"/>
                <w:lang w:eastAsia="en-GB"/>
              </w:rPr>
            </w:pPr>
          </w:p>
          <w:p w14:paraId="1F8B9A13" w14:textId="77C2B88E" w:rsidR="005C11BC" w:rsidRPr="00B514A7" w:rsidRDefault="005C11BC" w:rsidP="00D36851">
            <w:pPr>
              <w:spacing w:line="240" w:lineRule="auto"/>
              <w:jc w:val="center"/>
              <w:rPr>
                <w:rFonts w:cstheme="minorHAnsi"/>
                <w:b/>
                <w:sz w:val="20"/>
                <w:szCs w:val="20"/>
              </w:rPr>
            </w:pPr>
            <w:r w:rsidRPr="00B514A7">
              <w:rPr>
                <w:rFonts w:cstheme="minorHAnsi"/>
                <w:b/>
                <w:bCs/>
                <w:sz w:val="20"/>
                <w:szCs w:val="20"/>
                <w:lang w:eastAsia="en-GB"/>
              </w:rPr>
              <w:t>Gender</w:t>
            </w:r>
            <w:r>
              <w:rPr>
                <w:rFonts w:cstheme="minorHAnsi"/>
                <w:b/>
                <w:bCs/>
                <w:sz w:val="20"/>
                <w:szCs w:val="20"/>
                <w:lang w:eastAsia="en-GB"/>
              </w:rPr>
              <w:t xml:space="preserve"> % Female</w:t>
            </w:r>
          </w:p>
        </w:tc>
        <w:tc>
          <w:tcPr>
            <w:tcW w:w="1276" w:type="dxa"/>
            <w:shd w:val="clear" w:color="auto" w:fill="E7E6E6" w:themeFill="background2"/>
          </w:tcPr>
          <w:p w14:paraId="3CBC3B4B" w14:textId="77777777" w:rsidR="005C11BC" w:rsidRDefault="005C11BC" w:rsidP="00D36851">
            <w:pPr>
              <w:spacing w:line="240" w:lineRule="auto"/>
              <w:jc w:val="center"/>
              <w:rPr>
                <w:rFonts w:cstheme="minorHAnsi"/>
                <w:b/>
                <w:bCs/>
                <w:sz w:val="20"/>
                <w:szCs w:val="20"/>
                <w:lang w:eastAsia="en-GB"/>
              </w:rPr>
            </w:pPr>
          </w:p>
          <w:p w14:paraId="32B929FC" w14:textId="77777777" w:rsidR="005C11BC" w:rsidRDefault="005C11BC" w:rsidP="00D36851">
            <w:pPr>
              <w:spacing w:line="240" w:lineRule="auto"/>
              <w:jc w:val="center"/>
              <w:rPr>
                <w:rFonts w:cstheme="minorHAnsi"/>
                <w:b/>
                <w:bCs/>
                <w:sz w:val="20"/>
                <w:szCs w:val="20"/>
                <w:lang w:eastAsia="en-GB"/>
              </w:rPr>
            </w:pPr>
          </w:p>
          <w:p w14:paraId="49A295C1" w14:textId="1C3B8710" w:rsidR="005C11BC" w:rsidRPr="00B514A7" w:rsidRDefault="005C11BC" w:rsidP="00D36851">
            <w:pPr>
              <w:spacing w:line="240" w:lineRule="auto"/>
              <w:jc w:val="center"/>
              <w:rPr>
                <w:rFonts w:cstheme="minorHAnsi"/>
                <w:b/>
                <w:sz w:val="20"/>
                <w:szCs w:val="20"/>
              </w:rPr>
            </w:pPr>
            <w:r>
              <w:rPr>
                <w:rFonts w:cstheme="minorHAnsi"/>
                <w:b/>
                <w:bCs/>
                <w:sz w:val="20"/>
                <w:szCs w:val="20"/>
                <w:lang w:eastAsia="en-GB"/>
              </w:rPr>
              <w:t>Geographical Area of reporting</w:t>
            </w:r>
          </w:p>
        </w:tc>
        <w:tc>
          <w:tcPr>
            <w:tcW w:w="1276" w:type="dxa"/>
            <w:shd w:val="clear" w:color="auto" w:fill="E7E6E6" w:themeFill="background2"/>
          </w:tcPr>
          <w:p w14:paraId="1B1A1CAB" w14:textId="77777777" w:rsidR="005C11BC" w:rsidRDefault="005C11BC" w:rsidP="00D36851">
            <w:pPr>
              <w:spacing w:line="240" w:lineRule="auto"/>
              <w:rPr>
                <w:rFonts w:cstheme="minorHAnsi"/>
                <w:b/>
                <w:sz w:val="20"/>
                <w:szCs w:val="20"/>
              </w:rPr>
            </w:pPr>
          </w:p>
          <w:p w14:paraId="1D14A528" w14:textId="77777777" w:rsidR="005C11BC" w:rsidRDefault="005C11BC" w:rsidP="00D36851">
            <w:pPr>
              <w:spacing w:line="240" w:lineRule="auto"/>
              <w:rPr>
                <w:rFonts w:cstheme="minorHAnsi"/>
                <w:b/>
                <w:sz w:val="20"/>
                <w:szCs w:val="20"/>
              </w:rPr>
            </w:pPr>
          </w:p>
          <w:p w14:paraId="7D57F88F" w14:textId="53CA9074" w:rsidR="005C11BC" w:rsidRPr="00B514A7" w:rsidRDefault="005C11BC" w:rsidP="00D36851">
            <w:pPr>
              <w:spacing w:line="240" w:lineRule="auto"/>
              <w:rPr>
                <w:rFonts w:cstheme="minorHAnsi"/>
                <w:b/>
                <w:sz w:val="20"/>
                <w:szCs w:val="20"/>
              </w:rPr>
            </w:pPr>
            <w:r>
              <w:rPr>
                <w:rFonts w:cstheme="minorHAnsi"/>
                <w:b/>
                <w:sz w:val="20"/>
                <w:szCs w:val="20"/>
              </w:rPr>
              <w:t>Study design</w:t>
            </w:r>
          </w:p>
        </w:tc>
        <w:tc>
          <w:tcPr>
            <w:tcW w:w="1984" w:type="dxa"/>
            <w:shd w:val="clear" w:color="auto" w:fill="E7E6E6" w:themeFill="background2"/>
          </w:tcPr>
          <w:p w14:paraId="784E600C" w14:textId="77777777" w:rsidR="005C11BC" w:rsidRDefault="005C11BC" w:rsidP="00D36851">
            <w:pPr>
              <w:spacing w:line="240" w:lineRule="auto"/>
              <w:jc w:val="center"/>
              <w:rPr>
                <w:rFonts w:cstheme="minorHAnsi"/>
                <w:b/>
                <w:sz w:val="20"/>
                <w:szCs w:val="20"/>
              </w:rPr>
            </w:pPr>
          </w:p>
          <w:p w14:paraId="5A673F99" w14:textId="77777777" w:rsidR="005C11BC" w:rsidRDefault="005C11BC" w:rsidP="00D36851">
            <w:pPr>
              <w:spacing w:line="240" w:lineRule="auto"/>
              <w:jc w:val="center"/>
              <w:rPr>
                <w:rFonts w:cstheme="minorHAnsi"/>
                <w:b/>
                <w:sz w:val="20"/>
                <w:szCs w:val="20"/>
              </w:rPr>
            </w:pPr>
          </w:p>
          <w:p w14:paraId="32E771EC" w14:textId="6CFA53A1" w:rsidR="005C11BC" w:rsidRPr="00B514A7" w:rsidRDefault="005C11BC" w:rsidP="00D36851">
            <w:pPr>
              <w:spacing w:line="240" w:lineRule="auto"/>
              <w:jc w:val="center"/>
              <w:rPr>
                <w:rFonts w:cstheme="minorHAnsi"/>
                <w:b/>
                <w:sz w:val="20"/>
                <w:szCs w:val="20"/>
              </w:rPr>
            </w:pPr>
            <w:r>
              <w:rPr>
                <w:rFonts w:cstheme="minorHAnsi"/>
                <w:b/>
                <w:sz w:val="20"/>
                <w:szCs w:val="20"/>
              </w:rPr>
              <w:t>Problematic usage of the internet (assessment)</w:t>
            </w:r>
          </w:p>
        </w:tc>
        <w:tc>
          <w:tcPr>
            <w:tcW w:w="1134" w:type="dxa"/>
            <w:shd w:val="clear" w:color="auto" w:fill="E7E6E6" w:themeFill="background2"/>
          </w:tcPr>
          <w:p w14:paraId="7602AE4E" w14:textId="77777777" w:rsidR="005C11BC" w:rsidRDefault="005C11BC" w:rsidP="00D36851">
            <w:pPr>
              <w:spacing w:line="240" w:lineRule="auto"/>
              <w:jc w:val="center"/>
              <w:rPr>
                <w:rFonts w:cstheme="minorHAnsi"/>
                <w:b/>
                <w:sz w:val="20"/>
                <w:szCs w:val="20"/>
              </w:rPr>
            </w:pPr>
          </w:p>
          <w:p w14:paraId="7D36B786" w14:textId="77777777" w:rsidR="005C11BC" w:rsidRDefault="005C11BC" w:rsidP="00D36851">
            <w:pPr>
              <w:spacing w:line="240" w:lineRule="auto"/>
              <w:jc w:val="center"/>
              <w:rPr>
                <w:rFonts w:cstheme="minorHAnsi"/>
                <w:b/>
                <w:sz w:val="20"/>
                <w:szCs w:val="20"/>
              </w:rPr>
            </w:pPr>
          </w:p>
          <w:p w14:paraId="740A3AD4" w14:textId="45FFB104" w:rsidR="005C11BC" w:rsidRPr="00B514A7" w:rsidRDefault="005C11BC" w:rsidP="00D36851">
            <w:pPr>
              <w:spacing w:line="240" w:lineRule="auto"/>
              <w:jc w:val="center"/>
              <w:rPr>
                <w:rFonts w:cstheme="minorHAnsi"/>
                <w:b/>
                <w:sz w:val="20"/>
                <w:szCs w:val="20"/>
              </w:rPr>
            </w:pPr>
            <w:r>
              <w:rPr>
                <w:rFonts w:cstheme="minorHAnsi"/>
                <w:b/>
                <w:sz w:val="20"/>
                <w:szCs w:val="20"/>
              </w:rPr>
              <w:t>Principal PUI facet examined</w:t>
            </w:r>
          </w:p>
        </w:tc>
        <w:tc>
          <w:tcPr>
            <w:tcW w:w="1985" w:type="dxa"/>
            <w:shd w:val="clear" w:color="auto" w:fill="E7E6E6" w:themeFill="background2"/>
          </w:tcPr>
          <w:p w14:paraId="07278F66" w14:textId="77777777" w:rsidR="005C11BC" w:rsidRDefault="005C11BC" w:rsidP="00D36851">
            <w:pPr>
              <w:spacing w:line="240" w:lineRule="auto"/>
              <w:rPr>
                <w:rFonts w:cstheme="minorHAnsi"/>
                <w:b/>
                <w:sz w:val="20"/>
                <w:szCs w:val="20"/>
              </w:rPr>
            </w:pPr>
          </w:p>
          <w:p w14:paraId="210AF26C" w14:textId="77777777" w:rsidR="005C11BC" w:rsidRDefault="005C11BC" w:rsidP="00D36851">
            <w:pPr>
              <w:spacing w:line="240" w:lineRule="auto"/>
              <w:rPr>
                <w:rFonts w:cstheme="minorHAnsi"/>
                <w:b/>
                <w:sz w:val="20"/>
                <w:szCs w:val="20"/>
              </w:rPr>
            </w:pPr>
          </w:p>
          <w:p w14:paraId="778E14DA" w14:textId="16E4F97B" w:rsidR="005C11BC" w:rsidRDefault="005C11BC" w:rsidP="00D36851">
            <w:pPr>
              <w:spacing w:line="240" w:lineRule="auto"/>
              <w:jc w:val="center"/>
              <w:rPr>
                <w:rFonts w:cstheme="minorHAnsi"/>
                <w:b/>
                <w:sz w:val="20"/>
                <w:szCs w:val="20"/>
              </w:rPr>
            </w:pPr>
            <w:r>
              <w:rPr>
                <w:rFonts w:cstheme="minorHAnsi"/>
                <w:b/>
                <w:sz w:val="20"/>
                <w:szCs w:val="20"/>
              </w:rPr>
              <w:t>In scope eating disorder measure examined</w:t>
            </w:r>
          </w:p>
        </w:tc>
        <w:tc>
          <w:tcPr>
            <w:tcW w:w="709" w:type="dxa"/>
            <w:shd w:val="clear" w:color="auto" w:fill="E7E6E6" w:themeFill="background2"/>
            <w:textDirection w:val="btLr"/>
          </w:tcPr>
          <w:p w14:paraId="650B4A36" w14:textId="07EF647F" w:rsidR="005C11BC" w:rsidRDefault="00EE6214" w:rsidP="002C23C2">
            <w:pPr>
              <w:spacing w:line="240" w:lineRule="auto"/>
              <w:ind w:left="113" w:right="113"/>
              <w:jc w:val="center"/>
              <w:rPr>
                <w:rFonts w:cstheme="minorHAnsi"/>
                <w:b/>
                <w:sz w:val="20"/>
                <w:szCs w:val="20"/>
              </w:rPr>
            </w:pPr>
            <w:r>
              <w:rPr>
                <w:rFonts w:cstheme="minorHAnsi"/>
                <w:b/>
                <w:sz w:val="20"/>
                <w:szCs w:val="20"/>
              </w:rPr>
              <w:t>Quality ad-hoc</w:t>
            </w:r>
            <w:r w:rsidR="002C23C2">
              <w:rPr>
                <w:rFonts w:cstheme="minorHAnsi"/>
                <w:b/>
                <w:sz w:val="20"/>
                <w:szCs w:val="20"/>
              </w:rPr>
              <w:t xml:space="preserve"> instrument</w:t>
            </w:r>
          </w:p>
        </w:tc>
        <w:tc>
          <w:tcPr>
            <w:tcW w:w="708" w:type="dxa"/>
            <w:shd w:val="clear" w:color="auto" w:fill="E7E6E6" w:themeFill="background2"/>
            <w:textDirection w:val="btLr"/>
          </w:tcPr>
          <w:p w14:paraId="694BC97C" w14:textId="75779CA9" w:rsidR="005C11BC" w:rsidRDefault="00EE6214" w:rsidP="00EE6214">
            <w:pPr>
              <w:spacing w:line="240" w:lineRule="auto"/>
              <w:ind w:left="113" w:right="113"/>
              <w:jc w:val="center"/>
              <w:rPr>
                <w:rFonts w:cstheme="minorHAnsi"/>
                <w:b/>
                <w:sz w:val="20"/>
                <w:szCs w:val="20"/>
              </w:rPr>
            </w:pPr>
            <w:r>
              <w:rPr>
                <w:rFonts w:cstheme="minorHAnsi"/>
                <w:b/>
                <w:sz w:val="20"/>
                <w:szCs w:val="20"/>
              </w:rPr>
              <w:t>EPHPP</w:t>
            </w:r>
          </w:p>
        </w:tc>
      </w:tr>
      <w:tr w:rsidR="005C11BC" w:rsidRPr="00A036B2" w14:paraId="0B4EFA20" w14:textId="1B7D977B" w:rsidTr="00020D5E">
        <w:trPr>
          <w:trHeight w:val="300"/>
        </w:trPr>
        <w:tc>
          <w:tcPr>
            <w:tcW w:w="440" w:type="dxa"/>
            <w:shd w:val="clear" w:color="auto" w:fill="F2F2F2" w:themeFill="background1" w:themeFillShade="F2"/>
            <w:noWrap/>
            <w:hideMark/>
          </w:tcPr>
          <w:p w14:paraId="5C5BB01C"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w:t>
            </w:r>
          </w:p>
        </w:tc>
        <w:tc>
          <w:tcPr>
            <w:tcW w:w="1256" w:type="dxa"/>
            <w:shd w:val="clear" w:color="auto" w:fill="F2F2F2" w:themeFill="background1" w:themeFillShade="F2"/>
            <w:noWrap/>
            <w:vAlign w:val="center"/>
          </w:tcPr>
          <w:p w14:paraId="448011BD" w14:textId="48638CF5"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Ahadzadeh</w:t>
            </w:r>
            <w:proofErr w:type="spellEnd"/>
          </w:p>
        </w:tc>
        <w:tc>
          <w:tcPr>
            <w:tcW w:w="709" w:type="dxa"/>
            <w:vAlign w:val="center"/>
          </w:tcPr>
          <w:p w14:paraId="3F6EAAE7" w14:textId="2E235D1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03EC6118" w14:textId="1DB7C74D"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Comput</w:t>
            </w:r>
            <w:proofErr w:type="spellEnd"/>
            <w:r w:rsidRPr="00020D5E">
              <w:rPr>
                <w:rFonts w:asciiTheme="majorHAnsi" w:hAnsiTheme="majorHAnsi" w:cstheme="majorHAnsi"/>
                <w:i/>
                <w:iCs/>
                <w:color w:val="000000"/>
                <w:sz w:val="18"/>
                <w:szCs w:val="18"/>
              </w:rPr>
              <w:t xml:space="preserve"> human </w:t>
            </w:r>
            <w:proofErr w:type="spellStart"/>
            <w:r w:rsidRPr="00020D5E">
              <w:rPr>
                <w:rFonts w:asciiTheme="majorHAnsi" w:hAnsiTheme="majorHAnsi" w:cstheme="majorHAnsi"/>
                <w:i/>
                <w:iCs/>
                <w:color w:val="000000"/>
                <w:sz w:val="18"/>
                <w:szCs w:val="18"/>
              </w:rPr>
              <w:t>Behav</w:t>
            </w:r>
            <w:proofErr w:type="spellEnd"/>
          </w:p>
        </w:tc>
        <w:tc>
          <w:tcPr>
            <w:tcW w:w="708" w:type="dxa"/>
            <w:noWrap/>
            <w:vAlign w:val="center"/>
          </w:tcPr>
          <w:p w14:paraId="00356B43" w14:textId="4E4D6C99"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273</w:t>
            </w:r>
          </w:p>
        </w:tc>
        <w:tc>
          <w:tcPr>
            <w:tcW w:w="851" w:type="dxa"/>
            <w:noWrap/>
            <w:vAlign w:val="center"/>
          </w:tcPr>
          <w:p w14:paraId="1C609686" w14:textId="0B4BFA22"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w:t>
            </w:r>
          </w:p>
        </w:tc>
        <w:tc>
          <w:tcPr>
            <w:tcW w:w="850" w:type="dxa"/>
            <w:noWrap/>
            <w:vAlign w:val="center"/>
          </w:tcPr>
          <w:p w14:paraId="407B5A76" w14:textId="2860EA42"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62.3</w:t>
            </w:r>
            <w:r w:rsidR="009418E4">
              <w:rPr>
                <w:rFonts w:asciiTheme="majorHAnsi" w:hAnsiTheme="majorHAnsi" w:cstheme="majorHAnsi"/>
                <w:color w:val="000000"/>
                <w:sz w:val="18"/>
                <w:szCs w:val="18"/>
              </w:rPr>
              <w:t>%</w:t>
            </w:r>
          </w:p>
        </w:tc>
        <w:tc>
          <w:tcPr>
            <w:tcW w:w="1276" w:type="dxa"/>
            <w:noWrap/>
            <w:vAlign w:val="center"/>
          </w:tcPr>
          <w:p w14:paraId="574A498A" w14:textId="1282AE3B"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Malaysia</w:t>
            </w:r>
          </w:p>
        </w:tc>
        <w:tc>
          <w:tcPr>
            <w:tcW w:w="1276" w:type="dxa"/>
            <w:noWrap/>
            <w:vAlign w:val="center"/>
          </w:tcPr>
          <w:p w14:paraId="57F429D1" w14:textId="47446608"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4CF52C57" w14:textId="0B488478"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Duration spent on Instagram</w:t>
            </w:r>
          </w:p>
        </w:tc>
        <w:tc>
          <w:tcPr>
            <w:tcW w:w="1134" w:type="dxa"/>
            <w:noWrap/>
            <w:vAlign w:val="center"/>
          </w:tcPr>
          <w:p w14:paraId="74B2D148" w14:textId="15F1E2C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SNS</w:t>
            </w:r>
          </w:p>
        </w:tc>
        <w:tc>
          <w:tcPr>
            <w:tcW w:w="1985" w:type="dxa"/>
            <w:vAlign w:val="center"/>
          </w:tcPr>
          <w:p w14:paraId="700B1D86" w14:textId="79197141" w:rsidR="005C11BC" w:rsidRPr="00020D5E" w:rsidRDefault="005C11BC"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Body Areas Satisfaction Scale (BASS; Cash 2002)</w:t>
            </w:r>
          </w:p>
        </w:tc>
        <w:tc>
          <w:tcPr>
            <w:tcW w:w="709" w:type="dxa"/>
            <w:vAlign w:val="center"/>
          </w:tcPr>
          <w:p w14:paraId="713B0770" w14:textId="4954DEB0"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5</w:t>
            </w:r>
          </w:p>
        </w:tc>
        <w:tc>
          <w:tcPr>
            <w:tcW w:w="708" w:type="dxa"/>
            <w:vAlign w:val="center"/>
          </w:tcPr>
          <w:p w14:paraId="3C28FFB5" w14:textId="55C78CF9" w:rsidR="005C11BC" w:rsidRPr="00020D5E" w:rsidRDefault="005B43DA"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5C11BC" w:rsidRPr="00A036B2" w14:paraId="7E6A4E4E" w14:textId="0BE69B2C" w:rsidTr="00020D5E">
        <w:trPr>
          <w:trHeight w:val="300"/>
        </w:trPr>
        <w:tc>
          <w:tcPr>
            <w:tcW w:w="440" w:type="dxa"/>
            <w:shd w:val="clear" w:color="auto" w:fill="F2F2F2" w:themeFill="background1" w:themeFillShade="F2"/>
            <w:noWrap/>
            <w:hideMark/>
          </w:tcPr>
          <w:p w14:paraId="6FDE525F"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w:t>
            </w:r>
          </w:p>
        </w:tc>
        <w:tc>
          <w:tcPr>
            <w:tcW w:w="1256" w:type="dxa"/>
            <w:shd w:val="clear" w:color="auto" w:fill="F2F2F2" w:themeFill="background1" w:themeFillShade="F2"/>
            <w:noWrap/>
            <w:vAlign w:val="center"/>
          </w:tcPr>
          <w:p w14:paraId="3F0B01EB" w14:textId="2E659D6E"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Almenara</w:t>
            </w:r>
            <w:proofErr w:type="spellEnd"/>
          </w:p>
        </w:tc>
        <w:tc>
          <w:tcPr>
            <w:tcW w:w="709" w:type="dxa"/>
            <w:vAlign w:val="center"/>
          </w:tcPr>
          <w:p w14:paraId="5D66856F" w14:textId="0B55513E"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2019</w:t>
            </w:r>
          </w:p>
        </w:tc>
        <w:tc>
          <w:tcPr>
            <w:tcW w:w="1418" w:type="dxa"/>
            <w:vAlign w:val="center"/>
          </w:tcPr>
          <w:p w14:paraId="51664161" w14:textId="631A678D"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J Med Internet Res</w:t>
            </w:r>
          </w:p>
        </w:tc>
        <w:tc>
          <w:tcPr>
            <w:tcW w:w="708" w:type="dxa"/>
            <w:noWrap/>
            <w:vAlign w:val="center"/>
          </w:tcPr>
          <w:p w14:paraId="24557482" w14:textId="3A62D3A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623</w:t>
            </w:r>
          </w:p>
        </w:tc>
        <w:tc>
          <w:tcPr>
            <w:tcW w:w="851" w:type="dxa"/>
            <w:noWrap/>
            <w:vAlign w:val="center"/>
          </w:tcPr>
          <w:p w14:paraId="7D63546C" w14:textId="7C5E1BFB"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24.1</w:t>
            </w:r>
          </w:p>
        </w:tc>
        <w:tc>
          <w:tcPr>
            <w:tcW w:w="850" w:type="dxa"/>
            <w:noWrap/>
            <w:vAlign w:val="center"/>
          </w:tcPr>
          <w:p w14:paraId="66AAB216" w14:textId="6BD0694E"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83.6%</w:t>
            </w:r>
          </w:p>
        </w:tc>
        <w:tc>
          <w:tcPr>
            <w:tcW w:w="1276" w:type="dxa"/>
            <w:noWrap/>
            <w:vAlign w:val="center"/>
          </w:tcPr>
          <w:p w14:paraId="3D7EE3C3" w14:textId="45625AEB"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Czech Republic</w:t>
            </w:r>
          </w:p>
        </w:tc>
        <w:tc>
          <w:tcPr>
            <w:tcW w:w="1276" w:type="dxa"/>
            <w:noWrap/>
            <w:vAlign w:val="center"/>
          </w:tcPr>
          <w:p w14:paraId="47F48DA6" w14:textId="260B295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0BEB0308" w14:textId="4679E8C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Consumption of Nutrition, Weight Loss, and Fitness Websites</w:t>
            </w:r>
          </w:p>
        </w:tc>
        <w:tc>
          <w:tcPr>
            <w:tcW w:w="1134" w:type="dxa"/>
            <w:noWrap/>
            <w:vAlign w:val="center"/>
          </w:tcPr>
          <w:p w14:paraId="51E008B2" w14:textId="7791D339"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Pro-ED</w:t>
            </w:r>
          </w:p>
        </w:tc>
        <w:tc>
          <w:tcPr>
            <w:tcW w:w="1985" w:type="dxa"/>
            <w:vAlign w:val="center"/>
          </w:tcPr>
          <w:p w14:paraId="2B9083FE" w14:textId="601AC86B"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SCOFF</w:t>
            </w:r>
          </w:p>
        </w:tc>
        <w:tc>
          <w:tcPr>
            <w:tcW w:w="709" w:type="dxa"/>
            <w:vAlign w:val="center"/>
          </w:tcPr>
          <w:p w14:paraId="12FAFD2F" w14:textId="57EFF2BB"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28DBA759" w14:textId="2ACF4DF9"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5C11BC" w:rsidRPr="00A036B2" w14:paraId="028B5F85" w14:textId="0DAFDC4C" w:rsidTr="00020D5E">
        <w:trPr>
          <w:trHeight w:val="300"/>
        </w:trPr>
        <w:tc>
          <w:tcPr>
            <w:tcW w:w="440" w:type="dxa"/>
            <w:shd w:val="clear" w:color="auto" w:fill="F2F2F2" w:themeFill="background1" w:themeFillShade="F2"/>
            <w:noWrap/>
            <w:hideMark/>
          </w:tcPr>
          <w:p w14:paraId="4F4B0D22"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w:t>
            </w:r>
          </w:p>
        </w:tc>
        <w:tc>
          <w:tcPr>
            <w:tcW w:w="1256" w:type="dxa"/>
            <w:shd w:val="clear" w:color="auto" w:fill="F2F2F2" w:themeFill="background1" w:themeFillShade="F2"/>
            <w:noWrap/>
            <w:vAlign w:val="center"/>
          </w:tcPr>
          <w:p w14:paraId="0D43A281" w14:textId="070376A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Alpaslan</w:t>
            </w:r>
          </w:p>
        </w:tc>
        <w:tc>
          <w:tcPr>
            <w:tcW w:w="709" w:type="dxa"/>
            <w:vAlign w:val="center"/>
          </w:tcPr>
          <w:p w14:paraId="16FD2921" w14:textId="2AEA88E8"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w:t>
            </w:r>
          </w:p>
        </w:tc>
        <w:tc>
          <w:tcPr>
            <w:tcW w:w="1418" w:type="dxa"/>
            <w:vAlign w:val="center"/>
          </w:tcPr>
          <w:p w14:paraId="6D5395E8" w14:textId="0292E947"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Eating and Weight disorders</w:t>
            </w:r>
          </w:p>
        </w:tc>
        <w:tc>
          <w:tcPr>
            <w:tcW w:w="708" w:type="dxa"/>
            <w:noWrap/>
            <w:vAlign w:val="center"/>
          </w:tcPr>
          <w:p w14:paraId="76BDD779" w14:textId="6946BE0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584</w:t>
            </w:r>
          </w:p>
        </w:tc>
        <w:tc>
          <w:tcPr>
            <w:tcW w:w="851" w:type="dxa"/>
            <w:noWrap/>
            <w:vAlign w:val="center"/>
          </w:tcPr>
          <w:p w14:paraId="6C002807" w14:textId="59F56936"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16.2</w:t>
            </w:r>
          </w:p>
        </w:tc>
        <w:tc>
          <w:tcPr>
            <w:tcW w:w="850" w:type="dxa"/>
            <w:noWrap/>
            <w:vAlign w:val="center"/>
          </w:tcPr>
          <w:p w14:paraId="5D0C841C" w14:textId="2907BB9F"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65.2</w:t>
            </w:r>
            <w:r w:rsidR="009418E4">
              <w:rPr>
                <w:rFonts w:asciiTheme="majorHAnsi" w:hAnsiTheme="majorHAnsi" w:cstheme="majorHAnsi"/>
                <w:color w:val="000000"/>
                <w:sz w:val="18"/>
                <w:szCs w:val="18"/>
              </w:rPr>
              <w:t>%</w:t>
            </w:r>
          </w:p>
        </w:tc>
        <w:tc>
          <w:tcPr>
            <w:tcW w:w="1276" w:type="dxa"/>
            <w:noWrap/>
            <w:vAlign w:val="center"/>
          </w:tcPr>
          <w:p w14:paraId="443511D8" w14:textId="37019DA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Turkey</w:t>
            </w:r>
          </w:p>
        </w:tc>
        <w:tc>
          <w:tcPr>
            <w:tcW w:w="1276" w:type="dxa"/>
            <w:noWrap/>
            <w:vAlign w:val="center"/>
          </w:tcPr>
          <w:p w14:paraId="42FA65FB" w14:textId="153E69D8"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1B273836" w14:textId="4DE3840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IAT-20</w:t>
            </w:r>
          </w:p>
        </w:tc>
        <w:tc>
          <w:tcPr>
            <w:tcW w:w="1134" w:type="dxa"/>
            <w:noWrap/>
            <w:vAlign w:val="center"/>
          </w:tcPr>
          <w:p w14:paraId="4AA423EB" w14:textId="6408C24E"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28724126" w14:textId="7E8789CF"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EAT-26</w:t>
            </w:r>
          </w:p>
        </w:tc>
        <w:tc>
          <w:tcPr>
            <w:tcW w:w="709" w:type="dxa"/>
            <w:vAlign w:val="center"/>
          </w:tcPr>
          <w:p w14:paraId="58E26C4C" w14:textId="2B3FE63F"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2EA316B8" w14:textId="6DEF0C84"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M</w:t>
            </w:r>
          </w:p>
        </w:tc>
      </w:tr>
      <w:tr w:rsidR="005C11BC" w:rsidRPr="00A036B2" w14:paraId="34758FCE" w14:textId="41AB52C8" w:rsidTr="00020D5E">
        <w:trPr>
          <w:trHeight w:val="300"/>
        </w:trPr>
        <w:tc>
          <w:tcPr>
            <w:tcW w:w="440" w:type="dxa"/>
            <w:shd w:val="clear" w:color="auto" w:fill="F2F2F2" w:themeFill="background1" w:themeFillShade="F2"/>
            <w:noWrap/>
            <w:hideMark/>
          </w:tcPr>
          <w:p w14:paraId="37DC1D4D"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4</w:t>
            </w:r>
          </w:p>
        </w:tc>
        <w:tc>
          <w:tcPr>
            <w:tcW w:w="1256" w:type="dxa"/>
            <w:shd w:val="clear" w:color="auto" w:fill="F2F2F2" w:themeFill="background1" w:themeFillShade="F2"/>
            <w:noWrap/>
            <w:vAlign w:val="center"/>
          </w:tcPr>
          <w:p w14:paraId="125CDE5B" w14:textId="166F3885"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Aparicio-Martinez</w:t>
            </w:r>
          </w:p>
        </w:tc>
        <w:tc>
          <w:tcPr>
            <w:tcW w:w="709" w:type="dxa"/>
            <w:vAlign w:val="center"/>
          </w:tcPr>
          <w:p w14:paraId="1C18117F" w14:textId="3B04FE5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2019</w:t>
            </w:r>
          </w:p>
        </w:tc>
        <w:tc>
          <w:tcPr>
            <w:tcW w:w="1418" w:type="dxa"/>
            <w:vAlign w:val="center"/>
          </w:tcPr>
          <w:p w14:paraId="46895685" w14:textId="499D0B25"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Int J Environ Res Public </w:t>
            </w:r>
            <w:proofErr w:type="spellStart"/>
            <w:r w:rsidRPr="00020D5E">
              <w:rPr>
                <w:rFonts w:asciiTheme="majorHAnsi" w:hAnsiTheme="majorHAnsi" w:cstheme="majorHAnsi"/>
                <w:i/>
                <w:iCs/>
                <w:color w:val="000000"/>
                <w:sz w:val="18"/>
                <w:szCs w:val="18"/>
              </w:rPr>
              <w:t>Healt</w:t>
            </w:r>
            <w:proofErr w:type="spellEnd"/>
          </w:p>
        </w:tc>
        <w:tc>
          <w:tcPr>
            <w:tcW w:w="708" w:type="dxa"/>
            <w:noWrap/>
            <w:vAlign w:val="center"/>
          </w:tcPr>
          <w:p w14:paraId="0FCB0933" w14:textId="540A5B52"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168</w:t>
            </w:r>
          </w:p>
        </w:tc>
        <w:tc>
          <w:tcPr>
            <w:tcW w:w="851" w:type="dxa"/>
            <w:noWrap/>
            <w:vAlign w:val="center"/>
          </w:tcPr>
          <w:p w14:paraId="7B2CAF95" w14:textId="2C5E4D7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w:t>
            </w:r>
          </w:p>
        </w:tc>
        <w:tc>
          <w:tcPr>
            <w:tcW w:w="850" w:type="dxa"/>
            <w:noWrap/>
            <w:vAlign w:val="center"/>
          </w:tcPr>
          <w:p w14:paraId="7C58E0F5" w14:textId="38CE2DD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78BB24B1" w14:textId="58C23F2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Spain</w:t>
            </w:r>
          </w:p>
        </w:tc>
        <w:tc>
          <w:tcPr>
            <w:tcW w:w="1276" w:type="dxa"/>
            <w:noWrap/>
            <w:vAlign w:val="center"/>
          </w:tcPr>
          <w:p w14:paraId="3E7B86B9" w14:textId="43D810DF"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23EC3AC1" w14:textId="2C4D4F7F"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Social</w:t>
            </w:r>
            <w:r w:rsidRPr="00020D5E">
              <w:rPr>
                <w:rFonts w:asciiTheme="majorHAnsi" w:hAnsiTheme="majorHAnsi" w:cstheme="majorHAnsi"/>
                <w:color w:val="000000"/>
                <w:sz w:val="18"/>
                <w:szCs w:val="18"/>
              </w:rPr>
              <w:br/>
              <w:t>Networks Addiction Questionnaire (SNSA)</w:t>
            </w:r>
          </w:p>
        </w:tc>
        <w:tc>
          <w:tcPr>
            <w:tcW w:w="1134" w:type="dxa"/>
            <w:noWrap/>
            <w:vAlign w:val="center"/>
          </w:tcPr>
          <w:p w14:paraId="3896C5E5" w14:textId="2745634E"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471D0E54" w14:textId="40798B02" w:rsidR="005C11BC" w:rsidRPr="00020D5E" w:rsidRDefault="005C11BC" w:rsidP="009418E4">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 xml:space="preserve">EAT-26; </w:t>
            </w:r>
            <w:r w:rsidR="009418E4" w:rsidRPr="00020D5E">
              <w:rPr>
                <w:rFonts w:asciiTheme="majorHAnsi" w:hAnsiTheme="majorHAnsi" w:cstheme="majorHAnsi"/>
                <w:color w:val="000000"/>
                <w:sz w:val="18"/>
                <w:szCs w:val="18"/>
              </w:rPr>
              <w:t xml:space="preserve">Body Shape Questionnaire (BSQ); </w:t>
            </w:r>
            <w:r w:rsidRPr="00020D5E">
              <w:rPr>
                <w:rFonts w:asciiTheme="majorHAnsi" w:hAnsiTheme="majorHAnsi" w:cstheme="majorHAnsi"/>
                <w:color w:val="000000"/>
                <w:sz w:val="18"/>
                <w:szCs w:val="18"/>
              </w:rPr>
              <w:t xml:space="preserve"> Appearance Evaluation (AE)</w:t>
            </w:r>
          </w:p>
        </w:tc>
        <w:tc>
          <w:tcPr>
            <w:tcW w:w="709" w:type="dxa"/>
            <w:vAlign w:val="center"/>
          </w:tcPr>
          <w:p w14:paraId="14A51522" w14:textId="4D70D175"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64939680" w14:textId="06C0139A"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5C11BC" w:rsidRPr="00A036B2" w14:paraId="546FD869" w14:textId="0D019028" w:rsidTr="00020D5E">
        <w:trPr>
          <w:trHeight w:val="300"/>
        </w:trPr>
        <w:tc>
          <w:tcPr>
            <w:tcW w:w="440" w:type="dxa"/>
            <w:shd w:val="clear" w:color="auto" w:fill="F2F2F2" w:themeFill="background1" w:themeFillShade="F2"/>
            <w:noWrap/>
            <w:hideMark/>
          </w:tcPr>
          <w:p w14:paraId="1D1A9280"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5</w:t>
            </w:r>
          </w:p>
        </w:tc>
        <w:tc>
          <w:tcPr>
            <w:tcW w:w="1256" w:type="dxa"/>
            <w:shd w:val="clear" w:color="auto" w:fill="F2F2F2" w:themeFill="background1" w:themeFillShade="F2"/>
            <w:noWrap/>
            <w:vAlign w:val="center"/>
          </w:tcPr>
          <w:p w14:paraId="1F7308FA" w14:textId="28C15A3E"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Bair</w:t>
            </w:r>
          </w:p>
        </w:tc>
        <w:tc>
          <w:tcPr>
            <w:tcW w:w="709" w:type="dxa"/>
            <w:vAlign w:val="center"/>
          </w:tcPr>
          <w:p w14:paraId="31019CA0" w14:textId="1CAFC129"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2012</w:t>
            </w:r>
          </w:p>
        </w:tc>
        <w:tc>
          <w:tcPr>
            <w:tcW w:w="1418" w:type="dxa"/>
            <w:vAlign w:val="center"/>
          </w:tcPr>
          <w:p w14:paraId="42E72ABF" w14:textId="1D92040F"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Eat </w:t>
            </w:r>
            <w:proofErr w:type="spellStart"/>
            <w:r w:rsidRPr="00020D5E">
              <w:rPr>
                <w:rFonts w:asciiTheme="majorHAnsi" w:hAnsiTheme="majorHAnsi" w:cstheme="majorHAnsi"/>
                <w:i/>
                <w:iCs/>
                <w:color w:val="000000"/>
                <w:sz w:val="18"/>
                <w:szCs w:val="18"/>
              </w:rPr>
              <w:t>Behav</w:t>
            </w:r>
            <w:proofErr w:type="spellEnd"/>
          </w:p>
        </w:tc>
        <w:tc>
          <w:tcPr>
            <w:tcW w:w="708" w:type="dxa"/>
            <w:noWrap/>
            <w:vAlign w:val="center"/>
          </w:tcPr>
          <w:p w14:paraId="1B2C1572" w14:textId="2EFD2956"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421</w:t>
            </w:r>
          </w:p>
        </w:tc>
        <w:tc>
          <w:tcPr>
            <w:tcW w:w="851" w:type="dxa"/>
            <w:noWrap/>
            <w:vAlign w:val="center"/>
          </w:tcPr>
          <w:p w14:paraId="053F79DA" w14:textId="4127993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19.2</w:t>
            </w:r>
          </w:p>
        </w:tc>
        <w:tc>
          <w:tcPr>
            <w:tcW w:w="850" w:type="dxa"/>
            <w:noWrap/>
            <w:vAlign w:val="center"/>
          </w:tcPr>
          <w:p w14:paraId="6F3265F3" w14:textId="272EA09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7B7E1F99" w14:textId="42D2814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308F2865" w14:textId="530C0A96"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7F0D6F3F" w14:textId="4974A168"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Image focused Internet usage (time)</w:t>
            </w:r>
          </w:p>
        </w:tc>
        <w:tc>
          <w:tcPr>
            <w:tcW w:w="1134" w:type="dxa"/>
            <w:noWrap/>
            <w:vAlign w:val="center"/>
          </w:tcPr>
          <w:p w14:paraId="4171CBCF" w14:textId="0E373B4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73B9B2C4" w14:textId="2025DD3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EDI, three subscales- EDI-BD, EDI-BN, EDI-DFT</w:t>
            </w:r>
          </w:p>
        </w:tc>
        <w:tc>
          <w:tcPr>
            <w:tcW w:w="709" w:type="dxa"/>
            <w:vAlign w:val="center"/>
          </w:tcPr>
          <w:p w14:paraId="5573C33B" w14:textId="7C2055C9"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6</w:t>
            </w:r>
          </w:p>
        </w:tc>
        <w:tc>
          <w:tcPr>
            <w:tcW w:w="708" w:type="dxa"/>
            <w:vAlign w:val="center"/>
          </w:tcPr>
          <w:p w14:paraId="10041857" w14:textId="11BCA0F0"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5C11BC" w:rsidRPr="00A036B2" w14:paraId="4E7E7702" w14:textId="082671DD" w:rsidTr="00020D5E">
        <w:trPr>
          <w:trHeight w:val="300"/>
        </w:trPr>
        <w:tc>
          <w:tcPr>
            <w:tcW w:w="440" w:type="dxa"/>
            <w:shd w:val="clear" w:color="auto" w:fill="F2F2F2" w:themeFill="background1" w:themeFillShade="F2"/>
            <w:noWrap/>
            <w:hideMark/>
          </w:tcPr>
          <w:p w14:paraId="61CE20B7"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6</w:t>
            </w:r>
          </w:p>
        </w:tc>
        <w:tc>
          <w:tcPr>
            <w:tcW w:w="1256" w:type="dxa"/>
            <w:shd w:val="clear" w:color="auto" w:fill="F2F2F2" w:themeFill="background1" w:themeFillShade="F2"/>
            <w:noWrap/>
            <w:vAlign w:val="center"/>
          </w:tcPr>
          <w:p w14:paraId="3BC9EDE3" w14:textId="3E5ACFB9"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Bennett</w:t>
            </w:r>
          </w:p>
        </w:tc>
        <w:tc>
          <w:tcPr>
            <w:tcW w:w="709" w:type="dxa"/>
            <w:vAlign w:val="center"/>
          </w:tcPr>
          <w:p w14:paraId="7D6DD73C" w14:textId="2A5F6A09"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2019</w:t>
            </w:r>
          </w:p>
        </w:tc>
        <w:tc>
          <w:tcPr>
            <w:tcW w:w="1418" w:type="dxa"/>
            <w:vAlign w:val="center"/>
          </w:tcPr>
          <w:p w14:paraId="2AF736B7" w14:textId="0FFEF297"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J Am Coll Health.</w:t>
            </w:r>
          </w:p>
        </w:tc>
        <w:tc>
          <w:tcPr>
            <w:tcW w:w="708" w:type="dxa"/>
            <w:noWrap/>
            <w:vAlign w:val="center"/>
          </w:tcPr>
          <w:p w14:paraId="4CB7FC66" w14:textId="20B5D616"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30</w:t>
            </w:r>
          </w:p>
        </w:tc>
        <w:tc>
          <w:tcPr>
            <w:tcW w:w="851" w:type="dxa"/>
            <w:noWrap/>
            <w:vAlign w:val="center"/>
          </w:tcPr>
          <w:p w14:paraId="495AB437" w14:textId="7AE2CF4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18.5</w:t>
            </w:r>
          </w:p>
        </w:tc>
        <w:tc>
          <w:tcPr>
            <w:tcW w:w="850" w:type="dxa"/>
            <w:noWrap/>
            <w:vAlign w:val="center"/>
          </w:tcPr>
          <w:p w14:paraId="37C06FAF" w14:textId="6A37977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6C894DE9" w14:textId="71BB5A11"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6A7ECC78" w14:textId="365EDA11"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Experimental/ Cross sectional</w:t>
            </w:r>
          </w:p>
        </w:tc>
        <w:tc>
          <w:tcPr>
            <w:tcW w:w="1984" w:type="dxa"/>
            <w:noWrap/>
            <w:vAlign w:val="center"/>
          </w:tcPr>
          <w:p w14:paraId="1D76F5EE" w14:textId="7C6CE0E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Social media consumption</w:t>
            </w:r>
          </w:p>
        </w:tc>
        <w:tc>
          <w:tcPr>
            <w:tcW w:w="1134" w:type="dxa"/>
            <w:noWrap/>
            <w:vAlign w:val="center"/>
          </w:tcPr>
          <w:p w14:paraId="77C5793C" w14:textId="4D8F7241"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02D81A50" w14:textId="67A51E76"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Shape Questionnaire (BSQ); Body Image States Scale (BISS)</w:t>
            </w:r>
          </w:p>
        </w:tc>
        <w:tc>
          <w:tcPr>
            <w:tcW w:w="709" w:type="dxa"/>
            <w:vAlign w:val="center"/>
          </w:tcPr>
          <w:p w14:paraId="39514203" w14:textId="7F87E984"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45EADDDD" w14:textId="2A73F7D8"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5C11BC" w:rsidRPr="00A036B2" w14:paraId="448B5994" w14:textId="5E4E3210" w:rsidTr="00020D5E">
        <w:trPr>
          <w:trHeight w:val="300"/>
        </w:trPr>
        <w:tc>
          <w:tcPr>
            <w:tcW w:w="440" w:type="dxa"/>
            <w:shd w:val="clear" w:color="auto" w:fill="F2F2F2" w:themeFill="background1" w:themeFillShade="F2"/>
            <w:noWrap/>
            <w:hideMark/>
          </w:tcPr>
          <w:p w14:paraId="64A86D67"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7</w:t>
            </w:r>
          </w:p>
        </w:tc>
        <w:tc>
          <w:tcPr>
            <w:tcW w:w="1256" w:type="dxa"/>
            <w:shd w:val="clear" w:color="auto" w:fill="F2F2F2" w:themeFill="background1" w:themeFillShade="F2"/>
            <w:noWrap/>
            <w:vAlign w:val="center"/>
          </w:tcPr>
          <w:p w14:paraId="2C79F4EA" w14:textId="54BBBE9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Brown</w:t>
            </w:r>
          </w:p>
        </w:tc>
        <w:tc>
          <w:tcPr>
            <w:tcW w:w="709" w:type="dxa"/>
            <w:vAlign w:val="center"/>
          </w:tcPr>
          <w:p w14:paraId="31D68566" w14:textId="418B1B9E"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2016</w:t>
            </w:r>
          </w:p>
        </w:tc>
        <w:tc>
          <w:tcPr>
            <w:tcW w:w="1418" w:type="dxa"/>
            <w:vAlign w:val="center"/>
          </w:tcPr>
          <w:p w14:paraId="796CAE1C" w14:textId="42AD3304"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Body Image</w:t>
            </w:r>
          </w:p>
        </w:tc>
        <w:tc>
          <w:tcPr>
            <w:tcW w:w="708" w:type="dxa"/>
            <w:noWrap/>
            <w:vAlign w:val="center"/>
          </w:tcPr>
          <w:p w14:paraId="5DB58F72" w14:textId="3B7B3F3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138</w:t>
            </w:r>
          </w:p>
        </w:tc>
        <w:tc>
          <w:tcPr>
            <w:tcW w:w="851" w:type="dxa"/>
            <w:noWrap/>
            <w:vAlign w:val="center"/>
          </w:tcPr>
          <w:p w14:paraId="194CEB79" w14:textId="02347FA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w:t>
            </w:r>
          </w:p>
        </w:tc>
        <w:tc>
          <w:tcPr>
            <w:tcW w:w="850" w:type="dxa"/>
            <w:noWrap/>
            <w:vAlign w:val="center"/>
          </w:tcPr>
          <w:p w14:paraId="36F23961" w14:textId="33117093"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05900F77" w14:textId="3F188182"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02ADF7D0" w14:textId="6FE08A7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Experimental</w:t>
            </w:r>
          </w:p>
        </w:tc>
        <w:tc>
          <w:tcPr>
            <w:tcW w:w="1984" w:type="dxa"/>
            <w:noWrap/>
            <w:vAlign w:val="center"/>
          </w:tcPr>
          <w:p w14:paraId="6708A726" w14:textId="77FDBC6F"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Exposure to Instagram sourced images</w:t>
            </w:r>
          </w:p>
        </w:tc>
        <w:tc>
          <w:tcPr>
            <w:tcW w:w="1134" w:type="dxa"/>
            <w:noWrap/>
            <w:vAlign w:val="center"/>
          </w:tcPr>
          <w:p w14:paraId="52014CAD" w14:textId="3FB4F326"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4B3A2CBF" w14:textId="70694106"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VAS body satisfaction; VAS body appreciation; VAS state appearance</w:t>
            </w:r>
          </w:p>
        </w:tc>
        <w:tc>
          <w:tcPr>
            <w:tcW w:w="709" w:type="dxa"/>
            <w:vAlign w:val="center"/>
          </w:tcPr>
          <w:p w14:paraId="2586221E" w14:textId="1C166391"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78E3744A" w14:textId="3DF7E140"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5C11BC" w:rsidRPr="00A036B2" w14:paraId="5285F38D" w14:textId="48F12AFA" w:rsidTr="00020D5E">
        <w:trPr>
          <w:trHeight w:val="300"/>
        </w:trPr>
        <w:tc>
          <w:tcPr>
            <w:tcW w:w="440" w:type="dxa"/>
            <w:shd w:val="clear" w:color="auto" w:fill="F2F2F2" w:themeFill="background1" w:themeFillShade="F2"/>
            <w:noWrap/>
            <w:hideMark/>
          </w:tcPr>
          <w:p w14:paraId="30F84CDF"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8</w:t>
            </w:r>
          </w:p>
        </w:tc>
        <w:tc>
          <w:tcPr>
            <w:tcW w:w="1256" w:type="dxa"/>
            <w:shd w:val="clear" w:color="auto" w:fill="F2F2F2" w:themeFill="background1" w:themeFillShade="F2"/>
            <w:noWrap/>
            <w:vAlign w:val="center"/>
          </w:tcPr>
          <w:p w14:paraId="40A9D324" w14:textId="30220421"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Butkowski</w:t>
            </w:r>
            <w:proofErr w:type="spellEnd"/>
          </w:p>
        </w:tc>
        <w:tc>
          <w:tcPr>
            <w:tcW w:w="709" w:type="dxa"/>
            <w:vAlign w:val="center"/>
          </w:tcPr>
          <w:p w14:paraId="5F0FDE7B" w14:textId="24052D8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2019</w:t>
            </w:r>
          </w:p>
        </w:tc>
        <w:tc>
          <w:tcPr>
            <w:tcW w:w="1418" w:type="dxa"/>
            <w:vAlign w:val="center"/>
          </w:tcPr>
          <w:p w14:paraId="5F638125" w14:textId="376EC6D3"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Sex Roles</w:t>
            </w:r>
          </w:p>
        </w:tc>
        <w:tc>
          <w:tcPr>
            <w:tcW w:w="708" w:type="dxa"/>
            <w:noWrap/>
            <w:vAlign w:val="center"/>
          </w:tcPr>
          <w:p w14:paraId="4E15D489" w14:textId="2A2D3B5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177</w:t>
            </w:r>
          </w:p>
        </w:tc>
        <w:tc>
          <w:tcPr>
            <w:tcW w:w="851" w:type="dxa"/>
            <w:noWrap/>
            <w:vAlign w:val="center"/>
          </w:tcPr>
          <w:p w14:paraId="3687580C" w14:textId="35802FC5"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18 to 30</w:t>
            </w:r>
          </w:p>
        </w:tc>
        <w:tc>
          <w:tcPr>
            <w:tcW w:w="850" w:type="dxa"/>
            <w:noWrap/>
            <w:vAlign w:val="center"/>
          </w:tcPr>
          <w:p w14:paraId="01499AC1" w14:textId="6B11B3A9"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7FC2A225" w14:textId="7208F08B"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Online</w:t>
            </w:r>
          </w:p>
        </w:tc>
        <w:tc>
          <w:tcPr>
            <w:tcW w:w="1276" w:type="dxa"/>
            <w:noWrap/>
            <w:vAlign w:val="center"/>
          </w:tcPr>
          <w:p w14:paraId="68D362F2" w14:textId="098B0815"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1087CCE3" w14:textId="5C32F485"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Instagram use</w:t>
            </w:r>
          </w:p>
        </w:tc>
        <w:tc>
          <w:tcPr>
            <w:tcW w:w="1134" w:type="dxa"/>
            <w:noWrap/>
            <w:vAlign w:val="center"/>
          </w:tcPr>
          <w:p w14:paraId="44CBD451" w14:textId="053F2B52"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76C3D512" w14:textId="2A368507"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EDI; body dissatisfaction (BD), Drive for Thinness (DFT); Bulimia Action tendencies (BAT)</w:t>
            </w:r>
          </w:p>
        </w:tc>
        <w:tc>
          <w:tcPr>
            <w:tcW w:w="709" w:type="dxa"/>
            <w:vAlign w:val="center"/>
          </w:tcPr>
          <w:p w14:paraId="5B13FAD2" w14:textId="21F679D5"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5</w:t>
            </w:r>
          </w:p>
        </w:tc>
        <w:tc>
          <w:tcPr>
            <w:tcW w:w="708" w:type="dxa"/>
            <w:vAlign w:val="center"/>
          </w:tcPr>
          <w:p w14:paraId="670A8878" w14:textId="0C76CE30"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5C11BC" w:rsidRPr="00A036B2" w14:paraId="22823519" w14:textId="1A2240A8" w:rsidTr="00020D5E">
        <w:trPr>
          <w:trHeight w:val="300"/>
        </w:trPr>
        <w:tc>
          <w:tcPr>
            <w:tcW w:w="440" w:type="dxa"/>
            <w:shd w:val="clear" w:color="auto" w:fill="F2F2F2" w:themeFill="background1" w:themeFillShade="F2"/>
            <w:noWrap/>
            <w:hideMark/>
          </w:tcPr>
          <w:p w14:paraId="77DD3851"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9</w:t>
            </w:r>
          </w:p>
        </w:tc>
        <w:tc>
          <w:tcPr>
            <w:tcW w:w="1256" w:type="dxa"/>
            <w:shd w:val="clear" w:color="auto" w:fill="F2F2F2" w:themeFill="background1" w:themeFillShade="F2"/>
            <w:noWrap/>
            <w:vAlign w:val="center"/>
          </w:tcPr>
          <w:p w14:paraId="7CC6824B" w14:textId="26224102"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Canan</w:t>
            </w:r>
            <w:proofErr w:type="spellEnd"/>
          </w:p>
        </w:tc>
        <w:tc>
          <w:tcPr>
            <w:tcW w:w="709" w:type="dxa"/>
            <w:vAlign w:val="center"/>
          </w:tcPr>
          <w:p w14:paraId="199CF8EB" w14:textId="0B24A958"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2014</w:t>
            </w:r>
          </w:p>
        </w:tc>
        <w:tc>
          <w:tcPr>
            <w:tcW w:w="1418" w:type="dxa"/>
            <w:vAlign w:val="center"/>
          </w:tcPr>
          <w:p w14:paraId="485D9C18" w14:textId="1881509D"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Cyberpsychol</w:t>
            </w:r>
            <w:proofErr w:type="spellEnd"/>
            <w:r w:rsidRPr="00020D5E">
              <w:rPr>
                <w:rFonts w:asciiTheme="majorHAnsi" w:hAnsiTheme="majorHAnsi" w:cstheme="majorHAnsi"/>
                <w:i/>
                <w:iCs/>
                <w:color w:val="000000"/>
                <w:sz w:val="18"/>
                <w:szCs w:val="18"/>
              </w:rPr>
              <w:t xml:space="preserve"> </w:t>
            </w:r>
            <w:proofErr w:type="spellStart"/>
            <w:r w:rsidRPr="00020D5E">
              <w:rPr>
                <w:rFonts w:asciiTheme="majorHAnsi" w:hAnsiTheme="majorHAnsi" w:cstheme="majorHAnsi"/>
                <w:i/>
                <w:iCs/>
                <w:color w:val="000000"/>
                <w:sz w:val="18"/>
                <w:szCs w:val="18"/>
              </w:rPr>
              <w:t>Behav</w:t>
            </w:r>
            <w:proofErr w:type="spellEnd"/>
            <w:r w:rsidRPr="00020D5E">
              <w:rPr>
                <w:rFonts w:asciiTheme="majorHAnsi" w:hAnsiTheme="majorHAnsi" w:cstheme="majorHAnsi"/>
                <w:i/>
                <w:iCs/>
                <w:color w:val="000000"/>
                <w:sz w:val="18"/>
                <w:szCs w:val="18"/>
              </w:rPr>
              <w:t xml:space="preserve"> Soc Net</w:t>
            </w:r>
          </w:p>
        </w:tc>
        <w:tc>
          <w:tcPr>
            <w:tcW w:w="708" w:type="dxa"/>
            <w:noWrap/>
            <w:vAlign w:val="center"/>
          </w:tcPr>
          <w:p w14:paraId="668175A6" w14:textId="550DE033"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1,938</w:t>
            </w:r>
          </w:p>
        </w:tc>
        <w:tc>
          <w:tcPr>
            <w:tcW w:w="851" w:type="dxa"/>
            <w:noWrap/>
            <w:vAlign w:val="center"/>
          </w:tcPr>
          <w:p w14:paraId="0F8B4BA2" w14:textId="040E3325"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16.1</w:t>
            </w:r>
          </w:p>
        </w:tc>
        <w:tc>
          <w:tcPr>
            <w:tcW w:w="850" w:type="dxa"/>
            <w:noWrap/>
            <w:vAlign w:val="center"/>
          </w:tcPr>
          <w:p w14:paraId="6DE12FA9" w14:textId="2FCCCF0F"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52%</w:t>
            </w:r>
          </w:p>
        </w:tc>
        <w:tc>
          <w:tcPr>
            <w:tcW w:w="1276" w:type="dxa"/>
            <w:noWrap/>
            <w:vAlign w:val="center"/>
          </w:tcPr>
          <w:p w14:paraId="72EE4DDE" w14:textId="5F304A43"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Turkey</w:t>
            </w:r>
          </w:p>
        </w:tc>
        <w:tc>
          <w:tcPr>
            <w:tcW w:w="1276" w:type="dxa"/>
            <w:noWrap/>
            <w:vAlign w:val="center"/>
          </w:tcPr>
          <w:p w14:paraId="3B2E3802" w14:textId="35C1C91F"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77277007" w14:textId="29DB7872"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IAT-20</w:t>
            </w:r>
          </w:p>
        </w:tc>
        <w:tc>
          <w:tcPr>
            <w:tcW w:w="1134" w:type="dxa"/>
            <w:noWrap/>
            <w:vAlign w:val="center"/>
          </w:tcPr>
          <w:p w14:paraId="3F01AB70" w14:textId="440A075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7FBFDAA2" w14:textId="664D8CA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EAT-26</w:t>
            </w:r>
          </w:p>
        </w:tc>
        <w:tc>
          <w:tcPr>
            <w:tcW w:w="709" w:type="dxa"/>
            <w:vAlign w:val="center"/>
          </w:tcPr>
          <w:p w14:paraId="56429B8A" w14:textId="07ACB726"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2F173770" w14:textId="44D0C75A"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5C11BC" w:rsidRPr="00A036B2" w14:paraId="085D0419" w14:textId="28B68554" w:rsidTr="00020D5E">
        <w:trPr>
          <w:trHeight w:val="300"/>
        </w:trPr>
        <w:tc>
          <w:tcPr>
            <w:tcW w:w="440" w:type="dxa"/>
            <w:shd w:val="clear" w:color="auto" w:fill="F2F2F2" w:themeFill="background1" w:themeFillShade="F2"/>
            <w:noWrap/>
            <w:hideMark/>
          </w:tcPr>
          <w:p w14:paraId="783BC47D"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10</w:t>
            </w:r>
          </w:p>
        </w:tc>
        <w:tc>
          <w:tcPr>
            <w:tcW w:w="1256" w:type="dxa"/>
            <w:shd w:val="clear" w:color="auto" w:fill="F2F2F2" w:themeFill="background1" w:themeFillShade="F2"/>
            <w:noWrap/>
            <w:vAlign w:val="center"/>
          </w:tcPr>
          <w:p w14:paraId="27EDE965" w14:textId="33FE60FE"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Canon</w:t>
            </w:r>
          </w:p>
        </w:tc>
        <w:tc>
          <w:tcPr>
            <w:tcW w:w="709" w:type="dxa"/>
            <w:vAlign w:val="center"/>
          </w:tcPr>
          <w:p w14:paraId="22D86BC7" w14:textId="40DBAE77"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2016</w:t>
            </w:r>
          </w:p>
        </w:tc>
        <w:tc>
          <w:tcPr>
            <w:tcW w:w="1418" w:type="dxa"/>
            <w:vAlign w:val="center"/>
          </w:tcPr>
          <w:p w14:paraId="30771F5C" w14:textId="6737ED20"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sz w:val="18"/>
                <w:szCs w:val="18"/>
              </w:rPr>
              <w:t xml:space="preserve">Arch de </w:t>
            </w:r>
            <w:proofErr w:type="spellStart"/>
            <w:r w:rsidRPr="00020D5E">
              <w:rPr>
                <w:rFonts w:asciiTheme="majorHAnsi" w:hAnsiTheme="majorHAnsi" w:cstheme="majorHAnsi"/>
                <w:i/>
                <w:iCs/>
                <w:sz w:val="18"/>
                <w:szCs w:val="18"/>
              </w:rPr>
              <w:t>Medicina</w:t>
            </w:r>
            <w:proofErr w:type="spellEnd"/>
            <w:r w:rsidRPr="00020D5E">
              <w:rPr>
                <w:rFonts w:asciiTheme="majorHAnsi" w:hAnsiTheme="majorHAnsi" w:cstheme="majorHAnsi"/>
                <w:i/>
                <w:iCs/>
                <w:sz w:val="18"/>
                <w:szCs w:val="18"/>
              </w:rPr>
              <w:t xml:space="preserve"> (</w:t>
            </w:r>
            <w:proofErr w:type="spellStart"/>
            <w:r w:rsidRPr="00020D5E">
              <w:rPr>
                <w:rFonts w:asciiTheme="majorHAnsi" w:hAnsiTheme="majorHAnsi" w:cstheme="majorHAnsi"/>
                <w:i/>
                <w:iCs/>
                <w:sz w:val="18"/>
                <w:szCs w:val="18"/>
              </w:rPr>
              <w:t>Menizales</w:t>
            </w:r>
            <w:proofErr w:type="spellEnd"/>
            <w:r w:rsidRPr="00020D5E">
              <w:rPr>
                <w:rFonts w:asciiTheme="majorHAnsi" w:hAnsiTheme="majorHAnsi" w:cstheme="majorHAnsi"/>
                <w:i/>
                <w:iCs/>
                <w:sz w:val="18"/>
                <w:szCs w:val="18"/>
              </w:rPr>
              <w:t>)</w:t>
            </w:r>
          </w:p>
        </w:tc>
        <w:tc>
          <w:tcPr>
            <w:tcW w:w="708" w:type="dxa"/>
            <w:noWrap/>
            <w:vAlign w:val="center"/>
          </w:tcPr>
          <w:p w14:paraId="6D1F9670" w14:textId="5A9DE80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640</w:t>
            </w:r>
          </w:p>
        </w:tc>
        <w:tc>
          <w:tcPr>
            <w:tcW w:w="851" w:type="dxa"/>
            <w:noWrap/>
            <w:vAlign w:val="center"/>
          </w:tcPr>
          <w:p w14:paraId="6FDB4337" w14:textId="76DBE9E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22.1</w:t>
            </w:r>
          </w:p>
        </w:tc>
        <w:tc>
          <w:tcPr>
            <w:tcW w:w="850" w:type="dxa"/>
            <w:noWrap/>
            <w:vAlign w:val="center"/>
          </w:tcPr>
          <w:p w14:paraId="49AE90FD" w14:textId="3564B59F"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77.7%</w:t>
            </w:r>
          </w:p>
        </w:tc>
        <w:tc>
          <w:tcPr>
            <w:tcW w:w="1276" w:type="dxa"/>
            <w:noWrap/>
            <w:vAlign w:val="center"/>
          </w:tcPr>
          <w:p w14:paraId="48FD0510" w14:textId="30BDA63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Colombia</w:t>
            </w:r>
          </w:p>
        </w:tc>
        <w:tc>
          <w:tcPr>
            <w:tcW w:w="1276" w:type="dxa"/>
            <w:noWrap/>
            <w:vAlign w:val="center"/>
          </w:tcPr>
          <w:p w14:paraId="2DB817C5" w14:textId="1B73FC07"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0A74BC0F" w14:textId="5DBB8029"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IAT-20</w:t>
            </w:r>
          </w:p>
        </w:tc>
        <w:tc>
          <w:tcPr>
            <w:tcW w:w="1134" w:type="dxa"/>
            <w:noWrap/>
            <w:vAlign w:val="center"/>
          </w:tcPr>
          <w:p w14:paraId="3B5F369C" w14:textId="34F688B7"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18617848" w14:textId="48195C6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SCOFF</w:t>
            </w:r>
          </w:p>
        </w:tc>
        <w:tc>
          <w:tcPr>
            <w:tcW w:w="709" w:type="dxa"/>
            <w:vAlign w:val="center"/>
          </w:tcPr>
          <w:p w14:paraId="7D5B5229" w14:textId="07FAED52" w:rsidR="005C11BC" w:rsidRPr="00020D5E" w:rsidRDefault="00801A11" w:rsidP="00020D5E">
            <w:pPr>
              <w:spacing w:line="240" w:lineRule="auto"/>
              <w:jc w:val="center"/>
              <w:rPr>
                <w:rFonts w:asciiTheme="majorHAnsi" w:hAnsiTheme="majorHAnsi" w:cstheme="majorHAnsi"/>
                <w:sz w:val="18"/>
                <w:szCs w:val="18"/>
              </w:rPr>
            </w:pPr>
            <w:r w:rsidRPr="00020D5E">
              <w:rPr>
                <w:rFonts w:asciiTheme="majorHAnsi" w:hAnsiTheme="majorHAnsi" w:cstheme="majorHAnsi"/>
                <w:sz w:val="18"/>
                <w:szCs w:val="18"/>
              </w:rPr>
              <w:t>11</w:t>
            </w:r>
          </w:p>
        </w:tc>
        <w:tc>
          <w:tcPr>
            <w:tcW w:w="708" w:type="dxa"/>
            <w:vAlign w:val="center"/>
          </w:tcPr>
          <w:p w14:paraId="7D259F7C" w14:textId="187C9F37" w:rsidR="005C11BC" w:rsidRPr="00020D5E" w:rsidRDefault="00FB4F86" w:rsidP="00020D5E">
            <w:pPr>
              <w:spacing w:line="240" w:lineRule="auto"/>
              <w:jc w:val="center"/>
              <w:rPr>
                <w:rFonts w:asciiTheme="majorHAnsi" w:hAnsiTheme="majorHAnsi" w:cstheme="majorHAnsi"/>
                <w:sz w:val="18"/>
                <w:szCs w:val="18"/>
              </w:rPr>
            </w:pPr>
            <w:r w:rsidRPr="00020D5E">
              <w:rPr>
                <w:rFonts w:asciiTheme="majorHAnsi" w:hAnsiTheme="majorHAnsi" w:cstheme="majorHAnsi"/>
                <w:sz w:val="18"/>
                <w:szCs w:val="18"/>
              </w:rPr>
              <w:t>W</w:t>
            </w:r>
          </w:p>
        </w:tc>
      </w:tr>
      <w:tr w:rsidR="005C11BC" w:rsidRPr="00B514A7" w14:paraId="13CEC147" w14:textId="27644C30" w:rsidTr="00020D5E">
        <w:trPr>
          <w:trHeight w:val="300"/>
        </w:trPr>
        <w:tc>
          <w:tcPr>
            <w:tcW w:w="440" w:type="dxa"/>
            <w:shd w:val="clear" w:color="auto" w:fill="F2F2F2" w:themeFill="background1" w:themeFillShade="F2"/>
            <w:noWrap/>
            <w:hideMark/>
          </w:tcPr>
          <w:p w14:paraId="7372D7B8"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11</w:t>
            </w:r>
          </w:p>
        </w:tc>
        <w:tc>
          <w:tcPr>
            <w:tcW w:w="1256" w:type="dxa"/>
            <w:shd w:val="clear" w:color="auto" w:fill="F2F2F2" w:themeFill="background1" w:themeFillShade="F2"/>
            <w:noWrap/>
            <w:vAlign w:val="center"/>
          </w:tcPr>
          <w:p w14:paraId="17CAA73B" w14:textId="6FC204F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Carrotte</w:t>
            </w:r>
            <w:proofErr w:type="spellEnd"/>
          </w:p>
        </w:tc>
        <w:tc>
          <w:tcPr>
            <w:tcW w:w="709" w:type="dxa"/>
            <w:vAlign w:val="center"/>
          </w:tcPr>
          <w:p w14:paraId="4408CB6D" w14:textId="01463B5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w:t>
            </w:r>
          </w:p>
        </w:tc>
        <w:tc>
          <w:tcPr>
            <w:tcW w:w="1418" w:type="dxa"/>
            <w:vAlign w:val="center"/>
          </w:tcPr>
          <w:p w14:paraId="04BA340C" w14:textId="7E5F8C49"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J Medical Internet Res</w:t>
            </w:r>
          </w:p>
        </w:tc>
        <w:tc>
          <w:tcPr>
            <w:tcW w:w="708" w:type="dxa"/>
            <w:noWrap/>
            <w:vAlign w:val="center"/>
          </w:tcPr>
          <w:p w14:paraId="547E3FCD" w14:textId="769EBEFB"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1001</w:t>
            </w:r>
          </w:p>
        </w:tc>
        <w:tc>
          <w:tcPr>
            <w:tcW w:w="851" w:type="dxa"/>
            <w:noWrap/>
            <w:vAlign w:val="center"/>
          </w:tcPr>
          <w:p w14:paraId="0A626C40" w14:textId="4311A11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21.4</w:t>
            </w:r>
          </w:p>
        </w:tc>
        <w:tc>
          <w:tcPr>
            <w:tcW w:w="850" w:type="dxa"/>
            <w:noWrap/>
            <w:vAlign w:val="center"/>
          </w:tcPr>
          <w:p w14:paraId="7CDF7F61" w14:textId="739857F8"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72.2%</w:t>
            </w:r>
          </w:p>
        </w:tc>
        <w:tc>
          <w:tcPr>
            <w:tcW w:w="1276" w:type="dxa"/>
            <w:noWrap/>
            <w:vAlign w:val="center"/>
          </w:tcPr>
          <w:p w14:paraId="2526ABEB" w14:textId="7FA419F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579E1DA0" w14:textId="0FF99ED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67E3795C" w14:textId="2EF91281"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Health and Fitness – related social media content</w:t>
            </w:r>
          </w:p>
        </w:tc>
        <w:tc>
          <w:tcPr>
            <w:tcW w:w="1134" w:type="dxa"/>
            <w:noWrap/>
            <w:vAlign w:val="center"/>
          </w:tcPr>
          <w:p w14:paraId="1CB3B064" w14:textId="30A78C37"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1171B87E" w14:textId="73674B9E"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Binary self-report of Anorexia or Bulimia Diagnosis</w:t>
            </w:r>
          </w:p>
        </w:tc>
        <w:tc>
          <w:tcPr>
            <w:tcW w:w="709" w:type="dxa"/>
            <w:vAlign w:val="center"/>
          </w:tcPr>
          <w:p w14:paraId="4B39CC70" w14:textId="406F2553"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4DCB95E5" w14:textId="69892E89"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5C11BC" w:rsidRPr="00B514A7" w14:paraId="714A164E" w14:textId="16423E79" w:rsidTr="00020D5E">
        <w:trPr>
          <w:trHeight w:val="300"/>
        </w:trPr>
        <w:tc>
          <w:tcPr>
            <w:tcW w:w="440" w:type="dxa"/>
            <w:shd w:val="clear" w:color="auto" w:fill="F2F2F2" w:themeFill="background1" w:themeFillShade="F2"/>
            <w:noWrap/>
            <w:hideMark/>
          </w:tcPr>
          <w:p w14:paraId="7DD96E32"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12</w:t>
            </w:r>
          </w:p>
        </w:tc>
        <w:tc>
          <w:tcPr>
            <w:tcW w:w="1256" w:type="dxa"/>
            <w:shd w:val="clear" w:color="auto" w:fill="F2F2F2" w:themeFill="background1" w:themeFillShade="F2"/>
            <w:noWrap/>
            <w:vAlign w:val="center"/>
          </w:tcPr>
          <w:p w14:paraId="19657737" w14:textId="3295CD4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Carter</w:t>
            </w:r>
          </w:p>
        </w:tc>
        <w:tc>
          <w:tcPr>
            <w:tcW w:w="709" w:type="dxa"/>
            <w:vAlign w:val="center"/>
          </w:tcPr>
          <w:p w14:paraId="24F42D55" w14:textId="37EFD183"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104F4103" w14:textId="78D639DB"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J Med</w:t>
            </w:r>
            <w:r w:rsidR="00465812">
              <w:rPr>
                <w:rFonts w:asciiTheme="majorHAnsi" w:hAnsiTheme="majorHAnsi" w:cstheme="majorHAnsi"/>
                <w:i/>
                <w:iCs/>
                <w:color w:val="000000"/>
                <w:sz w:val="18"/>
                <w:szCs w:val="18"/>
              </w:rPr>
              <w:t>ical</w:t>
            </w:r>
            <w:r w:rsidRPr="00020D5E">
              <w:rPr>
                <w:rFonts w:asciiTheme="majorHAnsi" w:hAnsiTheme="majorHAnsi" w:cstheme="majorHAnsi"/>
                <w:i/>
                <w:iCs/>
                <w:color w:val="000000"/>
                <w:sz w:val="18"/>
                <w:szCs w:val="18"/>
              </w:rPr>
              <w:t xml:space="preserve"> Internet Res</w:t>
            </w:r>
          </w:p>
        </w:tc>
        <w:tc>
          <w:tcPr>
            <w:tcW w:w="708" w:type="dxa"/>
            <w:noWrap/>
            <w:vAlign w:val="center"/>
          </w:tcPr>
          <w:p w14:paraId="649B46FB" w14:textId="55860E3F"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2,983</w:t>
            </w:r>
          </w:p>
        </w:tc>
        <w:tc>
          <w:tcPr>
            <w:tcW w:w="851" w:type="dxa"/>
            <w:noWrap/>
            <w:vAlign w:val="center"/>
          </w:tcPr>
          <w:p w14:paraId="33FEE865" w14:textId="076A18C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12 to 29</w:t>
            </w:r>
          </w:p>
        </w:tc>
        <w:tc>
          <w:tcPr>
            <w:tcW w:w="850" w:type="dxa"/>
            <w:noWrap/>
            <w:vAlign w:val="center"/>
          </w:tcPr>
          <w:p w14:paraId="55264308" w14:textId="5497B16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37E669AA" w14:textId="764ED738"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Canada</w:t>
            </w:r>
          </w:p>
        </w:tc>
        <w:tc>
          <w:tcPr>
            <w:tcW w:w="1276" w:type="dxa"/>
            <w:noWrap/>
            <w:vAlign w:val="center"/>
          </w:tcPr>
          <w:p w14:paraId="1D707DD8" w14:textId="49A385F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7F988E33" w14:textId="35D0F9A3"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Single Question of frequency of  internet gaming and use of the WWW</w:t>
            </w:r>
          </w:p>
        </w:tc>
        <w:tc>
          <w:tcPr>
            <w:tcW w:w="1134" w:type="dxa"/>
            <w:noWrap/>
            <w:vAlign w:val="center"/>
          </w:tcPr>
          <w:p w14:paraId="1A94265A" w14:textId="6BCC6E7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Online gaming</w:t>
            </w:r>
          </w:p>
        </w:tc>
        <w:tc>
          <w:tcPr>
            <w:tcW w:w="1985" w:type="dxa"/>
            <w:vAlign w:val="center"/>
          </w:tcPr>
          <w:p w14:paraId="15927921" w14:textId="5CCCE3AF"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Single Body dissatisfaction 4-point Likert question</w:t>
            </w:r>
          </w:p>
        </w:tc>
        <w:tc>
          <w:tcPr>
            <w:tcW w:w="709" w:type="dxa"/>
            <w:vAlign w:val="center"/>
          </w:tcPr>
          <w:p w14:paraId="4A5B794F" w14:textId="02F7C662"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5</w:t>
            </w:r>
          </w:p>
        </w:tc>
        <w:tc>
          <w:tcPr>
            <w:tcW w:w="708" w:type="dxa"/>
            <w:vAlign w:val="center"/>
          </w:tcPr>
          <w:p w14:paraId="066357FD" w14:textId="4ECB3940"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5C11BC" w:rsidRPr="00B514A7" w14:paraId="5A4D9972" w14:textId="2C3348F2" w:rsidTr="00020D5E">
        <w:trPr>
          <w:trHeight w:val="300"/>
        </w:trPr>
        <w:tc>
          <w:tcPr>
            <w:tcW w:w="440" w:type="dxa"/>
            <w:shd w:val="clear" w:color="auto" w:fill="F2F2F2" w:themeFill="background1" w:themeFillShade="F2"/>
            <w:noWrap/>
            <w:hideMark/>
          </w:tcPr>
          <w:p w14:paraId="4246ABFE"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13</w:t>
            </w:r>
          </w:p>
        </w:tc>
        <w:tc>
          <w:tcPr>
            <w:tcW w:w="1256" w:type="dxa"/>
            <w:shd w:val="clear" w:color="auto" w:fill="F2F2F2" w:themeFill="background1" w:themeFillShade="F2"/>
            <w:noWrap/>
            <w:vAlign w:val="center"/>
          </w:tcPr>
          <w:p w14:paraId="2C40FA47" w14:textId="30F7A7C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Celik</w:t>
            </w:r>
            <w:proofErr w:type="spellEnd"/>
          </w:p>
        </w:tc>
        <w:tc>
          <w:tcPr>
            <w:tcW w:w="709" w:type="dxa"/>
            <w:vAlign w:val="center"/>
          </w:tcPr>
          <w:p w14:paraId="1633365F" w14:textId="27ED038B"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w:t>
            </w:r>
          </w:p>
        </w:tc>
        <w:tc>
          <w:tcPr>
            <w:tcW w:w="1418" w:type="dxa"/>
            <w:vAlign w:val="center"/>
          </w:tcPr>
          <w:p w14:paraId="3576444F" w14:textId="4AADBB72"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Eat Weight </w:t>
            </w:r>
            <w:proofErr w:type="spellStart"/>
            <w:r w:rsidRPr="00020D5E">
              <w:rPr>
                <w:rFonts w:asciiTheme="majorHAnsi" w:hAnsiTheme="majorHAnsi" w:cstheme="majorHAnsi"/>
                <w:i/>
                <w:iCs/>
                <w:color w:val="000000"/>
                <w:sz w:val="18"/>
                <w:szCs w:val="18"/>
              </w:rPr>
              <w:t>Disord</w:t>
            </w:r>
            <w:proofErr w:type="spellEnd"/>
          </w:p>
        </w:tc>
        <w:tc>
          <w:tcPr>
            <w:tcW w:w="708" w:type="dxa"/>
            <w:noWrap/>
            <w:vAlign w:val="center"/>
          </w:tcPr>
          <w:p w14:paraId="53CE48D0" w14:textId="44B4811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314</w:t>
            </w:r>
          </w:p>
        </w:tc>
        <w:tc>
          <w:tcPr>
            <w:tcW w:w="851" w:type="dxa"/>
            <w:noWrap/>
            <w:vAlign w:val="center"/>
          </w:tcPr>
          <w:p w14:paraId="2BCC374B" w14:textId="5BCA1152"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20.7</w:t>
            </w:r>
          </w:p>
        </w:tc>
        <w:tc>
          <w:tcPr>
            <w:tcW w:w="850" w:type="dxa"/>
            <w:noWrap/>
            <w:vAlign w:val="center"/>
          </w:tcPr>
          <w:p w14:paraId="54720905" w14:textId="3673C2A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53.2%</w:t>
            </w:r>
          </w:p>
        </w:tc>
        <w:tc>
          <w:tcPr>
            <w:tcW w:w="1276" w:type="dxa"/>
            <w:noWrap/>
            <w:vAlign w:val="center"/>
          </w:tcPr>
          <w:p w14:paraId="35D0D750" w14:textId="209B4069"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Turkey</w:t>
            </w:r>
          </w:p>
        </w:tc>
        <w:tc>
          <w:tcPr>
            <w:tcW w:w="1276" w:type="dxa"/>
            <w:noWrap/>
            <w:vAlign w:val="center"/>
          </w:tcPr>
          <w:p w14:paraId="27E0F161" w14:textId="2158247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7B98DD7E" w14:textId="2D05ABDF"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Problematic Internet Use Scale (PIUS)</w:t>
            </w:r>
          </w:p>
        </w:tc>
        <w:tc>
          <w:tcPr>
            <w:tcW w:w="1134" w:type="dxa"/>
            <w:noWrap/>
            <w:vAlign w:val="center"/>
          </w:tcPr>
          <w:p w14:paraId="32762103" w14:textId="64D3F33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6D49ABA3" w14:textId="4D7C8043"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EAT-26,</w:t>
            </w:r>
          </w:p>
        </w:tc>
        <w:tc>
          <w:tcPr>
            <w:tcW w:w="709" w:type="dxa"/>
            <w:vAlign w:val="center"/>
          </w:tcPr>
          <w:p w14:paraId="510F71E5" w14:textId="76826049"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4682430E" w14:textId="7FF4BA72"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5C11BC" w:rsidRPr="00B514A7" w14:paraId="279A68AF" w14:textId="0E535372" w:rsidTr="00020D5E">
        <w:trPr>
          <w:trHeight w:val="300"/>
        </w:trPr>
        <w:tc>
          <w:tcPr>
            <w:tcW w:w="440" w:type="dxa"/>
            <w:shd w:val="clear" w:color="auto" w:fill="F2F2F2" w:themeFill="background1" w:themeFillShade="F2"/>
            <w:noWrap/>
            <w:hideMark/>
          </w:tcPr>
          <w:p w14:paraId="6E048B72"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14</w:t>
            </w:r>
          </w:p>
        </w:tc>
        <w:tc>
          <w:tcPr>
            <w:tcW w:w="1256" w:type="dxa"/>
            <w:shd w:val="clear" w:color="auto" w:fill="F2F2F2" w:themeFill="background1" w:themeFillShade="F2"/>
            <w:noWrap/>
            <w:vAlign w:val="center"/>
          </w:tcPr>
          <w:p w14:paraId="3F6676DF" w14:textId="05FCD6F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Cohen</w:t>
            </w:r>
          </w:p>
        </w:tc>
        <w:tc>
          <w:tcPr>
            <w:tcW w:w="709" w:type="dxa"/>
            <w:vAlign w:val="center"/>
          </w:tcPr>
          <w:p w14:paraId="7BA867A5" w14:textId="4FD061D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24798619" w14:textId="0845EB85"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Body Image</w:t>
            </w:r>
          </w:p>
        </w:tc>
        <w:tc>
          <w:tcPr>
            <w:tcW w:w="708" w:type="dxa"/>
            <w:noWrap/>
            <w:vAlign w:val="center"/>
          </w:tcPr>
          <w:p w14:paraId="58EB1690" w14:textId="7F02ADD2"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259</w:t>
            </w:r>
          </w:p>
        </w:tc>
        <w:tc>
          <w:tcPr>
            <w:tcW w:w="851" w:type="dxa"/>
            <w:noWrap/>
            <w:vAlign w:val="center"/>
          </w:tcPr>
          <w:p w14:paraId="4DCD6C13" w14:textId="24D33B8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23</w:t>
            </w:r>
          </w:p>
        </w:tc>
        <w:tc>
          <w:tcPr>
            <w:tcW w:w="850" w:type="dxa"/>
            <w:noWrap/>
            <w:vAlign w:val="center"/>
          </w:tcPr>
          <w:p w14:paraId="5CB805F8" w14:textId="569FE67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1AC9D89B" w14:textId="4F5A1C9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4C878029" w14:textId="3C5174A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054C742C" w14:textId="4D9F52B1"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SNS use; Facebook Questionnaire (FBQ; Meier &amp; Gray, 2014) and Instagram following categories</w:t>
            </w:r>
          </w:p>
        </w:tc>
        <w:tc>
          <w:tcPr>
            <w:tcW w:w="1134" w:type="dxa"/>
            <w:noWrap/>
            <w:vAlign w:val="center"/>
          </w:tcPr>
          <w:p w14:paraId="61117634" w14:textId="72DF5C6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4978DEF8" w14:textId="4392CAC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Drive for Thinness  (EDI-3; Garner, 2004); Physical Appearance Comparison Scale (</w:t>
            </w:r>
            <w:proofErr w:type="spellStart"/>
            <w:r w:rsidRPr="00020D5E">
              <w:rPr>
                <w:rFonts w:asciiTheme="majorHAnsi" w:hAnsiTheme="majorHAnsi" w:cstheme="majorHAnsi"/>
                <w:color w:val="000000"/>
                <w:sz w:val="18"/>
                <w:szCs w:val="18"/>
              </w:rPr>
              <w:t>PACS;Thompson</w:t>
            </w:r>
            <w:proofErr w:type="spellEnd"/>
            <w:r w:rsidRPr="00020D5E">
              <w:rPr>
                <w:rFonts w:asciiTheme="majorHAnsi" w:hAnsiTheme="majorHAnsi" w:cstheme="majorHAnsi"/>
                <w:color w:val="000000"/>
                <w:sz w:val="18"/>
                <w:szCs w:val="18"/>
              </w:rPr>
              <w:t xml:space="preserve">, </w:t>
            </w:r>
            <w:proofErr w:type="spellStart"/>
            <w:r w:rsidRPr="00020D5E">
              <w:rPr>
                <w:rFonts w:asciiTheme="majorHAnsi" w:hAnsiTheme="majorHAnsi" w:cstheme="majorHAnsi"/>
                <w:color w:val="000000"/>
                <w:sz w:val="18"/>
                <w:szCs w:val="18"/>
              </w:rPr>
              <w:t>Heinberg</w:t>
            </w:r>
            <w:proofErr w:type="spellEnd"/>
            <w:r w:rsidRPr="00020D5E">
              <w:rPr>
                <w:rFonts w:asciiTheme="majorHAnsi" w:hAnsiTheme="majorHAnsi" w:cstheme="majorHAnsi"/>
                <w:color w:val="000000"/>
                <w:sz w:val="18"/>
                <w:szCs w:val="18"/>
              </w:rPr>
              <w:t xml:space="preserve">, &amp; </w:t>
            </w:r>
            <w:proofErr w:type="spellStart"/>
            <w:r w:rsidRPr="00020D5E">
              <w:rPr>
                <w:rFonts w:asciiTheme="majorHAnsi" w:hAnsiTheme="majorHAnsi" w:cstheme="majorHAnsi"/>
                <w:color w:val="000000"/>
                <w:sz w:val="18"/>
                <w:szCs w:val="18"/>
              </w:rPr>
              <w:t>Tantleff</w:t>
            </w:r>
            <w:proofErr w:type="spellEnd"/>
            <w:r w:rsidRPr="00020D5E">
              <w:rPr>
                <w:rFonts w:asciiTheme="majorHAnsi" w:hAnsiTheme="majorHAnsi" w:cstheme="majorHAnsi"/>
                <w:color w:val="000000"/>
                <w:sz w:val="18"/>
                <w:szCs w:val="18"/>
              </w:rPr>
              <w:t>-Dunn, 1991)</w:t>
            </w:r>
          </w:p>
        </w:tc>
        <w:tc>
          <w:tcPr>
            <w:tcW w:w="709" w:type="dxa"/>
            <w:vAlign w:val="center"/>
          </w:tcPr>
          <w:p w14:paraId="57EE27C1" w14:textId="02B4C3B1"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2DB4EA59" w14:textId="65603346"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5C11BC" w:rsidRPr="00B514A7" w14:paraId="13848932" w14:textId="108F1913" w:rsidTr="00020D5E">
        <w:trPr>
          <w:trHeight w:val="300"/>
        </w:trPr>
        <w:tc>
          <w:tcPr>
            <w:tcW w:w="440" w:type="dxa"/>
            <w:shd w:val="clear" w:color="auto" w:fill="F2F2F2" w:themeFill="background1" w:themeFillShade="F2"/>
            <w:noWrap/>
            <w:hideMark/>
          </w:tcPr>
          <w:p w14:paraId="69AECB3A"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15</w:t>
            </w:r>
          </w:p>
        </w:tc>
        <w:tc>
          <w:tcPr>
            <w:tcW w:w="1256" w:type="dxa"/>
            <w:shd w:val="clear" w:color="auto" w:fill="F2F2F2" w:themeFill="background1" w:themeFillShade="F2"/>
            <w:noWrap/>
            <w:vAlign w:val="center"/>
          </w:tcPr>
          <w:p w14:paraId="71B75F1D" w14:textId="7D68F733"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Cohen</w:t>
            </w:r>
          </w:p>
        </w:tc>
        <w:tc>
          <w:tcPr>
            <w:tcW w:w="709" w:type="dxa"/>
            <w:vAlign w:val="center"/>
          </w:tcPr>
          <w:p w14:paraId="5710FDE4" w14:textId="3EE04DF9"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w:t>
            </w:r>
          </w:p>
        </w:tc>
        <w:tc>
          <w:tcPr>
            <w:tcW w:w="1418" w:type="dxa"/>
            <w:vAlign w:val="center"/>
          </w:tcPr>
          <w:p w14:paraId="39D537CA" w14:textId="3E1C1968"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J of Eat Dis</w:t>
            </w:r>
          </w:p>
        </w:tc>
        <w:tc>
          <w:tcPr>
            <w:tcW w:w="708" w:type="dxa"/>
            <w:noWrap/>
            <w:vAlign w:val="center"/>
          </w:tcPr>
          <w:p w14:paraId="22C8BCB8" w14:textId="4F074B6E"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193</w:t>
            </w:r>
          </w:p>
        </w:tc>
        <w:tc>
          <w:tcPr>
            <w:tcW w:w="851" w:type="dxa"/>
            <w:noWrap/>
            <w:vAlign w:val="center"/>
          </w:tcPr>
          <w:p w14:paraId="09FCA8F4" w14:textId="65E5A9D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19.3</w:t>
            </w:r>
          </w:p>
        </w:tc>
        <w:tc>
          <w:tcPr>
            <w:tcW w:w="850" w:type="dxa"/>
            <w:noWrap/>
            <w:vAlign w:val="center"/>
          </w:tcPr>
          <w:p w14:paraId="3CEA3E68" w14:textId="36B209CE"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0168E43E" w14:textId="672EF61B"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3008C470" w14:textId="57F98EE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Experimental</w:t>
            </w:r>
          </w:p>
        </w:tc>
        <w:tc>
          <w:tcPr>
            <w:tcW w:w="1984" w:type="dxa"/>
            <w:noWrap/>
            <w:vAlign w:val="center"/>
          </w:tcPr>
          <w:p w14:paraId="5B64D314" w14:textId="23B8EA27"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Duration and types of Facebook Use</w:t>
            </w:r>
            <w:r w:rsidRPr="00020D5E">
              <w:rPr>
                <w:rFonts w:asciiTheme="majorHAnsi" w:hAnsiTheme="majorHAnsi" w:cstheme="majorHAnsi"/>
                <w:color w:val="000000"/>
                <w:sz w:val="18"/>
                <w:szCs w:val="18"/>
                <w:vertAlign w:val="superscript"/>
              </w:rPr>
              <w:t>α</w:t>
            </w:r>
          </w:p>
        </w:tc>
        <w:tc>
          <w:tcPr>
            <w:tcW w:w="1134" w:type="dxa"/>
            <w:noWrap/>
            <w:vAlign w:val="center"/>
          </w:tcPr>
          <w:p w14:paraId="46029C2A" w14:textId="4A7C2313"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74CB3C51" w14:textId="717AE27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(SATAQ-V3)-TII; Body Areas Satisfaction Scale (BASS); Eating Attitudes Test-26 (EAT-26)</w:t>
            </w:r>
          </w:p>
        </w:tc>
        <w:tc>
          <w:tcPr>
            <w:tcW w:w="709" w:type="dxa"/>
            <w:vAlign w:val="center"/>
          </w:tcPr>
          <w:p w14:paraId="26600467" w14:textId="6BC40862" w:rsidR="005C11BC" w:rsidRPr="00020D5E" w:rsidRDefault="00801A11"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5CC19EFB" w14:textId="6AA1B3D4"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S</w:t>
            </w:r>
          </w:p>
        </w:tc>
      </w:tr>
      <w:tr w:rsidR="005C11BC" w:rsidRPr="00B514A7" w14:paraId="6EF321D1" w14:textId="0AFCDC0D" w:rsidTr="00020D5E">
        <w:trPr>
          <w:trHeight w:val="300"/>
        </w:trPr>
        <w:tc>
          <w:tcPr>
            <w:tcW w:w="440" w:type="dxa"/>
            <w:shd w:val="clear" w:color="auto" w:fill="F2F2F2" w:themeFill="background1" w:themeFillShade="F2"/>
            <w:noWrap/>
            <w:hideMark/>
          </w:tcPr>
          <w:p w14:paraId="5E8FF331"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16</w:t>
            </w:r>
          </w:p>
        </w:tc>
        <w:tc>
          <w:tcPr>
            <w:tcW w:w="1256" w:type="dxa"/>
            <w:shd w:val="clear" w:color="auto" w:fill="F2F2F2" w:themeFill="background1" w:themeFillShade="F2"/>
            <w:noWrap/>
            <w:vAlign w:val="center"/>
          </w:tcPr>
          <w:p w14:paraId="53718933" w14:textId="57077D5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de Vries</w:t>
            </w:r>
          </w:p>
        </w:tc>
        <w:tc>
          <w:tcPr>
            <w:tcW w:w="709" w:type="dxa"/>
            <w:vAlign w:val="center"/>
          </w:tcPr>
          <w:p w14:paraId="2398C0C4" w14:textId="5560C5F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2016</w:t>
            </w:r>
          </w:p>
        </w:tc>
        <w:tc>
          <w:tcPr>
            <w:tcW w:w="1418" w:type="dxa"/>
            <w:vAlign w:val="center"/>
          </w:tcPr>
          <w:p w14:paraId="3ACD14D9" w14:textId="7C97F151"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J Youth </w:t>
            </w:r>
            <w:proofErr w:type="spellStart"/>
            <w:r w:rsidRPr="00020D5E">
              <w:rPr>
                <w:rFonts w:asciiTheme="majorHAnsi" w:hAnsiTheme="majorHAnsi" w:cstheme="majorHAnsi"/>
                <w:i/>
                <w:iCs/>
                <w:color w:val="000000"/>
                <w:sz w:val="18"/>
                <w:szCs w:val="18"/>
              </w:rPr>
              <w:t>Adolesc</w:t>
            </w:r>
            <w:proofErr w:type="spellEnd"/>
          </w:p>
        </w:tc>
        <w:tc>
          <w:tcPr>
            <w:tcW w:w="708" w:type="dxa"/>
            <w:noWrap/>
            <w:vAlign w:val="center"/>
          </w:tcPr>
          <w:p w14:paraId="45A940AB" w14:textId="0FA45496"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604</w:t>
            </w:r>
          </w:p>
        </w:tc>
        <w:tc>
          <w:tcPr>
            <w:tcW w:w="851" w:type="dxa"/>
            <w:noWrap/>
            <w:vAlign w:val="center"/>
          </w:tcPr>
          <w:p w14:paraId="0922C37B" w14:textId="2E4DABC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14.7</w:t>
            </w:r>
          </w:p>
        </w:tc>
        <w:tc>
          <w:tcPr>
            <w:tcW w:w="850" w:type="dxa"/>
            <w:noWrap/>
            <w:vAlign w:val="center"/>
          </w:tcPr>
          <w:p w14:paraId="15B1F39E" w14:textId="2B77176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50.7%</w:t>
            </w:r>
          </w:p>
        </w:tc>
        <w:tc>
          <w:tcPr>
            <w:tcW w:w="1276" w:type="dxa"/>
            <w:noWrap/>
            <w:vAlign w:val="center"/>
          </w:tcPr>
          <w:p w14:paraId="66DBB522" w14:textId="6C6D0BA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Netherlands</w:t>
            </w:r>
          </w:p>
        </w:tc>
        <w:tc>
          <w:tcPr>
            <w:tcW w:w="1276" w:type="dxa"/>
            <w:noWrap/>
            <w:vAlign w:val="center"/>
          </w:tcPr>
          <w:p w14:paraId="15C0D729" w14:textId="1BF56DEF"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Prospective</w:t>
            </w:r>
          </w:p>
        </w:tc>
        <w:tc>
          <w:tcPr>
            <w:tcW w:w="1984" w:type="dxa"/>
            <w:noWrap/>
            <w:vAlign w:val="center"/>
          </w:tcPr>
          <w:p w14:paraId="220AF266" w14:textId="115B2C1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SNS use</w:t>
            </w:r>
          </w:p>
        </w:tc>
        <w:tc>
          <w:tcPr>
            <w:tcW w:w="1134" w:type="dxa"/>
            <w:noWrap/>
            <w:vAlign w:val="center"/>
          </w:tcPr>
          <w:p w14:paraId="1901F6DE" w14:textId="6B2A9469"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2D37D4A0" w14:textId="124F518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Areas Satisfaction Scale, a</w:t>
            </w:r>
            <w:r w:rsidRPr="00020D5E">
              <w:rPr>
                <w:rFonts w:asciiTheme="majorHAnsi" w:hAnsiTheme="majorHAnsi" w:cstheme="majorHAnsi"/>
                <w:color w:val="000000"/>
                <w:sz w:val="18"/>
                <w:szCs w:val="18"/>
              </w:rPr>
              <w:br/>
              <w:t>subscale of the Multidimensional Body-Self Relations</w:t>
            </w:r>
            <w:r w:rsidRPr="00020D5E">
              <w:rPr>
                <w:rFonts w:asciiTheme="majorHAnsi" w:hAnsiTheme="majorHAnsi" w:cstheme="majorHAnsi"/>
                <w:color w:val="000000"/>
                <w:sz w:val="18"/>
                <w:szCs w:val="18"/>
              </w:rPr>
              <w:br/>
              <w:t>Questionnaire (Cash 1994)</w:t>
            </w:r>
          </w:p>
        </w:tc>
        <w:tc>
          <w:tcPr>
            <w:tcW w:w="709" w:type="dxa"/>
            <w:vAlign w:val="center"/>
          </w:tcPr>
          <w:p w14:paraId="26B2C85A" w14:textId="3B92C877" w:rsidR="005C11BC" w:rsidRPr="00020D5E" w:rsidRDefault="00465812" w:rsidP="00020D5E">
            <w:pPr>
              <w:spacing w:line="240" w:lineRule="auto"/>
              <w:jc w:val="center"/>
              <w:rPr>
                <w:rFonts w:asciiTheme="majorHAnsi" w:hAnsiTheme="majorHAnsi" w:cstheme="majorHAnsi"/>
                <w:color w:val="000000"/>
                <w:sz w:val="18"/>
                <w:szCs w:val="18"/>
              </w:rPr>
            </w:pPr>
            <w:r>
              <w:rPr>
                <w:rFonts w:asciiTheme="majorHAnsi" w:hAnsiTheme="majorHAnsi" w:cstheme="majorHAnsi"/>
                <w:color w:val="000000"/>
                <w:sz w:val="18"/>
                <w:szCs w:val="18"/>
              </w:rPr>
              <w:t>8</w:t>
            </w:r>
          </w:p>
        </w:tc>
        <w:tc>
          <w:tcPr>
            <w:tcW w:w="708" w:type="dxa"/>
            <w:vAlign w:val="center"/>
          </w:tcPr>
          <w:p w14:paraId="2192A289" w14:textId="587CB524"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S</w:t>
            </w:r>
          </w:p>
        </w:tc>
      </w:tr>
      <w:tr w:rsidR="005C11BC" w:rsidRPr="00B514A7" w14:paraId="2A41439D" w14:textId="11722402" w:rsidTr="00020D5E">
        <w:trPr>
          <w:trHeight w:val="300"/>
        </w:trPr>
        <w:tc>
          <w:tcPr>
            <w:tcW w:w="440" w:type="dxa"/>
            <w:shd w:val="clear" w:color="auto" w:fill="F2F2F2" w:themeFill="background1" w:themeFillShade="F2"/>
            <w:noWrap/>
            <w:hideMark/>
          </w:tcPr>
          <w:p w14:paraId="0065488A"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17</w:t>
            </w:r>
          </w:p>
        </w:tc>
        <w:tc>
          <w:tcPr>
            <w:tcW w:w="1256" w:type="dxa"/>
            <w:shd w:val="clear" w:color="auto" w:fill="F2F2F2" w:themeFill="background1" w:themeFillShade="F2"/>
            <w:noWrap/>
            <w:vAlign w:val="center"/>
          </w:tcPr>
          <w:p w14:paraId="489C821E" w14:textId="0F34295A"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de Vries</w:t>
            </w:r>
          </w:p>
        </w:tc>
        <w:tc>
          <w:tcPr>
            <w:tcW w:w="709" w:type="dxa"/>
            <w:vAlign w:val="center"/>
          </w:tcPr>
          <w:p w14:paraId="313A49D7" w14:textId="5C01096B"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2019</w:t>
            </w:r>
          </w:p>
        </w:tc>
        <w:tc>
          <w:tcPr>
            <w:tcW w:w="1418" w:type="dxa"/>
            <w:vAlign w:val="center"/>
          </w:tcPr>
          <w:p w14:paraId="31AF9C94" w14:textId="090C063A"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J Youth </w:t>
            </w:r>
            <w:proofErr w:type="spellStart"/>
            <w:r w:rsidRPr="00020D5E">
              <w:rPr>
                <w:rFonts w:asciiTheme="majorHAnsi" w:hAnsiTheme="majorHAnsi" w:cstheme="majorHAnsi"/>
                <w:i/>
                <w:iCs/>
                <w:color w:val="000000"/>
                <w:sz w:val="18"/>
                <w:szCs w:val="18"/>
              </w:rPr>
              <w:t>Adolesc</w:t>
            </w:r>
            <w:proofErr w:type="spellEnd"/>
            <w:r w:rsidRPr="00020D5E">
              <w:rPr>
                <w:rFonts w:asciiTheme="majorHAnsi" w:hAnsiTheme="majorHAnsi" w:cstheme="majorHAnsi"/>
                <w:i/>
                <w:iCs/>
                <w:color w:val="000000"/>
                <w:sz w:val="18"/>
                <w:szCs w:val="18"/>
              </w:rPr>
              <w:t>.</w:t>
            </w:r>
          </w:p>
        </w:tc>
        <w:tc>
          <w:tcPr>
            <w:tcW w:w="708" w:type="dxa"/>
            <w:noWrap/>
            <w:vAlign w:val="center"/>
          </w:tcPr>
          <w:p w14:paraId="37388447" w14:textId="2E6574C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440</w:t>
            </w:r>
          </w:p>
        </w:tc>
        <w:tc>
          <w:tcPr>
            <w:tcW w:w="851" w:type="dxa"/>
            <w:noWrap/>
            <w:vAlign w:val="center"/>
          </w:tcPr>
          <w:p w14:paraId="0E3775AE" w14:textId="053D4E5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14.9</w:t>
            </w:r>
          </w:p>
        </w:tc>
        <w:tc>
          <w:tcPr>
            <w:tcW w:w="850" w:type="dxa"/>
            <w:noWrap/>
            <w:vAlign w:val="center"/>
          </w:tcPr>
          <w:p w14:paraId="00AA5E8B" w14:textId="12002AD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46.9%</w:t>
            </w:r>
          </w:p>
        </w:tc>
        <w:tc>
          <w:tcPr>
            <w:tcW w:w="1276" w:type="dxa"/>
            <w:noWrap/>
            <w:vAlign w:val="center"/>
          </w:tcPr>
          <w:p w14:paraId="22F9B52B" w14:textId="74FFA6F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Netherlands</w:t>
            </w:r>
          </w:p>
        </w:tc>
        <w:tc>
          <w:tcPr>
            <w:tcW w:w="1276" w:type="dxa"/>
            <w:noWrap/>
            <w:vAlign w:val="center"/>
          </w:tcPr>
          <w:p w14:paraId="60A7EEB7" w14:textId="31872AF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257DBB63" w14:textId="71B6C06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 xml:space="preserve">Multidimensional Scale of Facebook Use (MSFU; </w:t>
            </w:r>
            <w:proofErr w:type="spellStart"/>
            <w:r w:rsidRPr="00020D5E">
              <w:rPr>
                <w:rFonts w:asciiTheme="majorHAnsi" w:hAnsiTheme="majorHAnsi" w:cstheme="majorHAnsi"/>
                <w:color w:val="000000"/>
                <w:sz w:val="18"/>
                <w:szCs w:val="18"/>
              </w:rPr>
              <w:t>Frison</w:t>
            </w:r>
            <w:proofErr w:type="spellEnd"/>
            <w:r w:rsidRPr="00020D5E">
              <w:rPr>
                <w:rFonts w:asciiTheme="majorHAnsi" w:hAnsiTheme="majorHAnsi" w:cstheme="majorHAnsi"/>
                <w:color w:val="000000"/>
                <w:sz w:val="18"/>
                <w:szCs w:val="18"/>
              </w:rPr>
              <w:t xml:space="preserve"> and </w:t>
            </w:r>
            <w:proofErr w:type="spellStart"/>
            <w:r w:rsidRPr="00020D5E">
              <w:rPr>
                <w:rFonts w:asciiTheme="majorHAnsi" w:hAnsiTheme="majorHAnsi" w:cstheme="majorHAnsi"/>
                <w:color w:val="000000"/>
                <w:sz w:val="18"/>
                <w:szCs w:val="18"/>
              </w:rPr>
              <w:t>Eggermont</w:t>
            </w:r>
            <w:proofErr w:type="spellEnd"/>
            <w:r w:rsidRPr="00020D5E">
              <w:rPr>
                <w:rFonts w:asciiTheme="majorHAnsi" w:hAnsiTheme="majorHAnsi" w:cstheme="majorHAnsi"/>
                <w:color w:val="000000"/>
                <w:sz w:val="18"/>
                <w:szCs w:val="18"/>
              </w:rPr>
              <w:t xml:space="preserve"> 2016)</w:t>
            </w:r>
          </w:p>
        </w:tc>
        <w:tc>
          <w:tcPr>
            <w:tcW w:w="1134" w:type="dxa"/>
            <w:noWrap/>
            <w:vAlign w:val="center"/>
          </w:tcPr>
          <w:p w14:paraId="638A791D" w14:textId="26BB0BC9"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4FDCB754" w14:textId="07F6FDB6"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Attitude Test</w:t>
            </w:r>
            <w:r w:rsidRPr="00020D5E">
              <w:rPr>
                <w:rFonts w:asciiTheme="majorHAnsi" w:hAnsiTheme="majorHAnsi" w:cstheme="majorHAnsi"/>
                <w:color w:val="000000"/>
                <w:sz w:val="18"/>
                <w:szCs w:val="18"/>
              </w:rPr>
              <w:br/>
              <w:t>(BAT; Probst et al. 1995)</w:t>
            </w:r>
          </w:p>
        </w:tc>
        <w:tc>
          <w:tcPr>
            <w:tcW w:w="709" w:type="dxa"/>
            <w:vAlign w:val="center"/>
          </w:tcPr>
          <w:p w14:paraId="6EFFFEAE" w14:textId="5D7551F6" w:rsidR="005C11BC" w:rsidRPr="00020D5E" w:rsidRDefault="00465812" w:rsidP="00020D5E">
            <w:pPr>
              <w:spacing w:line="240" w:lineRule="auto"/>
              <w:jc w:val="center"/>
              <w:rPr>
                <w:rFonts w:asciiTheme="majorHAnsi" w:hAnsiTheme="majorHAnsi" w:cstheme="majorHAnsi"/>
                <w:color w:val="000000"/>
                <w:sz w:val="18"/>
                <w:szCs w:val="18"/>
              </w:rPr>
            </w:pPr>
            <w:r>
              <w:rPr>
                <w:rFonts w:asciiTheme="majorHAnsi" w:hAnsiTheme="majorHAnsi" w:cstheme="majorHAnsi"/>
                <w:color w:val="000000"/>
                <w:sz w:val="18"/>
                <w:szCs w:val="18"/>
              </w:rPr>
              <w:t>8</w:t>
            </w:r>
          </w:p>
        </w:tc>
        <w:tc>
          <w:tcPr>
            <w:tcW w:w="708" w:type="dxa"/>
            <w:vAlign w:val="center"/>
          </w:tcPr>
          <w:p w14:paraId="62DC2A14" w14:textId="433DF9D9"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S</w:t>
            </w:r>
          </w:p>
        </w:tc>
      </w:tr>
      <w:tr w:rsidR="005C11BC" w:rsidRPr="00B514A7" w14:paraId="2537EAD2" w14:textId="33473ACD" w:rsidTr="00020D5E">
        <w:trPr>
          <w:trHeight w:val="300"/>
        </w:trPr>
        <w:tc>
          <w:tcPr>
            <w:tcW w:w="440" w:type="dxa"/>
            <w:shd w:val="clear" w:color="auto" w:fill="F2F2F2" w:themeFill="background1" w:themeFillShade="F2"/>
            <w:noWrap/>
            <w:hideMark/>
          </w:tcPr>
          <w:p w14:paraId="24CBAFA2"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18</w:t>
            </w:r>
          </w:p>
        </w:tc>
        <w:tc>
          <w:tcPr>
            <w:tcW w:w="1256" w:type="dxa"/>
            <w:shd w:val="clear" w:color="auto" w:fill="F2F2F2" w:themeFill="background1" w:themeFillShade="F2"/>
            <w:noWrap/>
            <w:vAlign w:val="center"/>
          </w:tcPr>
          <w:p w14:paraId="351DAC46" w14:textId="2D57A6A1"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Eckler</w:t>
            </w:r>
          </w:p>
        </w:tc>
        <w:tc>
          <w:tcPr>
            <w:tcW w:w="709" w:type="dxa"/>
            <w:vAlign w:val="center"/>
          </w:tcPr>
          <w:p w14:paraId="4F9680E8" w14:textId="16A033E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327D0674" w14:textId="1AF2D37F"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Women Health</w:t>
            </w:r>
          </w:p>
        </w:tc>
        <w:tc>
          <w:tcPr>
            <w:tcW w:w="708" w:type="dxa"/>
            <w:noWrap/>
            <w:vAlign w:val="center"/>
          </w:tcPr>
          <w:p w14:paraId="4E66CBC6" w14:textId="0EB43D13"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881</w:t>
            </w:r>
          </w:p>
        </w:tc>
        <w:tc>
          <w:tcPr>
            <w:tcW w:w="851" w:type="dxa"/>
            <w:noWrap/>
            <w:vAlign w:val="center"/>
          </w:tcPr>
          <w:p w14:paraId="58A45CAB" w14:textId="3397CD5B"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23.8</w:t>
            </w:r>
          </w:p>
        </w:tc>
        <w:tc>
          <w:tcPr>
            <w:tcW w:w="850" w:type="dxa"/>
            <w:noWrap/>
            <w:vAlign w:val="center"/>
          </w:tcPr>
          <w:p w14:paraId="348401FC" w14:textId="61ADF286"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474CEFAC" w14:textId="693DF00B"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6D936C21" w14:textId="29870D1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4BA8153D" w14:textId="0B00E22E"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Facebook use</w:t>
            </w:r>
          </w:p>
        </w:tc>
        <w:tc>
          <w:tcPr>
            <w:tcW w:w="1134" w:type="dxa"/>
            <w:noWrap/>
            <w:vAlign w:val="center"/>
          </w:tcPr>
          <w:p w14:paraId="0A43AAB1" w14:textId="5081EC7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6C391E64" w14:textId="296FF0E8"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Shape Questionnaire, EAT-26</w:t>
            </w:r>
          </w:p>
        </w:tc>
        <w:tc>
          <w:tcPr>
            <w:tcW w:w="709" w:type="dxa"/>
            <w:vAlign w:val="center"/>
          </w:tcPr>
          <w:p w14:paraId="69DF091F" w14:textId="3E142B24" w:rsidR="005C11BC"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6</w:t>
            </w:r>
          </w:p>
        </w:tc>
        <w:tc>
          <w:tcPr>
            <w:tcW w:w="708" w:type="dxa"/>
            <w:vAlign w:val="center"/>
          </w:tcPr>
          <w:p w14:paraId="4EA795C6" w14:textId="3BA6D685" w:rsidR="005C11BC" w:rsidRPr="00020D5E" w:rsidRDefault="00FB4F86"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5C11BC" w:rsidRPr="00B514A7" w14:paraId="2A864BB8" w14:textId="0E29BBD4" w:rsidTr="00020D5E">
        <w:trPr>
          <w:trHeight w:val="300"/>
        </w:trPr>
        <w:tc>
          <w:tcPr>
            <w:tcW w:w="440" w:type="dxa"/>
            <w:shd w:val="clear" w:color="auto" w:fill="F2F2F2" w:themeFill="background1" w:themeFillShade="F2"/>
            <w:noWrap/>
            <w:hideMark/>
          </w:tcPr>
          <w:p w14:paraId="6D38363B" w14:textId="77777777" w:rsidR="005C11BC" w:rsidRPr="00CB212E" w:rsidRDefault="005C11BC" w:rsidP="00D36851">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19</w:t>
            </w:r>
          </w:p>
        </w:tc>
        <w:tc>
          <w:tcPr>
            <w:tcW w:w="1256" w:type="dxa"/>
            <w:shd w:val="clear" w:color="auto" w:fill="F2F2F2" w:themeFill="background1" w:themeFillShade="F2"/>
            <w:noWrap/>
            <w:vAlign w:val="center"/>
          </w:tcPr>
          <w:p w14:paraId="20855B43" w14:textId="70A86EAC"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Embacher</w:t>
            </w:r>
            <w:proofErr w:type="spellEnd"/>
          </w:p>
        </w:tc>
        <w:tc>
          <w:tcPr>
            <w:tcW w:w="709" w:type="dxa"/>
            <w:vAlign w:val="center"/>
          </w:tcPr>
          <w:p w14:paraId="26C9F972" w14:textId="08AABDE4"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2018</w:t>
            </w:r>
          </w:p>
        </w:tc>
        <w:tc>
          <w:tcPr>
            <w:tcW w:w="1418" w:type="dxa"/>
            <w:vAlign w:val="center"/>
          </w:tcPr>
          <w:p w14:paraId="5C0C24ED" w14:textId="19437B9E" w:rsidR="005C11BC" w:rsidRPr="00020D5E" w:rsidRDefault="005C11BC"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J Am Coll Health</w:t>
            </w:r>
          </w:p>
        </w:tc>
        <w:tc>
          <w:tcPr>
            <w:tcW w:w="708" w:type="dxa"/>
            <w:noWrap/>
            <w:vAlign w:val="center"/>
          </w:tcPr>
          <w:p w14:paraId="370AED7C" w14:textId="082ECF62"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491</w:t>
            </w:r>
          </w:p>
        </w:tc>
        <w:tc>
          <w:tcPr>
            <w:tcW w:w="851" w:type="dxa"/>
            <w:noWrap/>
            <w:vAlign w:val="center"/>
          </w:tcPr>
          <w:p w14:paraId="39458736" w14:textId="06D69FF9"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19</w:t>
            </w:r>
          </w:p>
        </w:tc>
        <w:tc>
          <w:tcPr>
            <w:tcW w:w="850" w:type="dxa"/>
            <w:noWrap/>
            <w:vAlign w:val="center"/>
          </w:tcPr>
          <w:p w14:paraId="3B61024D" w14:textId="72C3BDDD"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52%</w:t>
            </w:r>
          </w:p>
        </w:tc>
        <w:tc>
          <w:tcPr>
            <w:tcW w:w="1276" w:type="dxa"/>
            <w:noWrap/>
            <w:vAlign w:val="center"/>
          </w:tcPr>
          <w:p w14:paraId="13A21C17" w14:textId="5A57C025"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4D1C6935" w14:textId="3D0EAF6F"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55FD01B3" w14:textId="3BF1A467"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Usage of calorie-tracking applications</w:t>
            </w:r>
          </w:p>
        </w:tc>
        <w:tc>
          <w:tcPr>
            <w:tcW w:w="1134" w:type="dxa"/>
            <w:noWrap/>
            <w:vAlign w:val="center"/>
          </w:tcPr>
          <w:p w14:paraId="66371BFF" w14:textId="0301C9E2"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Pro-ED content or App</w:t>
            </w:r>
          </w:p>
        </w:tc>
        <w:tc>
          <w:tcPr>
            <w:tcW w:w="1985" w:type="dxa"/>
            <w:vAlign w:val="center"/>
          </w:tcPr>
          <w:p w14:paraId="1D769DFC" w14:textId="4679BA30" w:rsidR="005C11BC" w:rsidRPr="00020D5E" w:rsidRDefault="005C11BC"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dissatisfaction : “body size, weight, and shape” subscale of revised version of the Body Esteem Scale (BES) (Frost 1984) .</w:t>
            </w:r>
          </w:p>
        </w:tc>
        <w:tc>
          <w:tcPr>
            <w:tcW w:w="709" w:type="dxa"/>
            <w:vAlign w:val="center"/>
          </w:tcPr>
          <w:p w14:paraId="0D0B4876" w14:textId="26C7E7CF" w:rsidR="005C11BC"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721760E5" w14:textId="0F14DD98" w:rsidR="005C11BC" w:rsidRPr="00020D5E" w:rsidRDefault="005B43DA"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2F0ED539" w14:textId="05ED29D4" w:rsidTr="00020D5E">
        <w:trPr>
          <w:trHeight w:val="300"/>
        </w:trPr>
        <w:tc>
          <w:tcPr>
            <w:tcW w:w="440" w:type="dxa"/>
            <w:shd w:val="clear" w:color="auto" w:fill="F2F2F2" w:themeFill="background1" w:themeFillShade="F2"/>
            <w:noWrap/>
            <w:hideMark/>
          </w:tcPr>
          <w:p w14:paraId="7D13AE14"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20</w:t>
            </w:r>
          </w:p>
        </w:tc>
        <w:tc>
          <w:tcPr>
            <w:tcW w:w="1256" w:type="dxa"/>
            <w:shd w:val="clear" w:color="auto" w:fill="F2F2F2" w:themeFill="background1" w:themeFillShade="F2"/>
            <w:noWrap/>
            <w:vAlign w:val="center"/>
          </w:tcPr>
          <w:p w14:paraId="770A261B" w14:textId="31B865B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Fardouly</w:t>
            </w:r>
            <w:proofErr w:type="spellEnd"/>
          </w:p>
        </w:tc>
        <w:tc>
          <w:tcPr>
            <w:tcW w:w="709" w:type="dxa"/>
            <w:vAlign w:val="center"/>
          </w:tcPr>
          <w:p w14:paraId="399B7FAE" w14:textId="0A23D15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2015a</w:t>
            </w:r>
          </w:p>
        </w:tc>
        <w:tc>
          <w:tcPr>
            <w:tcW w:w="1418" w:type="dxa"/>
            <w:vAlign w:val="center"/>
          </w:tcPr>
          <w:p w14:paraId="42A41634" w14:textId="1B239E20"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Body Image</w:t>
            </w:r>
          </w:p>
        </w:tc>
        <w:tc>
          <w:tcPr>
            <w:tcW w:w="708" w:type="dxa"/>
            <w:noWrap/>
            <w:vAlign w:val="center"/>
          </w:tcPr>
          <w:p w14:paraId="5B64C8ED" w14:textId="4075F41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227</w:t>
            </w:r>
          </w:p>
        </w:tc>
        <w:tc>
          <w:tcPr>
            <w:tcW w:w="851" w:type="dxa"/>
            <w:noWrap/>
            <w:vAlign w:val="center"/>
          </w:tcPr>
          <w:p w14:paraId="447D1453" w14:textId="0821CE4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19.1</w:t>
            </w:r>
          </w:p>
        </w:tc>
        <w:tc>
          <w:tcPr>
            <w:tcW w:w="850" w:type="dxa"/>
            <w:noWrap/>
            <w:vAlign w:val="center"/>
          </w:tcPr>
          <w:p w14:paraId="0D818108" w14:textId="13F25A6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3C3FD152" w14:textId="5383ADA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774E0037" w14:textId="776CFB0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066B3E7D" w14:textId="00506B5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Facebook usage (single measure from two Likert-type questions, freq. of checking and duration)</w:t>
            </w:r>
          </w:p>
        </w:tc>
        <w:tc>
          <w:tcPr>
            <w:tcW w:w="1134" w:type="dxa"/>
            <w:noWrap/>
            <w:vAlign w:val="center"/>
          </w:tcPr>
          <w:p w14:paraId="5B48E24D" w14:textId="2833A6D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55F99F98" w14:textId="6093D6E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EDI: Body Dissatisfaction subscale (EDI-BD) and the Drive for Thinness subscale (EDI-DT)</w:t>
            </w:r>
          </w:p>
        </w:tc>
        <w:tc>
          <w:tcPr>
            <w:tcW w:w="709" w:type="dxa"/>
            <w:vAlign w:val="center"/>
          </w:tcPr>
          <w:p w14:paraId="42D85673" w14:textId="22A83383"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6</w:t>
            </w:r>
          </w:p>
        </w:tc>
        <w:tc>
          <w:tcPr>
            <w:tcW w:w="708" w:type="dxa"/>
            <w:vAlign w:val="center"/>
          </w:tcPr>
          <w:p w14:paraId="766A6E92" w14:textId="29CCE908"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6EF46931" w14:textId="6C20DEF5" w:rsidTr="00020D5E">
        <w:trPr>
          <w:trHeight w:val="300"/>
        </w:trPr>
        <w:tc>
          <w:tcPr>
            <w:tcW w:w="440" w:type="dxa"/>
            <w:shd w:val="clear" w:color="auto" w:fill="F2F2F2" w:themeFill="background1" w:themeFillShade="F2"/>
            <w:noWrap/>
            <w:hideMark/>
          </w:tcPr>
          <w:p w14:paraId="6716A9BF"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21</w:t>
            </w:r>
          </w:p>
        </w:tc>
        <w:tc>
          <w:tcPr>
            <w:tcW w:w="1256" w:type="dxa"/>
            <w:shd w:val="clear" w:color="auto" w:fill="F2F2F2" w:themeFill="background1" w:themeFillShade="F2"/>
            <w:noWrap/>
            <w:vAlign w:val="center"/>
          </w:tcPr>
          <w:p w14:paraId="6B7AED82" w14:textId="616D38F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Fardouly</w:t>
            </w:r>
            <w:proofErr w:type="spellEnd"/>
          </w:p>
        </w:tc>
        <w:tc>
          <w:tcPr>
            <w:tcW w:w="709" w:type="dxa"/>
            <w:vAlign w:val="center"/>
          </w:tcPr>
          <w:p w14:paraId="091DAA2E" w14:textId="362FB79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2015b</w:t>
            </w:r>
          </w:p>
        </w:tc>
        <w:tc>
          <w:tcPr>
            <w:tcW w:w="1418" w:type="dxa"/>
            <w:vAlign w:val="center"/>
          </w:tcPr>
          <w:p w14:paraId="60702FFF" w14:textId="2AE652B8"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Body Image</w:t>
            </w:r>
          </w:p>
        </w:tc>
        <w:tc>
          <w:tcPr>
            <w:tcW w:w="708" w:type="dxa"/>
            <w:noWrap/>
            <w:vAlign w:val="center"/>
          </w:tcPr>
          <w:p w14:paraId="65F68E5C" w14:textId="6C980EC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112</w:t>
            </w:r>
          </w:p>
        </w:tc>
        <w:tc>
          <w:tcPr>
            <w:tcW w:w="851" w:type="dxa"/>
            <w:noWrap/>
            <w:vAlign w:val="center"/>
          </w:tcPr>
          <w:p w14:paraId="3EC03C42" w14:textId="207CE74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20.5</w:t>
            </w:r>
          </w:p>
        </w:tc>
        <w:tc>
          <w:tcPr>
            <w:tcW w:w="850" w:type="dxa"/>
            <w:noWrap/>
            <w:vAlign w:val="center"/>
          </w:tcPr>
          <w:p w14:paraId="6FD48BD6" w14:textId="72C06A2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4805851B" w14:textId="5AB617B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UK</w:t>
            </w:r>
          </w:p>
        </w:tc>
        <w:tc>
          <w:tcPr>
            <w:tcW w:w="1276" w:type="dxa"/>
            <w:noWrap/>
            <w:vAlign w:val="center"/>
          </w:tcPr>
          <w:p w14:paraId="16D03A19" w14:textId="16B8998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Experimental</w:t>
            </w:r>
          </w:p>
        </w:tc>
        <w:tc>
          <w:tcPr>
            <w:tcW w:w="1984" w:type="dxa"/>
            <w:noWrap/>
            <w:vAlign w:val="center"/>
          </w:tcPr>
          <w:p w14:paraId="4D518A07" w14:textId="42E6A5E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Facebook browsing (n = 38), a fashion magazine website browsing (n = 36), appearance-neutral control web-site (n = 38)</w:t>
            </w:r>
          </w:p>
        </w:tc>
        <w:tc>
          <w:tcPr>
            <w:tcW w:w="1134" w:type="dxa"/>
            <w:noWrap/>
            <w:vAlign w:val="center"/>
          </w:tcPr>
          <w:p w14:paraId="2577BBA1" w14:textId="7777777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p w14:paraId="4C290A2E" w14:textId="3510A20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
        </w:tc>
        <w:tc>
          <w:tcPr>
            <w:tcW w:w="1985" w:type="dxa"/>
            <w:vAlign w:val="center"/>
          </w:tcPr>
          <w:p w14:paraId="2EC5B3EC" w14:textId="7D65DD1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 xml:space="preserve">VAS of body dissatisfaction; Upward and Downward Appearance Comparison Scale (UPACS/DACS; </w:t>
            </w:r>
            <w:proofErr w:type="spellStart"/>
            <w:r w:rsidRPr="00020D5E">
              <w:rPr>
                <w:rFonts w:asciiTheme="majorHAnsi" w:hAnsiTheme="majorHAnsi" w:cstheme="majorHAnsi"/>
                <w:color w:val="000000"/>
                <w:sz w:val="18"/>
                <w:szCs w:val="18"/>
              </w:rPr>
              <w:t>O’Brienet</w:t>
            </w:r>
            <w:proofErr w:type="spellEnd"/>
            <w:r w:rsidRPr="00020D5E">
              <w:rPr>
                <w:rFonts w:asciiTheme="majorHAnsi" w:hAnsiTheme="majorHAnsi" w:cstheme="majorHAnsi"/>
                <w:color w:val="000000"/>
                <w:sz w:val="18"/>
                <w:szCs w:val="18"/>
              </w:rPr>
              <w:t xml:space="preserve"> al., 2009)</w:t>
            </w:r>
          </w:p>
        </w:tc>
        <w:tc>
          <w:tcPr>
            <w:tcW w:w="709" w:type="dxa"/>
            <w:vAlign w:val="center"/>
          </w:tcPr>
          <w:p w14:paraId="49B7A400" w14:textId="47E08244"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44164A06" w14:textId="0AF257BA"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4BA55808" w14:textId="2622AD1C" w:rsidTr="00020D5E">
        <w:trPr>
          <w:trHeight w:val="345"/>
        </w:trPr>
        <w:tc>
          <w:tcPr>
            <w:tcW w:w="440" w:type="dxa"/>
            <w:shd w:val="clear" w:color="auto" w:fill="F2F2F2" w:themeFill="background1" w:themeFillShade="F2"/>
            <w:noWrap/>
            <w:hideMark/>
          </w:tcPr>
          <w:p w14:paraId="31747A62"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22</w:t>
            </w:r>
          </w:p>
        </w:tc>
        <w:tc>
          <w:tcPr>
            <w:tcW w:w="1256" w:type="dxa"/>
            <w:shd w:val="clear" w:color="auto" w:fill="F2F2F2" w:themeFill="background1" w:themeFillShade="F2"/>
            <w:noWrap/>
            <w:vAlign w:val="center"/>
          </w:tcPr>
          <w:p w14:paraId="5C87C58F" w14:textId="2AADF8E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Ferguson</w:t>
            </w:r>
          </w:p>
        </w:tc>
        <w:tc>
          <w:tcPr>
            <w:tcW w:w="709" w:type="dxa"/>
            <w:vAlign w:val="center"/>
          </w:tcPr>
          <w:p w14:paraId="417173DF" w14:textId="59A57B07" w:rsidR="007B5D58" w:rsidRPr="00020D5E" w:rsidRDefault="007B5D58" w:rsidP="00F61831">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w:t>
            </w:r>
            <w:r w:rsidR="00F61831">
              <w:rPr>
                <w:rFonts w:asciiTheme="majorHAnsi" w:hAnsiTheme="majorHAnsi" w:cstheme="majorHAnsi"/>
                <w:color w:val="000000"/>
                <w:sz w:val="18"/>
                <w:szCs w:val="18"/>
              </w:rPr>
              <w:t>4</w:t>
            </w:r>
          </w:p>
        </w:tc>
        <w:tc>
          <w:tcPr>
            <w:tcW w:w="1418" w:type="dxa"/>
            <w:vAlign w:val="center"/>
          </w:tcPr>
          <w:p w14:paraId="2E29E19B" w14:textId="61003256"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J Youth </w:t>
            </w:r>
            <w:proofErr w:type="spellStart"/>
            <w:r w:rsidRPr="00020D5E">
              <w:rPr>
                <w:rFonts w:asciiTheme="majorHAnsi" w:hAnsiTheme="majorHAnsi" w:cstheme="majorHAnsi"/>
                <w:i/>
                <w:iCs/>
                <w:color w:val="000000"/>
                <w:sz w:val="18"/>
                <w:szCs w:val="18"/>
              </w:rPr>
              <w:t>Adolesc</w:t>
            </w:r>
            <w:proofErr w:type="spellEnd"/>
          </w:p>
        </w:tc>
        <w:tc>
          <w:tcPr>
            <w:tcW w:w="708" w:type="dxa"/>
            <w:noWrap/>
            <w:vAlign w:val="center"/>
          </w:tcPr>
          <w:p w14:paraId="5FB2F57C" w14:textId="4CC493E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237/101</w:t>
            </w:r>
          </w:p>
        </w:tc>
        <w:tc>
          <w:tcPr>
            <w:tcW w:w="851" w:type="dxa"/>
            <w:noWrap/>
            <w:vAlign w:val="center"/>
          </w:tcPr>
          <w:p w14:paraId="6F807D85" w14:textId="2C6B7DF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14.1</w:t>
            </w:r>
          </w:p>
        </w:tc>
        <w:tc>
          <w:tcPr>
            <w:tcW w:w="850" w:type="dxa"/>
            <w:noWrap/>
            <w:vAlign w:val="center"/>
          </w:tcPr>
          <w:p w14:paraId="2F5C519A" w14:textId="32CCD75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03B34536" w14:textId="5F97F0B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0F72C7F1" w14:textId="62FBB19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Prospective</w:t>
            </w:r>
          </w:p>
        </w:tc>
        <w:tc>
          <w:tcPr>
            <w:tcW w:w="1984" w:type="dxa"/>
            <w:noWrap/>
            <w:vAlign w:val="center"/>
          </w:tcPr>
          <w:p w14:paraId="416D192E" w14:textId="13D1913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SNS and gaming Likert scale</w:t>
            </w:r>
          </w:p>
        </w:tc>
        <w:tc>
          <w:tcPr>
            <w:tcW w:w="1134" w:type="dxa"/>
            <w:noWrap/>
            <w:vAlign w:val="center"/>
          </w:tcPr>
          <w:p w14:paraId="116BCF22" w14:textId="389B2BA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5D7992DC" w14:textId="32909179" w:rsidR="007B5D58" w:rsidRPr="00020D5E" w:rsidRDefault="007B5D58" w:rsidP="00465812">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Esteem Scale for Adolescents and Adults; (BESAA; Mendelson et al. 2001); EAT-26</w:t>
            </w:r>
          </w:p>
        </w:tc>
        <w:tc>
          <w:tcPr>
            <w:tcW w:w="709" w:type="dxa"/>
            <w:vAlign w:val="center"/>
          </w:tcPr>
          <w:p w14:paraId="29DE5C65" w14:textId="3514937A"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10</w:t>
            </w:r>
          </w:p>
        </w:tc>
        <w:tc>
          <w:tcPr>
            <w:tcW w:w="708" w:type="dxa"/>
            <w:vAlign w:val="center"/>
          </w:tcPr>
          <w:p w14:paraId="1B57D85A" w14:textId="369BFB44"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44F81AC6" w14:textId="1413AB9F" w:rsidTr="00020D5E">
        <w:trPr>
          <w:trHeight w:val="300"/>
        </w:trPr>
        <w:tc>
          <w:tcPr>
            <w:tcW w:w="440" w:type="dxa"/>
            <w:shd w:val="clear" w:color="auto" w:fill="F2F2F2" w:themeFill="background1" w:themeFillShade="F2"/>
            <w:noWrap/>
            <w:hideMark/>
          </w:tcPr>
          <w:p w14:paraId="212F098B"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23</w:t>
            </w:r>
          </w:p>
        </w:tc>
        <w:tc>
          <w:tcPr>
            <w:tcW w:w="1256" w:type="dxa"/>
            <w:shd w:val="clear" w:color="auto" w:fill="F2F2F2" w:themeFill="background1" w:themeFillShade="F2"/>
            <w:noWrap/>
            <w:vAlign w:val="center"/>
          </w:tcPr>
          <w:p w14:paraId="248DDCC9" w14:textId="795D50F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Fernandez-Villa</w:t>
            </w:r>
          </w:p>
        </w:tc>
        <w:tc>
          <w:tcPr>
            <w:tcW w:w="709" w:type="dxa"/>
            <w:vAlign w:val="center"/>
          </w:tcPr>
          <w:p w14:paraId="4C3F02A6" w14:textId="0BF7E5B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w:t>
            </w:r>
          </w:p>
        </w:tc>
        <w:tc>
          <w:tcPr>
            <w:tcW w:w="1418" w:type="dxa"/>
            <w:vAlign w:val="center"/>
          </w:tcPr>
          <w:p w14:paraId="5692851C" w14:textId="4033F971"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Addicciones</w:t>
            </w:r>
            <w:proofErr w:type="spellEnd"/>
          </w:p>
        </w:tc>
        <w:tc>
          <w:tcPr>
            <w:tcW w:w="708" w:type="dxa"/>
            <w:noWrap/>
            <w:vAlign w:val="center"/>
          </w:tcPr>
          <w:p w14:paraId="715BC2D7" w14:textId="105EE65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2,780</w:t>
            </w:r>
          </w:p>
        </w:tc>
        <w:tc>
          <w:tcPr>
            <w:tcW w:w="851" w:type="dxa"/>
            <w:noWrap/>
            <w:vAlign w:val="center"/>
          </w:tcPr>
          <w:p w14:paraId="684E984E" w14:textId="518FF44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20.5</w:t>
            </w:r>
          </w:p>
        </w:tc>
        <w:tc>
          <w:tcPr>
            <w:tcW w:w="850" w:type="dxa"/>
            <w:noWrap/>
            <w:vAlign w:val="center"/>
          </w:tcPr>
          <w:p w14:paraId="2A35DF40" w14:textId="1A9AE6A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71%</w:t>
            </w:r>
          </w:p>
        </w:tc>
        <w:tc>
          <w:tcPr>
            <w:tcW w:w="1276" w:type="dxa"/>
            <w:noWrap/>
            <w:vAlign w:val="center"/>
          </w:tcPr>
          <w:p w14:paraId="6FC257D7" w14:textId="438FDB4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Spain</w:t>
            </w:r>
          </w:p>
        </w:tc>
        <w:tc>
          <w:tcPr>
            <w:tcW w:w="1276" w:type="dxa"/>
            <w:noWrap/>
            <w:vAlign w:val="center"/>
          </w:tcPr>
          <w:p w14:paraId="0DB0B8C9" w14:textId="6CD9D94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4FADBD3A" w14:textId="69BD4BF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IAT-20</w:t>
            </w:r>
          </w:p>
        </w:tc>
        <w:tc>
          <w:tcPr>
            <w:tcW w:w="1134" w:type="dxa"/>
            <w:noWrap/>
            <w:vAlign w:val="center"/>
          </w:tcPr>
          <w:p w14:paraId="57413B7A" w14:textId="38ED47F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5D853D51" w14:textId="03F446D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SCOFF</w:t>
            </w:r>
          </w:p>
        </w:tc>
        <w:tc>
          <w:tcPr>
            <w:tcW w:w="709" w:type="dxa"/>
            <w:vAlign w:val="center"/>
          </w:tcPr>
          <w:p w14:paraId="48F3DE0D" w14:textId="716A724E"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11</w:t>
            </w:r>
          </w:p>
        </w:tc>
        <w:tc>
          <w:tcPr>
            <w:tcW w:w="708" w:type="dxa"/>
            <w:vAlign w:val="center"/>
          </w:tcPr>
          <w:p w14:paraId="51ABABB5" w14:textId="3516CDB2"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M</w:t>
            </w:r>
          </w:p>
        </w:tc>
      </w:tr>
      <w:tr w:rsidR="007B5D58" w:rsidRPr="00B514A7" w14:paraId="1482988C" w14:textId="41E71A64" w:rsidTr="00020D5E">
        <w:trPr>
          <w:trHeight w:val="300"/>
        </w:trPr>
        <w:tc>
          <w:tcPr>
            <w:tcW w:w="440" w:type="dxa"/>
            <w:shd w:val="clear" w:color="auto" w:fill="F2F2F2" w:themeFill="background1" w:themeFillShade="F2"/>
            <w:noWrap/>
            <w:hideMark/>
          </w:tcPr>
          <w:p w14:paraId="7D27EBC7"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24</w:t>
            </w:r>
          </w:p>
        </w:tc>
        <w:tc>
          <w:tcPr>
            <w:tcW w:w="1256" w:type="dxa"/>
            <w:shd w:val="clear" w:color="auto" w:fill="F2F2F2" w:themeFill="background1" w:themeFillShade="F2"/>
            <w:noWrap/>
            <w:vAlign w:val="center"/>
          </w:tcPr>
          <w:p w14:paraId="7F8D26ED" w14:textId="693A0B3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Griffiths</w:t>
            </w:r>
          </w:p>
        </w:tc>
        <w:tc>
          <w:tcPr>
            <w:tcW w:w="709" w:type="dxa"/>
            <w:vAlign w:val="center"/>
          </w:tcPr>
          <w:p w14:paraId="7191DE65" w14:textId="72CD083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2018a</w:t>
            </w:r>
          </w:p>
        </w:tc>
        <w:tc>
          <w:tcPr>
            <w:tcW w:w="1418" w:type="dxa"/>
            <w:vAlign w:val="center"/>
          </w:tcPr>
          <w:p w14:paraId="5C557ED1" w14:textId="7C70912A"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Body image</w:t>
            </w:r>
          </w:p>
        </w:tc>
        <w:tc>
          <w:tcPr>
            <w:tcW w:w="708" w:type="dxa"/>
            <w:noWrap/>
            <w:vAlign w:val="center"/>
          </w:tcPr>
          <w:p w14:paraId="651B5931" w14:textId="03BFD92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228</w:t>
            </w:r>
          </w:p>
        </w:tc>
        <w:tc>
          <w:tcPr>
            <w:tcW w:w="851" w:type="dxa"/>
            <w:noWrap/>
            <w:vAlign w:val="center"/>
          </w:tcPr>
          <w:p w14:paraId="653999D2" w14:textId="71FA860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26</w:t>
            </w:r>
          </w:p>
        </w:tc>
        <w:tc>
          <w:tcPr>
            <w:tcW w:w="850" w:type="dxa"/>
            <w:noWrap/>
            <w:vAlign w:val="center"/>
          </w:tcPr>
          <w:p w14:paraId="6DCEF224" w14:textId="32F4CB1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93.4%</w:t>
            </w:r>
          </w:p>
        </w:tc>
        <w:tc>
          <w:tcPr>
            <w:tcW w:w="1276" w:type="dxa"/>
            <w:noWrap/>
            <w:vAlign w:val="center"/>
          </w:tcPr>
          <w:p w14:paraId="372C3BA6" w14:textId="1D6BBCB1" w:rsidR="007B5D58" w:rsidRPr="00020D5E" w:rsidRDefault="00465812" w:rsidP="00020D5E">
            <w:pPr>
              <w:spacing w:line="240" w:lineRule="auto"/>
              <w:jc w:val="center"/>
              <w:rPr>
                <w:rFonts w:asciiTheme="majorHAnsi" w:eastAsia="Times New Roman" w:hAnsiTheme="majorHAnsi" w:cstheme="majorHAnsi"/>
                <w:color w:val="000000"/>
                <w:sz w:val="18"/>
                <w:szCs w:val="18"/>
                <w:lang w:eastAsia="en-GB"/>
              </w:rPr>
            </w:pPr>
            <w:r>
              <w:rPr>
                <w:rFonts w:asciiTheme="majorHAnsi" w:hAnsiTheme="majorHAnsi" w:cstheme="majorHAnsi"/>
                <w:color w:val="000000"/>
                <w:sz w:val="18"/>
                <w:szCs w:val="18"/>
              </w:rPr>
              <w:t>Australia, USA, UK &amp; Canada</w:t>
            </w:r>
          </w:p>
        </w:tc>
        <w:tc>
          <w:tcPr>
            <w:tcW w:w="1276" w:type="dxa"/>
            <w:noWrap/>
            <w:vAlign w:val="center"/>
          </w:tcPr>
          <w:p w14:paraId="36F930CA" w14:textId="057DF08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10D174ED" w14:textId="2389CF6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 General frequency of use of image centric  social media use 2) Thinspiration exp one-item Likert 3) Fitspiration exp one-item Likert</w:t>
            </w:r>
          </w:p>
        </w:tc>
        <w:tc>
          <w:tcPr>
            <w:tcW w:w="1134" w:type="dxa"/>
            <w:noWrap/>
            <w:vAlign w:val="center"/>
          </w:tcPr>
          <w:p w14:paraId="4E7F5CC6" w14:textId="78E7545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Pro-ED content or App</w:t>
            </w:r>
          </w:p>
        </w:tc>
        <w:tc>
          <w:tcPr>
            <w:tcW w:w="1985" w:type="dxa"/>
            <w:vAlign w:val="center"/>
          </w:tcPr>
          <w:p w14:paraId="7AA62A9C" w14:textId="5D9BCCA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Disorders Examination – Questionnaire; EDE-Q; Fairburn &amp; Beglin, 1994).</w:t>
            </w:r>
          </w:p>
        </w:tc>
        <w:tc>
          <w:tcPr>
            <w:tcW w:w="709" w:type="dxa"/>
            <w:vAlign w:val="center"/>
          </w:tcPr>
          <w:p w14:paraId="18CD5198" w14:textId="1BB00303"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59EC4DC9" w14:textId="3D07C384"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414588A6" w14:textId="59710198" w:rsidTr="00020D5E">
        <w:trPr>
          <w:trHeight w:val="300"/>
        </w:trPr>
        <w:tc>
          <w:tcPr>
            <w:tcW w:w="440" w:type="dxa"/>
            <w:shd w:val="clear" w:color="auto" w:fill="F2F2F2" w:themeFill="background1" w:themeFillShade="F2"/>
            <w:noWrap/>
            <w:hideMark/>
          </w:tcPr>
          <w:p w14:paraId="7122E0B6"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25</w:t>
            </w:r>
          </w:p>
        </w:tc>
        <w:tc>
          <w:tcPr>
            <w:tcW w:w="1256" w:type="dxa"/>
            <w:shd w:val="clear" w:color="auto" w:fill="F2F2F2" w:themeFill="background1" w:themeFillShade="F2"/>
            <w:noWrap/>
            <w:vAlign w:val="center"/>
          </w:tcPr>
          <w:p w14:paraId="6213AC9D" w14:textId="4B80E65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Griffiths</w:t>
            </w:r>
          </w:p>
        </w:tc>
        <w:tc>
          <w:tcPr>
            <w:tcW w:w="709" w:type="dxa"/>
            <w:vAlign w:val="center"/>
          </w:tcPr>
          <w:p w14:paraId="1E56FCBC" w14:textId="3FC4CD4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2018b</w:t>
            </w:r>
          </w:p>
        </w:tc>
        <w:tc>
          <w:tcPr>
            <w:tcW w:w="1418" w:type="dxa"/>
            <w:vAlign w:val="center"/>
          </w:tcPr>
          <w:p w14:paraId="27B51E44" w14:textId="7C04FDA0"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Cyberpsychol</w:t>
            </w:r>
            <w:proofErr w:type="spellEnd"/>
            <w:r w:rsidRPr="00020D5E">
              <w:rPr>
                <w:rFonts w:asciiTheme="majorHAnsi" w:hAnsiTheme="majorHAnsi" w:cstheme="majorHAnsi"/>
                <w:i/>
                <w:iCs/>
                <w:color w:val="000000"/>
                <w:sz w:val="18"/>
                <w:szCs w:val="18"/>
              </w:rPr>
              <w:t xml:space="preserve"> </w:t>
            </w:r>
            <w:proofErr w:type="spellStart"/>
            <w:r w:rsidRPr="00020D5E">
              <w:rPr>
                <w:rFonts w:asciiTheme="majorHAnsi" w:hAnsiTheme="majorHAnsi" w:cstheme="majorHAnsi"/>
                <w:i/>
                <w:iCs/>
                <w:color w:val="000000"/>
                <w:sz w:val="18"/>
                <w:szCs w:val="18"/>
              </w:rPr>
              <w:t>Behav</w:t>
            </w:r>
            <w:proofErr w:type="spellEnd"/>
            <w:r w:rsidRPr="00020D5E">
              <w:rPr>
                <w:rFonts w:asciiTheme="majorHAnsi" w:hAnsiTheme="majorHAnsi" w:cstheme="majorHAnsi"/>
                <w:i/>
                <w:iCs/>
                <w:color w:val="000000"/>
                <w:sz w:val="18"/>
                <w:szCs w:val="18"/>
              </w:rPr>
              <w:t xml:space="preserve"> Soc </w:t>
            </w:r>
            <w:proofErr w:type="spellStart"/>
            <w:r w:rsidRPr="00020D5E">
              <w:rPr>
                <w:rFonts w:asciiTheme="majorHAnsi" w:hAnsiTheme="majorHAnsi" w:cstheme="majorHAnsi"/>
                <w:i/>
                <w:iCs/>
                <w:color w:val="000000"/>
                <w:sz w:val="18"/>
                <w:szCs w:val="18"/>
              </w:rPr>
              <w:t>Netw</w:t>
            </w:r>
            <w:proofErr w:type="spellEnd"/>
          </w:p>
        </w:tc>
        <w:tc>
          <w:tcPr>
            <w:tcW w:w="708" w:type="dxa"/>
            <w:noWrap/>
            <w:vAlign w:val="center"/>
          </w:tcPr>
          <w:p w14:paraId="27D1DEAD" w14:textId="6682F09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2,733</w:t>
            </w:r>
          </w:p>
        </w:tc>
        <w:tc>
          <w:tcPr>
            <w:tcW w:w="851" w:type="dxa"/>
            <w:noWrap/>
            <w:vAlign w:val="center"/>
          </w:tcPr>
          <w:p w14:paraId="39584BF2" w14:textId="4854A84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33.9</w:t>
            </w:r>
          </w:p>
        </w:tc>
        <w:tc>
          <w:tcPr>
            <w:tcW w:w="850" w:type="dxa"/>
            <w:noWrap/>
            <w:vAlign w:val="center"/>
          </w:tcPr>
          <w:p w14:paraId="0B664621" w14:textId="72C9447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0% (99.1% male)</w:t>
            </w:r>
          </w:p>
        </w:tc>
        <w:tc>
          <w:tcPr>
            <w:tcW w:w="1276" w:type="dxa"/>
            <w:noWrap/>
            <w:vAlign w:val="center"/>
          </w:tcPr>
          <w:p w14:paraId="6D9D10D7" w14:textId="2E54C02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 &amp; New Zealand</w:t>
            </w:r>
          </w:p>
        </w:tc>
        <w:tc>
          <w:tcPr>
            <w:tcW w:w="1276" w:type="dxa"/>
            <w:noWrap/>
            <w:vAlign w:val="center"/>
          </w:tcPr>
          <w:p w14:paraId="3D9BF26E" w14:textId="2B10C6F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22B03636" w14:textId="49493C1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Use of social media (image-centric and non-image centric) and dating apps</w:t>
            </w:r>
          </w:p>
        </w:tc>
        <w:tc>
          <w:tcPr>
            <w:tcW w:w="1134" w:type="dxa"/>
            <w:noWrap/>
            <w:vAlign w:val="center"/>
          </w:tcPr>
          <w:p w14:paraId="5D1C7DB2" w14:textId="1992C0A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Dating App</w:t>
            </w:r>
          </w:p>
        </w:tc>
        <w:tc>
          <w:tcPr>
            <w:tcW w:w="1985" w:type="dxa"/>
            <w:vAlign w:val="center"/>
          </w:tcPr>
          <w:p w14:paraId="2AF09636" w14:textId="2DF69EE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The Male Body Attitudes Scale– Revised (MBAS-R); EDE-QS</w:t>
            </w:r>
          </w:p>
        </w:tc>
        <w:tc>
          <w:tcPr>
            <w:tcW w:w="709" w:type="dxa"/>
            <w:vAlign w:val="center"/>
          </w:tcPr>
          <w:p w14:paraId="3C6F9810" w14:textId="4A705A7D"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6</w:t>
            </w:r>
          </w:p>
        </w:tc>
        <w:tc>
          <w:tcPr>
            <w:tcW w:w="708" w:type="dxa"/>
            <w:vAlign w:val="center"/>
          </w:tcPr>
          <w:p w14:paraId="5F56FB6F" w14:textId="693A55D6"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1ABA9038" w14:textId="26F8BBA6" w:rsidTr="00020D5E">
        <w:trPr>
          <w:trHeight w:val="300"/>
        </w:trPr>
        <w:tc>
          <w:tcPr>
            <w:tcW w:w="440" w:type="dxa"/>
            <w:shd w:val="clear" w:color="auto" w:fill="F2F2F2" w:themeFill="background1" w:themeFillShade="F2"/>
            <w:noWrap/>
            <w:hideMark/>
          </w:tcPr>
          <w:p w14:paraId="239830D5"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26</w:t>
            </w:r>
          </w:p>
        </w:tc>
        <w:tc>
          <w:tcPr>
            <w:tcW w:w="1256" w:type="dxa"/>
            <w:shd w:val="clear" w:color="auto" w:fill="F2F2F2" w:themeFill="background1" w:themeFillShade="F2"/>
            <w:noWrap/>
            <w:vAlign w:val="center"/>
          </w:tcPr>
          <w:p w14:paraId="20961DC5" w14:textId="0337361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Hendrickse</w:t>
            </w:r>
            <w:proofErr w:type="spellEnd"/>
          </w:p>
        </w:tc>
        <w:tc>
          <w:tcPr>
            <w:tcW w:w="709" w:type="dxa"/>
            <w:vAlign w:val="center"/>
          </w:tcPr>
          <w:p w14:paraId="18D9F814" w14:textId="7821C66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206023D2" w14:textId="42C6096F"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Comput</w:t>
            </w:r>
            <w:proofErr w:type="spellEnd"/>
            <w:r w:rsidRPr="00020D5E">
              <w:rPr>
                <w:rFonts w:asciiTheme="majorHAnsi" w:hAnsiTheme="majorHAnsi" w:cstheme="majorHAnsi"/>
                <w:i/>
                <w:iCs/>
                <w:color w:val="000000"/>
                <w:sz w:val="18"/>
                <w:szCs w:val="18"/>
              </w:rPr>
              <w:t xml:space="preserve"> Human </w:t>
            </w:r>
            <w:proofErr w:type="spellStart"/>
            <w:r w:rsidRPr="00020D5E">
              <w:rPr>
                <w:rFonts w:asciiTheme="majorHAnsi" w:hAnsiTheme="majorHAnsi" w:cstheme="majorHAnsi"/>
                <w:i/>
                <w:iCs/>
                <w:color w:val="000000"/>
                <w:sz w:val="18"/>
                <w:szCs w:val="18"/>
              </w:rPr>
              <w:t>Behav</w:t>
            </w:r>
            <w:proofErr w:type="spellEnd"/>
          </w:p>
        </w:tc>
        <w:tc>
          <w:tcPr>
            <w:tcW w:w="708" w:type="dxa"/>
            <w:noWrap/>
            <w:vAlign w:val="center"/>
          </w:tcPr>
          <w:p w14:paraId="3A00BF7F" w14:textId="1316B18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185</w:t>
            </w:r>
          </w:p>
        </w:tc>
        <w:tc>
          <w:tcPr>
            <w:tcW w:w="851" w:type="dxa"/>
            <w:noWrap/>
            <w:vAlign w:val="center"/>
          </w:tcPr>
          <w:p w14:paraId="49BF3611" w14:textId="68A48D0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21.04</w:t>
            </w:r>
          </w:p>
        </w:tc>
        <w:tc>
          <w:tcPr>
            <w:tcW w:w="850" w:type="dxa"/>
            <w:noWrap/>
            <w:vAlign w:val="center"/>
          </w:tcPr>
          <w:p w14:paraId="4789F63A" w14:textId="0BC27C3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12B7F6ED" w14:textId="2146DE8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36888C22" w14:textId="3DAE7A4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2F74CA5F" w14:textId="2F7C517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Instagram use</w:t>
            </w:r>
          </w:p>
        </w:tc>
        <w:tc>
          <w:tcPr>
            <w:tcW w:w="1134" w:type="dxa"/>
            <w:noWrap/>
            <w:vAlign w:val="center"/>
          </w:tcPr>
          <w:p w14:paraId="2E846612" w14:textId="656F316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4D320C87" w14:textId="40BFF96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Disorder Inventory (EDI; Garner</w:t>
            </w:r>
            <w:r w:rsidRPr="00020D5E">
              <w:rPr>
                <w:rFonts w:asciiTheme="majorHAnsi" w:hAnsiTheme="majorHAnsi" w:cstheme="majorHAnsi"/>
                <w:color w:val="000000"/>
                <w:sz w:val="18"/>
                <w:szCs w:val="18"/>
              </w:rPr>
              <w:br/>
              <w:t>et al., 1983),</w:t>
            </w:r>
          </w:p>
        </w:tc>
        <w:tc>
          <w:tcPr>
            <w:tcW w:w="709" w:type="dxa"/>
            <w:vAlign w:val="center"/>
          </w:tcPr>
          <w:p w14:paraId="72392F54" w14:textId="534C436D"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6</w:t>
            </w:r>
          </w:p>
        </w:tc>
        <w:tc>
          <w:tcPr>
            <w:tcW w:w="708" w:type="dxa"/>
            <w:vAlign w:val="center"/>
          </w:tcPr>
          <w:p w14:paraId="2F439F7B" w14:textId="6512AF89"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18548F5B" w14:textId="5049F2CC" w:rsidTr="00020D5E">
        <w:trPr>
          <w:trHeight w:val="300"/>
        </w:trPr>
        <w:tc>
          <w:tcPr>
            <w:tcW w:w="440" w:type="dxa"/>
            <w:shd w:val="clear" w:color="auto" w:fill="F2F2F2" w:themeFill="background1" w:themeFillShade="F2"/>
            <w:noWrap/>
          </w:tcPr>
          <w:p w14:paraId="023B73E3"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27</w:t>
            </w:r>
          </w:p>
        </w:tc>
        <w:tc>
          <w:tcPr>
            <w:tcW w:w="1256" w:type="dxa"/>
            <w:shd w:val="clear" w:color="auto" w:fill="F2F2F2" w:themeFill="background1" w:themeFillShade="F2"/>
            <w:noWrap/>
            <w:vAlign w:val="center"/>
          </w:tcPr>
          <w:p w14:paraId="3DD98024" w14:textId="6996C41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Holland</w:t>
            </w:r>
          </w:p>
        </w:tc>
        <w:tc>
          <w:tcPr>
            <w:tcW w:w="709" w:type="dxa"/>
            <w:vAlign w:val="center"/>
          </w:tcPr>
          <w:p w14:paraId="3CD4FD91" w14:textId="2DB2412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1022EEBE" w14:textId="00E3F5C8"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Int J Eat </w:t>
            </w:r>
            <w:proofErr w:type="spellStart"/>
            <w:r w:rsidRPr="00020D5E">
              <w:rPr>
                <w:rFonts w:asciiTheme="majorHAnsi" w:hAnsiTheme="majorHAnsi" w:cstheme="majorHAnsi"/>
                <w:i/>
                <w:iCs/>
                <w:color w:val="000000"/>
                <w:sz w:val="18"/>
                <w:szCs w:val="18"/>
              </w:rPr>
              <w:t>Disord</w:t>
            </w:r>
            <w:proofErr w:type="spellEnd"/>
          </w:p>
        </w:tc>
        <w:tc>
          <w:tcPr>
            <w:tcW w:w="708" w:type="dxa"/>
            <w:noWrap/>
            <w:vAlign w:val="center"/>
          </w:tcPr>
          <w:p w14:paraId="5C15B328" w14:textId="4140A4F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203</w:t>
            </w:r>
          </w:p>
        </w:tc>
        <w:tc>
          <w:tcPr>
            <w:tcW w:w="851" w:type="dxa"/>
            <w:noWrap/>
            <w:vAlign w:val="center"/>
          </w:tcPr>
          <w:p w14:paraId="4786DA5A" w14:textId="68050EE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Fitspiration (26.05) Travel (30.51)</w:t>
            </w:r>
          </w:p>
        </w:tc>
        <w:tc>
          <w:tcPr>
            <w:tcW w:w="850" w:type="dxa"/>
            <w:noWrap/>
            <w:vAlign w:val="center"/>
          </w:tcPr>
          <w:p w14:paraId="1B7379DA" w14:textId="25190A0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38165ACA" w14:textId="0800C9B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Online</w:t>
            </w:r>
          </w:p>
        </w:tc>
        <w:tc>
          <w:tcPr>
            <w:tcW w:w="1276" w:type="dxa"/>
            <w:noWrap/>
            <w:vAlign w:val="center"/>
          </w:tcPr>
          <w:p w14:paraId="4CA5D2DF" w14:textId="57EEC58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10978689" w14:textId="4F4F29D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Type of images posts on Instagram</w:t>
            </w:r>
          </w:p>
        </w:tc>
        <w:tc>
          <w:tcPr>
            <w:tcW w:w="1134" w:type="dxa"/>
            <w:noWrap/>
            <w:vAlign w:val="center"/>
          </w:tcPr>
          <w:p w14:paraId="20110139" w14:textId="4544EF9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64EA61E6" w14:textId="1FCFC7D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disorder inventory (EDI)</w:t>
            </w:r>
          </w:p>
        </w:tc>
        <w:tc>
          <w:tcPr>
            <w:tcW w:w="709" w:type="dxa"/>
            <w:vAlign w:val="center"/>
          </w:tcPr>
          <w:p w14:paraId="3559C026" w14:textId="2FC39A85"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3FF45008" w14:textId="18E516EE"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5A184193" w14:textId="1AAF072B" w:rsidTr="00020D5E">
        <w:trPr>
          <w:trHeight w:val="300"/>
        </w:trPr>
        <w:tc>
          <w:tcPr>
            <w:tcW w:w="440" w:type="dxa"/>
            <w:shd w:val="clear" w:color="auto" w:fill="F2F2F2" w:themeFill="background1" w:themeFillShade="F2"/>
            <w:noWrap/>
          </w:tcPr>
          <w:p w14:paraId="7F0C42B6"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28</w:t>
            </w:r>
          </w:p>
        </w:tc>
        <w:tc>
          <w:tcPr>
            <w:tcW w:w="1256" w:type="dxa"/>
            <w:shd w:val="clear" w:color="auto" w:fill="F2F2F2" w:themeFill="background1" w:themeFillShade="F2"/>
            <w:noWrap/>
            <w:vAlign w:val="center"/>
          </w:tcPr>
          <w:p w14:paraId="14684A37" w14:textId="4DFA461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Hsieh</w:t>
            </w:r>
          </w:p>
        </w:tc>
        <w:tc>
          <w:tcPr>
            <w:tcW w:w="709" w:type="dxa"/>
            <w:vAlign w:val="center"/>
          </w:tcPr>
          <w:p w14:paraId="5A5928E7" w14:textId="155ECB5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2018</w:t>
            </w:r>
          </w:p>
        </w:tc>
        <w:tc>
          <w:tcPr>
            <w:tcW w:w="1418" w:type="dxa"/>
            <w:vAlign w:val="center"/>
          </w:tcPr>
          <w:p w14:paraId="1CF677B8" w14:textId="70AAFE20"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Int J </w:t>
            </w:r>
            <w:proofErr w:type="spellStart"/>
            <w:r w:rsidRPr="00020D5E">
              <w:rPr>
                <w:rFonts w:asciiTheme="majorHAnsi" w:hAnsiTheme="majorHAnsi" w:cstheme="majorHAnsi"/>
                <w:i/>
                <w:iCs/>
                <w:color w:val="000000"/>
                <w:sz w:val="18"/>
                <w:szCs w:val="18"/>
              </w:rPr>
              <w:t>Envir</w:t>
            </w:r>
            <w:proofErr w:type="spellEnd"/>
            <w:r w:rsidRPr="00020D5E">
              <w:rPr>
                <w:rFonts w:asciiTheme="majorHAnsi" w:hAnsiTheme="majorHAnsi" w:cstheme="majorHAnsi"/>
                <w:i/>
                <w:iCs/>
                <w:color w:val="000000"/>
                <w:sz w:val="18"/>
                <w:szCs w:val="18"/>
              </w:rPr>
              <w:t xml:space="preserve"> Res Public Health</w:t>
            </w:r>
          </w:p>
        </w:tc>
        <w:tc>
          <w:tcPr>
            <w:tcW w:w="708" w:type="dxa"/>
            <w:noWrap/>
            <w:vAlign w:val="center"/>
          </w:tcPr>
          <w:p w14:paraId="7FF3CA76" w14:textId="1ABFE86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S1: n=500 S2: n=324</w:t>
            </w:r>
          </w:p>
        </w:tc>
        <w:tc>
          <w:tcPr>
            <w:tcW w:w="851" w:type="dxa"/>
            <w:noWrap/>
            <w:vAlign w:val="center"/>
          </w:tcPr>
          <w:p w14:paraId="46AB10B2" w14:textId="4F43CBE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22.1</w:t>
            </w:r>
          </w:p>
        </w:tc>
        <w:tc>
          <w:tcPr>
            <w:tcW w:w="850" w:type="dxa"/>
            <w:noWrap/>
            <w:vAlign w:val="center"/>
          </w:tcPr>
          <w:p w14:paraId="2BAC5202" w14:textId="76F31D6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52%</w:t>
            </w:r>
          </w:p>
        </w:tc>
        <w:tc>
          <w:tcPr>
            <w:tcW w:w="1276" w:type="dxa"/>
            <w:noWrap/>
            <w:vAlign w:val="center"/>
          </w:tcPr>
          <w:p w14:paraId="0CD2EC4C" w14:textId="67BB341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Taiwan</w:t>
            </w:r>
          </w:p>
        </w:tc>
        <w:tc>
          <w:tcPr>
            <w:tcW w:w="1276" w:type="dxa"/>
            <w:noWrap/>
            <w:vAlign w:val="center"/>
          </w:tcPr>
          <w:p w14:paraId="12BFE3B9" w14:textId="7E1CDE4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Prospective</w:t>
            </w:r>
          </w:p>
        </w:tc>
        <w:tc>
          <w:tcPr>
            <w:tcW w:w="1984" w:type="dxa"/>
            <w:noWrap/>
            <w:vAlign w:val="center"/>
          </w:tcPr>
          <w:p w14:paraId="668FE7F4" w14:textId="0B18EB0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Chen Internet Add Scale (CIAS)</w:t>
            </w:r>
          </w:p>
        </w:tc>
        <w:tc>
          <w:tcPr>
            <w:tcW w:w="1134" w:type="dxa"/>
            <w:noWrap/>
            <w:vAlign w:val="center"/>
          </w:tcPr>
          <w:p w14:paraId="39C25AE0" w14:textId="2CFAFC7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26F55EDB" w14:textId="34891F6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BSL-23 (two items for binge eating and induced vomiting)</w:t>
            </w:r>
          </w:p>
        </w:tc>
        <w:tc>
          <w:tcPr>
            <w:tcW w:w="709" w:type="dxa"/>
            <w:vAlign w:val="center"/>
          </w:tcPr>
          <w:p w14:paraId="168278B6" w14:textId="7E0BA5B2"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47B2C24E" w14:textId="19033CB1"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392AE9EA" w14:textId="2FD50154" w:rsidTr="00020D5E">
        <w:trPr>
          <w:trHeight w:val="300"/>
        </w:trPr>
        <w:tc>
          <w:tcPr>
            <w:tcW w:w="440" w:type="dxa"/>
            <w:shd w:val="clear" w:color="auto" w:fill="F2F2F2" w:themeFill="background1" w:themeFillShade="F2"/>
            <w:noWrap/>
          </w:tcPr>
          <w:p w14:paraId="6F988DAD"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29</w:t>
            </w:r>
          </w:p>
        </w:tc>
        <w:tc>
          <w:tcPr>
            <w:tcW w:w="1256" w:type="dxa"/>
            <w:shd w:val="clear" w:color="auto" w:fill="F2F2F2" w:themeFill="background1" w:themeFillShade="F2"/>
            <w:noWrap/>
            <w:vAlign w:val="center"/>
          </w:tcPr>
          <w:p w14:paraId="4A80078E" w14:textId="6AE3FCB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Hummel</w:t>
            </w:r>
          </w:p>
        </w:tc>
        <w:tc>
          <w:tcPr>
            <w:tcW w:w="709" w:type="dxa"/>
            <w:vAlign w:val="center"/>
          </w:tcPr>
          <w:p w14:paraId="261E1329" w14:textId="4762283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w:t>
            </w:r>
          </w:p>
        </w:tc>
        <w:tc>
          <w:tcPr>
            <w:tcW w:w="1418" w:type="dxa"/>
            <w:vAlign w:val="center"/>
          </w:tcPr>
          <w:p w14:paraId="6F2F5BF3" w14:textId="44589920"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Int J Eat </w:t>
            </w:r>
            <w:proofErr w:type="spellStart"/>
            <w:r w:rsidRPr="00020D5E">
              <w:rPr>
                <w:rFonts w:asciiTheme="majorHAnsi" w:hAnsiTheme="majorHAnsi" w:cstheme="majorHAnsi"/>
                <w:i/>
                <w:iCs/>
                <w:color w:val="000000"/>
                <w:sz w:val="18"/>
                <w:szCs w:val="18"/>
              </w:rPr>
              <w:t>Disord</w:t>
            </w:r>
            <w:proofErr w:type="spellEnd"/>
          </w:p>
        </w:tc>
        <w:tc>
          <w:tcPr>
            <w:tcW w:w="708" w:type="dxa"/>
            <w:noWrap/>
            <w:vAlign w:val="center"/>
          </w:tcPr>
          <w:p w14:paraId="2CAEA708" w14:textId="58ECD93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185</w:t>
            </w:r>
            <w:r w:rsidR="00021672">
              <w:rPr>
                <w:rFonts w:asciiTheme="majorHAnsi" w:hAnsiTheme="majorHAnsi" w:cstheme="majorHAnsi"/>
                <w:color w:val="000000"/>
                <w:sz w:val="18"/>
                <w:szCs w:val="18"/>
              </w:rPr>
              <w:t>/ 177</w:t>
            </w:r>
          </w:p>
        </w:tc>
        <w:tc>
          <w:tcPr>
            <w:tcW w:w="851" w:type="dxa"/>
            <w:noWrap/>
            <w:vAlign w:val="center"/>
          </w:tcPr>
          <w:p w14:paraId="434AAC95" w14:textId="45222D8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18.7</w:t>
            </w:r>
          </w:p>
        </w:tc>
        <w:tc>
          <w:tcPr>
            <w:tcW w:w="850" w:type="dxa"/>
            <w:noWrap/>
            <w:vAlign w:val="center"/>
          </w:tcPr>
          <w:p w14:paraId="22CB9F55" w14:textId="30BC83D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73.2%</w:t>
            </w:r>
          </w:p>
        </w:tc>
        <w:tc>
          <w:tcPr>
            <w:tcW w:w="1276" w:type="dxa"/>
            <w:noWrap/>
            <w:vAlign w:val="center"/>
          </w:tcPr>
          <w:p w14:paraId="78AC3320" w14:textId="3FD9CF5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01325C1F" w14:textId="0B861D1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Prospective</w:t>
            </w:r>
          </w:p>
        </w:tc>
        <w:tc>
          <w:tcPr>
            <w:tcW w:w="1984" w:type="dxa"/>
            <w:noWrap/>
            <w:vAlign w:val="center"/>
          </w:tcPr>
          <w:p w14:paraId="0404D0BB" w14:textId="4E80F76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Facebook use</w:t>
            </w:r>
          </w:p>
        </w:tc>
        <w:tc>
          <w:tcPr>
            <w:tcW w:w="1134" w:type="dxa"/>
            <w:noWrap/>
            <w:vAlign w:val="center"/>
          </w:tcPr>
          <w:p w14:paraId="47C843A4" w14:textId="7D99B1D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1DD7CD9F" w14:textId="0FDA9AB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Disorder Examination Questionnaire (EDEQ-4).</w:t>
            </w:r>
          </w:p>
        </w:tc>
        <w:tc>
          <w:tcPr>
            <w:tcW w:w="709" w:type="dxa"/>
            <w:vAlign w:val="center"/>
          </w:tcPr>
          <w:p w14:paraId="72A977B8" w14:textId="1FE0A583"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19A0C8F0" w14:textId="2C3C15BD"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4A48935B" w14:textId="4849555C" w:rsidTr="00020D5E">
        <w:trPr>
          <w:trHeight w:val="300"/>
        </w:trPr>
        <w:tc>
          <w:tcPr>
            <w:tcW w:w="440" w:type="dxa"/>
            <w:shd w:val="clear" w:color="auto" w:fill="F2F2F2" w:themeFill="background1" w:themeFillShade="F2"/>
            <w:noWrap/>
          </w:tcPr>
          <w:p w14:paraId="3E5C9099"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30</w:t>
            </w:r>
          </w:p>
        </w:tc>
        <w:tc>
          <w:tcPr>
            <w:tcW w:w="1256" w:type="dxa"/>
            <w:shd w:val="clear" w:color="auto" w:fill="F2F2F2" w:themeFill="background1" w:themeFillShade="F2"/>
            <w:noWrap/>
            <w:vAlign w:val="center"/>
          </w:tcPr>
          <w:p w14:paraId="00240837" w14:textId="3315D19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Ivezaj</w:t>
            </w:r>
            <w:proofErr w:type="spellEnd"/>
          </w:p>
        </w:tc>
        <w:tc>
          <w:tcPr>
            <w:tcW w:w="709" w:type="dxa"/>
            <w:vAlign w:val="center"/>
          </w:tcPr>
          <w:p w14:paraId="1047BBE8" w14:textId="5098A4D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78885CE0" w14:textId="4A34313A"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Addict </w:t>
            </w:r>
            <w:proofErr w:type="spellStart"/>
            <w:r w:rsidRPr="00020D5E">
              <w:rPr>
                <w:rFonts w:asciiTheme="majorHAnsi" w:hAnsiTheme="majorHAnsi" w:cstheme="majorHAnsi"/>
                <w:i/>
                <w:iCs/>
                <w:color w:val="000000"/>
                <w:sz w:val="18"/>
                <w:szCs w:val="18"/>
              </w:rPr>
              <w:t>Behav</w:t>
            </w:r>
            <w:proofErr w:type="spellEnd"/>
          </w:p>
        </w:tc>
        <w:tc>
          <w:tcPr>
            <w:tcW w:w="708" w:type="dxa"/>
            <w:vAlign w:val="center"/>
          </w:tcPr>
          <w:p w14:paraId="015BD62A" w14:textId="21C6631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1,000</w:t>
            </w:r>
          </w:p>
        </w:tc>
        <w:tc>
          <w:tcPr>
            <w:tcW w:w="851" w:type="dxa"/>
            <w:vAlign w:val="center"/>
          </w:tcPr>
          <w:p w14:paraId="3B33B4DE" w14:textId="4C2DAAA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34</w:t>
            </w:r>
          </w:p>
        </w:tc>
        <w:tc>
          <w:tcPr>
            <w:tcW w:w="850" w:type="dxa"/>
            <w:noWrap/>
            <w:vAlign w:val="center"/>
          </w:tcPr>
          <w:p w14:paraId="49AE85EC" w14:textId="0EF7DA4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86.80%</w:t>
            </w:r>
          </w:p>
        </w:tc>
        <w:tc>
          <w:tcPr>
            <w:tcW w:w="1276" w:type="dxa"/>
            <w:noWrap/>
            <w:vAlign w:val="center"/>
          </w:tcPr>
          <w:p w14:paraId="475482A7" w14:textId="557E807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10252B4B" w14:textId="671590F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7CFAA1ED" w14:textId="449FB1E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At-risk problematic use of internet OR PIU</w:t>
            </w:r>
          </w:p>
        </w:tc>
        <w:tc>
          <w:tcPr>
            <w:tcW w:w="1134" w:type="dxa"/>
            <w:noWrap/>
            <w:vAlign w:val="center"/>
          </w:tcPr>
          <w:p w14:paraId="3622FE74" w14:textId="3B91132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19D7372F" w14:textId="506D9CD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Disorder Examination-Questionnaire (EDE-Q; Fairburn &amp; Beglin, 1994); Yale Food Addiction Scale (YFAS)</w:t>
            </w:r>
          </w:p>
        </w:tc>
        <w:tc>
          <w:tcPr>
            <w:tcW w:w="709" w:type="dxa"/>
            <w:vAlign w:val="center"/>
          </w:tcPr>
          <w:p w14:paraId="6973AC1B" w14:textId="083A5235"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10</w:t>
            </w:r>
          </w:p>
        </w:tc>
        <w:tc>
          <w:tcPr>
            <w:tcW w:w="708" w:type="dxa"/>
            <w:vAlign w:val="center"/>
          </w:tcPr>
          <w:p w14:paraId="405C90C6" w14:textId="181AB96C"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6F5BB3DB" w14:textId="3A2ADA6A" w:rsidTr="00020D5E">
        <w:trPr>
          <w:trHeight w:val="300"/>
        </w:trPr>
        <w:tc>
          <w:tcPr>
            <w:tcW w:w="440" w:type="dxa"/>
            <w:shd w:val="clear" w:color="auto" w:fill="F2F2F2" w:themeFill="background1" w:themeFillShade="F2"/>
            <w:noWrap/>
          </w:tcPr>
          <w:p w14:paraId="5D49EC4A"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31</w:t>
            </w:r>
          </w:p>
        </w:tc>
        <w:tc>
          <w:tcPr>
            <w:tcW w:w="1256" w:type="dxa"/>
            <w:shd w:val="clear" w:color="auto" w:fill="F2F2F2" w:themeFill="background1" w:themeFillShade="F2"/>
            <w:noWrap/>
            <w:vAlign w:val="center"/>
          </w:tcPr>
          <w:p w14:paraId="77FAB1BD" w14:textId="57E474A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Kamal</w:t>
            </w:r>
          </w:p>
        </w:tc>
        <w:tc>
          <w:tcPr>
            <w:tcW w:w="709" w:type="dxa"/>
            <w:vAlign w:val="center"/>
          </w:tcPr>
          <w:p w14:paraId="47EC03BD" w14:textId="725C968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2018</w:t>
            </w:r>
          </w:p>
        </w:tc>
        <w:tc>
          <w:tcPr>
            <w:tcW w:w="1418" w:type="dxa"/>
            <w:vAlign w:val="center"/>
          </w:tcPr>
          <w:p w14:paraId="548AAB60" w14:textId="650824D7"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Int J </w:t>
            </w:r>
            <w:proofErr w:type="spellStart"/>
            <w:r w:rsidRPr="00020D5E">
              <w:rPr>
                <w:rFonts w:asciiTheme="majorHAnsi" w:hAnsiTheme="majorHAnsi" w:cstheme="majorHAnsi"/>
                <w:i/>
                <w:iCs/>
                <w:color w:val="000000"/>
                <w:sz w:val="18"/>
                <w:szCs w:val="18"/>
              </w:rPr>
              <w:t>Prev</w:t>
            </w:r>
            <w:proofErr w:type="spellEnd"/>
            <w:r w:rsidRPr="00020D5E">
              <w:rPr>
                <w:rFonts w:asciiTheme="majorHAnsi" w:hAnsiTheme="majorHAnsi" w:cstheme="majorHAnsi"/>
                <w:i/>
                <w:iCs/>
                <w:color w:val="000000"/>
                <w:sz w:val="18"/>
                <w:szCs w:val="18"/>
              </w:rPr>
              <w:t xml:space="preserve"> Med</w:t>
            </w:r>
          </w:p>
        </w:tc>
        <w:tc>
          <w:tcPr>
            <w:tcW w:w="708" w:type="dxa"/>
            <w:noWrap/>
            <w:vAlign w:val="center"/>
          </w:tcPr>
          <w:p w14:paraId="67819E36" w14:textId="52D438E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2,365</w:t>
            </w:r>
          </w:p>
        </w:tc>
        <w:tc>
          <w:tcPr>
            <w:tcW w:w="851" w:type="dxa"/>
            <w:noWrap/>
            <w:vAlign w:val="center"/>
          </w:tcPr>
          <w:p w14:paraId="729F75E0" w14:textId="7C9EDA5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21</w:t>
            </w:r>
          </w:p>
        </w:tc>
        <w:tc>
          <w:tcPr>
            <w:tcW w:w="850" w:type="dxa"/>
            <w:noWrap/>
            <w:vAlign w:val="center"/>
          </w:tcPr>
          <w:p w14:paraId="6A7A00AB" w14:textId="4B1A46A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44.1%</w:t>
            </w:r>
          </w:p>
        </w:tc>
        <w:tc>
          <w:tcPr>
            <w:tcW w:w="1276" w:type="dxa"/>
            <w:noWrap/>
            <w:vAlign w:val="center"/>
          </w:tcPr>
          <w:p w14:paraId="65788858" w14:textId="1BE3896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Egypt</w:t>
            </w:r>
          </w:p>
        </w:tc>
        <w:tc>
          <w:tcPr>
            <w:tcW w:w="1276" w:type="dxa"/>
            <w:noWrap/>
            <w:vAlign w:val="center"/>
          </w:tcPr>
          <w:p w14:paraId="5C138B35" w14:textId="41669BF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74D05807" w14:textId="341D0C8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Problematic Internet Use Scale (PIUS)</w:t>
            </w:r>
          </w:p>
        </w:tc>
        <w:tc>
          <w:tcPr>
            <w:tcW w:w="1134" w:type="dxa"/>
            <w:noWrap/>
            <w:vAlign w:val="center"/>
          </w:tcPr>
          <w:p w14:paraId="77CDF455" w14:textId="0B1ACEE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192504B8" w14:textId="1826EB5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EAT-26</w:t>
            </w:r>
          </w:p>
        </w:tc>
        <w:tc>
          <w:tcPr>
            <w:tcW w:w="709" w:type="dxa"/>
            <w:vAlign w:val="center"/>
          </w:tcPr>
          <w:p w14:paraId="795F801A" w14:textId="407076E6"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1909F039" w14:textId="27AD5B1D"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M</w:t>
            </w:r>
          </w:p>
        </w:tc>
      </w:tr>
      <w:tr w:rsidR="007B5D58" w:rsidRPr="00B514A7" w14:paraId="14FDE80B" w14:textId="2D517AC6" w:rsidTr="00020D5E">
        <w:trPr>
          <w:trHeight w:val="300"/>
        </w:trPr>
        <w:tc>
          <w:tcPr>
            <w:tcW w:w="440" w:type="dxa"/>
            <w:shd w:val="clear" w:color="auto" w:fill="F2F2F2" w:themeFill="background1" w:themeFillShade="F2"/>
            <w:noWrap/>
          </w:tcPr>
          <w:p w14:paraId="2C0FCECC"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32</w:t>
            </w:r>
          </w:p>
        </w:tc>
        <w:tc>
          <w:tcPr>
            <w:tcW w:w="1256" w:type="dxa"/>
            <w:shd w:val="clear" w:color="auto" w:fill="F2F2F2" w:themeFill="background1" w:themeFillShade="F2"/>
            <w:noWrap/>
            <w:vAlign w:val="center"/>
          </w:tcPr>
          <w:p w14:paraId="757D33DC" w14:textId="047A3DE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Kelly</w:t>
            </w:r>
          </w:p>
        </w:tc>
        <w:tc>
          <w:tcPr>
            <w:tcW w:w="709" w:type="dxa"/>
            <w:vAlign w:val="center"/>
          </w:tcPr>
          <w:p w14:paraId="06D231D1" w14:textId="60A65D3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2019</w:t>
            </w:r>
          </w:p>
        </w:tc>
        <w:tc>
          <w:tcPr>
            <w:tcW w:w="1418" w:type="dxa"/>
            <w:vAlign w:val="center"/>
          </w:tcPr>
          <w:p w14:paraId="56815CBA" w14:textId="4F515357"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EClinical</w:t>
            </w:r>
            <w:proofErr w:type="spellEnd"/>
            <w:r w:rsidRPr="00020D5E">
              <w:rPr>
                <w:rFonts w:asciiTheme="majorHAnsi" w:hAnsiTheme="majorHAnsi" w:cstheme="majorHAnsi"/>
                <w:i/>
                <w:iCs/>
                <w:color w:val="000000"/>
                <w:sz w:val="18"/>
                <w:szCs w:val="18"/>
              </w:rPr>
              <w:t xml:space="preserve"> Medicine</w:t>
            </w:r>
          </w:p>
        </w:tc>
        <w:tc>
          <w:tcPr>
            <w:tcW w:w="708" w:type="dxa"/>
            <w:noWrap/>
            <w:vAlign w:val="center"/>
          </w:tcPr>
          <w:p w14:paraId="5F3B7143" w14:textId="3298D88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10,904</w:t>
            </w:r>
          </w:p>
        </w:tc>
        <w:tc>
          <w:tcPr>
            <w:tcW w:w="851" w:type="dxa"/>
            <w:noWrap/>
            <w:vAlign w:val="center"/>
          </w:tcPr>
          <w:p w14:paraId="0674F860" w14:textId="5C28074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14.3</w:t>
            </w:r>
          </w:p>
        </w:tc>
        <w:tc>
          <w:tcPr>
            <w:tcW w:w="850" w:type="dxa"/>
            <w:noWrap/>
            <w:vAlign w:val="center"/>
          </w:tcPr>
          <w:p w14:paraId="506936F8" w14:textId="06ACDE7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50%</w:t>
            </w:r>
          </w:p>
        </w:tc>
        <w:tc>
          <w:tcPr>
            <w:tcW w:w="1276" w:type="dxa"/>
            <w:noWrap/>
            <w:vAlign w:val="center"/>
          </w:tcPr>
          <w:p w14:paraId="6F6E957E" w14:textId="30DFE66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UK</w:t>
            </w:r>
          </w:p>
        </w:tc>
        <w:tc>
          <w:tcPr>
            <w:tcW w:w="1276" w:type="dxa"/>
            <w:noWrap/>
            <w:vAlign w:val="center"/>
          </w:tcPr>
          <w:p w14:paraId="0069F4F8" w14:textId="187AE6F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7BE77AAC" w14:textId="699208D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Social Networking and messaging site use (duration) / Cyberbullying (victim/perpetrator)</w:t>
            </w:r>
          </w:p>
        </w:tc>
        <w:tc>
          <w:tcPr>
            <w:tcW w:w="1134" w:type="dxa"/>
            <w:noWrap/>
            <w:vAlign w:val="center"/>
          </w:tcPr>
          <w:p w14:paraId="7A5A1B9B" w14:textId="56882F6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Cyber-bullying</w:t>
            </w:r>
          </w:p>
        </w:tc>
        <w:tc>
          <w:tcPr>
            <w:tcW w:w="1985" w:type="dxa"/>
            <w:vAlign w:val="center"/>
          </w:tcPr>
          <w:p w14:paraId="0594FA40" w14:textId="281E405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weight satisfaction was assessed from 3 items</w:t>
            </w:r>
          </w:p>
        </w:tc>
        <w:tc>
          <w:tcPr>
            <w:tcW w:w="709" w:type="dxa"/>
            <w:vAlign w:val="center"/>
          </w:tcPr>
          <w:p w14:paraId="3DA8DB29" w14:textId="358E1F83"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11</w:t>
            </w:r>
          </w:p>
        </w:tc>
        <w:tc>
          <w:tcPr>
            <w:tcW w:w="708" w:type="dxa"/>
            <w:vAlign w:val="center"/>
          </w:tcPr>
          <w:p w14:paraId="29DFBD05" w14:textId="54481BD5"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397FFB60" w14:textId="07634069" w:rsidTr="00020D5E">
        <w:trPr>
          <w:trHeight w:val="300"/>
        </w:trPr>
        <w:tc>
          <w:tcPr>
            <w:tcW w:w="440" w:type="dxa"/>
            <w:shd w:val="clear" w:color="auto" w:fill="F2F2F2" w:themeFill="background1" w:themeFillShade="F2"/>
            <w:noWrap/>
          </w:tcPr>
          <w:p w14:paraId="6BBBB9E5"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33</w:t>
            </w:r>
          </w:p>
        </w:tc>
        <w:tc>
          <w:tcPr>
            <w:tcW w:w="1256" w:type="dxa"/>
            <w:shd w:val="clear" w:color="auto" w:fill="F2F2F2" w:themeFill="background1" w:themeFillShade="F2"/>
            <w:noWrap/>
            <w:vAlign w:val="center"/>
          </w:tcPr>
          <w:p w14:paraId="1BD78679" w14:textId="180F4A3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Kenny</w:t>
            </w:r>
          </w:p>
        </w:tc>
        <w:tc>
          <w:tcPr>
            <w:tcW w:w="709" w:type="dxa"/>
            <w:vAlign w:val="center"/>
          </w:tcPr>
          <w:p w14:paraId="1BBA0355" w14:textId="1D9EDD5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16D7C7EE" w14:textId="7DF6FF34"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J Health </w:t>
            </w:r>
            <w:proofErr w:type="spellStart"/>
            <w:r w:rsidRPr="00020D5E">
              <w:rPr>
                <w:rFonts w:asciiTheme="majorHAnsi" w:hAnsiTheme="majorHAnsi" w:cstheme="majorHAnsi"/>
                <w:i/>
                <w:iCs/>
                <w:color w:val="000000"/>
                <w:sz w:val="18"/>
                <w:szCs w:val="18"/>
              </w:rPr>
              <w:t>Psychol</w:t>
            </w:r>
            <w:proofErr w:type="spellEnd"/>
          </w:p>
        </w:tc>
        <w:tc>
          <w:tcPr>
            <w:tcW w:w="708" w:type="dxa"/>
            <w:noWrap/>
            <w:vAlign w:val="center"/>
          </w:tcPr>
          <w:p w14:paraId="364E823C" w14:textId="2CB88E1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7,320</w:t>
            </w:r>
          </w:p>
        </w:tc>
        <w:tc>
          <w:tcPr>
            <w:tcW w:w="851" w:type="dxa"/>
            <w:noWrap/>
            <w:vAlign w:val="center"/>
          </w:tcPr>
          <w:p w14:paraId="7CE70D10" w14:textId="170515E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7320</w:t>
            </w:r>
          </w:p>
        </w:tc>
        <w:tc>
          <w:tcPr>
            <w:tcW w:w="850" w:type="dxa"/>
            <w:noWrap/>
            <w:vAlign w:val="center"/>
          </w:tcPr>
          <w:p w14:paraId="46ED13C7" w14:textId="3925BE5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59.20%</w:t>
            </w:r>
          </w:p>
        </w:tc>
        <w:tc>
          <w:tcPr>
            <w:tcW w:w="1276" w:type="dxa"/>
            <w:noWrap/>
            <w:vAlign w:val="center"/>
          </w:tcPr>
          <w:p w14:paraId="101C819A" w14:textId="7803183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Ireland</w:t>
            </w:r>
          </w:p>
        </w:tc>
        <w:tc>
          <w:tcPr>
            <w:tcW w:w="1276" w:type="dxa"/>
            <w:noWrap/>
            <w:vAlign w:val="center"/>
          </w:tcPr>
          <w:p w14:paraId="30A4AF49" w14:textId="132B7D4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38E56228" w14:textId="226A920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Cyberbullying victimization (participants are victims)</w:t>
            </w:r>
          </w:p>
        </w:tc>
        <w:tc>
          <w:tcPr>
            <w:tcW w:w="1134" w:type="dxa"/>
            <w:noWrap/>
            <w:vAlign w:val="center"/>
          </w:tcPr>
          <w:p w14:paraId="52F35BD1" w14:textId="2E63E03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Cyber-bullying</w:t>
            </w:r>
          </w:p>
        </w:tc>
        <w:tc>
          <w:tcPr>
            <w:tcW w:w="1985" w:type="dxa"/>
            <w:vAlign w:val="center"/>
          </w:tcPr>
          <w:p w14:paraId="285CFF80" w14:textId="2B963E9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dissatisfaction (1-item)</w:t>
            </w:r>
          </w:p>
        </w:tc>
        <w:tc>
          <w:tcPr>
            <w:tcW w:w="709" w:type="dxa"/>
            <w:vAlign w:val="center"/>
          </w:tcPr>
          <w:p w14:paraId="3B7651ED" w14:textId="285BA2C8"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8</w:t>
            </w:r>
          </w:p>
        </w:tc>
        <w:tc>
          <w:tcPr>
            <w:tcW w:w="708" w:type="dxa"/>
            <w:vAlign w:val="center"/>
          </w:tcPr>
          <w:p w14:paraId="05AABC96" w14:textId="6D608BAC"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73108986" w14:textId="02118210" w:rsidTr="00020D5E">
        <w:trPr>
          <w:trHeight w:val="300"/>
        </w:trPr>
        <w:tc>
          <w:tcPr>
            <w:tcW w:w="440" w:type="dxa"/>
            <w:shd w:val="clear" w:color="auto" w:fill="F2F2F2" w:themeFill="background1" w:themeFillShade="F2"/>
            <w:noWrap/>
          </w:tcPr>
          <w:p w14:paraId="7DDB626B"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34</w:t>
            </w:r>
          </w:p>
        </w:tc>
        <w:tc>
          <w:tcPr>
            <w:tcW w:w="1256" w:type="dxa"/>
            <w:shd w:val="clear" w:color="auto" w:fill="F2F2F2" w:themeFill="background1" w:themeFillShade="F2"/>
            <w:noWrap/>
            <w:vAlign w:val="center"/>
          </w:tcPr>
          <w:p w14:paraId="645BAD30" w14:textId="433F8E4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Kim</w:t>
            </w:r>
          </w:p>
        </w:tc>
        <w:tc>
          <w:tcPr>
            <w:tcW w:w="709" w:type="dxa"/>
            <w:vAlign w:val="center"/>
          </w:tcPr>
          <w:p w14:paraId="135A9BC8" w14:textId="78431FB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w:t>
            </w:r>
          </w:p>
        </w:tc>
        <w:tc>
          <w:tcPr>
            <w:tcW w:w="1418" w:type="dxa"/>
            <w:vAlign w:val="center"/>
          </w:tcPr>
          <w:p w14:paraId="5FC1728A" w14:textId="4224F0CC"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Comput</w:t>
            </w:r>
            <w:proofErr w:type="spellEnd"/>
            <w:r w:rsidRPr="00020D5E">
              <w:rPr>
                <w:rFonts w:asciiTheme="majorHAnsi" w:hAnsiTheme="majorHAnsi" w:cstheme="majorHAnsi"/>
                <w:i/>
                <w:iCs/>
                <w:color w:val="000000"/>
                <w:sz w:val="18"/>
                <w:szCs w:val="18"/>
              </w:rPr>
              <w:t xml:space="preserve"> Human </w:t>
            </w:r>
            <w:proofErr w:type="spellStart"/>
            <w:r w:rsidRPr="00020D5E">
              <w:rPr>
                <w:rFonts w:asciiTheme="majorHAnsi" w:hAnsiTheme="majorHAnsi" w:cstheme="majorHAnsi"/>
                <w:i/>
                <w:iCs/>
                <w:color w:val="000000"/>
                <w:sz w:val="18"/>
                <w:szCs w:val="18"/>
              </w:rPr>
              <w:t>Behav</w:t>
            </w:r>
            <w:proofErr w:type="spellEnd"/>
          </w:p>
        </w:tc>
        <w:tc>
          <w:tcPr>
            <w:tcW w:w="708" w:type="dxa"/>
            <w:noWrap/>
            <w:vAlign w:val="center"/>
          </w:tcPr>
          <w:p w14:paraId="2C0FF044" w14:textId="29C5F52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186</w:t>
            </w:r>
          </w:p>
        </w:tc>
        <w:tc>
          <w:tcPr>
            <w:tcW w:w="851" w:type="dxa"/>
            <w:noWrap/>
            <w:vAlign w:val="center"/>
          </w:tcPr>
          <w:p w14:paraId="7A8134C5" w14:textId="2A5B22C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19.8</w:t>
            </w:r>
          </w:p>
        </w:tc>
        <w:tc>
          <w:tcPr>
            <w:tcW w:w="850" w:type="dxa"/>
            <w:noWrap/>
            <w:vAlign w:val="center"/>
          </w:tcPr>
          <w:p w14:paraId="49D26220" w14:textId="0552E47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64%</w:t>
            </w:r>
          </w:p>
        </w:tc>
        <w:tc>
          <w:tcPr>
            <w:tcW w:w="1276" w:type="dxa"/>
            <w:noWrap/>
            <w:vAlign w:val="center"/>
          </w:tcPr>
          <w:p w14:paraId="270B4982" w14:textId="5E034E2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770FB892" w14:textId="3DFC6CF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3128A9A8" w14:textId="6D71C40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SNS use</w:t>
            </w:r>
          </w:p>
        </w:tc>
        <w:tc>
          <w:tcPr>
            <w:tcW w:w="1134" w:type="dxa"/>
            <w:noWrap/>
            <w:vAlign w:val="center"/>
          </w:tcPr>
          <w:p w14:paraId="00016C2D" w14:textId="303D3D8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4D1229DE" w14:textId="17EC757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EDI-DFT subscale;</w:t>
            </w:r>
          </w:p>
        </w:tc>
        <w:tc>
          <w:tcPr>
            <w:tcW w:w="709" w:type="dxa"/>
            <w:vAlign w:val="center"/>
          </w:tcPr>
          <w:p w14:paraId="211B182F" w14:textId="5E80A35A"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6</w:t>
            </w:r>
          </w:p>
        </w:tc>
        <w:tc>
          <w:tcPr>
            <w:tcW w:w="708" w:type="dxa"/>
            <w:vAlign w:val="center"/>
          </w:tcPr>
          <w:p w14:paraId="74B762CC" w14:textId="408D3948"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3AD2827F" w14:textId="3A5614CA" w:rsidTr="00020D5E">
        <w:trPr>
          <w:trHeight w:val="300"/>
        </w:trPr>
        <w:tc>
          <w:tcPr>
            <w:tcW w:w="440" w:type="dxa"/>
            <w:shd w:val="clear" w:color="auto" w:fill="F2F2F2" w:themeFill="background1" w:themeFillShade="F2"/>
            <w:noWrap/>
          </w:tcPr>
          <w:p w14:paraId="5C78DDA1"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35</w:t>
            </w:r>
          </w:p>
        </w:tc>
        <w:tc>
          <w:tcPr>
            <w:tcW w:w="1256" w:type="dxa"/>
            <w:shd w:val="clear" w:color="auto" w:fill="F2F2F2" w:themeFill="background1" w:themeFillShade="F2"/>
            <w:noWrap/>
            <w:vAlign w:val="center"/>
          </w:tcPr>
          <w:p w14:paraId="23DB3E62" w14:textId="1E368DD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Kvardova</w:t>
            </w:r>
            <w:proofErr w:type="spellEnd"/>
          </w:p>
        </w:tc>
        <w:tc>
          <w:tcPr>
            <w:tcW w:w="709" w:type="dxa"/>
            <w:vAlign w:val="center"/>
          </w:tcPr>
          <w:p w14:paraId="0B6510C0" w14:textId="2DED234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2020</w:t>
            </w:r>
          </w:p>
        </w:tc>
        <w:tc>
          <w:tcPr>
            <w:tcW w:w="1418" w:type="dxa"/>
            <w:vAlign w:val="center"/>
          </w:tcPr>
          <w:p w14:paraId="00AFD587" w14:textId="7D6EA238"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Int J Environ Res Public Health</w:t>
            </w:r>
          </w:p>
        </w:tc>
        <w:tc>
          <w:tcPr>
            <w:tcW w:w="708" w:type="dxa"/>
            <w:noWrap/>
            <w:vAlign w:val="center"/>
          </w:tcPr>
          <w:p w14:paraId="2CF507B9" w14:textId="6135B92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445</w:t>
            </w:r>
          </w:p>
        </w:tc>
        <w:tc>
          <w:tcPr>
            <w:tcW w:w="851" w:type="dxa"/>
            <w:noWrap/>
            <w:vAlign w:val="center"/>
          </w:tcPr>
          <w:p w14:paraId="4F36210B" w14:textId="650D73D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23.5</w:t>
            </w:r>
          </w:p>
        </w:tc>
        <w:tc>
          <w:tcPr>
            <w:tcW w:w="850" w:type="dxa"/>
            <w:noWrap/>
            <w:vAlign w:val="center"/>
          </w:tcPr>
          <w:p w14:paraId="6A9E7EDB" w14:textId="5023164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5D758BEC" w14:textId="6D1A09E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Czech Republic</w:t>
            </w:r>
          </w:p>
        </w:tc>
        <w:tc>
          <w:tcPr>
            <w:tcW w:w="1276" w:type="dxa"/>
            <w:noWrap/>
            <w:vAlign w:val="center"/>
          </w:tcPr>
          <w:p w14:paraId="0185B9F3" w14:textId="6563A2E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023B5142" w14:textId="407B23E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Web Content Internalization (WCI)</w:t>
            </w:r>
          </w:p>
        </w:tc>
        <w:tc>
          <w:tcPr>
            <w:tcW w:w="1134" w:type="dxa"/>
            <w:noWrap/>
            <w:vAlign w:val="center"/>
          </w:tcPr>
          <w:p w14:paraId="38A90A60" w14:textId="7E14DB0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58D841AE" w14:textId="44B54D4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Disorder Inventory-3; Drive for thinness</w:t>
            </w:r>
          </w:p>
        </w:tc>
        <w:tc>
          <w:tcPr>
            <w:tcW w:w="709" w:type="dxa"/>
            <w:vAlign w:val="center"/>
          </w:tcPr>
          <w:p w14:paraId="46CD6D67" w14:textId="0807A597"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4</w:t>
            </w:r>
          </w:p>
        </w:tc>
        <w:tc>
          <w:tcPr>
            <w:tcW w:w="708" w:type="dxa"/>
            <w:vAlign w:val="center"/>
          </w:tcPr>
          <w:p w14:paraId="13684A59" w14:textId="04DB5F85"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0917A86B" w14:textId="22F8FE51" w:rsidTr="00020D5E">
        <w:trPr>
          <w:trHeight w:val="300"/>
        </w:trPr>
        <w:tc>
          <w:tcPr>
            <w:tcW w:w="440" w:type="dxa"/>
            <w:shd w:val="clear" w:color="auto" w:fill="F2F2F2" w:themeFill="background1" w:themeFillShade="F2"/>
            <w:noWrap/>
          </w:tcPr>
          <w:p w14:paraId="38E527BE"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36</w:t>
            </w:r>
          </w:p>
        </w:tc>
        <w:tc>
          <w:tcPr>
            <w:tcW w:w="1256" w:type="dxa"/>
            <w:shd w:val="clear" w:color="auto" w:fill="F2F2F2" w:themeFill="background1" w:themeFillShade="F2"/>
            <w:noWrap/>
            <w:vAlign w:val="center"/>
          </w:tcPr>
          <w:p w14:paraId="4A326330" w14:textId="1852393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Lee</w:t>
            </w:r>
          </w:p>
        </w:tc>
        <w:tc>
          <w:tcPr>
            <w:tcW w:w="709" w:type="dxa"/>
            <w:vAlign w:val="center"/>
          </w:tcPr>
          <w:p w14:paraId="20ECC03E" w14:textId="256A3BB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2014</w:t>
            </w:r>
          </w:p>
        </w:tc>
        <w:tc>
          <w:tcPr>
            <w:tcW w:w="1418" w:type="dxa"/>
            <w:vAlign w:val="center"/>
          </w:tcPr>
          <w:p w14:paraId="1D1C859D" w14:textId="07A95C7D"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J Health </w:t>
            </w:r>
            <w:proofErr w:type="spellStart"/>
            <w:r w:rsidRPr="00020D5E">
              <w:rPr>
                <w:rFonts w:asciiTheme="majorHAnsi" w:hAnsiTheme="majorHAnsi" w:cstheme="majorHAnsi"/>
                <w:i/>
                <w:iCs/>
                <w:color w:val="000000"/>
                <w:sz w:val="18"/>
                <w:szCs w:val="18"/>
              </w:rPr>
              <w:t>Commun</w:t>
            </w:r>
            <w:proofErr w:type="spellEnd"/>
          </w:p>
        </w:tc>
        <w:tc>
          <w:tcPr>
            <w:tcW w:w="708" w:type="dxa"/>
            <w:noWrap/>
            <w:vAlign w:val="center"/>
          </w:tcPr>
          <w:p w14:paraId="0A140700" w14:textId="3F30AFC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1,020</w:t>
            </w:r>
          </w:p>
        </w:tc>
        <w:tc>
          <w:tcPr>
            <w:tcW w:w="851" w:type="dxa"/>
            <w:noWrap/>
            <w:vAlign w:val="center"/>
          </w:tcPr>
          <w:p w14:paraId="3D5D4751" w14:textId="0F3C530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20.6</w:t>
            </w:r>
          </w:p>
        </w:tc>
        <w:tc>
          <w:tcPr>
            <w:tcW w:w="850" w:type="dxa"/>
            <w:noWrap/>
            <w:vAlign w:val="center"/>
          </w:tcPr>
          <w:p w14:paraId="3E85D0BB" w14:textId="184AA1F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61%</w:t>
            </w:r>
          </w:p>
        </w:tc>
        <w:tc>
          <w:tcPr>
            <w:tcW w:w="1276" w:type="dxa"/>
            <w:noWrap/>
            <w:vAlign w:val="center"/>
          </w:tcPr>
          <w:p w14:paraId="2EA57BC3" w14:textId="023459D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 xml:space="preserve">Korea = 518; USA, </w:t>
            </w:r>
            <w:proofErr w:type="spellStart"/>
            <w:r w:rsidRPr="00020D5E">
              <w:rPr>
                <w:rFonts w:asciiTheme="majorHAnsi" w:hAnsiTheme="majorHAnsi" w:cstheme="majorHAnsi"/>
                <w:color w:val="000000"/>
                <w:sz w:val="18"/>
                <w:szCs w:val="18"/>
              </w:rPr>
              <w:t>Hawai</w:t>
            </w:r>
            <w:proofErr w:type="spellEnd"/>
            <w:r w:rsidRPr="00020D5E">
              <w:rPr>
                <w:rFonts w:asciiTheme="majorHAnsi" w:hAnsiTheme="majorHAnsi" w:cstheme="majorHAnsi"/>
                <w:color w:val="000000"/>
                <w:sz w:val="18"/>
                <w:szCs w:val="18"/>
              </w:rPr>
              <w:t xml:space="preserve"> = 502</w:t>
            </w:r>
          </w:p>
        </w:tc>
        <w:tc>
          <w:tcPr>
            <w:tcW w:w="1276" w:type="dxa"/>
            <w:noWrap/>
            <w:vAlign w:val="center"/>
          </w:tcPr>
          <w:p w14:paraId="1D89BBE9" w14:textId="3A6E8DF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47FAABD7" w14:textId="4F1E290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SNS use</w:t>
            </w:r>
          </w:p>
        </w:tc>
        <w:tc>
          <w:tcPr>
            <w:tcW w:w="1134" w:type="dxa"/>
            <w:noWrap/>
            <w:vAlign w:val="center"/>
          </w:tcPr>
          <w:p w14:paraId="769F3AE8" w14:textId="08F4BE8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2A8A4AFB" w14:textId="09F8FD9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satisfaction from Body-Esteem Scale for Adolescents</w:t>
            </w:r>
            <w:r w:rsidRPr="00020D5E">
              <w:rPr>
                <w:rFonts w:asciiTheme="majorHAnsi" w:hAnsiTheme="majorHAnsi" w:cstheme="majorHAnsi"/>
                <w:color w:val="000000"/>
                <w:sz w:val="18"/>
                <w:szCs w:val="18"/>
              </w:rPr>
              <w:br/>
              <w:t>and Adults</w:t>
            </w:r>
          </w:p>
        </w:tc>
        <w:tc>
          <w:tcPr>
            <w:tcW w:w="709" w:type="dxa"/>
            <w:vAlign w:val="center"/>
          </w:tcPr>
          <w:p w14:paraId="3B7829D4" w14:textId="286848EE"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454135ED" w14:textId="2BDB48C3"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2510B792" w14:textId="71BEB064" w:rsidTr="00020D5E">
        <w:trPr>
          <w:trHeight w:val="300"/>
        </w:trPr>
        <w:tc>
          <w:tcPr>
            <w:tcW w:w="440" w:type="dxa"/>
            <w:shd w:val="clear" w:color="auto" w:fill="F2F2F2" w:themeFill="background1" w:themeFillShade="F2"/>
            <w:noWrap/>
          </w:tcPr>
          <w:p w14:paraId="6BA4CB2A"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37</w:t>
            </w:r>
          </w:p>
        </w:tc>
        <w:tc>
          <w:tcPr>
            <w:tcW w:w="1256" w:type="dxa"/>
            <w:shd w:val="clear" w:color="auto" w:fill="F2F2F2" w:themeFill="background1" w:themeFillShade="F2"/>
            <w:noWrap/>
            <w:vAlign w:val="center"/>
          </w:tcPr>
          <w:p w14:paraId="2C12F03D" w14:textId="43DF95F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Levinson</w:t>
            </w:r>
          </w:p>
        </w:tc>
        <w:tc>
          <w:tcPr>
            <w:tcW w:w="709" w:type="dxa"/>
            <w:vAlign w:val="center"/>
          </w:tcPr>
          <w:p w14:paraId="1DBC257F" w14:textId="7387F7D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00D64016" w14:textId="423CFE21"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Eat </w:t>
            </w:r>
            <w:proofErr w:type="spellStart"/>
            <w:r w:rsidRPr="00020D5E">
              <w:rPr>
                <w:rFonts w:asciiTheme="majorHAnsi" w:hAnsiTheme="majorHAnsi" w:cstheme="majorHAnsi"/>
                <w:i/>
                <w:iCs/>
                <w:color w:val="000000"/>
                <w:sz w:val="18"/>
                <w:szCs w:val="18"/>
              </w:rPr>
              <w:t>Behav</w:t>
            </w:r>
            <w:proofErr w:type="spellEnd"/>
          </w:p>
        </w:tc>
        <w:tc>
          <w:tcPr>
            <w:tcW w:w="708" w:type="dxa"/>
            <w:noWrap/>
            <w:vAlign w:val="center"/>
          </w:tcPr>
          <w:p w14:paraId="6D970FE0" w14:textId="2D66A60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105</w:t>
            </w:r>
          </w:p>
        </w:tc>
        <w:tc>
          <w:tcPr>
            <w:tcW w:w="851" w:type="dxa"/>
            <w:noWrap/>
            <w:vAlign w:val="center"/>
          </w:tcPr>
          <w:p w14:paraId="5748FBA9" w14:textId="55FB509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25.6</w:t>
            </w:r>
          </w:p>
        </w:tc>
        <w:tc>
          <w:tcPr>
            <w:tcW w:w="850" w:type="dxa"/>
            <w:noWrap/>
            <w:vAlign w:val="center"/>
          </w:tcPr>
          <w:p w14:paraId="25EB62D4" w14:textId="2550056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96%</w:t>
            </w:r>
          </w:p>
        </w:tc>
        <w:tc>
          <w:tcPr>
            <w:tcW w:w="1276" w:type="dxa"/>
            <w:noWrap/>
            <w:vAlign w:val="center"/>
          </w:tcPr>
          <w:p w14:paraId="523B3016" w14:textId="09ED0C8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43B0AA5D" w14:textId="3E48AF6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6B847A9D" w14:textId="53186A3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My Fitness Pal Measure</w:t>
            </w:r>
          </w:p>
        </w:tc>
        <w:tc>
          <w:tcPr>
            <w:tcW w:w="1134" w:type="dxa"/>
            <w:noWrap/>
            <w:vAlign w:val="center"/>
          </w:tcPr>
          <w:p w14:paraId="5460C827" w14:textId="1219CA1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Pro-ED content or App</w:t>
            </w:r>
          </w:p>
        </w:tc>
        <w:tc>
          <w:tcPr>
            <w:tcW w:w="1985" w:type="dxa"/>
            <w:vAlign w:val="center"/>
          </w:tcPr>
          <w:p w14:paraId="2AC54095" w14:textId="4A71D3D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(EDE-Q) Version 4.0 (Fairburn &amp; Beglin,</w:t>
            </w:r>
            <w:r w:rsidRPr="00020D5E">
              <w:rPr>
                <w:rFonts w:asciiTheme="majorHAnsi" w:hAnsiTheme="majorHAnsi" w:cstheme="majorHAnsi"/>
                <w:color w:val="000000"/>
                <w:sz w:val="18"/>
                <w:szCs w:val="18"/>
              </w:rPr>
              <w:br/>
              <w:t>1994)</w:t>
            </w:r>
          </w:p>
        </w:tc>
        <w:tc>
          <w:tcPr>
            <w:tcW w:w="709" w:type="dxa"/>
            <w:vAlign w:val="center"/>
          </w:tcPr>
          <w:p w14:paraId="19575004" w14:textId="43C29958"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3B81F0BA" w14:textId="6EEC150E"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22099F1F" w14:textId="02FCE7EA" w:rsidTr="00020D5E">
        <w:trPr>
          <w:trHeight w:val="300"/>
        </w:trPr>
        <w:tc>
          <w:tcPr>
            <w:tcW w:w="440" w:type="dxa"/>
            <w:shd w:val="clear" w:color="auto" w:fill="F2F2F2" w:themeFill="background1" w:themeFillShade="F2"/>
            <w:noWrap/>
          </w:tcPr>
          <w:p w14:paraId="0D5F1D74"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38</w:t>
            </w:r>
          </w:p>
        </w:tc>
        <w:tc>
          <w:tcPr>
            <w:tcW w:w="1256" w:type="dxa"/>
            <w:shd w:val="clear" w:color="auto" w:fill="F2F2F2" w:themeFill="background1" w:themeFillShade="F2"/>
            <w:noWrap/>
            <w:vAlign w:val="center"/>
          </w:tcPr>
          <w:p w14:paraId="14F9B493" w14:textId="057D82C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Linardon</w:t>
            </w:r>
            <w:proofErr w:type="spellEnd"/>
          </w:p>
        </w:tc>
        <w:tc>
          <w:tcPr>
            <w:tcW w:w="709" w:type="dxa"/>
            <w:vAlign w:val="center"/>
          </w:tcPr>
          <w:p w14:paraId="083D8047" w14:textId="1DEFDD8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2019</w:t>
            </w:r>
          </w:p>
        </w:tc>
        <w:tc>
          <w:tcPr>
            <w:tcW w:w="1418" w:type="dxa"/>
            <w:vAlign w:val="center"/>
          </w:tcPr>
          <w:p w14:paraId="6706DBD5" w14:textId="074DDEC9"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Eat Behaviour</w:t>
            </w:r>
          </w:p>
        </w:tc>
        <w:tc>
          <w:tcPr>
            <w:tcW w:w="708" w:type="dxa"/>
            <w:noWrap/>
            <w:vAlign w:val="center"/>
          </w:tcPr>
          <w:p w14:paraId="4A911F2D" w14:textId="6605658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122</w:t>
            </w:r>
          </w:p>
        </w:tc>
        <w:tc>
          <w:tcPr>
            <w:tcW w:w="851" w:type="dxa"/>
            <w:noWrap/>
            <w:vAlign w:val="center"/>
          </w:tcPr>
          <w:p w14:paraId="3C65EEE5" w14:textId="78152D3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28.4</w:t>
            </w:r>
          </w:p>
        </w:tc>
        <w:tc>
          <w:tcPr>
            <w:tcW w:w="850" w:type="dxa"/>
            <w:noWrap/>
            <w:vAlign w:val="center"/>
          </w:tcPr>
          <w:p w14:paraId="2D8A9019" w14:textId="5F742E6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0%</w:t>
            </w:r>
          </w:p>
        </w:tc>
        <w:tc>
          <w:tcPr>
            <w:tcW w:w="1276" w:type="dxa"/>
            <w:noWrap/>
            <w:vAlign w:val="center"/>
          </w:tcPr>
          <w:p w14:paraId="37C6DECE" w14:textId="07262C9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635E68DD" w14:textId="3B0F7C1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37E9D2EF" w14:textId="6AAF080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My Fitness Pal Use</w:t>
            </w:r>
          </w:p>
        </w:tc>
        <w:tc>
          <w:tcPr>
            <w:tcW w:w="1134" w:type="dxa"/>
            <w:noWrap/>
            <w:vAlign w:val="center"/>
          </w:tcPr>
          <w:p w14:paraId="204DDCD7" w14:textId="026A99D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Pro-ED content or App</w:t>
            </w:r>
          </w:p>
        </w:tc>
        <w:tc>
          <w:tcPr>
            <w:tcW w:w="1985" w:type="dxa"/>
            <w:vAlign w:val="center"/>
          </w:tcPr>
          <w:p w14:paraId="2487579D" w14:textId="0BD9515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Disorder Examination Questionnaire (EDE-Q);  Dichotomous Thinking in Eating Disorder Scale (DTES)</w:t>
            </w:r>
          </w:p>
        </w:tc>
        <w:tc>
          <w:tcPr>
            <w:tcW w:w="709" w:type="dxa"/>
            <w:vAlign w:val="center"/>
          </w:tcPr>
          <w:p w14:paraId="76CDA6E5" w14:textId="1B81985E"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8</w:t>
            </w:r>
          </w:p>
        </w:tc>
        <w:tc>
          <w:tcPr>
            <w:tcW w:w="708" w:type="dxa"/>
            <w:vAlign w:val="center"/>
          </w:tcPr>
          <w:p w14:paraId="3B59B567" w14:textId="16831D4F"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353B6B38" w14:textId="7B910F80" w:rsidTr="00020D5E">
        <w:trPr>
          <w:trHeight w:val="300"/>
        </w:trPr>
        <w:tc>
          <w:tcPr>
            <w:tcW w:w="440" w:type="dxa"/>
            <w:shd w:val="clear" w:color="auto" w:fill="F2F2F2" w:themeFill="background1" w:themeFillShade="F2"/>
            <w:noWrap/>
          </w:tcPr>
          <w:p w14:paraId="662A3270" w14:textId="77777777" w:rsidR="007B5D58" w:rsidRPr="00CB212E" w:rsidRDefault="007B5D58" w:rsidP="007B5D58">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39</w:t>
            </w:r>
          </w:p>
        </w:tc>
        <w:tc>
          <w:tcPr>
            <w:tcW w:w="1256" w:type="dxa"/>
            <w:shd w:val="clear" w:color="auto" w:fill="F2F2F2" w:themeFill="background1" w:themeFillShade="F2"/>
            <w:noWrap/>
            <w:vAlign w:val="center"/>
          </w:tcPr>
          <w:p w14:paraId="7BDDEC25" w14:textId="40A109D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Lonergan</w:t>
            </w:r>
          </w:p>
        </w:tc>
        <w:tc>
          <w:tcPr>
            <w:tcW w:w="709" w:type="dxa"/>
            <w:vAlign w:val="center"/>
          </w:tcPr>
          <w:p w14:paraId="495C42B4" w14:textId="3AB4E6F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2019</w:t>
            </w:r>
          </w:p>
        </w:tc>
        <w:tc>
          <w:tcPr>
            <w:tcW w:w="1418" w:type="dxa"/>
            <w:vAlign w:val="center"/>
          </w:tcPr>
          <w:p w14:paraId="7A768531" w14:textId="5C17553E"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Body Image</w:t>
            </w:r>
          </w:p>
        </w:tc>
        <w:tc>
          <w:tcPr>
            <w:tcW w:w="708" w:type="dxa"/>
            <w:noWrap/>
            <w:vAlign w:val="center"/>
          </w:tcPr>
          <w:p w14:paraId="0BB93225" w14:textId="5E8A908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184</w:t>
            </w:r>
          </w:p>
        </w:tc>
        <w:tc>
          <w:tcPr>
            <w:tcW w:w="851" w:type="dxa"/>
            <w:noWrap/>
            <w:vAlign w:val="center"/>
          </w:tcPr>
          <w:p w14:paraId="5AC55BBA" w14:textId="04D655F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19.9</w:t>
            </w:r>
          </w:p>
        </w:tc>
        <w:tc>
          <w:tcPr>
            <w:tcW w:w="850" w:type="dxa"/>
            <w:noWrap/>
            <w:vAlign w:val="center"/>
          </w:tcPr>
          <w:p w14:paraId="605CE7CD" w14:textId="4A14C74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51.6%</w:t>
            </w:r>
          </w:p>
        </w:tc>
        <w:tc>
          <w:tcPr>
            <w:tcW w:w="1276" w:type="dxa"/>
            <w:noWrap/>
            <w:vAlign w:val="center"/>
          </w:tcPr>
          <w:p w14:paraId="67359FA0" w14:textId="3473E7A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0F39BC82" w14:textId="062E06C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3501729C" w14:textId="57D31AA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Photo Manipulation and Investment Scales</w:t>
            </w:r>
          </w:p>
        </w:tc>
        <w:tc>
          <w:tcPr>
            <w:tcW w:w="1134" w:type="dxa"/>
            <w:noWrap/>
            <w:vAlign w:val="center"/>
          </w:tcPr>
          <w:p w14:paraId="1396AB08" w14:textId="24EF3C9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5C693CFB" w14:textId="2B12A68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Shape Satisfaction Scale</w:t>
            </w:r>
          </w:p>
        </w:tc>
        <w:tc>
          <w:tcPr>
            <w:tcW w:w="709" w:type="dxa"/>
            <w:vAlign w:val="center"/>
          </w:tcPr>
          <w:p w14:paraId="72C88082" w14:textId="55BF07FE"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5</w:t>
            </w:r>
          </w:p>
        </w:tc>
        <w:tc>
          <w:tcPr>
            <w:tcW w:w="708" w:type="dxa"/>
            <w:vAlign w:val="center"/>
          </w:tcPr>
          <w:p w14:paraId="070CA59A" w14:textId="3F082994"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6A9736B0" w14:textId="0B39C16A" w:rsidTr="00020D5E">
        <w:trPr>
          <w:trHeight w:val="300"/>
        </w:trPr>
        <w:tc>
          <w:tcPr>
            <w:tcW w:w="440" w:type="dxa"/>
            <w:shd w:val="clear" w:color="auto" w:fill="F2F2F2" w:themeFill="background1" w:themeFillShade="F2"/>
            <w:noWrap/>
          </w:tcPr>
          <w:p w14:paraId="438D0BCD" w14:textId="77777777" w:rsidR="007B5D58" w:rsidRPr="00CB212E"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40</w:t>
            </w:r>
          </w:p>
        </w:tc>
        <w:tc>
          <w:tcPr>
            <w:tcW w:w="1256" w:type="dxa"/>
            <w:shd w:val="clear" w:color="auto" w:fill="F2F2F2" w:themeFill="background1" w:themeFillShade="F2"/>
            <w:noWrap/>
            <w:vAlign w:val="center"/>
          </w:tcPr>
          <w:p w14:paraId="150A83C1" w14:textId="347FC6E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Mabe</w:t>
            </w:r>
            <w:proofErr w:type="spellEnd"/>
          </w:p>
        </w:tc>
        <w:tc>
          <w:tcPr>
            <w:tcW w:w="709" w:type="dxa"/>
            <w:vAlign w:val="center"/>
          </w:tcPr>
          <w:p w14:paraId="56C6D992" w14:textId="24FF611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2014</w:t>
            </w:r>
          </w:p>
        </w:tc>
        <w:tc>
          <w:tcPr>
            <w:tcW w:w="1418" w:type="dxa"/>
            <w:vAlign w:val="center"/>
          </w:tcPr>
          <w:p w14:paraId="56FD117D" w14:textId="743BA363"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Int J Eat Dis</w:t>
            </w:r>
          </w:p>
        </w:tc>
        <w:tc>
          <w:tcPr>
            <w:tcW w:w="708" w:type="dxa"/>
            <w:noWrap/>
            <w:vAlign w:val="center"/>
          </w:tcPr>
          <w:p w14:paraId="4F6D3324" w14:textId="5D8BE6C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S1: n=960; S2 n=84</w:t>
            </w:r>
          </w:p>
        </w:tc>
        <w:tc>
          <w:tcPr>
            <w:tcW w:w="851" w:type="dxa"/>
            <w:noWrap/>
            <w:vAlign w:val="center"/>
          </w:tcPr>
          <w:p w14:paraId="2B4FD67A" w14:textId="5B2282E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18.7</w:t>
            </w:r>
          </w:p>
        </w:tc>
        <w:tc>
          <w:tcPr>
            <w:tcW w:w="850" w:type="dxa"/>
            <w:noWrap/>
            <w:vAlign w:val="center"/>
          </w:tcPr>
          <w:p w14:paraId="30E3DD77" w14:textId="5605448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30B3DB39" w14:textId="232353C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7EEDEDFF" w14:textId="6DE4816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 Experimental</w:t>
            </w:r>
          </w:p>
        </w:tc>
        <w:tc>
          <w:tcPr>
            <w:tcW w:w="1984" w:type="dxa"/>
            <w:noWrap/>
            <w:vAlign w:val="center"/>
          </w:tcPr>
          <w:p w14:paraId="08D05D1B" w14:textId="6F262B3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Facebook duration of use; Facebook survey questions</w:t>
            </w:r>
          </w:p>
        </w:tc>
        <w:tc>
          <w:tcPr>
            <w:tcW w:w="1134" w:type="dxa"/>
            <w:noWrap/>
            <w:vAlign w:val="center"/>
          </w:tcPr>
          <w:p w14:paraId="3C9085E3" w14:textId="0B7BBC3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01BEE367" w14:textId="5C3A3FB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EAT-26</w:t>
            </w:r>
          </w:p>
        </w:tc>
        <w:tc>
          <w:tcPr>
            <w:tcW w:w="709" w:type="dxa"/>
            <w:vAlign w:val="center"/>
          </w:tcPr>
          <w:p w14:paraId="6AABC43A" w14:textId="1CA27DCE"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41BDC963" w14:textId="71F0AC93"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S</w:t>
            </w:r>
          </w:p>
        </w:tc>
      </w:tr>
      <w:tr w:rsidR="007B5D58" w:rsidRPr="00B514A7" w14:paraId="574A86E4" w14:textId="28E3B88D" w:rsidTr="00020D5E">
        <w:trPr>
          <w:trHeight w:val="300"/>
        </w:trPr>
        <w:tc>
          <w:tcPr>
            <w:tcW w:w="440" w:type="dxa"/>
            <w:shd w:val="clear" w:color="auto" w:fill="F2F2F2" w:themeFill="background1" w:themeFillShade="F2"/>
            <w:noWrap/>
          </w:tcPr>
          <w:p w14:paraId="36ED243F" w14:textId="5E537812"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41</w:t>
            </w:r>
          </w:p>
        </w:tc>
        <w:tc>
          <w:tcPr>
            <w:tcW w:w="1256" w:type="dxa"/>
            <w:shd w:val="clear" w:color="auto" w:fill="F2F2F2" w:themeFill="background1" w:themeFillShade="F2"/>
            <w:noWrap/>
            <w:vAlign w:val="center"/>
          </w:tcPr>
          <w:p w14:paraId="42944E9E" w14:textId="2EF8017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Manago</w:t>
            </w:r>
            <w:proofErr w:type="spellEnd"/>
          </w:p>
        </w:tc>
        <w:tc>
          <w:tcPr>
            <w:tcW w:w="709" w:type="dxa"/>
            <w:vAlign w:val="center"/>
          </w:tcPr>
          <w:p w14:paraId="4E98D30C" w14:textId="7B5D908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w:t>
            </w:r>
          </w:p>
        </w:tc>
        <w:tc>
          <w:tcPr>
            <w:tcW w:w="1418" w:type="dxa"/>
            <w:vAlign w:val="center"/>
          </w:tcPr>
          <w:p w14:paraId="57E5506B" w14:textId="2EC73000"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Sex Roles</w:t>
            </w:r>
          </w:p>
        </w:tc>
        <w:tc>
          <w:tcPr>
            <w:tcW w:w="708" w:type="dxa"/>
            <w:noWrap/>
            <w:vAlign w:val="center"/>
          </w:tcPr>
          <w:p w14:paraId="134B09A4" w14:textId="1D52A80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815</w:t>
            </w:r>
          </w:p>
        </w:tc>
        <w:tc>
          <w:tcPr>
            <w:tcW w:w="851" w:type="dxa"/>
            <w:noWrap/>
            <w:vAlign w:val="center"/>
          </w:tcPr>
          <w:p w14:paraId="40BD9A37" w14:textId="0704019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19.1</w:t>
            </w:r>
          </w:p>
        </w:tc>
        <w:tc>
          <w:tcPr>
            <w:tcW w:w="850" w:type="dxa"/>
            <w:noWrap/>
            <w:vAlign w:val="center"/>
          </w:tcPr>
          <w:p w14:paraId="44D20E51" w14:textId="3FBE8FF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57%</w:t>
            </w:r>
          </w:p>
        </w:tc>
        <w:tc>
          <w:tcPr>
            <w:tcW w:w="1276" w:type="dxa"/>
            <w:noWrap/>
            <w:vAlign w:val="center"/>
          </w:tcPr>
          <w:p w14:paraId="497C0733" w14:textId="560E251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362D1E33" w14:textId="2A8947D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7BEC48DD" w14:textId="29C3A21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SNS use</w:t>
            </w:r>
          </w:p>
        </w:tc>
        <w:tc>
          <w:tcPr>
            <w:tcW w:w="1134" w:type="dxa"/>
            <w:noWrap/>
            <w:vAlign w:val="center"/>
          </w:tcPr>
          <w:p w14:paraId="32B44B49" w14:textId="6AF31BB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4A4F7ED9" w14:textId="5DB124C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shame (5-item subscale OBC-Y (Lindberg et al. 2006); Appearance self-worth, Gordon and Ward Self-Worth Measure (2000).</w:t>
            </w:r>
          </w:p>
        </w:tc>
        <w:tc>
          <w:tcPr>
            <w:tcW w:w="709" w:type="dxa"/>
            <w:vAlign w:val="center"/>
          </w:tcPr>
          <w:p w14:paraId="71B95AAF" w14:textId="20C11C35"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6</w:t>
            </w:r>
          </w:p>
        </w:tc>
        <w:tc>
          <w:tcPr>
            <w:tcW w:w="708" w:type="dxa"/>
            <w:vAlign w:val="center"/>
          </w:tcPr>
          <w:p w14:paraId="432BCE0B" w14:textId="372FF05A"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445F0CDD" w14:textId="028C4727" w:rsidTr="00020D5E">
        <w:trPr>
          <w:trHeight w:val="300"/>
        </w:trPr>
        <w:tc>
          <w:tcPr>
            <w:tcW w:w="440" w:type="dxa"/>
            <w:shd w:val="clear" w:color="auto" w:fill="F2F2F2" w:themeFill="background1" w:themeFillShade="F2"/>
            <w:noWrap/>
          </w:tcPr>
          <w:p w14:paraId="4FB28415" w14:textId="7900287F"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42</w:t>
            </w:r>
          </w:p>
        </w:tc>
        <w:tc>
          <w:tcPr>
            <w:tcW w:w="1256" w:type="dxa"/>
            <w:shd w:val="clear" w:color="auto" w:fill="F2F2F2" w:themeFill="background1" w:themeFillShade="F2"/>
            <w:noWrap/>
            <w:vAlign w:val="center"/>
          </w:tcPr>
          <w:p w14:paraId="0E81FAD0" w14:textId="55859FD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Marco</w:t>
            </w:r>
          </w:p>
        </w:tc>
        <w:tc>
          <w:tcPr>
            <w:tcW w:w="709" w:type="dxa"/>
            <w:vAlign w:val="center"/>
          </w:tcPr>
          <w:p w14:paraId="2B7FC798" w14:textId="02522E3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2018</w:t>
            </w:r>
          </w:p>
        </w:tc>
        <w:tc>
          <w:tcPr>
            <w:tcW w:w="1418" w:type="dxa"/>
            <w:vAlign w:val="center"/>
          </w:tcPr>
          <w:p w14:paraId="6018D760" w14:textId="25C29F90"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Cyberpsych</w:t>
            </w:r>
            <w:proofErr w:type="spellEnd"/>
            <w:r w:rsidRPr="00020D5E">
              <w:rPr>
                <w:rFonts w:asciiTheme="majorHAnsi" w:hAnsiTheme="majorHAnsi" w:cstheme="majorHAnsi"/>
                <w:i/>
                <w:iCs/>
                <w:color w:val="000000"/>
                <w:sz w:val="18"/>
                <w:szCs w:val="18"/>
              </w:rPr>
              <w:t xml:space="preserve"> Beha Soc </w:t>
            </w:r>
            <w:proofErr w:type="spellStart"/>
            <w:r w:rsidRPr="00020D5E">
              <w:rPr>
                <w:rFonts w:asciiTheme="majorHAnsi" w:hAnsiTheme="majorHAnsi" w:cstheme="majorHAnsi"/>
                <w:i/>
                <w:iCs/>
                <w:color w:val="000000"/>
                <w:sz w:val="18"/>
                <w:szCs w:val="18"/>
              </w:rPr>
              <w:t>Netw</w:t>
            </w:r>
            <w:proofErr w:type="spellEnd"/>
          </w:p>
        </w:tc>
        <w:tc>
          <w:tcPr>
            <w:tcW w:w="708" w:type="dxa"/>
            <w:noWrap/>
            <w:vAlign w:val="center"/>
          </w:tcPr>
          <w:p w14:paraId="340B70D1" w14:textId="304A72C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80</w:t>
            </w:r>
          </w:p>
        </w:tc>
        <w:tc>
          <w:tcPr>
            <w:tcW w:w="851" w:type="dxa"/>
            <w:noWrap/>
            <w:vAlign w:val="center"/>
          </w:tcPr>
          <w:p w14:paraId="35F3CDD4" w14:textId="3321E4A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21.2</w:t>
            </w:r>
          </w:p>
        </w:tc>
        <w:tc>
          <w:tcPr>
            <w:tcW w:w="850" w:type="dxa"/>
            <w:noWrap/>
            <w:vAlign w:val="center"/>
          </w:tcPr>
          <w:p w14:paraId="652C17ED" w14:textId="364EBD6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95%</w:t>
            </w:r>
          </w:p>
        </w:tc>
        <w:tc>
          <w:tcPr>
            <w:tcW w:w="1276" w:type="dxa"/>
            <w:noWrap/>
            <w:vAlign w:val="center"/>
          </w:tcPr>
          <w:p w14:paraId="679EDE19" w14:textId="05C407B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Spain</w:t>
            </w:r>
          </w:p>
        </w:tc>
        <w:tc>
          <w:tcPr>
            <w:tcW w:w="1276" w:type="dxa"/>
            <w:noWrap/>
            <w:vAlign w:val="center"/>
          </w:tcPr>
          <w:p w14:paraId="54BB60B6" w14:textId="6F94F24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337A1B15" w14:textId="512F3D1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Spanish version of the European Cyberbullying Intervention Project Questionnaire (ECIPQ),</w:t>
            </w:r>
          </w:p>
        </w:tc>
        <w:tc>
          <w:tcPr>
            <w:tcW w:w="1134" w:type="dxa"/>
            <w:noWrap/>
            <w:vAlign w:val="center"/>
          </w:tcPr>
          <w:p w14:paraId="6E6DBCDB" w14:textId="489E839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Cyber-bullying</w:t>
            </w:r>
          </w:p>
        </w:tc>
        <w:tc>
          <w:tcPr>
            <w:tcW w:w="1985" w:type="dxa"/>
            <w:vAlign w:val="center"/>
          </w:tcPr>
          <w:p w14:paraId="4341B26C" w14:textId="6FDBD6C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Multidimensional Body-Self Relations; EAT-40</w:t>
            </w:r>
            <w:r w:rsidRPr="00020D5E">
              <w:rPr>
                <w:rFonts w:asciiTheme="majorHAnsi" w:hAnsiTheme="majorHAnsi" w:cstheme="majorHAnsi"/>
                <w:color w:val="000000"/>
                <w:sz w:val="18"/>
                <w:szCs w:val="18"/>
              </w:rPr>
              <w:br/>
              <w:t>Questionnaire-Appearance Scales (MBSRQ-AS)</w:t>
            </w:r>
          </w:p>
        </w:tc>
        <w:tc>
          <w:tcPr>
            <w:tcW w:w="709" w:type="dxa"/>
            <w:vAlign w:val="center"/>
          </w:tcPr>
          <w:p w14:paraId="10D77A1E" w14:textId="2B63E4F6"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12</w:t>
            </w:r>
          </w:p>
        </w:tc>
        <w:tc>
          <w:tcPr>
            <w:tcW w:w="708" w:type="dxa"/>
            <w:vAlign w:val="center"/>
          </w:tcPr>
          <w:p w14:paraId="5A925DC3" w14:textId="39197239"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2F60E545" w14:textId="3C23DD55" w:rsidTr="00020D5E">
        <w:trPr>
          <w:trHeight w:val="300"/>
        </w:trPr>
        <w:tc>
          <w:tcPr>
            <w:tcW w:w="440" w:type="dxa"/>
            <w:shd w:val="clear" w:color="auto" w:fill="F2F2F2" w:themeFill="background1" w:themeFillShade="F2"/>
            <w:noWrap/>
          </w:tcPr>
          <w:p w14:paraId="5144A0CE" w14:textId="2E0FC5DE"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43</w:t>
            </w:r>
          </w:p>
        </w:tc>
        <w:tc>
          <w:tcPr>
            <w:tcW w:w="1256" w:type="dxa"/>
            <w:shd w:val="clear" w:color="auto" w:fill="F2F2F2" w:themeFill="background1" w:themeFillShade="F2"/>
            <w:noWrap/>
            <w:vAlign w:val="center"/>
          </w:tcPr>
          <w:p w14:paraId="50D9EA82" w14:textId="72B2BC7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Martinez</w:t>
            </w:r>
            <w:r w:rsidR="00465812">
              <w:rPr>
                <w:rFonts w:asciiTheme="majorHAnsi" w:hAnsiTheme="majorHAnsi" w:cstheme="majorHAnsi"/>
                <w:color w:val="000000"/>
                <w:sz w:val="18"/>
                <w:szCs w:val="18"/>
              </w:rPr>
              <w:t>-Gonzalez</w:t>
            </w:r>
          </w:p>
        </w:tc>
        <w:tc>
          <w:tcPr>
            <w:tcW w:w="709" w:type="dxa"/>
            <w:vAlign w:val="center"/>
          </w:tcPr>
          <w:p w14:paraId="530657BD" w14:textId="03A2ACD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2014</w:t>
            </w:r>
          </w:p>
        </w:tc>
        <w:tc>
          <w:tcPr>
            <w:tcW w:w="1418" w:type="dxa"/>
            <w:vAlign w:val="center"/>
          </w:tcPr>
          <w:p w14:paraId="3560D7AF" w14:textId="12CCF70B"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Nutricion</w:t>
            </w:r>
            <w:proofErr w:type="spellEnd"/>
            <w:r w:rsidRPr="00020D5E">
              <w:rPr>
                <w:rFonts w:asciiTheme="majorHAnsi" w:hAnsiTheme="majorHAnsi" w:cstheme="majorHAnsi"/>
                <w:i/>
                <w:iCs/>
                <w:color w:val="000000"/>
                <w:sz w:val="18"/>
                <w:szCs w:val="18"/>
              </w:rPr>
              <w:t xml:space="preserve"> </w:t>
            </w:r>
            <w:proofErr w:type="spellStart"/>
            <w:r w:rsidRPr="00020D5E">
              <w:rPr>
                <w:rFonts w:asciiTheme="majorHAnsi" w:hAnsiTheme="majorHAnsi" w:cstheme="majorHAnsi"/>
                <w:i/>
                <w:iCs/>
                <w:color w:val="000000"/>
                <w:sz w:val="18"/>
                <w:szCs w:val="18"/>
              </w:rPr>
              <w:t>Hospitalaria</w:t>
            </w:r>
            <w:proofErr w:type="spellEnd"/>
          </w:p>
        </w:tc>
        <w:tc>
          <w:tcPr>
            <w:tcW w:w="708" w:type="dxa"/>
            <w:noWrap/>
            <w:vAlign w:val="center"/>
          </w:tcPr>
          <w:p w14:paraId="5F3F2F3C" w14:textId="49D506F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1,306</w:t>
            </w:r>
          </w:p>
        </w:tc>
        <w:tc>
          <w:tcPr>
            <w:tcW w:w="851" w:type="dxa"/>
            <w:noWrap/>
            <w:vAlign w:val="center"/>
          </w:tcPr>
          <w:p w14:paraId="160408C3" w14:textId="04A4CEE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19.9</w:t>
            </w:r>
          </w:p>
        </w:tc>
        <w:tc>
          <w:tcPr>
            <w:tcW w:w="850" w:type="dxa"/>
            <w:noWrap/>
            <w:vAlign w:val="center"/>
          </w:tcPr>
          <w:p w14:paraId="33D0CCE6" w14:textId="1A2D2C5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72.6%</w:t>
            </w:r>
          </w:p>
        </w:tc>
        <w:tc>
          <w:tcPr>
            <w:tcW w:w="1276" w:type="dxa"/>
            <w:noWrap/>
            <w:vAlign w:val="center"/>
          </w:tcPr>
          <w:p w14:paraId="6C5165E6" w14:textId="224D6BA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Spain</w:t>
            </w:r>
          </w:p>
        </w:tc>
        <w:tc>
          <w:tcPr>
            <w:tcW w:w="1276" w:type="dxa"/>
            <w:noWrap/>
            <w:vAlign w:val="center"/>
          </w:tcPr>
          <w:p w14:paraId="09BF1A4D" w14:textId="401F16A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0360A543" w14:textId="1C46FC7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Binary measure of problematic or non-problematic use</w:t>
            </w:r>
          </w:p>
        </w:tc>
        <w:tc>
          <w:tcPr>
            <w:tcW w:w="1134" w:type="dxa"/>
            <w:noWrap/>
            <w:vAlign w:val="center"/>
          </w:tcPr>
          <w:p w14:paraId="2DB0B20A" w14:textId="29B6DFE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5EB4AB4F" w14:textId="5FCC7CB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SCOFF</w:t>
            </w:r>
          </w:p>
        </w:tc>
        <w:tc>
          <w:tcPr>
            <w:tcW w:w="709" w:type="dxa"/>
            <w:vAlign w:val="center"/>
          </w:tcPr>
          <w:p w14:paraId="53491A10" w14:textId="72CFFDFF"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46EEC80A" w14:textId="45248184"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4565DA1A" w14:textId="517D1062" w:rsidTr="00020D5E">
        <w:trPr>
          <w:trHeight w:val="300"/>
        </w:trPr>
        <w:tc>
          <w:tcPr>
            <w:tcW w:w="440" w:type="dxa"/>
            <w:shd w:val="clear" w:color="auto" w:fill="F2F2F2" w:themeFill="background1" w:themeFillShade="F2"/>
            <w:noWrap/>
          </w:tcPr>
          <w:p w14:paraId="37A61CD7" w14:textId="1B9D51CD"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44</w:t>
            </w:r>
          </w:p>
        </w:tc>
        <w:tc>
          <w:tcPr>
            <w:tcW w:w="1256" w:type="dxa"/>
            <w:shd w:val="clear" w:color="auto" w:fill="F2F2F2" w:themeFill="background1" w:themeFillShade="F2"/>
            <w:noWrap/>
            <w:vAlign w:val="center"/>
          </w:tcPr>
          <w:p w14:paraId="7AAD266A" w14:textId="5C2E130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McLean</w:t>
            </w:r>
          </w:p>
        </w:tc>
        <w:tc>
          <w:tcPr>
            <w:tcW w:w="709" w:type="dxa"/>
            <w:vAlign w:val="center"/>
          </w:tcPr>
          <w:p w14:paraId="5FA7A731" w14:textId="6E9D9A1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w:t>
            </w:r>
          </w:p>
        </w:tc>
        <w:tc>
          <w:tcPr>
            <w:tcW w:w="1418" w:type="dxa"/>
            <w:vAlign w:val="center"/>
          </w:tcPr>
          <w:p w14:paraId="3DC5F837" w14:textId="4D76918D"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Int J Eat </w:t>
            </w:r>
            <w:proofErr w:type="spellStart"/>
            <w:r w:rsidRPr="00020D5E">
              <w:rPr>
                <w:rFonts w:asciiTheme="majorHAnsi" w:hAnsiTheme="majorHAnsi" w:cstheme="majorHAnsi"/>
                <w:i/>
                <w:iCs/>
                <w:color w:val="000000"/>
                <w:sz w:val="18"/>
                <w:szCs w:val="18"/>
              </w:rPr>
              <w:t>Dis</w:t>
            </w:r>
            <w:r w:rsidR="00465812">
              <w:rPr>
                <w:rFonts w:asciiTheme="majorHAnsi" w:hAnsiTheme="majorHAnsi" w:cstheme="majorHAnsi"/>
                <w:i/>
                <w:iCs/>
                <w:color w:val="000000"/>
                <w:sz w:val="18"/>
                <w:szCs w:val="18"/>
              </w:rPr>
              <w:t>ord</w:t>
            </w:r>
            <w:proofErr w:type="spellEnd"/>
          </w:p>
        </w:tc>
        <w:tc>
          <w:tcPr>
            <w:tcW w:w="708" w:type="dxa"/>
            <w:noWrap/>
            <w:vAlign w:val="center"/>
          </w:tcPr>
          <w:p w14:paraId="6ED021A8" w14:textId="0F26AAF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101</w:t>
            </w:r>
          </w:p>
        </w:tc>
        <w:tc>
          <w:tcPr>
            <w:tcW w:w="851" w:type="dxa"/>
            <w:noWrap/>
            <w:vAlign w:val="center"/>
          </w:tcPr>
          <w:p w14:paraId="41A81567" w14:textId="5978ED3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13.1</w:t>
            </w:r>
          </w:p>
        </w:tc>
        <w:tc>
          <w:tcPr>
            <w:tcW w:w="850" w:type="dxa"/>
            <w:noWrap/>
            <w:vAlign w:val="center"/>
          </w:tcPr>
          <w:p w14:paraId="6849F57E" w14:textId="0F32298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785BE43F" w14:textId="126F2CB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7850404A" w14:textId="03B42F7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39BF5D61" w14:textId="6A51012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SNS</w:t>
            </w:r>
          </w:p>
        </w:tc>
        <w:tc>
          <w:tcPr>
            <w:tcW w:w="1134" w:type="dxa"/>
            <w:noWrap/>
            <w:vAlign w:val="center"/>
          </w:tcPr>
          <w:p w14:paraId="7D6E2DDF" w14:textId="22D1F00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726C3A9E" w14:textId="40D3A86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Disorders Inventory-3 (BD); Eating Disorder Examination Questionnaire (2-items); 10-item Dutch</w:t>
            </w:r>
            <w:r w:rsidRPr="00020D5E">
              <w:rPr>
                <w:rFonts w:asciiTheme="majorHAnsi" w:hAnsiTheme="majorHAnsi" w:cstheme="majorHAnsi"/>
                <w:color w:val="000000"/>
                <w:sz w:val="18"/>
                <w:szCs w:val="18"/>
              </w:rPr>
              <w:br/>
              <w:t>Eating Behaviour Questionnaire Restraint subscale</w:t>
            </w:r>
          </w:p>
        </w:tc>
        <w:tc>
          <w:tcPr>
            <w:tcW w:w="709" w:type="dxa"/>
            <w:vAlign w:val="center"/>
          </w:tcPr>
          <w:p w14:paraId="7561E82F" w14:textId="305019FF"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8</w:t>
            </w:r>
          </w:p>
        </w:tc>
        <w:tc>
          <w:tcPr>
            <w:tcW w:w="708" w:type="dxa"/>
            <w:vAlign w:val="center"/>
          </w:tcPr>
          <w:p w14:paraId="45EA56E5" w14:textId="203FC110"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7FD001ED" w14:textId="4A145A1F" w:rsidTr="00020D5E">
        <w:trPr>
          <w:trHeight w:val="300"/>
        </w:trPr>
        <w:tc>
          <w:tcPr>
            <w:tcW w:w="440" w:type="dxa"/>
            <w:shd w:val="clear" w:color="auto" w:fill="F2F2F2" w:themeFill="background1" w:themeFillShade="F2"/>
            <w:noWrap/>
          </w:tcPr>
          <w:p w14:paraId="00426E97" w14:textId="38F94683"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45</w:t>
            </w:r>
          </w:p>
        </w:tc>
        <w:tc>
          <w:tcPr>
            <w:tcW w:w="1256" w:type="dxa"/>
            <w:shd w:val="clear" w:color="auto" w:fill="F2F2F2" w:themeFill="background1" w:themeFillShade="F2"/>
            <w:noWrap/>
            <w:vAlign w:val="center"/>
          </w:tcPr>
          <w:p w14:paraId="0F9939A0" w14:textId="7023364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Meier</w:t>
            </w:r>
          </w:p>
        </w:tc>
        <w:tc>
          <w:tcPr>
            <w:tcW w:w="709" w:type="dxa"/>
            <w:vAlign w:val="center"/>
          </w:tcPr>
          <w:p w14:paraId="04446D65" w14:textId="11E5783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2014</w:t>
            </w:r>
          </w:p>
        </w:tc>
        <w:tc>
          <w:tcPr>
            <w:tcW w:w="1418" w:type="dxa"/>
            <w:vAlign w:val="center"/>
          </w:tcPr>
          <w:p w14:paraId="50257B5C" w14:textId="2B41A1BC"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Cyberpsychol</w:t>
            </w:r>
            <w:proofErr w:type="spellEnd"/>
            <w:r w:rsidRPr="00020D5E">
              <w:rPr>
                <w:rFonts w:asciiTheme="majorHAnsi" w:hAnsiTheme="majorHAnsi" w:cstheme="majorHAnsi"/>
                <w:i/>
                <w:iCs/>
                <w:color w:val="000000"/>
                <w:sz w:val="18"/>
                <w:szCs w:val="18"/>
              </w:rPr>
              <w:t xml:space="preserve"> </w:t>
            </w:r>
            <w:proofErr w:type="spellStart"/>
            <w:r w:rsidRPr="00020D5E">
              <w:rPr>
                <w:rFonts w:asciiTheme="majorHAnsi" w:hAnsiTheme="majorHAnsi" w:cstheme="majorHAnsi"/>
                <w:i/>
                <w:iCs/>
                <w:color w:val="000000"/>
                <w:sz w:val="18"/>
                <w:szCs w:val="18"/>
              </w:rPr>
              <w:t>Behav</w:t>
            </w:r>
            <w:proofErr w:type="spellEnd"/>
            <w:r w:rsidRPr="00020D5E">
              <w:rPr>
                <w:rFonts w:asciiTheme="majorHAnsi" w:hAnsiTheme="majorHAnsi" w:cstheme="majorHAnsi"/>
                <w:i/>
                <w:iCs/>
                <w:color w:val="000000"/>
                <w:sz w:val="18"/>
                <w:szCs w:val="18"/>
              </w:rPr>
              <w:t xml:space="preserve"> Soc </w:t>
            </w:r>
            <w:proofErr w:type="spellStart"/>
            <w:r w:rsidRPr="00020D5E">
              <w:rPr>
                <w:rFonts w:asciiTheme="majorHAnsi" w:hAnsiTheme="majorHAnsi" w:cstheme="majorHAnsi"/>
                <w:i/>
                <w:iCs/>
                <w:color w:val="000000"/>
                <w:sz w:val="18"/>
                <w:szCs w:val="18"/>
              </w:rPr>
              <w:t>Netw</w:t>
            </w:r>
            <w:proofErr w:type="spellEnd"/>
          </w:p>
        </w:tc>
        <w:tc>
          <w:tcPr>
            <w:tcW w:w="708" w:type="dxa"/>
            <w:noWrap/>
            <w:vAlign w:val="center"/>
          </w:tcPr>
          <w:p w14:paraId="48FA693F" w14:textId="4E13C6D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103</w:t>
            </w:r>
          </w:p>
        </w:tc>
        <w:tc>
          <w:tcPr>
            <w:tcW w:w="851" w:type="dxa"/>
            <w:noWrap/>
            <w:vAlign w:val="center"/>
          </w:tcPr>
          <w:p w14:paraId="49A4665C" w14:textId="67C110A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15.4</w:t>
            </w:r>
          </w:p>
        </w:tc>
        <w:tc>
          <w:tcPr>
            <w:tcW w:w="850" w:type="dxa"/>
            <w:noWrap/>
            <w:vAlign w:val="center"/>
          </w:tcPr>
          <w:p w14:paraId="42F7B468" w14:textId="74A9E1D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33D0E395" w14:textId="3449CDE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6FB790E2" w14:textId="332A9A9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 survey</w:t>
            </w:r>
          </w:p>
        </w:tc>
        <w:tc>
          <w:tcPr>
            <w:tcW w:w="1984" w:type="dxa"/>
            <w:noWrap/>
            <w:vAlign w:val="center"/>
          </w:tcPr>
          <w:p w14:paraId="703E326C" w14:textId="74845A8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Facebook Questionnaire (Meier 2014); Image related content from the FBQ-photo subscale (FBQ-PS)</w:t>
            </w:r>
          </w:p>
        </w:tc>
        <w:tc>
          <w:tcPr>
            <w:tcW w:w="1134" w:type="dxa"/>
            <w:noWrap/>
            <w:vAlign w:val="center"/>
          </w:tcPr>
          <w:p w14:paraId="1D21510C" w14:textId="71F017E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6C5DAF36" w14:textId="5155F4D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DFT (EDI); Physical Appearance comparison Scale (PACS)</w:t>
            </w:r>
          </w:p>
        </w:tc>
        <w:tc>
          <w:tcPr>
            <w:tcW w:w="709" w:type="dxa"/>
            <w:vAlign w:val="center"/>
          </w:tcPr>
          <w:p w14:paraId="716E4779" w14:textId="0C0216F1"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4</w:t>
            </w:r>
          </w:p>
        </w:tc>
        <w:tc>
          <w:tcPr>
            <w:tcW w:w="708" w:type="dxa"/>
            <w:vAlign w:val="center"/>
          </w:tcPr>
          <w:p w14:paraId="09D22351" w14:textId="48DE39CF"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011944E1" w14:textId="5DA19BE9" w:rsidTr="00020D5E">
        <w:trPr>
          <w:trHeight w:val="300"/>
        </w:trPr>
        <w:tc>
          <w:tcPr>
            <w:tcW w:w="440" w:type="dxa"/>
            <w:shd w:val="clear" w:color="auto" w:fill="F2F2F2" w:themeFill="background1" w:themeFillShade="F2"/>
            <w:noWrap/>
          </w:tcPr>
          <w:p w14:paraId="719002A2" w14:textId="44C04795"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46</w:t>
            </w:r>
          </w:p>
        </w:tc>
        <w:tc>
          <w:tcPr>
            <w:tcW w:w="1256" w:type="dxa"/>
            <w:shd w:val="clear" w:color="auto" w:fill="F2F2F2" w:themeFill="background1" w:themeFillShade="F2"/>
            <w:noWrap/>
            <w:vAlign w:val="center"/>
          </w:tcPr>
          <w:p w14:paraId="3CC1FC42" w14:textId="0FE6754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Melioli</w:t>
            </w:r>
            <w:proofErr w:type="spellEnd"/>
          </w:p>
        </w:tc>
        <w:tc>
          <w:tcPr>
            <w:tcW w:w="709" w:type="dxa"/>
            <w:vAlign w:val="center"/>
          </w:tcPr>
          <w:p w14:paraId="78F7501B" w14:textId="172DDF5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w:t>
            </w:r>
          </w:p>
        </w:tc>
        <w:tc>
          <w:tcPr>
            <w:tcW w:w="1418" w:type="dxa"/>
            <w:vAlign w:val="center"/>
          </w:tcPr>
          <w:p w14:paraId="42C91DBC" w14:textId="55DCD495"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Cyberpsychol</w:t>
            </w:r>
            <w:proofErr w:type="spellEnd"/>
            <w:r w:rsidRPr="00020D5E">
              <w:rPr>
                <w:rFonts w:asciiTheme="majorHAnsi" w:hAnsiTheme="majorHAnsi" w:cstheme="majorHAnsi"/>
                <w:i/>
                <w:iCs/>
                <w:color w:val="000000"/>
                <w:sz w:val="18"/>
                <w:szCs w:val="18"/>
              </w:rPr>
              <w:t xml:space="preserve"> </w:t>
            </w:r>
            <w:proofErr w:type="spellStart"/>
            <w:r w:rsidRPr="00020D5E">
              <w:rPr>
                <w:rFonts w:asciiTheme="majorHAnsi" w:hAnsiTheme="majorHAnsi" w:cstheme="majorHAnsi"/>
                <w:i/>
                <w:iCs/>
                <w:color w:val="000000"/>
                <w:sz w:val="18"/>
                <w:szCs w:val="18"/>
              </w:rPr>
              <w:t>Behav</w:t>
            </w:r>
            <w:proofErr w:type="spellEnd"/>
            <w:r w:rsidRPr="00020D5E">
              <w:rPr>
                <w:rFonts w:asciiTheme="majorHAnsi" w:hAnsiTheme="majorHAnsi" w:cstheme="majorHAnsi"/>
                <w:i/>
                <w:iCs/>
                <w:color w:val="000000"/>
                <w:sz w:val="18"/>
                <w:szCs w:val="18"/>
              </w:rPr>
              <w:t xml:space="preserve"> Soc </w:t>
            </w:r>
            <w:proofErr w:type="spellStart"/>
            <w:r w:rsidRPr="00020D5E">
              <w:rPr>
                <w:rFonts w:asciiTheme="majorHAnsi" w:hAnsiTheme="majorHAnsi" w:cstheme="majorHAnsi"/>
                <w:i/>
                <w:iCs/>
                <w:color w:val="000000"/>
                <w:sz w:val="18"/>
                <w:szCs w:val="18"/>
              </w:rPr>
              <w:t>Netw</w:t>
            </w:r>
            <w:proofErr w:type="spellEnd"/>
          </w:p>
        </w:tc>
        <w:tc>
          <w:tcPr>
            <w:tcW w:w="708" w:type="dxa"/>
            <w:noWrap/>
            <w:vAlign w:val="center"/>
          </w:tcPr>
          <w:p w14:paraId="38868DF0" w14:textId="0E6CAD7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289</w:t>
            </w:r>
          </w:p>
        </w:tc>
        <w:tc>
          <w:tcPr>
            <w:tcW w:w="851" w:type="dxa"/>
            <w:noWrap/>
            <w:vAlign w:val="center"/>
          </w:tcPr>
          <w:p w14:paraId="1D000575" w14:textId="7A47C84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21.9</w:t>
            </w:r>
          </w:p>
        </w:tc>
        <w:tc>
          <w:tcPr>
            <w:tcW w:w="850" w:type="dxa"/>
            <w:noWrap/>
            <w:vAlign w:val="center"/>
          </w:tcPr>
          <w:p w14:paraId="24DE281B" w14:textId="2EDB5D6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79B55C09" w14:textId="309A296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France</w:t>
            </w:r>
          </w:p>
        </w:tc>
        <w:tc>
          <w:tcPr>
            <w:tcW w:w="1276" w:type="dxa"/>
            <w:noWrap/>
            <w:vAlign w:val="center"/>
          </w:tcPr>
          <w:p w14:paraId="3D98C95E" w14:textId="328E210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2971FDFB" w14:textId="661ADEE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PIU</w:t>
            </w:r>
          </w:p>
        </w:tc>
        <w:tc>
          <w:tcPr>
            <w:tcW w:w="1134" w:type="dxa"/>
            <w:noWrap/>
            <w:vAlign w:val="center"/>
          </w:tcPr>
          <w:p w14:paraId="15295011" w14:textId="67B9367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60F04F6A" w14:textId="699F156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Image Avoidance Questionnaire (BIAQ); Bulimia subscale EDI-2; BD EDI-2</w:t>
            </w:r>
          </w:p>
        </w:tc>
        <w:tc>
          <w:tcPr>
            <w:tcW w:w="709" w:type="dxa"/>
            <w:vAlign w:val="center"/>
          </w:tcPr>
          <w:p w14:paraId="067ABAB6" w14:textId="4736E415"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1BE73069" w14:textId="105CA07B"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2F48E274" w14:textId="0F38DBCD" w:rsidTr="00020D5E">
        <w:trPr>
          <w:trHeight w:val="300"/>
        </w:trPr>
        <w:tc>
          <w:tcPr>
            <w:tcW w:w="440" w:type="dxa"/>
            <w:shd w:val="clear" w:color="auto" w:fill="F2F2F2" w:themeFill="background1" w:themeFillShade="F2"/>
            <w:noWrap/>
          </w:tcPr>
          <w:p w14:paraId="7BC65587" w14:textId="1A48F9E7"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47</w:t>
            </w:r>
          </w:p>
        </w:tc>
        <w:tc>
          <w:tcPr>
            <w:tcW w:w="1256" w:type="dxa"/>
            <w:shd w:val="clear" w:color="auto" w:fill="F2F2F2" w:themeFill="background1" w:themeFillShade="F2"/>
            <w:noWrap/>
            <w:vAlign w:val="center"/>
          </w:tcPr>
          <w:p w14:paraId="02CC2910" w14:textId="13D42DC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Niu</w:t>
            </w:r>
            <w:proofErr w:type="spellEnd"/>
          </w:p>
        </w:tc>
        <w:tc>
          <w:tcPr>
            <w:tcW w:w="709" w:type="dxa"/>
            <w:vAlign w:val="center"/>
          </w:tcPr>
          <w:p w14:paraId="6D4FF897" w14:textId="403410FF" w:rsidR="007B5D58" w:rsidRPr="00020D5E" w:rsidRDefault="00F61831" w:rsidP="00020D5E">
            <w:pPr>
              <w:spacing w:line="240" w:lineRule="auto"/>
              <w:jc w:val="center"/>
              <w:rPr>
                <w:rFonts w:asciiTheme="majorHAnsi" w:eastAsia="Times New Roman" w:hAnsiTheme="majorHAnsi" w:cstheme="majorHAnsi"/>
                <w:color w:val="000000"/>
                <w:sz w:val="18"/>
                <w:szCs w:val="18"/>
                <w:lang w:eastAsia="en-GB"/>
              </w:rPr>
            </w:pPr>
            <w:r>
              <w:rPr>
                <w:rFonts w:asciiTheme="majorHAnsi" w:hAnsiTheme="majorHAnsi" w:cstheme="majorHAnsi"/>
                <w:color w:val="000000"/>
                <w:sz w:val="18"/>
                <w:szCs w:val="18"/>
              </w:rPr>
              <w:t>2020</w:t>
            </w:r>
          </w:p>
        </w:tc>
        <w:tc>
          <w:tcPr>
            <w:tcW w:w="1418" w:type="dxa"/>
            <w:vAlign w:val="center"/>
          </w:tcPr>
          <w:p w14:paraId="3000B863" w14:textId="1194FA5C"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Sex Roles</w:t>
            </w:r>
          </w:p>
        </w:tc>
        <w:tc>
          <w:tcPr>
            <w:tcW w:w="708" w:type="dxa"/>
            <w:noWrap/>
            <w:vAlign w:val="center"/>
          </w:tcPr>
          <w:p w14:paraId="26AE7E5D" w14:textId="2532519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886</w:t>
            </w:r>
          </w:p>
        </w:tc>
        <w:tc>
          <w:tcPr>
            <w:tcW w:w="851" w:type="dxa"/>
            <w:noWrap/>
            <w:vAlign w:val="center"/>
          </w:tcPr>
          <w:p w14:paraId="0F328BCE" w14:textId="1671088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w:t>
            </w:r>
          </w:p>
        </w:tc>
        <w:tc>
          <w:tcPr>
            <w:tcW w:w="850" w:type="dxa"/>
            <w:noWrap/>
            <w:vAlign w:val="center"/>
          </w:tcPr>
          <w:p w14:paraId="212A2565" w14:textId="096070B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68E95913" w14:textId="0E906F6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China</w:t>
            </w:r>
          </w:p>
        </w:tc>
        <w:tc>
          <w:tcPr>
            <w:tcW w:w="1276" w:type="dxa"/>
            <w:noWrap/>
            <w:vAlign w:val="center"/>
          </w:tcPr>
          <w:p w14:paraId="5B0B0F62" w14:textId="1B554A7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525A0881" w14:textId="2FE6CB1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SNS use</w:t>
            </w:r>
          </w:p>
        </w:tc>
        <w:tc>
          <w:tcPr>
            <w:tcW w:w="1134" w:type="dxa"/>
            <w:noWrap/>
            <w:vAlign w:val="center"/>
          </w:tcPr>
          <w:p w14:paraId="630517E6" w14:textId="3E08C81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3458EE21" w14:textId="19018D3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Restrained Eating (RE) subscale of the Dutch Eating Behaviour Questionnaire (DEBQ);</w:t>
            </w:r>
          </w:p>
        </w:tc>
        <w:tc>
          <w:tcPr>
            <w:tcW w:w="709" w:type="dxa"/>
            <w:vAlign w:val="center"/>
          </w:tcPr>
          <w:p w14:paraId="621317F2" w14:textId="1FD8CCE0"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5</w:t>
            </w:r>
          </w:p>
        </w:tc>
        <w:tc>
          <w:tcPr>
            <w:tcW w:w="708" w:type="dxa"/>
            <w:vAlign w:val="center"/>
          </w:tcPr>
          <w:p w14:paraId="13550F08" w14:textId="4C853FD6"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615510E6" w14:textId="412E6B4A" w:rsidTr="00020D5E">
        <w:trPr>
          <w:trHeight w:val="300"/>
        </w:trPr>
        <w:tc>
          <w:tcPr>
            <w:tcW w:w="440" w:type="dxa"/>
            <w:shd w:val="clear" w:color="auto" w:fill="F2F2F2" w:themeFill="background1" w:themeFillShade="F2"/>
            <w:noWrap/>
          </w:tcPr>
          <w:p w14:paraId="3046123A" w14:textId="4E5880FF"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48</w:t>
            </w:r>
          </w:p>
        </w:tc>
        <w:tc>
          <w:tcPr>
            <w:tcW w:w="1256" w:type="dxa"/>
            <w:shd w:val="clear" w:color="auto" w:fill="F2F2F2" w:themeFill="background1" w:themeFillShade="F2"/>
            <w:noWrap/>
            <w:vAlign w:val="center"/>
          </w:tcPr>
          <w:p w14:paraId="0B3615BD" w14:textId="17126A1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Olenik-Shemesh</w:t>
            </w:r>
          </w:p>
        </w:tc>
        <w:tc>
          <w:tcPr>
            <w:tcW w:w="709" w:type="dxa"/>
            <w:vAlign w:val="center"/>
          </w:tcPr>
          <w:p w14:paraId="34EC9EE5" w14:textId="387CC58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7498899C" w14:textId="321706DC"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J Genet </w:t>
            </w:r>
            <w:proofErr w:type="spellStart"/>
            <w:r w:rsidRPr="00020D5E">
              <w:rPr>
                <w:rFonts w:asciiTheme="majorHAnsi" w:hAnsiTheme="majorHAnsi" w:cstheme="majorHAnsi"/>
                <w:i/>
                <w:iCs/>
                <w:color w:val="000000"/>
                <w:sz w:val="18"/>
                <w:szCs w:val="18"/>
              </w:rPr>
              <w:t>Psychol</w:t>
            </w:r>
            <w:proofErr w:type="spellEnd"/>
          </w:p>
        </w:tc>
        <w:tc>
          <w:tcPr>
            <w:tcW w:w="708" w:type="dxa"/>
            <w:noWrap/>
            <w:vAlign w:val="center"/>
          </w:tcPr>
          <w:p w14:paraId="1AE41E62" w14:textId="6FAC0AE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204</w:t>
            </w:r>
          </w:p>
        </w:tc>
        <w:tc>
          <w:tcPr>
            <w:tcW w:w="851" w:type="dxa"/>
            <w:noWrap/>
            <w:vAlign w:val="center"/>
          </w:tcPr>
          <w:p w14:paraId="3C6E610E" w14:textId="362A90A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14.8</w:t>
            </w:r>
          </w:p>
        </w:tc>
        <w:tc>
          <w:tcPr>
            <w:tcW w:w="850" w:type="dxa"/>
            <w:noWrap/>
            <w:vAlign w:val="center"/>
          </w:tcPr>
          <w:p w14:paraId="718E2C8D" w14:textId="19FBA5E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48%</w:t>
            </w:r>
          </w:p>
        </w:tc>
        <w:tc>
          <w:tcPr>
            <w:tcW w:w="1276" w:type="dxa"/>
            <w:noWrap/>
            <w:vAlign w:val="center"/>
          </w:tcPr>
          <w:p w14:paraId="76500E96" w14:textId="6617EC2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Israel</w:t>
            </w:r>
          </w:p>
        </w:tc>
        <w:tc>
          <w:tcPr>
            <w:tcW w:w="1276" w:type="dxa"/>
            <w:noWrap/>
            <w:vAlign w:val="center"/>
          </w:tcPr>
          <w:p w14:paraId="784C89F3" w14:textId="68BE8B6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2B551A0D" w14:textId="4409220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Cyberbullying</w:t>
            </w:r>
          </w:p>
        </w:tc>
        <w:tc>
          <w:tcPr>
            <w:tcW w:w="1134" w:type="dxa"/>
            <w:noWrap/>
            <w:vAlign w:val="center"/>
          </w:tcPr>
          <w:p w14:paraId="7AD5386A" w14:textId="042BF6C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Cyber-bullying</w:t>
            </w:r>
          </w:p>
        </w:tc>
        <w:tc>
          <w:tcPr>
            <w:tcW w:w="1985" w:type="dxa"/>
            <w:vAlign w:val="center"/>
          </w:tcPr>
          <w:p w14:paraId="66AA8691" w14:textId="33BE0A9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esteem scale for Adolescents and Adults (Mendelson, Mendelson, &amp; White 2001)</w:t>
            </w:r>
          </w:p>
        </w:tc>
        <w:tc>
          <w:tcPr>
            <w:tcW w:w="709" w:type="dxa"/>
            <w:vAlign w:val="center"/>
          </w:tcPr>
          <w:p w14:paraId="0AE517A8" w14:textId="5B387FA5"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5</w:t>
            </w:r>
          </w:p>
        </w:tc>
        <w:tc>
          <w:tcPr>
            <w:tcW w:w="708" w:type="dxa"/>
            <w:vAlign w:val="center"/>
          </w:tcPr>
          <w:p w14:paraId="2CD6D75E" w14:textId="2EEED494"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16604C93" w14:textId="4910F0B0" w:rsidTr="00020D5E">
        <w:trPr>
          <w:trHeight w:val="300"/>
        </w:trPr>
        <w:tc>
          <w:tcPr>
            <w:tcW w:w="440" w:type="dxa"/>
            <w:shd w:val="clear" w:color="auto" w:fill="F2F2F2" w:themeFill="background1" w:themeFillShade="F2"/>
            <w:noWrap/>
          </w:tcPr>
          <w:p w14:paraId="1FCFACA9" w14:textId="6C9AD7E2"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49</w:t>
            </w:r>
          </w:p>
        </w:tc>
        <w:tc>
          <w:tcPr>
            <w:tcW w:w="1256" w:type="dxa"/>
            <w:shd w:val="clear" w:color="auto" w:fill="F2F2F2" w:themeFill="background1" w:themeFillShade="F2"/>
            <w:noWrap/>
            <w:vAlign w:val="center"/>
          </w:tcPr>
          <w:p w14:paraId="7D1FA303" w14:textId="2D7360D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Park</w:t>
            </w:r>
          </w:p>
        </w:tc>
        <w:tc>
          <w:tcPr>
            <w:tcW w:w="709" w:type="dxa"/>
            <w:vAlign w:val="center"/>
          </w:tcPr>
          <w:p w14:paraId="41BD9F34" w14:textId="3E55FB0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22916423" w14:textId="386EE5E9"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Psychiatry Res.</w:t>
            </w:r>
          </w:p>
        </w:tc>
        <w:tc>
          <w:tcPr>
            <w:tcW w:w="708" w:type="dxa"/>
            <w:noWrap/>
            <w:vAlign w:val="center"/>
          </w:tcPr>
          <w:p w14:paraId="3EBB48D0" w14:textId="0C79141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70,696</w:t>
            </w:r>
          </w:p>
        </w:tc>
        <w:tc>
          <w:tcPr>
            <w:tcW w:w="851" w:type="dxa"/>
            <w:noWrap/>
            <w:vAlign w:val="center"/>
          </w:tcPr>
          <w:p w14:paraId="31E532F3" w14:textId="1BAA270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15.1</w:t>
            </w:r>
          </w:p>
        </w:tc>
        <w:tc>
          <w:tcPr>
            <w:tcW w:w="850" w:type="dxa"/>
            <w:noWrap/>
            <w:vAlign w:val="center"/>
          </w:tcPr>
          <w:p w14:paraId="40E05085" w14:textId="69A7D63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48%</w:t>
            </w:r>
          </w:p>
        </w:tc>
        <w:tc>
          <w:tcPr>
            <w:tcW w:w="1276" w:type="dxa"/>
            <w:noWrap/>
            <w:vAlign w:val="center"/>
          </w:tcPr>
          <w:p w14:paraId="787DD9A7" w14:textId="66D0D47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Korea</w:t>
            </w:r>
          </w:p>
        </w:tc>
        <w:tc>
          <w:tcPr>
            <w:tcW w:w="1276" w:type="dxa"/>
            <w:noWrap/>
            <w:vAlign w:val="center"/>
          </w:tcPr>
          <w:p w14:paraId="0F13C59F" w14:textId="1176FA2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0491123F" w14:textId="2D6AE14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Internet Addiction KS scale</w:t>
            </w:r>
          </w:p>
        </w:tc>
        <w:tc>
          <w:tcPr>
            <w:tcW w:w="1134" w:type="dxa"/>
            <w:noWrap/>
            <w:vAlign w:val="center"/>
          </w:tcPr>
          <w:p w14:paraId="4C75B82D" w14:textId="476AD23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17566724" w14:textId="52E0D3D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BMI; Weight control behaviour (Y/N) and WCB type as defined (Korea Ministry of Education 2014)</w:t>
            </w:r>
          </w:p>
        </w:tc>
        <w:tc>
          <w:tcPr>
            <w:tcW w:w="709" w:type="dxa"/>
            <w:vAlign w:val="center"/>
          </w:tcPr>
          <w:p w14:paraId="6FC05E9D" w14:textId="2185C7B7"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29EE6AFA" w14:textId="2489701C"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3A432566" w14:textId="3A8AC6E5" w:rsidTr="00020D5E">
        <w:trPr>
          <w:trHeight w:val="300"/>
        </w:trPr>
        <w:tc>
          <w:tcPr>
            <w:tcW w:w="440" w:type="dxa"/>
            <w:shd w:val="clear" w:color="auto" w:fill="F2F2F2" w:themeFill="background1" w:themeFillShade="F2"/>
            <w:noWrap/>
          </w:tcPr>
          <w:p w14:paraId="18DE51A3" w14:textId="6F163A71"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50</w:t>
            </w:r>
          </w:p>
        </w:tc>
        <w:tc>
          <w:tcPr>
            <w:tcW w:w="1256" w:type="dxa"/>
            <w:shd w:val="clear" w:color="auto" w:fill="F2F2F2" w:themeFill="background1" w:themeFillShade="F2"/>
            <w:noWrap/>
            <w:vAlign w:val="center"/>
          </w:tcPr>
          <w:p w14:paraId="23EE97F5" w14:textId="55663FE1" w:rsidR="007B5D58" w:rsidRPr="00020D5E" w:rsidRDefault="00021672" w:rsidP="00020D5E">
            <w:pPr>
              <w:spacing w:line="240" w:lineRule="auto"/>
              <w:jc w:val="center"/>
              <w:rPr>
                <w:rFonts w:asciiTheme="majorHAnsi" w:eastAsia="Times New Roman" w:hAnsiTheme="majorHAnsi" w:cstheme="majorHAnsi"/>
                <w:color w:val="000000"/>
                <w:sz w:val="18"/>
                <w:szCs w:val="18"/>
                <w:lang w:eastAsia="en-GB"/>
              </w:rPr>
            </w:pPr>
            <w:proofErr w:type="spellStart"/>
            <w:r>
              <w:rPr>
                <w:rFonts w:asciiTheme="majorHAnsi" w:hAnsiTheme="majorHAnsi" w:cstheme="majorHAnsi"/>
                <w:color w:val="000000"/>
                <w:sz w:val="18"/>
                <w:szCs w:val="18"/>
              </w:rPr>
              <w:t>Pistella</w:t>
            </w:r>
            <w:proofErr w:type="spellEnd"/>
            <w:r>
              <w:rPr>
                <w:rFonts w:asciiTheme="majorHAnsi" w:hAnsiTheme="majorHAnsi" w:cstheme="majorHAnsi"/>
                <w:color w:val="000000"/>
                <w:sz w:val="18"/>
                <w:szCs w:val="18"/>
              </w:rPr>
              <w:t xml:space="preserve"> </w:t>
            </w:r>
          </w:p>
        </w:tc>
        <w:tc>
          <w:tcPr>
            <w:tcW w:w="709" w:type="dxa"/>
            <w:vAlign w:val="center"/>
          </w:tcPr>
          <w:p w14:paraId="13485F42" w14:textId="4A1EB93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2019</w:t>
            </w:r>
          </w:p>
        </w:tc>
        <w:tc>
          <w:tcPr>
            <w:tcW w:w="1418" w:type="dxa"/>
            <w:vAlign w:val="center"/>
          </w:tcPr>
          <w:p w14:paraId="5A7B24DE" w14:textId="1C669FB4"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Int J Eat </w:t>
            </w:r>
            <w:proofErr w:type="spellStart"/>
            <w:r w:rsidRPr="00020D5E">
              <w:rPr>
                <w:rFonts w:asciiTheme="majorHAnsi" w:hAnsiTheme="majorHAnsi" w:cstheme="majorHAnsi"/>
                <w:i/>
                <w:iCs/>
                <w:color w:val="000000"/>
                <w:sz w:val="18"/>
                <w:szCs w:val="18"/>
              </w:rPr>
              <w:t>Disord</w:t>
            </w:r>
            <w:proofErr w:type="spellEnd"/>
          </w:p>
        </w:tc>
        <w:tc>
          <w:tcPr>
            <w:tcW w:w="708" w:type="dxa"/>
            <w:noWrap/>
            <w:vAlign w:val="center"/>
          </w:tcPr>
          <w:p w14:paraId="414233D6" w14:textId="7472C73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2067</w:t>
            </w:r>
          </w:p>
        </w:tc>
        <w:tc>
          <w:tcPr>
            <w:tcW w:w="851" w:type="dxa"/>
            <w:noWrap/>
            <w:vAlign w:val="center"/>
          </w:tcPr>
          <w:p w14:paraId="23CB74C2" w14:textId="7250A25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15.9</w:t>
            </w:r>
          </w:p>
        </w:tc>
        <w:tc>
          <w:tcPr>
            <w:tcW w:w="850" w:type="dxa"/>
            <w:noWrap/>
            <w:vAlign w:val="center"/>
          </w:tcPr>
          <w:p w14:paraId="4F4AEC0D" w14:textId="1A70505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54%</w:t>
            </w:r>
          </w:p>
        </w:tc>
        <w:tc>
          <w:tcPr>
            <w:tcW w:w="1276" w:type="dxa"/>
            <w:noWrap/>
            <w:vAlign w:val="center"/>
          </w:tcPr>
          <w:p w14:paraId="084E83B2" w14:textId="61C74C7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471EF664" w14:textId="28097C7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09DF330C" w14:textId="7852056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Cyberbullying victimization (participants are victims)</w:t>
            </w:r>
          </w:p>
        </w:tc>
        <w:tc>
          <w:tcPr>
            <w:tcW w:w="1134" w:type="dxa"/>
            <w:noWrap/>
            <w:vAlign w:val="center"/>
          </w:tcPr>
          <w:p w14:paraId="52B6093B" w14:textId="25A5FFF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Cyber-bullying</w:t>
            </w:r>
          </w:p>
        </w:tc>
        <w:tc>
          <w:tcPr>
            <w:tcW w:w="1985" w:type="dxa"/>
            <w:vAlign w:val="center"/>
          </w:tcPr>
          <w:p w14:paraId="165A6DEF" w14:textId="19CB035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Single Y/N question: “during the past 30 days, did you try to lose weight or keep from gaining weight by going without eating for 24 hr or more; taking any diet pills, powders, or liquids; vomiting or taking laxatives; smoking cigarettes; or skipping meals?”</w:t>
            </w:r>
          </w:p>
        </w:tc>
        <w:tc>
          <w:tcPr>
            <w:tcW w:w="709" w:type="dxa"/>
            <w:vAlign w:val="center"/>
          </w:tcPr>
          <w:p w14:paraId="447C60E2" w14:textId="244B8B1A"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6</w:t>
            </w:r>
          </w:p>
        </w:tc>
        <w:tc>
          <w:tcPr>
            <w:tcW w:w="708" w:type="dxa"/>
            <w:vAlign w:val="center"/>
          </w:tcPr>
          <w:p w14:paraId="78FD235E" w14:textId="479E9CC4"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78B2B335" w14:textId="2242C7BC" w:rsidTr="00020D5E">
        <w:trPr>
          <w:trHeight w:val="300"/>
        </w:trPr>
        <w:tc>
          <w:tcPr>
            <w:tcW w:w="440" w:type="dxa"/>
            <w:shd w:val="clear" w:color="auto" w:fill="F2F2F2" w:themeFill="background1" w:themeFillShade="F2"/>
            <w:noWrap/>
          </w:tcPr>
          <w:p w14:paraId="52CE0C7F" w14:textId="3DA8E2F5"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51</w:t>
            </w:r>
          </w:p>
        </w:tc>
        <w:tc>
          <w:tcPr>
            <w:tcW w:w="1256" w:type="dxa"/>
            <w:shd w:val="clear" w:color="auto" w:fill="F2F2F2" w:themeFill="background1" w:themeFillShade="F2"/>
            <w:noWrap/>
            <w:vAlign w:val="center"/>
          </w:tcPr>
          <w:p w14:paraId="45C23E47" w14:textId="75CC815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Prichard</w:t>
            </w:r>
          </w:p>
        </w:tc>
        <w:tc>
          <w:tcPr>
            <w:tcW w:w="709" w:type="dxa"/>
            <w:vAlign w:val="center"/>
          </w:tcPr>
          <w:p w14:paraId="47DBF0FA" w14:textId="418A0BF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2020</w:t>
            </w:r>
          </w:p>
        </w:tc>
        <w:tc>
          <w:tcPr>
            <w:tcW w:w="1418" w:type="dxa"/>
            <w:vAlign w:val="center"/>
          </w:tcPr>
          <w:p w14:paraId="5BB86FB9" w14:textId="0EF85399"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Body Image</w:t>
            </w:r>
          </w:p>
        </w:tc>
        <w:tc>
          <w:tcPr>
            <w:tcW w:w="708" w:type="dxa"/>
            <w:noWrap/>
            <w:vAlign w:val="center"/>
          </w:tcPr>
          <w:p w14:paraId="4DA3024B" w14:textId="35CD147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108</w:t>
            </w:r>
          </w:p>
        </w:tc>
        <w:tc>
          <w:tcPr>
            <w:tcW w:w="851" w:type="dxa"/>
            <w:noWrap/>
            <w:vAlign w:val="center"/>
          </w:tcPr>
          <w:p w14:paraId="019BDB48" w14:textId="1796417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20.2</w:t>
            </w:r>
          </w:p>
        </w:tc>
        <w:tc>
          <w:tcPr>
            <w:tcW w:w="850" w:type="dxa"/>
            <w:noWrap/>
            <w:vAlign w:val="center"/>
          </w:tcPr>
          <w:p w14:paraId="5337F913" w14:textId="7A5B3DB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255B3648" w14:textId="195B5F2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373E2812" w14:textId="4FC08CC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Experimental</w:t>
            </w:r>
          </w:p>
        </w:tc>
        <w:tc>
          <w:tcPr>
            <w:tcW w:w="1984" w:type="dxa"/>
            <w:noWrap/>
            <w:vAlign w:val="center"/>
          </w:tcPr>
          <w:p w14:paraId="6694120E" w14:textId="7DA58C9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Social media usage (Likert) and inspiration for fitness (Likert)</w:t>
            </w:r>
          </w:p>
        </w:tc>
        <w:tc>
          <w:tcPr>
            <w:tcW w:w="1134" w:type="dxa"/>
            <w:noWrap/>
            <w:vAlign w:val="center"/>
          </w:tcPr>
          <w:p w14:paraId="598582EB" w14:textId="4E507CF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Pro-ED content or App</w:t>
            </w:r>
          </w:p>
        </w:tc>
        <w:tc>
          <w:tcPr>
            <w:tcW w:w="1985" w:type="dxa"/>
            <w:vAlign w:val="center"/>
          </w:tcPr>
          <w:p w14:paraId="52196106" w14:textId="1C4D14D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dissatisfaction (VAS)</w:t>
            </w:r>
          </w:p>
        </w:tc>
        <w:tc>
          <w:tcPr>
            <w:tcW w:w="709" w:type="dxa"/>
            <w:vAlign w:val="center"/>
          </w:tcPr>
          <w:p w14:paraId="20540753" w14:textId="01243333"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76F53110" w14:textId="2AF0E6B1"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365F854E" w14:textId="376834BD" w:rsidTr="00020D5E">
        <w:trPr>
          <w:trHeight w:val="300"/>
        </w:trPr>
        <w:tc>
          <w:tcPr>
            <w:tcW w:w="440" w:type="dxa"/>
            <w:shd w:val="clear" w:color="auto" w:fill="F2F2F2" w:themeFill="background1" w:themeFillShade="F2"/>
            <w:noWrap/>
          </w:tcPr>
          <w:p w14:paraId="12FBF622" w14:textId="0F7A8134"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52</w:t>
            </w:r>
          </w:p>
        </w:tc>
        <w:tc>
          <w:tcPr>
            <w:tcW w:w="1256" w:type="dxa"/>
            <w:shd w:val="clear" w:color="auto" w:fill="F2F2F2" w:themeFill="background1" w:themeFillShade="F2"/>
            <w:noWrap/>
            <w:vAlign w:val="center"/>
          </w:tcPr>
          <w:p w14:paraId="671E3D88" w14:textId="56531D8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Quesnel</w:t>
            </w:r>
          </w:p>
        </w:tc>
        <w:tc>
          <w:tcPr>
            <w:tcW w:w="709" w:type="dxa"/>
            <w:vAlign w:val="center"/>
          </w:tcPr>
          <w:p w14:paraId="0E2B79AE" w14:textId="4DA0292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2018</w:t>
            </w:r>
          </w:p>
        </w:tc>
        <w:tc>
          <w:tcPr>
            <w:tcW w:w="1418" w:type="dxa"/>
            <w:vAlign w:val="center"/>
          </w:tcPr>
          <w:p w14:paraId="34E7B193" w14:textId="14574244"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Int J </w:t>
            </w:r>
            <w:proofErr w:type="spellStart"/>
            <w:r w:rsidRPr="00020D5E">
              <w:rPr>
                <w:rFonts w:asciiTheme="majorHAnsi" w:hAnsiTheme="majorHAnsi" w:cstheme="majorHAnsi"/>
                <w:i/>
                <w:iCs/>
                <w:color w:val="000000"/>
                <w:sz w:val="18"/>
                <w:szCs w:val="18"/>
              </w:rPr>
              <w:t>Ment</w:t>
            </w:r>
            <w:proofErr w:type="spellEnd"/>
            <w:r w:rsidRPr="00020D5E">
              <w:rPr>
                <w:rFonts w:asciiTheme="majorHAnsi" w:hAnsiTheme="majorHAnsi" w:cstheme="majorHAnsi"/>
                <w:i/>
                <w:iCs/>
                <w:color w:val="000000"/>
                <w:sz w:val="18"/>
                <w:szCs w:val="18"/>
              </w:rPr>
              <w:t xml:space="preserve"> Health Addict</w:t>
            </w:r>
          </w:p>
        </w:tc>
        <w:tc>
          <w:tcPr>
            <w:tcW w:w="708" w:type="dxa"/>
            <w:noWrap/>
            <w:vAlign w:val="center"/>
          </w:tcPr>
          <w:p w14:paraId="37941212" w14:textId="615D8A7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898</w:t>
            </w:r>
          </w:p>
        </w:tc>
        <w:tc>
          <w:tcPr>
            <w:tcW w:w="851" w:type="dxa"/>
            <w:noWrap/>
            <w:vAlign w:val="center"/>
          </w:tcPr>
          <w:p w14:paraId="468602D2" w14:textId="5C9605B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27.6</w:t>
            </w:r>
          </w:p>
        </w:tc>
        <w:tc>
          <w:tcPr>
            <w:tcW w:w="850" w:type="dxa"/>
            <w:noWrap/>
            <w:vAlign w:val="center"/>
          </w:tcPr>
          <w:p w14:paraId="1E271AAB" w14:textId="0267364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5D36C692" w14:textId="67ABC5C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Canada/USA</w:t>
            </w:r>
          </w:p>
        </w:tc>
        <w:tc>
          <w:tcPr>
            <w:tcW w:w="1276" w:type="dxa"/>
            <w:noWrap/>
            <w:vAlign w:val="center"/>
          </w:tcPr>
          <w:p w14:paraId="196CAE93" w14:textId="43D07D0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79720794" w14:textId="530E7C3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Problematic Internet Use Questionnaire (PIUQ)</w:t>
            </w:r>
          </w:p>
        </w:tc>
        <w:tc>
          <w:tcPr>
            <w:tcW w:w="1134" w:type="dxa"/>
            <w:noWrap/>
            <w:vAlign w:val="center"/>
          </w:tcPr>
          <w:p w14:paraId="2699B23A" w14:textId="680E514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0AF9BBC9" w14:textId="408E898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Disorder Examination Questionnaire (EDE-Q)</w:t>
            </w:r>
          </w:p>
        </w:tc>
        <w:tc>
          <w:tcPr>
            <w:tcW w:w="709" w:type="dxa"/>
            <w:vAlign w:val="center"/>
          </w:tcPr>
          <w:p w14:paraId="5388DD8E" w14:textId="64CCDB54"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12</w:t>
            </w:r>
          </w:p>
        </w:tc>
        <w:tc>
          <w:tcPr>
            <w:tcW w:w="708" w:type="dxa"/>
            <w:vAlign w:val="center"/>
          </w:tcPr>
          <w:p w14:paraId="33BC0F4D" w14:textId="1B5DF175"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S</w:t>
            </w:r>
          </w:p>
        </w:tc>
      </w:tr>
      <w:tr w:rsidR="007B5D58" w:rsidRPr="00B514A7" w14:paraId="25803FD3" w14:textId="50A3D23E" w:rsidTr="00020D5E">
        <w:trPr>
          <w:trHeight w:val="300"/>
        </w:trPr>
        <w:tc>
          <w:tcPr>
            <w:tcW w:w="440" w:type="dxa"/>
            <w:shd w:val="clear" w:color="auto" w:fill="F2F2F2" w:themeFill="background1" w:themeFillShade="F2"/>
            <w:noWrap/>
          </w:tcPr>
          <w:p w14:paraId="73DB8B6A" w14:textId="53315C61"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53</w:t>
            </w:r>
          </w:p>
        </w:tc>
        <w:tc>
          <w:tcPr>
            <w:tcW w:w="1256" w:type="dxa"/>
            <w:shd w:val="clear" w:color="auto" w:fill="F2F2F2" w:themeFill="background1" w:themeFillShade="F2"/>
            <w:noWrap/>
            <w:vAlign w:val="center"/>
          </w:tcPr>
          <w:p w14:paraId="48806635" w14:textId="7295EBA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Rodgers</w:t>
            </w:r>
          </w:p>
        </w:tc>
        <w:tc>
          <w:tcPr>
            <w:tcW w:w="709" w:type="dxa"/>
            <w:vAlign w:val="center"/>
          </w:tcPr>
          <w:p w14:paraId="00DDCD1C" w14:textId="7C7EC51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2020</w:t>
            </w:r>
          </w:p>
        </w:tc>
        <w:tc>
          <w:tcPr>
            <w:tcW w:w="1418" w:type="dxa"/>
            <w:vAlign w:val="center"/>
          </w:tcPr>
          <w:p w14:paraId="58125415" w14:textId="265C6976"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J Youth </w:t>
            </w:r>
            <w:proofErr w:type="spellStart"/>
            <w:r w:rsidRPr="00020D5E">
              <w:rPr>
                <w:rFonts w:asciiTheme="majorHAnsi" w:hAnsiTheme="majorHAnsi" w:cstheme="majorHAnsi"/>
                <w:i/>
                <w:iCs/>
                <w:color w:val="000000"/>
                <w:sz w:val="18"/>
                <w:szCs w:val="18"/>
              </w:rPr>
              <w:t>Adolesc</w:t>
            </w:r>
            <w:proofErr w:type="spellEnd"/>
          </w:p>
        </w:tc>
        <w:tc>
          <w:tcPr>
            <w:tcW w:w="708" w:type="dxa"/>
            <w:noWrap/>
            <w:vAlign w:val="center"/>
          </w:tcPr>
          <w:p w14:paraId="52308A36" w14:textId="68D69F7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681</w:t>
            </w:r>
          </w:p>
        </w:tc>
        <w:tc>
          <w:tcPr>
            <w:tcW w:w="851" w:type="dxa"/>
            <w:noWrap/>
            <w:vAlign w:val="center"/>
          </w:tcPr>
          <w:p w14:paraId="2B332418" w14:textId="0CB1BFC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12.8</w:t>
            </w:r>
          </w:p>
        </w:tc>
        <w:tc>
          <w:tcPr>
            <w:tcW w:w="850" w:type="dxa"/>
            <w:noWrap/>
            <w:vAlign w:val="center"/>
          </w:tcPr>
          <w:p w14:paraId="63FC6477" w14:textId="1A17EE3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49%</w:t>
            </w:r>
          </w:p>
        </w:tc>
        <w:tc>
          <w:tcPr>
            <w:tcW w:w="1276" w:type="dxa"/>
            <w:noWrap/>
            <w:vAlign w:val="center"/>
          </w:tcPr>
          <w:p w14:paraId="64A70876" w14:textId="2319BC0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76FC91E5" w14:textId="30584AE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52760822" w14:textId="1491A8C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Multi-faceted by platform Social media usage (Likert); Social media ideal internalization</w:t>
            </w:r>
          </w:p>
        </w:tc>
        <w:tc>
          <w:tcPr>
            <w:tcW w:w="1134" w:type="dxa"/>
            <w:noWrap/>
            <w:vAlign w:val="center"/>
          </w:tcPr>
          <w:p w14:paraId="1522E9A1" w14:textId="7AE4FE9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5758F2AB" w14:textId="31D31DE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EDE-Q (body dissatisfaction) and Dutch Eating Behaviour Questionnaire (eating restraint); Appearance comparison</w:t>
            </w:r>
          </w:p>
        </w:tc>
        <w:tc>
          <w:tcPr>
            <w:tcW w:w="709" w:type="dxa"/>
            <w:vAlign w:val="center"/>
          </w:tcPr>
          <w:p w14:paraId="0D101D60" w14:textId="1655D0E6"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8</w:t>
            </w:r>
          </w:p>
        </w:tc>
        <w:tc>
          <w:tcPr>
            <w:tcW w:w="708" w:type="dxa"/>
            <w:vAlign w:val="center"/>
          </w:tcPr>
          <w:p w14:paraId="37C56320" w14:textId="2DCC36DD"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S</w:t>
            </w:r>
          </w:p>
        </w:tc>
      </w:tr>
      <w:tr w:rsidR="007B5D58" w:rsidRPr="00B514A7" w14:paraId="419260DF" w14:textId="2A788ADC" w:rsidTr="00020D5E">
        <w:trPr>
          <w:trHeight w:val="300"/>
        </w:trPr>
        <w:tc>
          <w:tcPr>
            <w:tcW w:w="440" w:type="dxa"/>
            <w:shd w:val="clear" w:color="auto" w:fill="F2F2F2" w:themeFill="background1" w:themeFillShade="F2"/>
            <w:noWrap/>
          </w:tcPr>
          <w:p w14:paraId="4C97524D" w14:textId="259F560E"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54</w:t>
            </w:r>
          </w:p>
        </w:tc>
        <w:tc>
          <w:tcPr>
            <w:tcW w:w="1256" w:type="dxa"/>
            <w:shd w:val="clear" w:color="auto" w:fill="F2F2F2" w:themeFill="background1" w:themeFillShade="F2"/>
            <w:noWrap/>
            <w:vAlign w:val="center"/>
          </w:tcPr>
          <w:p w14:paraId="643D3501" w14:textId="4246A6D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Rodgers</w:t>
            </w:r>
          </w:p>
        </w:tc>
        <w:tc>
          <w:tcPr>
            <w:tcW w:w="709" w:type="dxa"/>
            <w:vAlign w:val="center"/>
          </w:tcPr>
          <w:p w14:paraId="1B2749D2" w14:textId="2B7A565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2019</w:t>
            </w:r>
          </w:p>
        </w:tc>
        <w:tc>
          <w:tcPr>
            <w:tcW w:w="1418" w:type="dxa"/>
            <w:vAlign w:val="center"/>
          </w:tcPr>
          <w:p w14:paraId="4D47CAB1" w14:textId="0F4E830D"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Eat Weight </w:t>
            </w:r>
            <w:proofErr w:type="spellStart"/>
            <w:r w:rsidRPr="00020D5E">
              <w:rPr>
                <w:rFonts w:asciiTheme="majorHAnsi" w:hAnsiTheme="majorHAnsi" w:cstheme="majorHAnsi"/>
                <w:i/>
                <w:iCs/>
                <w:color w:val="000000"/>
                <w:sz w:val="18"/>
                <w:szCs w:val="18"/>
              </w:rPr>
              <w:t>Disord</w:t>
            </w:r>
            <w:proofErr w:type="spellEnd"/>
          </w:p>
        </w:tc>
        <w:tc>
          <w:tcPr>
            <w:tcW w:w="708" w:type="dxa"/>
            <w:noWrap/>
            <w:vAlign w:val="center"/>
          </w:tcPr>
          <w:p w14:paraId="5637B421" w14:textId="2D4EED1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170</w:t>
            </w:r>
          </w:p>
        </w:tc>
        <w:tc>
          <w:tcPr>
            <w:tcW w:w="851" w:type="dxa"/>
            <w:noWrap/>
            <w:vAlign w:val="center"/>
          </w:tcPr>
          <w:p w14:paraId="320628EF" w14:textId="47E9C2E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22.2</w:t>
            </w:r>
          </w:p>
        </w:tc>
        <w:tc>
          <w:tcPr>
            <w:tcW w:w="850" w:type="dxa"/>
            <w:noWrap/>
            <w:vAlign w:val="center"/>
          </w:tcPr>
          <w:p w14:paraId="315D3596" w14:textId="6DE6D8F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50%</w:t>
            </w:r>
          </w:p>
        </w:tc>
        <w:tc>
          <w:tcPr>
            <w:tcW w:w="1276" w:type="dxa"/>
            <w:noWrap/>
            <w:vAlign w:val="center"/>
          </w:tcPr>
          <w:p w14:paraId="5FDD9062" w14:textId="4C1DFBF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51F8F816" w14:textId="463F75C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575240D4" w14:textId="6EA3BF5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Dating apps and social media use</w:t>
            </w:r>
          </w:p>
        </w:tc>
        <w:tc>
          <w:tcPr>
            <w:tcW w:w="1134" w:type="dxa"/>
            <w:noWrap/>
            <w:vAlign w:val="center"/>
          </w:tcPr>
          <w:p w14:paraId="098DE0E2" w14:textId="25EB48B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Dating App</w:t>
            </w:r>
          </w:p>
        </w:tc>
        <w:tc>
          <w:tcPr>
            <w:tcW w:w="1985" w:type="dxa"/>
            <w:vAlign w:val="center"/>
          </w:tcPr>
          <w:p w14:paraId="7ECC4191" w14:textId="11D0FC0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Objectified body consciousness scale; Body shape satisfaction (inversed)</w:t>
            </w:r>
          </w:p>
        </w:tc>
        <w:tc>
          <w:tcPr>
            <w:tcW w:w="709" w:type="dxa"/>
            <w:vAlign w:val="center"/>
          </w:tcPr>
          <w:p w14:paraId="43E04A62" w14:textId="753BD5B4"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5</w:t>
            </w:r>
          </w:p>
        </w:tc>
        <w:tc>
          <w:tcPr>
            <w:tcW w:w="708" w:type="dxa"/>
            <w:vAlign w:val="center"/>
          </w:tcPr>
          <w:p w14:paraId="6D73D14B" w14:textId="0E618977"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7993A434" w14:textId="0F310D01" w:rsidTr="00020D5E">
        <w:trPr>
          <w:trHeight w:val="300"/>
        </w:trPr>
        <w:tc>
          <w:tcPr>
            <w:tcW w:w="440" w:type="dxa"/>
            <w:shd w:val="clear" w:color="auto" w:fill="F2F2F2" w:themeFill="background1" w:themeFillShade="F2"/>
            <w:noWrap/>
          </w:tcPr>
          <w:p w14:paraId="579CBBA3" w14:textId="78DEA26C"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55</w:t>
            </w:r>
          </w:p>
        </w:tc>
        <w:tc>
          <w:tcPr>
            <w:tcW w:w="1256" w:type="dxa"/>
            <w:shd w:val="clear" w:color="auto" w:fill="F2F2F2" w:themeFill="background1" w:themeFillShade="F2"/>
            <w:noWrap/>
            <w:vAlign w:val="center"/>
          </w:tcPr>
          <w:p w14:paraId="32D7432B" w14:textId="5206357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Rodgers</w:t>
            </w:r>
          </w:p>
        </w:tc>
        <w:tc>
          <w:tcPr>
            <w:tcW w:w="709" w:type="dxa"/>
            <w:vAlign w:val="center"/>
          </w:tcPr>
          <w:p w14:paraId="07389221" w14:textId="533E8C8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2013</w:t>
            </w:r>
          </w:p>
        </w:tc>
        <w:tc>
          <w:tcPr>
            <w:tcW w:w="1418" w:type="dxa"/>
            <w:vAlign w:val="center"/>
          </w:tcPr>
          <w:p w14:paraId="204AB6BC" w14:textId="21A1A62E"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Cyberpsychol</w:t>
            </w:r>
            <w:proofErr w:type="spellEnd"/>
            <w:r w:rsidRPr="00020D5E">
              <w:rPr>
                <w:rFonts w:asciiTheme="majorHAnsi" w:hAnsiTheme="majorHAnsi" w:cstheme="majorHAnsi"/>
                <w:i/>
                <w:iCs/>
                <w:color w:val="000000"/>
                <w:sz w:val="18"/>
                <w:szCs w:val="18"/>
              </w:rPr>
              <w:t xml:space="preserve"> </w:t>
            </w:r>
            <w:proofErr w:type="spellStart"/>
            <w:r w:rsidRPr="00020D5E">
              <w:rPr>
                <w:rFonts w:asciiTheme="majorHAnsi" w:hAnsiTheme="majorHAnsi" w:cstheme="majorHAnsi"/>
                <w:i/>
                <w:iCs/>
                <w:color w:val="000000"/>
                <w:sz w:val="18"/>
                <w:szCs w:val="18"/>
              </w:rPr>
              <w:t>Behav</w:t>
            </w:r>
            <w:proofErr w:type="spellEnd"/>
            <w:r w:rsidRPr="00020D5E">
              <w:rPr>
                <w:rFonts w:asciiTheme="majorHAnsi" w:hAnsiTheme="majorHAnsi" w:cstheme="majorHAnsi"/>
                <w:i/>
                <w:iCs/>
                <w:color w:val="000000"/>
                <w:sz w:val="18"/>
                <w:szCs w:val="18"/>
              </w:rPr>
              <w:t xml:space="preserve"> Soc Net</w:t>
            </w:r>
          </w:p>
        </w:tc>
        <w:tc>
          <w:tcPr>
            <w:tcW w:w="708" w:type="dxa"/>
            <w:noWrap/>
            <w:vAlign w:val="center"/>
          </w:tcPr>
          <w:p w14:paraId="6D510D5B" w14:textId="3557AE7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392</w:t>
            </w:r>
          </w:p>
        </w:tc>
        <w:tc>
          <w:tcPr>
            <w:tcW w:w="851" w:type="dxa"/>
            <w:noWrap/>
            <w:vAlign w:val="center"/>
          </w:tcPr>
          <w:p w14:paraId="597A4BB3" w14:textId="7FCCB12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25.5</w:t>
            </w:r>
          </w:p>
        </w:tc>
        <w:tc>
          <w:tcPr>
            <w:tcW w:w="850" w:type="dxa"/>
            <w:noWrap/>
            <w:vAlign w:val="center"/>
          </w:tcPr>
          <w:p w14:paraId="43B704BE" w14:textId="6AB4AED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68%</w:t>
            </w:r>
          </w:p>
        </w:tc>
        <w:tc>
          <w:tcPr>
            <w:tcW w:w="1276" w:type="dxa"/>
            <w:noWrap/>
            <w:vAlign w:val="center"/>
          </w:tcPr>
          <w:p w14:paraId="5F3DCA62" w14:textId="30A40BD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France</w:t>
            </w:r>
          </w:p>
        </w:tc>
        <w:tc>
          <w:tcPr>
            <w:tcW w:w="1276" w:type="dxa"/>
            <w:noWrap/>
            <w:vAlign w:val="center"/>
          </w:tcPr>
          <w:p w14:paraId="6089F7E1" w14:textId="0B976EE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27F74A42" w14:textId="1AEFD7D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IAT-20</w:t>
            </w:r>
          </w:p>
        </w:tc>
        <w:tc>
          <w:tcPr>
            <w:tcW w:w="1134" w:type="dxa"/>
            <w:noWrap/>
            <w:vAlign w:val="center"/>
          </w:tcPr>
          <w:p w14:paraId="54E87F72" w14:textId="0851FD5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7603B8A8" w14:textId="4B8557B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EAT-26, Body Image Avoidance Questionnaire,</w:t>
            </w:r>
          </w:p>
        </w:tc>
        <w:tc>
          <w:tcPr>
            <w:tcW w:w="709" w:type="dxa"/>
            <w:vAlign w:val="center"/>
          </w:tcPr>
          <w:p w14:paraId="2344934F" w14:textId="1382458B"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67CCA26C" w14:textId="4EE35127"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3F4AD00F" w14:textId="307FF8E1" w:rsidTr="00020D5E">
        <w:trPr>
          <w:trHeight w:val="300"/>
        </w:trPr>
        <w:tc>
          <w:tcPr>
            <w:tcW w:w="440" w:type="dxa"/>
            <w:shd w:val="clear" w:color="auto" w:fill="F2F2F2" w:themeFill="background1" w:themeFillShade="F2"/>
            <w:noWrap/>
          </w:tcPr>
          <w:p w14:paraId="5D3EA519" w14:textId="687B4913"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56</w:t>
            </w:r>
          </w:p>
        </w:tc>
        <w:tc>
          <w:tcPr>
            <w:tcW w:w="1256" w:type="dxa"/>
            <w:shd w:val="clear" w:color="auto" w:fill="F2F2F2" w:themeFill="background1" w:themeFillShade="F2"/>
            <w:noWrap/>
            <w:vAlign w:val="center"/>
          </w:tcPr>
          <w:p w14:paraId="47508593" w14:textId="517100B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Rodgers</w:t>
            </w:r>
          </w:p>
        </w:tc>
        <w:tc>
          <w:tcPr>
            <w:tcW w:w="709" w:type="dxa"/>
            <w:vAlign w:val="center"/>
          </w:tcPr>
          <w:p w14:paraId="77213BE7" w14:textId="7735235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2011</w:t>
            </w:r>
          </w:p>
        </w:tc>
        <w:tc>
          <w:tcPr>
            <w:tcW w:w="1418" w:type="dxa"/>
            <w:vAlign w:val="center"/>
          </w:tcPr>
          <w:p w14:paraId="51041583" w14:textId="4C9925DB"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Eur Eat </w:t>
            </w:r>
            <w:proofErr w:type="spellStart"/>
            <w:r w:rsidRPr="00020D5E">
              <w:rPr>
                <w:rFonts w:asciiTheme="majorHAnsi" w:hAnsiTheme="majorHAnsi" w:cstheme="majorHAnsi"/>
                <w:i/>
                <w:iCs/>
                <w:color w:val="000000"/>
                <w:sz w:val="18"/>
                <w:szCs w:val="18"/>
              </w:rPr>
              <w:t>Disord</w:t>
            </w:r>
            <w:proofErr w:type="spellEnd"/>
            <w:r w:rsidRPr="00020D5E">
              <w:rPr>
                <w:rFonts w:asciiTheme="majorHAnsi" w:hAnsiTheme="majorHAnsi" w:cstheme="majorHAnsi"/>
                <w:i/>
                <w:iCs/>
                <w:color w:val="000000"/>
                <w:sz w:val="18"/>
                <w:szCs w:val="18"/>
              </w:rPr>
              <w:t xml:space="preserve"> Rev</w:t>
            </w:r>
          </w:p>
        </w:tc>
        <w:tc>
          <w:tcPr>
            <w:tcW w:w="708" w:type="dxa"/>
            <w:noWrap/>
            <w:vAlign w:val="center"/>
          </w:tcPr>
          <w:p w14:paraId="24BA2187" w14:textId="2067884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29</w:t>
            </w:r>
          </w:p>
        </w:tc>
        <w:tc>
          <w:tcPr>
            <w:tcW w:w="851" w:type="dxa"/>
            <w:noWrap/>
            <w:vAlign w:val="center"/>
          </w:tcPr>
          <w:p w14:paraId="13A4F0D7" w14:textId="3EE4F79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17.4</w:t>
            </w:r>
          </w:p>
        </w:tc>
        <w:tc>
          <w:tcPr>
            <w:tcW w:w="850" w:type="dxa"/>
            <w:noWrap/>
            <w:vAlign w:val="center"/>
          </w:tcPr>
          <w:p w14:paraId="39B835CF" w14:textId="70FA70B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6AF50789" w14:textId="52C2B35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France</w:t>
            </w:r>
          </w:p>
        </w:tc>
        <w:tc>
          <w:tcPr>
            <w:tcW w:w="1276" w:type="dxa"/>
            <w:noWrap/>
            <w:vAlign w:val="center"/>
          </w:tcPr>
          <w:p w14:paraId="552EFB98" w14:textId="55823D1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0676D48F" w14:textId="7E38940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Pro-ANA online use</w:t>
            </w:r>
          </w:p>
        </w:tc>
        <w:tc>
          <w:tcPr>
            <w:tcW w:w="1134" w:type="dxa"/>
            <w:noWrap/>
            <w:vAlign w:val="center"/>
          </w:tcPr>
          <w:p w14:paraId="17C5195D" w14:textId="7777777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
        </w:tc>
        <w:tc>
          <w:tcPr>
            <w:tcW w:w="1985" w:type="dxa"/>
            <w:vAlign w:val="center"/>
          </w:tcPr>
          <w:p w14:paraId="51FE2533" w14:textId="2090CE6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Attitudes Test (EAT)</w:t>
            </w:r>
          </w:p>
        </w:tc>
        <w:tc>
          <w:tcPr>
            <w:tcW w:w="709" w:type="dxa"/>
            <w:vAlign w:val="center"/>
          </w:tcPr>
          <w:p w14:paraId="19BAB047" w14:textId="07B28F63"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387B9BF1" w14:textId="76CEE5D2"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31DF6700" w14:textId="791A3BF9" w:rsidTr="00020D5E">
        <w:trPr>
          <w:trHeight w:val="300"/>
        </w:trPr>
        <w:tc>
          <w:tcPr>
            <w:tcW w:w="440" w:type="dxa"/>
            <w:shd w:val="clear" w:color="auto" w:fill="F2F2F2" w:themeFill="background1" w:themeFillShade="F2"/>
            <w:noWrap/>
          </w:tcPr>
          <w:p w14:paraId="00D981C2" w14:textId="4D587363"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57</w:t>
            </w:r>
          </w:p>
        </w:tc>
        <w:tc>
          <w:tcPr>
            <w:tcW w:w="1256" w:type="dxa"/>
            <w:shd w:val="clear" w:color="auto" w:fill="F2F2F2" w:themeFill="background1" w:themeFillShade="F2"/>
            <w:noWrap/>
            <w:vAlign w:val="center"/>
          </w:tcPr>
          <w:p w14:paraId="3353ACD8" w14:textId="2A4E226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Sidani</w:t>
            </w:r>
            <w:proofErr w:type="spellEnd"/>
          </w:p>
        </w:tc>
        <w:tc>
          <w:tcPr>
            <w:tcW w:w="709" w:type="dxa"/>
            <w:vAlign w:val="center"/>
          </w:tcPr>
          <w:p w14:paraId="2C1AAB3F" w14:textId="128A3C6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2016</w:t>
            </w:r>
          </w:p>
        </w:tc>
        <w:tc>
          <w:tcPr>
            <w:tcW w:w="1418" w:type="dxa"/>
            <w:vAlign w:val="center"/>
          </w:tcPr>
          <w:p w14:paraId="16284786" w14:textId="006DF3F3"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J </w:t>
            </w:r>
            <w:proofErr w:type="spellStart"/>
            <w:r w:rsidRPr="00020D5E">
              <w:rPr>
                <w:rFonts w:asciiTheme="majorHAnsi" w:hAnsiTheme="majorHAnsi" w:cstheme="majorHAnsi"/>
                <w:i/>
                <w:iCs/>
                <w:color w:val="000000"/>
                <w:sz w:val="18"/>
                <w:szCs w:val="18"/>
              </w:rPr>
              <w:t>Acad</w:t>
            </w:r>
            <w:proofErr w:type="spellEnd"/>
            <w:r w:rsidRPr="00020D5E">
              <w:rPr>
                <w:rFonts w:asciiTheme="majorHAnsi" w:hAnsiTheme="majorHAnsi" w:cstheme="majorHAnsi"/>
                <w:i/>
                <w:iCs/>
                <w:color w:val="000000"/>
                <w:sz w:val="18"/>
                <w:szCs w:val="18"/>
              </w:rPr>
              <w:t xml:space="preserve"> </w:t>
            </w:r>
            <w:proofErr w:type="spellStart"/>
            <w:r w:rsidRPr="00020D5E">
              <w:rPr>
                <w:rFonts w:asciiTheme="majorHAnsi" w:hAnsiTheme="majorHAnsi" w:cstheme="majorHAnsi"/>
                <w:i/>
                <w:iCs/>
                <w:color w:val="000000"/>
                <w:sz w:val="18"/>
                <w:szCs w:val="18"/>
              </w:rPr>
              <w:t>Nutr</w:t>
            </w:r>
            <w:proofErr w:type="spellEnd"/>
            <w:r w:rsidRPr="00020D5E">
              <w:rPr>
                <w:rFonts w:asciiTheme="majorHAnsi" w:hAnsiTheme="majorHAnsi" w:cstheme="majorHAnsi"/>
                <w:i/>
                <w:iCs/>
                <w:color w:val="000000"/>
                <w:sz w:val="18"/>
                <w:szCs w:val="18"/>
              </w:rPr>
              <w:t xml:space="preserve"> Diet.</w:t>
            </w:r>
          </w:p>
        </w:tc>
        <w:tc>
          <w:tcPr>
            <w:tcW w:w="708" w:type="dxa"/>
            <w:noWrap/>
            <w:vAlign w:val="center"/>
          </w:tcPr>
          <w:p w14:paraId="224CA148" w14:textId="1C0562F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1,765</w:t>
            </w:r>
          </w:p>
        </w:tc>
        <w:tc>
          <w:tcPr>
            <w:tcW w:w="851" w:type="dxa"/>
            <w:noWrap/>
            <w:vAlign w:val="center"/>
          </w:tcPr>
          <w:p w14:paraId="70D40ED3" w14:textId="080D92E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19-32</w:t>
            </w:r>
          </w:p>
        </w:tc>
        <w:tc>
          <w:tcPr>
            <w:tcW w:w="850" w:type="dxa"/>
            <w:noWrap/>
            <w:vAlign w:val="center"/>
          </w:tcPr>
          <w:p w14:paraId="124997AC" w14:textId="520A8E4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49.7%</w:t>
            </w:r>
          </w:p>
        </w:tc>
        <w:tc>
          <w:tcPr>
            <w:tcW w:w="1276" w:type="dxa"/>
            <w:noWrap/>
            <w:vAlign w:val="center"/>
          </w:tcPr>
          <w:p w14:paraId="2C4C69A4" w14:textId="237699F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0A7D8F59" w14:textId="15344FE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0DF109D9" w14:textId="5B945FA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Social</w:t>
            </w:r>
            <w:r w:rsidRPr="00020D5E">
              <w:rPr>
                <w:rFonts w:asciiTheme="majorHAnsi" w:hAnsiTheme="majorHAnsi" w:cstheme="majorHAnsi"/>
                <w:color w:val="000000"/>
                <w:sz w:val="18"/>
                <w:szCs w:val="18"/>
              </w:rPr>
              <w:br/>
              <w:t>media use</w:t>
            </w:r>
          </w:p>
        </w:tc>
        <w:tc>
          <w:tcPr>
            <w:tcW w:w="1134" w:type="dxa"/>
            <w:noWrap/>
            <w:vAlign w:val="center"/>
          </w:tcPr>
          <w:p w14:paraId="73138C5E" w14:textId="280FA2C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1953585E" w14:textId="3476238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SCOFF Questionnaire; Eating Disorder Screen for Primary Care</w:t>
            </w:r>
          </w:p>
        </w:tc>
        <w:tc>
          <w:tcPr>
            <w:tcW w:w="709" w:type="dxa"/>
            <w:vAlign w:val="center"/>
          </w:tcPr>
          <w:p w14:paraId="3FF77FA3" w14:textId="68336AAE"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7E7BADF9" w14:textId="28192F99"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4AC5A338" w14:textId="69CE26A9" w:rsidTr="00020D5E">
        <w:trPr>
          <w:trHeight w:val="300"/>
        </w:trPr>
        <w:tc>
          <w:tcPr>
            <w:tcW w:w="440" w:type="dxa"/>
            <w:shd w:val="clear" w:color="auto" w:fill="F2F2F2" w:themeFill="background1" w:themeFillShade="F2"/>
            <w:noWrap/>
          </w:tcPr>
          <w:p w14:paraId="598C9B55" w14:textId="65B5A12F"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58</w:t>
            </w:r>
          </w:p>
        </w:tc>
        <w:tc>
          <w:tcPr>
            <w:tcW w:w="1256" w:type="dxa"/>
            <w:shd w:val="clear" w:color="auto" w:fill="F2F2F2" w:themeFill="background1" w:themeFillShade="F2"/>
            <w:noWrap/>
            <w:vAlign w:val="center"/>
          </w:tcPr>
          <w:p w14:paraId="022FF3AD" w14:textId="67CE89D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Simpson</w:t>
            </w:r>
          </w:p>
        </w:tc>
        <w:tc>
          <w:tcPr>
            <w:tcW w:w="709" w:type="dxa"/>
            <w:vAlign w:val="center"/>
          </w:tcPr>
          <w:p w14:paraId="04A3F56A" w14:textId="7989D57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210A9484" w14:textId="7ABE656D"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Eat Behav</w:t>
            </w:r>
            <w:r w:rsidR="00465812">
              <w:rPr>
                <w:rFonts w:asciiTheme="majorHAnsi" w:hAnsiTheme="majorHAnsi" w:cstheme="majorHAnsi"/>
                <w:i/>
                <w:iCs/>
                <w:color w:val="000000"/>
                <w:sz w:val="18"/>
                <w:szCs w:val="18"/>
              </w:rPr>
              <w:t>iour</w:t>
            </w:r>
          </w:p>
        </w:tc>
        <w:tc>
          <w:tcPr>
            <w:tcW w:w="708" w:type="dxa"/>
            <w:noWrap/>
            <w:vAlign w:val="center"/>
          </w:tcPr>
          <w:p w14:paraId="2DF04E7B" w14:textId="17FD67E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439</w:t>
            </w:r>
          </w:p>
        </w:tc>
        <w:tc>
          <w:tcPr>
            <w:tcW w:w="851" w:type="dxa"/>
            <w:noWrap/>
            <w:vAlign w:val="center"/>
          </w:tcPr>
          <w:p w14:paraId="76FF9AA9" w14:textId="6F88EF1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20.7</w:t>
            </w:r>
          </w:p>
        </w:tc>
        <w:tc>
          <w:tcPr>
            <w:tcW w:w="850" w:type="dxa"/>
            <w:noWrap/>
            <w:vAlign w:val="center"/>
          </w:tcPr>
          <w:p w14:paraId="46DD4303" w14:textId="7A01D62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69.7%</w:t>
            </w:r>
          </w:p>
        </w:tc>
        <w:tc>
          <w:tcPr>
            <w:tcW w:w="1276" w:type="dxa"/>
            <w:noWrap/>
            <w:vAlign w:val="center"/>
          </w:tcPr>
          <w:p w14:paraId="3160A4D4" w14:textId="41A40BB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63A03194" w14:textId="12EAF5B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139AEF6F" w14:textId="6625AA9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Calorie tracking device or application use</w:t>
            </w:r>
          </w:p>
        </w:tc>
        <w:tc>
          <w:tcPr>
            <w:tcW w:w="1134" w:type="dxa"/>
            <w:noWrap/>
            <w:vAlign w:val="center"/>
          </w:tcPr>
          <w:p w14:paraId="39E021AF" w14:textId="4E9BA90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Pro-ED content or App</w:t>
            </w:r>
          </w:p>
        </w:tc>
        <w:tc>
          <w:tcPr>
            <w:tcW w:w="1985" w:type="dxa"/>
            <w:vAlign w:val="center"/>
          </w:tcPr>
          <w:p w14:paraId="7FD04C49" w14:textId="333DCA1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Disorder Examination-Questionnaire (EDE-Q; Peterson et al., 2007)</w:t>
            </w:r>
          </w:p>
        </w:tc>
        <w:tc>
          <w:tcPr>
            <w:tcW w:w="709" w:type="dxa"/>
            <w:vAlign w:val="center"/>
          </w:tcPr>
          <w:p w14:paraId="327BB54B" w14:textId="17908B60"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8</w:t>
            </w:r>
          </w:p>
        </w:tc>
        <w:tc>
          <w:tcPr>
            <w:tcW w:w="708" w:type="dxa"/>
            <w:vAlign w:val="center"/>
          </w:tcPr>
          <w:p w14:paraId="24AE0F51" w14:textId="01AD247B"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05125A40" w14:textId="448E5BCF" w:rsidTr="00020D5E">
        <w:trPr>
          <w:trHeight w:val="300"/>
        </w:trPr>
        <w:tc>
          <w:tcPr>
            <w:tcW w:w="440" w:type="dxa"/>
            <w:shd w:val="clear" w:color="auto" w:fill="F2F2F2" w:themeFill="background1" w:themeFillShade="F2"/>
            <w:noWrap/>
          </w:tcPr>
          <w:p w14:paraId="3B093B6F" w14:textId="7D09C281"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59</w:t>
            </w:r>
          </w:p>
        </w:tc>
        <w:tc>
          <w:tcPr>
            <w:tcW w:w="1256" w:type="dxa"/>
            <w:shd w:val="clear" w:color="auto" w:fill="F2F2F2" w:themeFill="background1" w:themeFillShade="F2"/>
            <w:noWrap/>
            <w:vAlign w:val="center"/>
          </w:tcPr>
          <w:p w14:paraId="6C39E371" w14:textId="5AE2334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Slater</w:t>
            </w:r>
          </w:p>
        </w:tc>
        <w:tc>
          <w:tcPr>
            <w:tcW w:w="709" w:type="dxa"/>
            <w:vAlign w:val="center"/>
          </w:tcPr>
          <w:p w14:paraId="03D76941" w14:textId="6B07C55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2019</w:t>
            </w:r>
          </w:p>
        </w:tc>
        <w:tc>
          <w:tcPr>
            <w:tcW w:w="1418" w:type="dxa"/>
            <w:vAlign w:val="center"/>
          </w:tcPr>
          <w:p w14:paraId="79ED982F" w14:textId="58811635"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Body Image</w:t>
            </w:r>
          </w:p>
        </w:tc>
        <w:tc>
          <w:tcPr>
            <w:tcW w:w="708" w:type="dxa"/>
            <w:noWrap/>
            <w:vAlign w:val="center"/>
          </w:tcPr>
          <w:p w14:paraId="2AF43E68" w14:textId="4D62FF7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102</w:t>
            </w:r>
          </w:p>
        </w:tc>
        <w:tc>
          <w:tcPr>
            <w:tcW w:w="851" w:type="dxa"/>
            <w:noWrap/>
            <w:vAlign w:val="center"/>
          </w:tcPr>
          <w:p w14:paraId="770AF505" w14:textId="69EE6B3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23.5</w:t>
            </w:r>
          </w:p>
        </w:tc>
        <w:tc>
          <w:tcPr>
            <w:tcW w:w="850" w:type="dxa"/>
            <w:noWrap/>
            <w:vAlign w:val="center"/>
          </w:tcPr>
          <w:p w14:paraId="7A66A777" w14:textId="7A93FCA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4F337ABD" w14:textId="1A50DDE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04F87DE7" w14:textId="5011307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Experimental</w:t>
            </w:r>
          </w:p>
        </w:tc>
        <w:tc>
          <w:tcPr>
            <w:tcW w:w="1984" w:type="dxa"/>
            <w:noWrap/>
            <w:vAlign w:val="center"/>
          </w:tcPr>
          <w:p w14:paraId="4C02C735" w14:textId="4E0E031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Instagram use</w:t>
            </w:r>
          </w:p>
        </w:tc>
        <w:tc>
          <w:tcPr>
            <w:tcW w:w="1134" w:type="dxa"/>
            <w:noWrap/>
            <w:vAlign w:val="center"/>
          </w:tcPr>
          <w:p w14:paraId="21A11040" w14:textId="7B347F9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567E8E66" w14:textId="647E71E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VAS body satisfaction; VASS body appreciation; VAS state appearance</w:t>
            </w:r>
          </w:p>
        </w:tc>
        <w:tc>
          <w:tcPr>
            <w:tcW w:w="709" w:type="dxa"/>
            <w:vAlign w:val="center"/>
          </w:tcPr>
          <w:p w14:paraId="096F907F" w14:textId="1F3FA683"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8</w:t>
            </w:r>
          </w:p>
        </w:tc>
        <w:tc>
          <w:tcPr>
            <w:tcW w:w="708" w:type="dxa"/>
            <w:vAlign w:val="center"/>
          </w:tcPr>
          <w:p w14:paraId="2464F5AF" w14:textId="7A539B1A"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1F9C82CB" w14:textId="5031FA1D" w:rsidTr="00020D5E">
        <w:trPr>
          <w:trHeight w:val="300"/>
        </w:trPr>
        <w:tc>
          <w:tcPr>
            <w:tcW w:w="440" w:type="dxa"/>
            <w:shd w:val="clear" w:color="auto" w:fill="F2F2F2" w:themeFill="background1" w:themeFillShade="F2"/>
            <w:noWrap/>
          </w:tcPr>
          <w:p w14:paraId="68B1E7A5" w14:textId="6255253A"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60</w:t>
            </w:r>
          </w:p>
        </w:tc>
        <w:tc>
          <w:tcPr>
            <w:tcW w:w="1256" w:type="dxa"/>
            <w:shd w:val="clear" w:color="auto" w:fill="F2F2F2" w:themeFill="background1" w:themeFillShade="F2"/>
            <w:noWrap/>
            <w:vAlign w:val="center"/>
          </w:tcPr>
          <w:p w14:paraId="0C10927D" w14:textId="32D71F2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Slater</w:t>
            </w:r>
          </w:p>
        </w:tc>
        <w:tc>
          <w:tcPr>
            <w:tcW w:w="709" w:type="dxa"/>
            <w:vAlign w:val="center"/>
          </w:tcPr>
          <w:p w14:paraId="72D08E50" w14:textId="6F8221C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45F08926" w14:textId="6B3DE44A"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J Youth </w:t>
            </w:r>
            <w:proofErr w:type="spellStart"/>
            <w:r w:rsidRPr="00020D5E">
              <w:rPr>
                <w:rFonts w:asciiTheme="majorHAnsi" w:hAnsiTheme="majorHAnsi" w:cstheme="majorHAnsi"/>
                <w:i/>
                <w:iCs/>
                <w:color w:val="000000"/>
                <w:sz w:val="18"/>
                <w:szCs w:val="18"/>
              </w:rPr>
              <w:t>Adolesc</w:t>
            </w:r>
            <w:proofErr w:type="spellEnd"/>
          </w:p>
        </w:tc>
        <w:tc>
          <w:tcPr>
            <w:tcW w:w="708" w:type="dxa"/>
            <w:noWrap/>
            <w:vAlign w:val="center"/>
          </w:tcPr>
          <w:p w14:paraId="37CA5AD6" w14:textId="2B5CA53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80</w:t>
            </w:r>
          </w:p>
        </w:tc>
        <w:tc>
          <w:tcPr>
            <w:tcW w:w="851" w:type="dxa"/>
            <w:noWrap/>
            <w:vAlign w:val="center"/>
          </w:tcPr>
          <w:p w14:paraId="690B8A06" w14:textId="1C3B8D8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8.9</w:t>
            </w:r>
          </w:p>
        </w:tc>
        <w:tc>
          <w:tcPr>
            <w:tcW w:w="850" w:type="dxa"/>
            <w:noWrap/>
            <w:vAlign w:val="center"/>
          </w:tcPr>
          <w:p w14:paraId="7ABAF08D" w14:textId="33B0ECE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70AB5265" w14:textId="257E101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UK</w:t>
            </w:r>
          </w:p>
        </w:tc>
        <w:tc>
          <w:tcPr>
            <w:tcW w:w="1276" w:type="dxa"/>
            <w:noWrap/>
            <w:vAlign w:val="center"/>
          </w:tcPr>
          <w:p w14:paraId="7784F296" w14:textId="3E7C0A2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Experimental</w:t>
            </w:r>
          </w:p>
        </w:tc>
        <w:tc>
          <w:tcPr>
            <w:tcW w:w="1984" w:type="dxa"/>
            <w:noWrap/>
            <w:vAlign w:val="center"/>
          </w:tcPr>
          <w:p w14:paraId="425B551C" w14:textId="0A98CDC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Appearance-focused Internet gaming</w:t>
            </w:r>
          </w:p>
        </w:tc>
        <w:tc>
          <w:tcPr>
            <w:tcW w:w="1134" w:type="dxa"/>
            <w:noWrap/>
            <w:vAlign w:val="center"/>
          </w:tcPr>
          <w:p w14:paraId="44DCED50" w14:textId="6DFA845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Online gaming</w:t>
            </w:r>
          </w:p>
        </w:tc>
        <w:tc>
          <w:tcPr>
            <w:tcW w:w="1985" w:type="dxa"/>
            <w:vAlign w:val="center"/>
          </w:tcPr>
          <w:p w14:paraId="6E645B4E" w14:textId="68ED975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Child Figure Rating Scale (Tiggemann and Wilson-Barrett 1998)</w:t>
            </w:r>
          </w:p>
        </w:tc>
        <w:tc>
          <w:tcPr>
            <w:tcW w:w="709" w:type="dxa"/>
            <w:vAlign w:val="center"/>
          </w:tcPr>
          <w:p w14:paraId="5F8F2C24" w14:textId="67E3B1C0"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6</w:t>
            </w:r>
          </w:p>
        </w:tc>
        <w:tc>
          <w:tcPr>
            <w:tcW w:w="708" w:type="dxa"/>
            <w:vAlign w:val="center"/>
          </w:tcPr>
          <w:p w14:paraId="28550593" w14:textId="74723159"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168E8827" w14:textId="60C3A67A" w:rsidTr="00020D5E">
        <w:trPr>
          <w:trHeight w:val="300"/>
        </w:trPr>
        <w:tc>
          <w:tcPr>
            <w:tcW w:w="440" w:type="dxa"/>
            <w:shd w:val="clear" w:color="auto" w:fill="F2F2F2" w:themeFill="background1" w:themeFillShade="F2"/>
            <w:noWrap/>
          </w:tcPr>
          <w:p w14:paraId="1AAE44A3" w14:textId="53FCC509"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61</w:t>
            </w:r>
          </w:p>
        </w:tc>
        <w:tc>
          <w:tcPr>
            <w:tcW w:w="1256" w:type="dxa"/>
            <w:shd w:val="clear" w:color="auto" w:fill="F2F2F2" w:themeFill="background1" w:themeFillShade="F2"/>
            <w:noWrap/>
            <w:vAlign w:val="center"/>
          </w:tcPr>
          <w:p w14:paraId="2A8BD24B" w14:textId="01D2D4D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Smith</w:t>
            </w:r>
          </w:p>
        </w:tc>
        <w:tc>
          <w:tcPr>
            <w:tcW w:w="709" w:type="dxa"/>
            <w:vAlign w:val="center"/>
          </w:tcPr>
          <w:p w14:paraId="510F601C" w14:textId="1D15987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2013</w:t>
            </w:r>
          </w:p>
        </w:tc>
        <w:tc>
          <w:tcPr>
            <w:tcW w:w="1418" w:type="dxa"/>
            <w:vAlign w:val="center"/>
          </w:tcPr>
          <w:p w14:paraId="55E6FC58" w14:textId="406BE072"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J Affect </w:t>
            </w:r>
            <w:proofErr w:type="spellStart"/>
            <w:r w:rsidRPr="00020D5E">
              <w:rPr>
                <w:rFonts w:asciiTheme="majorHAnsi" w:hAnsiTheme="majorHAnsi" w:cstheme="majorHAnsi"/>
                <w:i/>
                <w:iCs/>
                <w:color w:val="000000"/>
                <w:sz w:val="18"/>
                <w:szCs w:val="18"/>
              </w:rPr>
              <w:t>Disord</w:t>
            </w:r>
            <w:proofErr w:type="spellEnd"/>
          </w:p>
        </w:tc>
        <w:tc>
          <w:tcPr>
            <w:tcW w:w="708" w:type="dxa"/>
            <w:noWrap/>
            <w:vAlign w:val="center"/>
          </w:tcPr>
          <w:p w14:paraId="196BA492" w14:textId="703D4EC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232/219</w:t>
            </w:r>
          </w:p>
        </w:tc>
        <w:tc>
          <w:tcPr>
            <w:tcW w:w="851" w:type="dxa"/>
            <w:noWrap/>
            <w:vAlign w:val="center"/>
          </w:tcPr>
          <w:p w14:paraId="51953E65" w14:textId="7B04EAA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18.7</w:t>
            </w:r>
          </w:p>
        </w:tc>
        <w:tc>
          <w:tcPr>
            <w:tcW w:w="850" w:type="dxa"/>
            <w:noWrap/>
            <w:vAlign w:val="center"/>
          </w:tcPr>
          <w:p w14:paraId="65877BDC" w14:textId="06AA32E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19A79897" w14:textId="4A6E961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4D95A163" w14:textId="103CF6E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Prospective</w:t>
            </w:r>
          </w:p>
        </w:tc>
        <w:tc>
          <w:tcPr>
            <w:tcW w:w="1984" w:type="dxa"/>
            <w:noWrap/>
            <w:vAlign w:val="center"/>
          </w:tcPr>
          <w:p w14:paraId="005D2637" w14:textId="231B88B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Maladaptive Facebook Usage Scale (Smith 2013)</w:t>
            </w:r>
          </w:p>
        </w:tc>
        <w:tc>
          <w:tcPr>
            <w:tcW w:w="1134" w:type="dxa"/>
            <w:noWrap/>
            <w:vAlign w:val="center"/>
          </w:tcPr>
          <w:p w14:paraId="108FB7E4" w14:textId="7DC7F5F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44EC319F" w14:textId="71C9422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Disorder Inventory (EDI; Garner etal.,1983) EDI-bulimia and EDI-BD subscale; EDEQ-4 (Fairburn and Beglin,1994) shape concern &amp; item 17</w:t>
            </w:r>
          </w:p>
        </w:tc>
        <w:tc>
          <w:tcPr>
            <w:tcW w:w="709" w:type="dxa"/>
            <w:vAlign w:val="center"/>
          </w:tcPr>
          <w:p w14:paraId="34B09DA1" w14:textId="2526FB80"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4CD67A80" w14:textId="6A5D37F5"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M</w:t>
            </w:r>
          </w:p>
        </w:tc>
      </w:tr>
      <w:tr w:rsidR="007B5D58" w:rsidRPr="00B514A7" w14:paraId="7E0A8BF9" w14:textId="5B2654B8" w:rsidTr="00020D5E">
        <w:trPr>
          <w:trHeight w:val="300"/>
        </w:trPr>
        <w:tc>
          <w:tcPr>
            <w:tcW w:w="440" w:type="dxa"/>
            <w:shd w:val="clear" w:color="auto" w:fill="F2F2F2" w:themeFill="background1" w:themeFillShade="F2"/>
            <w:noWrap/>
          </w:tcPr>
          <w:p w14:paraId="7D42B43D" w14:textId="15D2AAEA"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62</w:t>
            </w:r>
          </w:p>
        </w:tc>
        <w:tc>
          <w:tcPr>
            <w:tcW w:w="1256" w:type="dxa"/>
            <w:shd w:val="clear" w:color="auto" w:fill="F2F2F2" w:themeFill="background1" w:themeFillShade="F2"/>
            <w:noWrap/>
            <w:vAlign w:val="center"/>
          </w:tcPr>
          <w:p w14:paraId="03097F9A" w14:textId="57D95F6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sz w:val="18"/>
                <w:szCs w:val="18"/>
              </w:rPr>
              <w:t>Stronge</w:t>
            </w:r>
            <w:proofErr w:type="spellEnd"/>
          </w:p>
        </w:tc>
        <w:tc>
          <w:tcPr>
            <w:tcW w:w="709" w:type="dxa"/>
            <w:vAlign w:val="center"/>
          </w:tcPr>
          <w:p w14:paraId="1E70D8BE" w14:textId="492D64E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2015</w:t>
            </w:r>
          </w:p>
        </w:tc>
        <w:tc>
          <w:tcPr>
            <w:tcW w:w="1418" w:type="dxa"/>
            <w:vAlign w:val="center"/>
          </w:tcPr>
          <w:p w14:paraId="6A37A16D" w14:textId="6D85E3FC"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sz w:val="18"/>
                <w:szCs w:val="18"/>
              </w:rPr>
              <w:t>Sex Roles</w:t>
            </w:r>
          </w:p>
        </w:tc>
        <w:tc>
          <w:tcPr>
            <w:tcW w:w="708" w:type="dxa"/>
            <w:noWrap/>
            <w:vAlign w:val="center"/>
          </w:tcPr>
          <w:p w14:paraId="7338D079" w14:textId="0F81AF1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4134</w:t>
            </w:r>
          </w:p>
        </w:tc>
        <w:tc>
          <w:tcPr>
            <w:tcW w:w="851" w:type="dxa"/>
            <w:noWrap/>
            <w:vAlign w:val="center"/>
          </w:tcPr>
          <w:p w14:paraId="65A2B827" w14:textId="7D2746B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All age (18-65+)</w:t>
            </w:r>
          </w:p>
        </w:tc>
        <w:tc>
          <w:tcPr>
            <w:tcW w:w="850" w:type="dxa"/>
            <w:noWrap/>
            <w:vAlign w:val="center"/>
          </w:tcPr>
          <w:p w14:paraId="2E7F964C" w14:textId="66D1E01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62%</w:t>
            </w:r>
          </w:p>
        </w:tc>
        <w:tc>
          <w:tcPr>
            <w:tcW w:w="1276" w:type="dxa"/>
            <w:noWrap/>
            <w:vAlign w:val="center"/>
          </w:tcPr>
          <w:p w14:paraId="6FB5AB30" w14:textId="1C8F5A0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New Zealand</w:t>
            </w:r>
          </w:p>
        </w:tc>
        <w:tc>
          <w:tcPr>
            <w:tcW w:w="1276" w:type="dxa"/>
            <w:noWrap/>
            <w:vAlign w:val="center"/>
          </w:tcPr>
          <w:p w14:paraId="27753884" w14:textId="0DD7F25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5705DEF7" w14:textId="72588F2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Facebook</w:t>
            </w:r>
          </w:p>
        </w:tc>
        <w:tc>
          <w:tcPr>
            <w:tcW w:w="1134" w:type="dxa"/>
            <w:noWrap/>
            <w:vAlign w:val="center"/>
          </w:tcPr>
          <w:p w14:paraId="1747A0B8" w14:textId="6D6AE81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78287C11" w14:textId="50FB7F5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Body dissatisfaction (negatively coded here)</w:t>
            </w:r>
          </w:p>
        </w:tc>
        <w:tc>
          <w:tcPr>
            <w:tcW w:w="709" w:type="dxa"/>
            <w:vAlign w:val="center"/>
          </w:tcPr>
          <w:p w14:paraId="5B01B622" w14:textId="638B34CA" w:rsidR="007B5D58" w:rsidRPr="00020D5E" w:rsidRDefault="007B5D58" w:rsidP="00020D5E">
            <w:pPr>
              <w:spacing w:line="240" w:lineRule="auto"/>
              <w:jc w:val="center"/>
              <w:rPr>
                <w:rFonts w:asciiTheme="majorHAnsi" w:hAnsiTheme="majorHAnsi" w:cstheme="majorHAnsi"/>
                <w:sz w:val="18"/>
                <w:szCs w:val="18"/>
              </w:rPr>
            </w:pPr>
            <w:r w:rsidRPr="00020D5E">
              <w:rPr>
                <w:rFonts w:asciiTheme="majorHAnsi" w:hAnsiTheme="majorHAnsi" w:cstheme="majorHAnsi"/>
                <w:sz w:val="18"/>
                <w:szCs w:val="18"/>
              </w:rPr>
              <w:t>7</w:t>
            </w:r>
          </w:p>
        </w:tc>
        <w:tc>
          <w:tcPr>
            <w:tcW w:w="708" w:type="dxa"/>
            <w:vAlign w:val="center"/>
          </w:tcPr>
          <w:p w14:paraId="688CF6F9" w14:textId="15389178" w:rsidR="007B5D58" w:rsidRPr="00020D5E" w:rsidRDefault="007B5D58" w:rsidP="00020D5E">
            <w:pPr>
              <w:spacing w:line="240" w:lineRule="auto"/>
              <w:jc w:val="center"/>
              <w:rPr>
                <w:rFonts w:asciiTheme="majorHAnsi" w:hAnsiTheme="majorHAnsi" w:cstheme="majorHAnsi"/>
                <w:sz w:val="18"/>
                <w:szCs w:val="18"/>
              </w:rPr>
            </w:pPr>
            <w:r w:rsidRPr="00020D5E">
              <w:rPr>
                <w:rFonts w:asciiTheme="majorHAnsi" w:hAnsiTheme="majorHAnsi" w:cstheme="majorHAnsi"/>
                <w:sz w:val="18"/>
                <w:szCs w:val="18"/>
              </w:rPr>
              <w:t>S</w:t>
            </w:r>
          </w:p>
        </w:tc>
      </w:tr>
      <w:tr w:rsidR="007B5D58" w:rsidRPr="00B514A7" w14:paraId="2190FA3C" w14:textId="02EBB063" w:rsidTr="00020D5E">
        <w:trPr>
          <w:trHeight w:val="300"/>
        </w:trPr>
        <w:tc>
          <w:tcPr>
            <w:tcW w:w="440" w:type="dxa"/>
            <w:shd w:val="clear" w:color="auto" w:fill="F2F2F2" w:themeFill="background1" w:themeFillShade="F2"/>
            <w:noWrap/>
          </w:tcPr>
          <w:p w14:paraId="1ABF4F47" w14:textId="13E5446D"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63</w:t>
            </w:r>
          </w:p>
        </w:tc>
        <w:tc>
          <w:tcPr>
            <w:tcW w:w="1256" w:type="dxa"/>
            <w:shd w:val="clear" w:color="auto" w:fill="F2F2F2" w:themeFill="background1" w:themeFillShade="F2"/>
            <w:noWrap/>
            <w:vAlign w:val="center"/>
          </w:tcPr>
          <w:p w14:paraId="38510A32" w14:textId="44883F7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Sugimoto</w:t>
            </w:r>
          </w:p>
        </w:tc>
        <w:tc>
          <w:tcPr>
            <w:tcW w:w="709" w:type="dxa"/>
            <w:vAlign w:val="center"/>
          </w:tcPr>
          <w:p w14:paraId="1800EADF" w14:textId="39F7C16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2020</w:t>
            </w:r>
          </w:p>
        </w:tc>
        <w:tc>
          <w:tcPr>
            <w:tcW w:w="1418" w:type="dxa"/>
            <w:vAlign w:val="center"/>
          </w:tcPr>
          <w:p w14:paraId="763F2428" w14:textId="058E4F1B"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Int J Eat </w:t>
            </w:r>
            <w:proofErr w:type="spellStart"/>
            <w:r w:rsidRPr="00020D5E">
              <w:rPr>
                <w:rFonts w:asciiTheme="majorHAnsi" w:hAnsiTheme="majorHAnsi" w:cstheme="majorHAnsi"/>
                <w:i/>
                <w:iCs/>
                <w:color w:val="000000"/>
                <w:sz w:val="18"/>
                <w:szCs w:val="18"/>
              </w:rPr>
              <w:t>Disord</w:t>
            </w:r>
            <w:proofErr w:type="spellEnd"/>
          </w:p>
        </w:tc>
        <w:tc>
          <w:tcPr>
            <w:tcW w:w="708" w:type="dxa"/>
            <w:noWrap/>
            <w:vAlign w:val="center"/>
          </w:tcPr>
          <w:p w14:paraId="6F5B06BE" w14:textId="15B2940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4,330</w:t>
            </w:r>
          </w:p>
        </w:tc>
        <w:tc>
          <w:tcPr>
            <w:tcW w:w="851" w:type="dxa"/>
            <w:noWrap/>
            <w:vAlign w:val="center"/>
          </w:tcPr>
          <w:p w14:paraId="121E9CBD" w14:textId="68684C7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9.8</w:t>
            </w:r>
          </w:p>
        </w:tc>
        <w:tc>
          <w:tcPr>
            <w:tcW w:w="850" w:type="dxa"/>
            <w:noWrap/>
            <w:vAlign w:val="center"/>
          </w:tcPr>
          <w:p w14:paraId="3B6FBFEC" w14:textId="044A7F0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47%</w:t>
            </w:r>
          </w:p>
        </w:tc>
        <w:tc>
          <w:tcPr>
            <w:tcW w:w="1276" w:type="dxa"/>
            <w:noWrap/>
            <w:vAlign w:val="center"/>
          </w:tcPr>
          <w:p w14:paraId="4922A297" w14:textId="38F6C99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Japan</w:t>
            </w:r>
          </w:p>
        </w:tc>
        <w:tc>
          <w:tcPr>
            <w:tcW w:w="1276" w:type="dxa"/>
            <w:noWrap/>
            <w:vAlign w:val="center"/>
          </w:tcPr>
          <w:p w14:paraId="50C45D3C" w14:textId="307944A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1839B398" w14:textId="4A78874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Use of social networking sites (+/-)</w:t>
            </w:r>
          </w:p>
        </w:tc>
        <w:tc>
          <w:tcPr>
            <w:tcW w:w="1134" w:type="dxa"/>
            <w:noWrap/>
            <w:vAlign w:val="center"/>
          </w:tcPr>
          <w:p w14:paraId="78AB9E2A" w14:textId="4468A67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7E7CABF2" w14:textId="5B51678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Desire for slimness (+/-), self-report single question</w:t>
            </w:r>
          </w:p>
        </w:tc>
        <w:tc>
          <w:tcPr>
            <w:tcW w:w="709" w:type="dxa"/>
            <w:vAlign w:val="center"/>
          </w:tcPr>
          <w:p w14:paraId="1EECDA70" w14:textId="6E751AAC"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6</w:t>
            </w:r>
          </w:p>
        </w:tc>
        <w:tc>
          <w:tcPr>
            <w:tcW w:w="708" w:type="dxa"/>
            <w:vAlign w:val="center"/>
          </w:tcPr>
          <w:p w14:paraId="26DA7818" w14:textId="5BDC1BBE"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142B3F9E" w14:textId="263DF80E" w:rsidTr="00020D5E">
        <w:trPr>
          <w:trHeight w:val="300"/>
        </w:trPr>
        <w:tc>
          <w:tcPr>
            <w:tcW w:w="440" w:type="dxa"/>
            <w:shd w:val="clear" w:color="auto" w:fill="F2F2F2" w:themeFill="background1" w:themeFillShade="F2"/>
            <w:noWrap/>
          </w:tcPr>
          <w:p w14:paraId="72661807" w14:textId="64C33592"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64</w:t>
            </w:r>
          </w:p>
        </w:tc>
        <w:tc>
          <w:tcPr>
            <w:tcW w:w="1256" w:type="dxa"/>
            <w:shd w:val="clear" w:color="auto" w:fill="F2F2F2" w:themeFill="background1" w:themeFillShade="F2"/>
            <w:noWrap/>
            <w:vAlign w:val="center"/>
          </w:tcPr>
          <w:p w14:paraId="51B4BDA0" w14:textId="3350F1E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Tao</w:t>
            </w:r>
          </w:p>
        </w:tc>
        <w:tc>
          <w:tcPr>
            <w:tcW w:w="709" w:type="dxa"/>
            <w:vAlign w:val="center"/>
          </w:tcPr>
          <w:p w14:paraId="1DDB9159" w14:textId="435D262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2013</w:t>
            </w:r>
          </w:p>
        </w:tc>
        <w:tc>
          <w:tcPr>
            <w:tcW w:w="1418" w:type="dxa"/>
            <w:vAlign w:val="center"/>
          </w:tcPr>
          <w:p w14:paraId="0B63BE3B" w14:textId="678E5E78"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Eat Weight </w:t>
            </w:r>
            <w:proofErr w:type="spellStart"/>
            <w:r w:rsidRPr="00020D5E">
              <w:rPr>
                <w:rFonts w:asciiTheme="majorHAnsi" w:hAnsiTheme="majorHAnsi" w:cstheme="majorHAnsi"/>
                <w:i/>
                <w:iCs/>
                <w:color w:val="000000"/>
                <w:sz w:val="18"/>
                <w:szCs w:val="18"/>
              </w:rPr>
              <w:t>Disord</w:t>
            </w:r>
            <w:proofErr w:type="spellEnd"/>
          </w:p>
        </w:tc>
        <w:tc>
          <w:tcPr>
            <w:tcW w:w="708" w:type="dxa"/>
            <w:noWrap/>
            <w:vAlign w:val="center"/>
          </w:tcPr>
          <w:p w14:paraId="0C858812" w14:textId="7EE63C9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2,036</w:t>
            </w:r>
          </w:p>
        </w:tc>
        <w:tc>
          <w:tcPr>
            <w:tcW w:w="851" w:type="dxa"/>
            <w:noWrap/>
            <w:vAlign w:val="center"/>
          </w:tcPr>
          <w:p w14:paraId="79C1DB93" w14:textId="1BB1DF7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20.7</w:t>
            </w:r>
          </w:p>
        </w:tc>
        <w:tc>
          <w:tcPr>
            <w:tcW w:w="850" w:type="dxa"/>
            <w:noWrap/>
            <w:vAlign w:val="center"/>
          </w:tcPr>
          <w:p w14:paraId="1D1189B8" w14:textId="33812FC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64.1%</w:t>
            </w:r>
          </w:p>
        </w:tc>
        <w:tc>
          <w:tcPr>
            <w:tcW w:w="1276" w:type="dxa"/>
            <w:noWrap/>
            <w:vAlign w:val="center"/>
          </w:tcPr>
          <w:p w14:paraId="44DD204D" w14:textId="7A56AAB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China</w:t>
            </w:r>
          </w:p>
        </w:tc>
        <w:tc>
          <w:tcPr>
            <w:tcW w:w="1276" w:type="dxa"/>
            <w:noWrap/>
            <w:vAlign w:val="center"/>
          </w:tcPr>
          <w:p w14:paraId="722CF63F" w14:textId="374BB25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41EFCBA4" w14:textId="0CE9E2E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IAT-20</w:t>
            </w:r>
          </w:p>
        </w:tc>
        <w:tc>
          <w:tcPr>
            <w:tcW w:w="1134" w:type="dxa"/>
            <w:noWrap/>
            <w:vAlign w:val="center"/>
          </w:tcPr>
          <w:p w14:paraId="27643D0E" w14:textId="395731D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37FD0C94" w14:textId="5CFE6D7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EDI-1, EAT-26, and DSM-IV based questions</w:t>
            </w:r>
          </w:p>
        </w:tc>
        <w:tc>
          <w:tcPr>
            <w:tcW w:w="709" w:type="dxa"/>
            <w:vAlign w:val="center"/>
          </w:tcPr>
          <w:p w14:paraId="2150C4F7" w14:textId="1D8D2AE7"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11</w:t>
            </w:r>
          </w:p>
        </w:tc>
        <w:tc>
          <w:tcPr>
            <w:tcW w:w="708" w:type="dxa"/>
            <w:vAlign w:val="center"/>
          </w:tcPr>
          <w:p w14:paraId="3261F892" w14:textId="36315C72"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351B16DE" w14:textId="7389B774" w:rsidTr="00020D5E">
        <w:trPr>
          <w:trHeight w:val="300"/>
        </w:trPr>
        <w:tc>
          <w:tcPr>
            <w:tcW w:w="440" w:type="dxa"/>
            <w:shd w:val="clear" w:color="auto" w:fill="F2F2F2" w:themeFill="background1" w:themeFillShade="F2"/>
            <w:noWrap/>
          </w:tcPr>
          <w:p w14:paraId="21B47774" w14:textId="652F7403"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65</w:t>
            </w:r>
          </w:p>
        </w:tc>
        <w:tc>
          <w:tcPr>
            <w:tcW w:w="1256" w:type="dxa"/>
            <w:shd w:val="clear" w:color="auto" w:fill="F2F2F2" w:themeFill="background1" w:themeFillShade="F2"/>
            <w:noWrap/>
            <w:vAlign w:val="center"/>
          </w:tcPr>
          <w:p w14:paraId="235755CA" w14:textId="5BCAFE6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Tao</w:t>
            </w:r>
          </w:p>
        </w:tc>
        <w:tc>
          <w:tcPr>
            <w:tcW w:w="709" w:type="dxa"/>
            <w:vAlign w:val="center"/>
          </w:tcPr>
          <w:p w14:paraId="6882E625" w14:textId="158F9DD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2009</w:t>
            </w:r>
          </w:p>
        </w:tc>
        <w:tc>
          <w:tcPr>
            <w:tcW w:w="1418" w:type="dxa"/>
            <w:vAlign w:val="center"/>
          </w:tcPr>
          <w:p w14:paraId="00C40963" w14:textId="41A675A7"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Eat Weight </w:t>
            </w:r>
            <w:proofErr w:type="spellStart"/>
            <w:r w:rsidRPr="00020D5E">
              <w:rPr>
                <w:rFonts w:asciiTheme="majorHAnsi" w:hAnsiTheme="majorHAnsi" w:cstheme="majorHAnsi"/>
                <w:i/>
                <w:iCs/>
                <w:color w:val="000000"/>
                <w:sz w:val="18"/>
                <w:szCs w:val="18"/>
              </w:rPr>
              <w:t>Disord</w:t>
            </w:r>
            <w:proofErr w:type="spellEnd"/>
          </w:p>
        </w:tc>
        <w:tc>
          <w:tcPr>
            <w:tcW w:w="708" w:type="dxa"/>
            <w:noWrap/>
            <w:vAlign w:val="center"/>
          </w:tcPr>
          <w:p w14:paraId="7BA8DCAC" w14:textId="61AE66F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1,199</w:t>
            </w:r>
          </w:p>
        </w:tc>
        <w:tc>
          <w:tcPr>
            <w:tcW w:w="851" w:type="dxa"/>
            <w:noWrap/>
            <w:vAlign w:val="center"/>
          </w:tcPr>
          <w:p w14:paraId="1826BE28" w14:textId="40EE4FD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18.9</w:t>
            </w:r>
          </w:p>
        </w:tc>
        <w:tc>
          <w:tcPr>
            <w:tcW w:w="850" w:type="dxa"/>
            <w:noWrap/>
            <w:vAlign w:val="center"/>
          </w:tcPr>
          <w:p w14:paraId="2159B35D" w14:textId="7E135D6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63.9%</w:t>
            </w:r>
          </w:p>
        </w:tc>
        <w:tc>
          <w:tcPr>
            <w:tcW w:w="1276" w:type="dxa"/>
            <w:noWrap/>
            <w:vAlign w:val="center"/>
          </w:tcPr>
          <w:p w14:paraId="0942BE6C" w14:textId="34EADEB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China</w:t>
            </w:r>
          </w:p>
        </w:tc>
        <w:tc>
          <w:tcPr>
            <w:tcW w:w="1276" w:type="dxa"/>
            <w:noWrap/>
            <w:vAlign w:val="center"/>
          </w:tcPr>
          <w:p w14:paraId="608FDB39" w14:textId="6E051D6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Case-control</w:t>
            </w:r>
          </w:p>
        </w:tc>
        <w:tc>
          <w:tcPr>
            <w:tcW w:w="1984" w:type="dxa"/>
            <w:noWrap/>
            <w:vAlign w:val="center"/>
          </w:tcPr>
          <w:p w14:paraId="09D9F712" w14:textId="03B21E9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YDQ</w:t>
            </w:r>
          </w:p>
        </w:tc>
        <w:tc>
          <w:tcPr>
            <w:tcW w:w="1134" w:type="dxa"/>
            <w:noWrap/>
            <w:vAlign w:val="center"/>
          </w:tcPr>
          <w:p w14:paraId="09E82D75" w14:textId="612003C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6541252D" w14:textId="2B6EA30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EDI-1, EAT-26 combination of some items from both questionnaires</w:t>
            </w:r>
          </w:p>
        </w:tc>
        <w:tc>
          <w:tcPr>
            <w:tcW w:w="709" w:type="dxa"/>
            <w:vAlign w:val="center"/>
          </w:tcPr>
          <w:p w14:paraId="64AB080F" w14:textId="4BB3A17B"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8</w:t>
            </w:r>
          </w:p>
        </w:tc>
        <w:tc>
          <w:tcPr>
            <w:tcW w:w="708" w:type="dxa"/>
            <w:vAlign w:val="center"/>
          </w:tcPr>
          <w:p w14:paraId="054FC2BF" w14:textId="26211DF8"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1FC37340" w14:textId="5FEED88D" w:rsidTr="00020D5E">
        <w:trPr>
          <w:trHeight w:val="300"/>
        </w:trPr>
        <w:tc>
          <w:tcPr>
            <w:tcW w:w="440" w:type="dxa"/>
            <w:shd w:val="clear" w:color="auto" w:fill="F2F2F2" w:themeFill="background1" w:themeFillShade="F2"/>
            <w:noWrap/>
          </w:tcPr>
          <w:p w14:paraId="33F91AB5" w14:textId="712195E3"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66</w:t>
            </w:r>
          </w:p>
        </w:tc>
        <w:tc>
          <w:tcPr>
            <w:tcW w:w="1256" w:type="dxa"/>
            <w:shd w:val="clear" w:color="auto" w:fill="F2F2F2" w:themeFill="background1" w:themeFillShade="F2"/>
            <w:noWrap/>
            <w:vAlign w:val="center"/>
          </w:tcPr>
          <w:p w14:paraId="76825809" w14:textId="5546C16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Terhoeven</w:t>
            </w:r>
            <w:proofErr w:type="spellEnd"/>
          </w:p>
        </w:tc>
        <w:tc>
          <w:tcPr>
            <w:tcW w:w="709" w:type="dxa"/>
            <w:vAlign w:val="center"/>
          </w:tcPr>
          <w:p w14:paraId="017839A6" w14:textId="52B6E41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2020</w:t>
            </w:r>
          </w:p>
        </w:tc>
        <w:tc>
          <w:tcPr>
            <w:tcW w:w="1418" w:type="dxa"/>
            <w:vAlign w:val="center"/>
          </w:tcPr>
          <w:p w14:paraId="7C4849D3" w14:textId="4D05F021"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Trop Med Int Health</w:t>
            </w:r>
          </w:p>
        </w:tc>
        <w:tc>
          <w:tcPr>
            <w:tcW w:w="708" w:type="dxa"/>
            <w:noWrap/>
            <w:vAlign w:val="center"/>
          </w:tcPr>
          <w:p w14:paraId="7C453084" w14:textId="316F2CD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696</w:t>
            </w:r>
          </w:p>
        </w:tc>
        <w:tc>
          <w:tcPr>
            <w:tcW w:w="851" w:type="dxa"/>
            <w:noWrap/>
            <w:vAlign w:val="center"/>
          </w:tcPr>
          <w:p w14:paraId="05632FEB" w14:textId="1117C81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12-20yrs</w:t>
            </w:r>
          </w:p>
        </w:tc>
        <w:tc>
          <w:tcPr>
            <w:tcW w:w="850" w:type="dxa"/>
            <w:noWrap/>
            <w:vAlign w:val="center"/>
          </w:tcPr>
          <w:p w14:paraId="4931F681" w14:textId="5864C71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1CCA8C2E" w14:textId="2D37A7C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Burkina Faso</w:t>
            </w:r>
          </w:p>
        </w:tc>
        <w:tc>
          <w:tcPr>
            <w:tcW w:w="1276" w:type="dxa"/>
            <w:noWrap/>
            <w:vAlign w:val="center"/>
          </w:tcPr>
          <w:p w14:paraId="217087F8" w14:textId="167762E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751D04F7" w14:textId="634C77E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Media exposure across four media: television, internet and magazines</w:t>
            </w:r>
          </w:p>
        </w:tc>
        <w:tc>
          <w:tcPr>
            <w:tcW w:w="1134" w:type="dxa"/>
            <w:noWrap/>
            <w:vAlign w:val="center"/>
          </w:tcPr>
          <w:p w14:paraId="755469B2" w14:textId="7C056D9B" w:rsidR="007B5D58" w:rsidRPr="00020D5E" w:rsidRDefault="006A6409" w:rsidP="00020D5E">
            <w:pPr>
              <w:spacing w:line="240" w:lineRule="auto"/>
              <w:jc w:val="center"/>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SNS</w:t>
            </w:r>
          </w:p>
        </w:tc>
        <w:tc>
          <w:tcPr>
            <w:tcW w:w="1985" w:type="dxa"/>
            <w:vAlign w:val="center"/>
          </w:tcPr>
          <w:p w14:paraId="11E80930" w14:textId="4617729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DSM-5 Structured Interview for AN, BN BED</w:t>
            </w:r>
          </w:p>
        </w:tc>
        <w:tc>
          <w:tcPr>
            <w:tcW w:w="709" w:type="dxa"/>
            <w:vAlign w:val="center"/>
          </w:tcPr>
          <w:p w14:paraId="7760E42F" w14:textId="4546C30D"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8</w:t>
            </w:r>
          </w:p>
        </w:tc>
        <w:tc>
          <w:tcPr>
            <w:tcW w:w="708" w:type="dxa"/>
            <w:vAlign w:val="center"/>
          </w:tcPr>
          <w:p w14:paraId="68F677C8" w14:textId="1EB44F91"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S</w:t>
            </w:r>
          </w:p>
        </w:tc>
      </w:tr>
      <w:tr w:rsidR="007B5D58" w:rsidRPr="00B514A7" w14:paraId="49E1EBB1" w14:textId="525E1656" w:rsidTr="00020D5E">
        <w:trPr>
          <w:trHeight w:val="300"/>
        </w:trPr>
        <w:tc>
          <w:tcPr>
            <w:tcW w:w="440" w:type="dxa"/>
            <w:shd w:val="clear" w:color="auto" w:fill="F2F2F2" w:themeFill="background1" w:themeFillShade="F2"/>
            <w:noWrap/>
          </w:tcPr>
          <w:p w14:paraId="7266A3AE" w14:textId="3C634333"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67</w:t>
            </w:r>
          </w:p>
        </w:tc>
        <w:tc>
          <w:tcPr>
            <w:tcW w:w="1256" w:type="dxa"/>
            <w:shd w:val="clear" w:color="auto" w:fill="F2F2F2" w:themeFill="background1" w:themeFillShade="F2"/>
            <w:noWrap/>
            <w:vAlign w:val="center"/>
          </w:tcPr>
          <w:p w14:paraId="66A23296" w14:textId="5ED8CC4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Theis</w:t>
            </w:r>
          </w:p>
        </w:tc>
        <w:tc>
          <w:tcPr>
            <w:tcW w:w="709" w:type="dxa"/>
            <w:vAlign w:val="center"/>
          </w:tcPr>
          <w:p w14:paraId="777B7F61" w14:textId="3E21137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2012</w:t>
            </w:r>
          </w:p>
        </w:tc>
        <w:tc>
          <w:tcPr>
            <w:tcW w:w="1418" w:type="dxa"/>
            <w:vAlign w:val="center"/>
          </w:tcPr>
          <w:p w14:paraId="57D292BD" w14:textId="15F37526"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Psychother</w:t>
            </w:r>
            <w:proofErr w:type="spellEnd"/>
            <w:r w:rsidRPr="00020D5E">
              <w:rPr>
                <w:rFonts w:asciiTheme="majorHAnsi" w:hAnsiTheme="majorHAnsi" w:cstheme="majorHAnsi"/>
                <w:i/>
                <w:iCs/>
                <w:color w:val="000000"/>
                <w:sz w:val="18"/>
                <w:szCs w:val="18"/>
              </w:rPr>
              <w:t xml:space="preserve"> </w:t>
            </w:r>
            <w:proofErr w:type="spellStart"/>
            <w:r w:rsidRPr="00020D5E">
              <w:rPr>
                <w:rFonts w:asciiTheme="majorHAnsi" w:hAnsiTheme="majorHAnsi" w:cstheme="majorHAnsi"/>
                <w:i/>
                <w:iCs/>
                <w:color w:val="000000"/>
                <w:sz w:val="18"/>
                <w:szCs w:val="18"/>
              </w:rPr>
              <w:t>Psychosom</w:t>
            </w:r>
            <w:proofErr w:type="spellEnd"/>
            <w:r w:rsidRPr="00020D5E">
              <w:rPr>
                <w:rFonts w:asciiTheme="majorHAnsi" w:hAnsiTheme="majorHAnsi" w:cstheme="majorHAnsi"/>
                <w:i/>
                <w:iCs/>
                <w:color w:val="000000"/>
                <w:sz w:val="18"/>
                <w:szCs w:val="18"/>
              </w:rPr>
              <w:t xml:space="preserve"> Med </w:t>
            </w:r>
            <w:proofErr w:type="spellStart"/>
            <w:r w:rsidRPr="00020D5E">
              <w:rPr>
                <w:rFonts w:asciiTheme="majorHAnsi" w:hAnsiTheme="majorHAnsi" w:cstheme="majorHAnsi"/>
                <w:i/>
                <w:iCs/>
                <w:color w:val="000000"/>
                <w:sz w:val="18"/>
                <w:szCs w:val="18"/>
              </w:rPr>
              <w:t>Psychol</w:t>
            </w:r>
            <w:proofErr w:type="spellEnd"/>
          </w:p>
        </w:tc>
        <w:tc>
          <w:tcPr>
            <w:tcW w:w="708" w:type="dxa"/>
            <w:noWrap/>
            <w:vAlign w:val="center"/>
          </w:tcPr>
          <w:p w14:paraId="44544915" w14:textId="4B2C945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421</w:t>
            </w:r>
          </w:p>
        </w:tc>
        <w:tc>
          <w:tcPr>
            <w:tcW w:w="851" w:type="dxa"/>
            <w:noWrap/>
            <w:vAlign w:val="center"/>
          </w:tcPr>
          <w:p w14:paraId="70847E19" w14:textId="0843FB5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23.5</w:t>
            </w:r>
          </w:p>
        </w:tc>
        <w:tc>
          <w:tcPr>
            <w:tcW w:w="850" w:type="dxa"/>
            <w:noWrap/>
            <w:vAlign w:val="center"/>
          </w:tcPr>
          <w:p w14:paraId="25E66C43" w14:textId="330F013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13D3FE77" w14:textId="61AF74E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Germany</w:t>
            </w:r>
          </w:p>
        </w:tc>
        <w:tc>
          <w:tcPr>
            <w:tcW w:w="1276" w:type="dxa"/>
            <w:noWrap/>
            <w:vAlign w:val="center"/>
          </w:tcPr>
          <w:p w14:paraId="46D5D094" w14:textId="4F79B41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Experimental</w:t>
            </w:r>
          </w:p>
        </w:tc>
        <w:tc>
          <w:tcPr>
            <w:tcW w:w="1984" w:type="dxa"/>
            <w:noWrap/>
            <w:vAlign w:val="center"/>
          </w:tcPr>
          <w:p w14:paraId="13AFA432" w14:textId="3E2D262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Pro-ED website exposure vs self-help vs control website</w:t>
            </w:r>
          </w:p>
        </w:tc>
        <w:tc>
          <w:tcPr>
            <w:tcW w:w="1134" w:type="dxa"/>
            <w:noWrap/>
            <w:vAlign w:val="center"/>
          </w:tcPr>
          <w:p w14:paraId="543AD141" w14:textId="0DEA993D" w:rsidR="007B5D58" w:rsidRPr="00020D5E" w:rsidRDefault="006A6409" w:rsidP="00020D5E">
            <w:pPr>
              <w:spacing w:line="240" w:lineRule="auto"/>
              <w:jc w:val="center"/>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Pro-ED</w:t>
            </w:r>
          </w:p>
        </w:tc>
        <w:tc>
          <w:tcPr>
            <w:tcW w:w="1985" w:type="dxa"/>
            <w:vAlign w:val="center"/>
          </w:tcPr>
          <w:p w14:paraId="79D68A86" w14:textId="0C94BDF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satisfaction; body-related self-worth.</w:t>
            </w:r>
          </w:p>
        </w:tc>
        <w:tc>
          <w:tcPr>
            <w:tcW w:w="709" w:type="dxa"/>
            <w:vAlign w:val="center"/>
          </w:tcPr>
          <w:p w14:paraId="4BFAE66F" w14:textId="46B59B9F"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NA</w:t>
            </w:r>
          </w:p>
        </w:tc>
        <w:tc>
          <w:tcPr>
            <w:tcW w:w="708" w:type="dxa"/>
            <w:vAlign w:val="center"/>
          </w:tcPr>
          <w:p w14:paraId="7E8BC38B" w14:textId="5F8773AE"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76C37CAF" w14:textId="52D9B7B0" w:rsidTr="00020D5E">
        <w:trPr>
          <w:trHeight w:val="300"/>
        </w:trPr>
        <w:tc>
          <w:tcPr>
            <w:tcW w:w="440" w:type="dxa"/>
            <w:shd w:val="clear" w:color="auto" w:fill="F2F2F2" w:themeFill="background1" w:themeFillShade="F2"/>
            <w:noWrap/>
          </w:tcPr>
          <w:p w14:paraId="0570641D" w14:textId="2BCCA724"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68</w:t>
            </w:r>
          </w:p>
        </w:tc>
        <w:tc>
          <w:tcPr>
            <w:tcW w:w="1256" w:type="dxa"/>
            <w:shd w:val="clear" w:color="auto" w:fill="F2F2F2" w:themeFill="background1" w:themeFillShade="F2"/>
            <w:noWrap/>
            <w:vAlign w:val="center"/>
          </w:tcPr>
          <w:p w14:paraId="43BD731E" w14:textId="37E1F4E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Tiggemann</w:t>
            </w:r>
          </w:p>
        </w:tc>
        <w:tc>
          <w:tcPr>
            <w:tcW w:w="709" w:type="dxa"/>
            <w:vAlign w:val="center"/>
          </w:tcPr>
          <w:p w14:paraId="55F623C8" w14:textId="727CB09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2020</w:t>
            </w:r>
          </w:p>
        </w:tc>
        <w:tc>
          <w:tcPr>
            <w:tcW w:w="1418" w:type="dxa"/>
            <w:vAlign w:val="center"/>
          </w:tcPr>
          <w:p w14:paraId="5EC7A059" w14:textId="34902C16"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Body Image</w:t>
            </w:r>
          </w:p>
        </w:tc>
        <w:tc>
          <w:tcPr>
            <w:tcW w:w="708" w:type="dxa"/>
            <w:noWrap/>
            <w:vAlign w:val="center"/>
          </w:tcPr>
          <w:p w14:paraId="2B5F575E" w14:textId="232573E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130</w:t>
            </w:r>
          </w:p>
        </w:tc>
        <w:tc>
          <w:tcPr>
            <w:tcW w:w="851" w:type="dxa"/>
            <w:noWrap/>
            <w:vAlign w:val="center"/>
          </w:tcPr>
          <w:p w14:paraId="03A76D3F" w14:textId="6EDD1E0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21.1</w:t>
            </w:r>
          </w:p>
        </w:tc>
        <w:tc>
          <w:tcPr>
            <w:tcW w:w="850" w:type="dxa"/>
            <w:noWrap/>
            <w:vAlign w:val="center"/>
          </w:tcPr>
          <w:p w14:paraId="4916B0ED" w14:textId="33D668C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068E3FEE" w14:textId="437DAF8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1A373A0C" w14:textId="0AFEC9F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Experimental</w:t>
            </w:r>
          </w:p>
        </w:tc>
        <w:tc>
          <w:tcPr>
            <w:tcW w:w="1984" w:type="dxa"/>
            <w:noWrap/>
            <w:vAlign w:val="center"/>
          </w:tcPr>
          <w:p w14:paraId="53BA94C2" w14:textId="58421CB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Selfie editing task (exposure)</w:t>
            </w:r>
          </w:p>
        </w:tc>
        <w:tc>
          <w:tcPr>
            <w:tcW w:w="1134" w:type="dxa"/>
            <w:noWrap/>
            <w:vAlign w:val="center"/>
          </w:tcPr>
          <w:p w14:paraId="37E9AB5F" w14:textId="40B8AA3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5EC4F8C8" w14:textId="41495B4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Body/facial dissatisfaction visual analogue scales (VAS)</w:t>
            </w:r>
          </w:p>
        </w:tc>
        <w:tc>
          <w:tcPr>
            <w:tcW w:w="709" w:type="dxa"/>
            <w:vAlign w:val="center"/>
          </w:tcPr>
          <w:p w14:paraId="53BE5644" w14:textId="237B7087"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0568AF16" w14:textId="6A6DCA14"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15D4C7AB" w14:textId="1C1191CC" w:rsidTr="00020D5E">
        <w:trPr>
          <w:trHeight w:val="300"/>
        </w:trPr>
        <w:tc>
          <w:tcPr>
            <w:tcW w:w="440" w:type="dxa"/>
            <w:shd w:val="clear" w:color="auto" w:fill="F2F2F2" w:themeFill="background1" w:themeFillShade="F2"/>
            <w:noWrap/>
          </w:tcPr>
          <w:p w14:paraId="25453E98" w14:textId="37A5E913"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69</w:t>
            </w:r>
          </w:p>
        </w:tc>
        <w:tc>
          <w:tcPr>
            <w:tcW w:w="1256" w:type="dxa"/>
            <w:shd w:val="clear" w:color="auto" w:fill="F2F2F2" w:themeFill="background1" w:themeFillShade="F2"/>
            <w:noWrap/>
            <w:vAlign w:val="center"/>
          </w:tcPr>
          <w:p w14:paraId="6C7F1154" w14:textId="12D0165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Tiggemann</w:t>
            </w:r>
          </w:p>
        </w:tc>
        <w:tc>
          <w:tcPr>
            <w:tcW w:w="709" w:type="dxa"/>
            <w:vAlign w:val="center"/>
          </w:tcPr>
          <w:p w14:paraId="61C8A1A0" w14:textId="52286C5C" w:rsidR="007B5D58" w:rsidRPr="00020D5E" w:rsidRDefault="00F61831" w:rsidP="00020D5E">
            <w:pPr>
              <w:spacing w:line="240" w:lineRule="auto"/>
              <w:jc w:val="center"/>
              <w:rPr>
                <w:rFonts w:asciiTheme="majorHAnsi" w:eastAsia="Times New Roman" w:hAnsiTheme="majorHAnsi" w:cstheme="majorHAnsi"/>
                <w:color w:val="000000"/>
                <w:sz w:val="18"/>
                <w:szCs w:val="18"/>
                <w:lang w:eastAsia="en-GB"/>
              </w:rPr>
            </w:pPr>
            <w:r>
              <w:rPr>
                <w:rFonts w:asciiTheme="majorHAnsi" w:hAnsiTheme="majorHAnsi" w:cstheme="majorHAnsi"/>
                <w:color w:val="000000"/>
                <w:sz w:val="18"/>
                <w:szCs w:val="18"/>
              </w:rPr>
              <w:t>2017</w:t>
            </w:r>
          </w:p>
        </w:tc>
        <w:tc>
          <w:tcPr>
            <w:tcW w:w="1418" w:type="dxa"/>
            <w:vAlign w:val="center"/>
          </w:tcPr>
          <w:p w14:paraId="68ED565B" w14:textId="7545FA6F"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Int J Eat </w:t>
            </w:r>
            <w:proofErr w:type="spellStart"/>
            <w:r w:rsidRPr="00020D5E">
              <w:rPr>
                <w:rFonts w:asciiTheme="majorHAnsi" w:hAnsiTheme="majorHAnsi" w:cstheme="majorHAnsi"/>
                <w:i/>
                <w:iCs/>
                <w:color w:val="000000"/>
                <w:sz w:val="18"/>
                <w:szCs w:val="18"/>
              </w:rPr>
              <w:t>Dis</w:t>
            </w:r>
            <w:r w:rsidR="00465812">
              <w:rPr>
                <w:rFonts w:asciiTheme="majorHAnsi" w:hAnsiTheme="majorHAnsi" w:cstheme="majorHAnsi"/>
                <w:i/>
                <w:iCs/>
                <w:color w:val="000000"/>
                <w:sz w:val="18"/>
                <w:szCs w:val="18"/>
              </w:rPr>
              <w:t>ord</w:t>
            </w:r>
            <w:proofErr w:type="spellEnd"/>
          </w:p>
        </w:tc>
        <w:tc>
          <w:tcPr>
            <w:tcW w:w="708" w:type="dxa"/>
            <w:noWrap/>
            <w:vAlign w:val="center"/>
          </w:tcPr>
          <w:p w14:paraId="7416DC17" w14:textId="21C8332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438</w:t>
            </w:r>
          </w:p>
        </w:tc>
        <w:tc>
          <w:tcPr>
            <w:tcW w:w="851" w:type="dxa"/>
            <w:noWrap/>
            <w:vAlign w:val="center"/>
          </w:tcPr>
          <w:p w14:paraId="2C0641F0" w14:textId="18600DB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13.6</w:t>
            </w:r>
          </w:p>
        </w:tc>
        <w:tc>
          <w:tcPr>
            <w:tcW w:w="850" w:type="dxa"/>
            <w:noWrap/>
            <w:vAlign w:val="center"/>
          </w:tcPr>
          <w:p w14:paraId="071C571A" w14:textId="37FB843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65463BC9" w14:textId="470D190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527088D4" w14:textId="7D1A8F8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Prospective</w:t>
            </w:r>
          </w:p>
        </w:tc>
        <w:tc>
          <w:tcPr>
            <w:tcW w:w="1984" w:type="dxa"/>
            <w:noWrap/>
            <w:vAlign w:val="center"/>
          </w:tcPr>
          <w:p w14:paraId="423DFBB1" w14:textId="28F60FE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Facebook use, time spent and number of friends</w:t>
            </w:r>
          </w:p>
        </w:tc>
        <w:tc>
          <w:tcPr>
            <w:tcW w:w="1134" w:type="dxa"/>
            <w:noWrap/>
            <w:vAlign w:val="center"/>
          </w:tcPr>
          <w:p w14:paraId="5EED8480" w14:textId="02CD2F3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35644496" w14:textId="149A2FF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Drive for Thinness Scale of the Eating Disorder Inventory (EDI)</w:t>
            </w:r>
          </w:p>
        </w:tc>
        <w:tc>
          <w:tcPr>
            <w:tcW w:w="709" w:type="dxa"/>
            <w:vAlign w:val="center"/>
          </w:tcPr>
          <w:p w14:paraId="4CBB1BE0" w14:textId="7A2E2942"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6912F86D" w14:textId="57F1D1B8"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476E556A" w14:textId="17D16C14" w:rsidTr="00020D5E">
        <w:trPr>
          <w:trHeight w:val="300"/>
        </w:trPr>
        <w:tc>
          <w:tcPr>
            <w:tcW w:w="440" w:type="dxa"/>
            <w:shd w:val="clear" w:color="auto" w:fill="F2F2F2" w:themeFill="background1" w:themeFillShade="F2"/>
            <w:noWrap/>
          </w:tcPr>
          <w:p w14:paraId="4661ED49" w14:textId="4658EAD0"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70</w:t>
            </w:r>
          </w:p>
        </w:tc>
        <w:tc>
          <w:tcPr>
            <w:tcW w:w="1256" w:type="dxa"/>
            <w:shd w:val="clear" w:color="auto" w:fill="F2F2F2" w:themeFill="background1" w:themeFillShade="F2"/>
            <w:noWrap/>
            <w:vAlign w:val="center"/>
          </w:tcPr>
          <w:p w14:paraId="35D8DCB1" w14:textId="02F42EE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Tiggemann</w:t>
            </w:r>
          </w:p>
        </w:tc>
        <w:tc>
          <w:tcPr>
            <w:tcW w:w="709" w:type="dxa"/>
            <w:vAlign w:val="center"/>
          </w:tcPr>
          <w:p w14:paraId="5B973D9A" w14:textId="6CB7692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w:t>
            </w:r>
          </w:p>
        </w:tc>
        <w:tc>
          <w:tcPr>
            <w:tcW w:w="1418" w:type="dxa"/>
            <w:vAlign w:val="center"/>
          </w:tcPr>
          <w:p w14:paraId="54232BD7" w14:textId="7F025802"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Body Image</w:t>
            </w:r>
          </w:p>
        </w:tc>
        <w:tc>
          <w:tcPr>
            <w:tcW w:w="708" w:type="dxa"/>
            <w:noWrap/>
            <w:vAlign w:val="center"/>
          </w:tcPr>
          <w:p w14:paraId="6455AA59" w14:textId="48396A2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130</w:t>
            </w:r>
          </w:p>
        </w:tc>
        <w:tc>
          <w:tcPr>
            <w:tcW w:w="851" w:type="dxa"/>
            <w:noWrap/>
            <w:vAlign w:val="center"/>
          </w:tcPr>
          <w:p w14:paraId="457510F7" w14:textId="5DAAF47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19.9</w:t>
            </w:r>
          </w:p>
        </w:tc>
        <w:tc>
          <w:tcPr>
            <w:tcW w:w="850" w:type="dxa"/>
            <w:noWrap/>
            <w:vAlign w:val="center"/>
          </w:tcPr>
          <w:p w14:paraId="3718BE81" w14:textId="0272962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4B512E7C" w14:textId="00F77D9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047119CD" w14:textId="3198A88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Experimental</w:t>
            </w:r>
          </w:p>
        </w:tc>
        <w:tc>
          <w:tcPr>
            <w:tcW w:w="1984" w:type="dxa"/>
            <w:noWrap/>
            <w:vAlign w:val="center"/>
          </w:tcPr>
          <w:p w14:paraId="01F77D48" w14:textId="73C9266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Fi</w:t>
            </w:r>
            <w:r w:rsidR="005B0907">
              <w:rPr>
                <w:rFonts w:asciiTheme="majorHAnsi" w:hAnsiTheme="majorHAnsi" w:cstheme="majorHAnsi"/>
                <w:color w:val="000000"/>
                <w:sz w:val="18"/>
                <w:szCs w:val="18"/>
              </w:rPr>
              <w:t>t</w:t>
            </w:r>
            <w:r w:rsidRPr="00020D5E">
              <w:rPr>
                <w:rFonts w:asciiTheme="majorHAnsi" w:hAnsiTheme="majorHAnsi" w:cstheme="majorHAnsi"/>
                <w:color w:val="000000"/>
                <w:sz w:val="18"/>
                <w:szCs w:val="18"/>
              </w:rPr>
              <w:t>spiration exposure/ vs. control condition (travel images); SNS usage</w:t>
            </w:r>
          </w:p>
        </w:tc>
        <w:tc>
          <w:tcPr>
            <w:tcW w:w="1134" w:type="dxa"/>
            <w:noWrap/>
            <w:vAlign w:val="center"/>
          </w:tcPr>
          <w:p w14:paraId="0E8DE24A" w14:textId="7B233C4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Pro-ED content or App</w:t>
            </w:r>
          </w:p>
        </w:tc>
        <w:tc>
          <w:tcPr>
            <w:tcW w:w="1985" w:type="dxa"/>
            <w:vAlign w:val="center"/>
          </w:tcPr>
          <w:p w14:paraId="6403CEA9" w14:textId="11CCD8F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dissatisfaction visual analogue scales (VAS)</w:t>
            </w:r>
          </w:p>
        </w:tc>
        <w:tc>
          <w:tcPr>
            <w:tcW w:w="709" w:type="dxa"/>
            <w:vAlign w:val="center"/>
          </w:tcPr>
          <w:p w14:paraId="67D308D2" w14:textId="7AAC861F"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9</w:t>
            </w:r>
          </w:p>
        </w:tc>
        <w:tc>
          <w:tcPr>
            <w:tcW w:w="708" w:type="dxa"/>
            <w:vAlign w:val="center"/>
          </w:tcPr>
          <w:p w14:paraId="582C061E" w14:textId="47A23FE8"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0B10C327" w14:textId="2BF39859" w:rsidTr="00020D5E">
        <w:trPr>
          <w:trHeight w:val="300"/>
        </w:trPr>
        <w:tc>
          <w:tcPr>
            <w:tcW w:w="440" w:type="dxa"/>
            <w:shd w:val="clear" w:color="auto" w:fill="F2F2F2" w:themeFill="background1" w:themeFillShade="F2"/>
            <w:noWrap/>
          </w:tcPr>
          <w:p w14:paraId="791BE1B6" w14:textId="786157FC"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71</w:t>
            </w:r>
          </w:p>
        </w:tc>
        <w:tc>
          <w:tcPr>
            <w:tcW w:w="1256" w:type="dxa"/>
            <w:shd w:val="clear" w:color="auto" w:fill="F2F2F2" w:themeFill="background1" w:themeFillShade="F2"/>
            <w:noWrap/>
            <w:vAlign w:val="center"/>
          </w:tcPr>
          <w:p w14:paraId="3DAF04D2" w14:textId="2CDB62C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Tiggemann</w:t>
            </w:r>
          </w:p>
        </w:tc>
        <w:tc>
          <w:tcPr>
            <w:tcW w:w="709" w:type="dxa"/>
            <w:vAlign w:val="center"/>
          </w:tcPr>
          <w:p w14:paraId="7E58AFF2" w14:textId="33072C5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2010</w:t>
            </w:r>
          </w:p>
        </w:tc>
        <w:tc>
          <w:tcPr>
            <w:tcW w:w="1418" w:type="dxa"/>
            <w:vAlign w:val="center"/>
          </w:tcPr>
          <w:p w14:paraId="2B62D7F1" w14:textId="353C75B6"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Sex Roles</w:t>
            </w:r>
          </w:p>
        </w:tc>
        <w:tc>
          <w:tcPr>
            <w:tcW w:w="708" w:type="dxa"/>
            <w:noWrap/>
            <w:vAlign w:val="center"/>
          </w:tcPr>
          <w:p w14:paraId="0A030A4D" w14:textId="5DC4817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156</w:t>
            </w:r>
          </w:p>
        </w:tc>
        <w:tc>
          <w:tcPr>
            <w:tcW w:w="851" w:type="dxa"/>
            <w:noWrap/>
            <w:vAlign w:val="center"/>
          </w:tcPr>
          <w:p w14:paraId="31AEE5F8" w14:textId="56A6DCD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14.9</w:t>
            </w:r>
          </w:p>
        </w:tc>
        <w:tc>
          <w:tcPr>
            <w:tcW w:w="850" w:type="dxa"/>
            <w:noWrap/>
            <w:vAlign w:val="center"/>
          </w:tcPr>
          <w:p w14:paraId="1DB92533" w14:textId="5A71EEB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62D4E1A7" w14:textId="5FDF52B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1BE1B27D" w14:textId="17F736B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3C8931B0" w14:textId="78E536D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SNS</w:t>
            </w:r>
          </w:p>
        </w:tc>
        <w:tc>
          <w:tcPr>
            <w:tcW w:w="1134" w:type="dxa"/>
            <w:noWrap/>
            <w:vAlign w:val="center"/>
          </w:tcPr>
          <w:p w14:paraId="76440354" w14:textId="5DF4C56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2D35E9A1" w14:textId="2A6A6BF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Disorder Inventory (EDI;</w:t>
            </w:r>
            <w:r w:rsidR="00465812">
              <w:rPr>
                <w:rFonts w:asciiTheme="majorHAnsi" w:hAnsiTheme="majorHAnsi" w:cstheme="majorHAnsi"/>
                <w:color w:val="000000"/>
                <w:sz w:val="18"/>
                <w:szCs w:val="18"/>
              </w:rPr>
              <w:t xml:space="preserve"> </w:t>
            </w:r>
            <w:r w:rsidRPr="00020D5E">
              <w:rPr>
                <w:rFonts w:asciiTheme="majorHAnsi" w:hAnsiTheme="majorHAnsi" w:cstheme="majorHAnsi"/>
                <w:color w:val="000000"/>
                <w:sz w:val="18"/>
                <w:szCs w:val="18"/>
              </w:rPr>
              <w:t>Garner et al. 1983). The Drive for Thinness subscale; Weight Satisfaction subscale of the Body-Esteem Scale for Adolescents and</w:t>
            </w:r>
            <w:r w:rsidRPr="00020D5E">
              <w:rPr>
                <w:rFonts w:asciiTheme="majorHAnsi" w:hAnsiTheme="majorHAnsi" w:cstheme="majorHAnsi"/>
                <w:color w:val="000000"/>
                <w:sz w:val="18"/>
                <w:szCs w:val="18"/>
              </w:rPr>
              <w:br/>
              <w:t>Adults (Mendelson et al. 2001)</w:t>
            </w:r>
          </w:p>
        </w:tc>
        <w:tc>
          <w:tcPr>
            <w:tcW w:w="709" w:type="dxa"/>
            <w:vAlign w:val="center"/>
          </w:tcPr>
          <w:p w14:paraId="5A077D9B" w14:textId="4CB64692" w:rsidR="007B5D58" w:rsidRPr="00020D5E" w:rsidRDefault="00DF363A" w:rsidP="00020D5E">
            <w:pPr>
              <w:spacing w:line="240" w:lineRule="auto"/>
              <w:jc w:val="center"/>
              <w:rPr>
                <w:rFonts w:asciiTheme="majorHAnsi" w:hAnsiTheme="majorHAnsi" w:cstheme="majorHAnsi"/>
                <w:color w:val="000000"/>
                <w:sz w:val="18"/>
                <w:szCs w:val="18"/>
              </w:rPr>
            </w:pPr>
            <w:r>
              <w:rPr>
                <w:rFonts w:asciiTheme="majorHAnsi" w:hAnsiTheme="majorHAnsi" w:cstheme="majorHAnsi"/>
                <w:color w:val="000000"/>
                <w:sz w:val="18"/>
                <w:szCs w:val="18"/>
              </w:rPr>
              <w:t>7</w:t>
            </w:r>
          </w:p>
        </w:tc>
        <w:tc>
          <w:tcPr>
            <w:tcW w:w="708" w:type="dxa"/>
            <w:vAlign w:val="center"/>
          </w:tcPr>
          <w:p w14:paraId="3B2853F1" w14:textId="065D3277"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S</w:t>
            </w:r>
          </w:p>
        </w:tc>
      </w:tr>
      <w:tr w:rsidR="007B5D58" w:rsidRPr="00B514A7" w14:paraId="3B8002A2" w14:textId="15291494" w:rsidTr="00020D5E">
        <w:trPr>
          <w:trHeight w:val="300"/>
        </w:trPr>
        <w:tc>
          <w:tcPr>
            <w:tcW w:w="440" w:type="dxa"/>
            <w:shd w:val="clear" w:color="auto" w:fill="F2F2F2" w:themeFill="background1" w:themeFillShade="F2"/>
            <w:noWrap/>
          </w:tcPr>
          <w:p w14:paraId="778D80DA" w14:textId="4F770608"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72</w:t>
            </w:r>
          </w:p>
        </w:tc>
        <w:tc>
          <w:tcPr>
            <w:tcW w:w="1256" w:type="dxa"/>
            <w:shd w:val="clear" w:color="auto" w:fill="F2F2F2" w:themeFill="background1" w:themeFillShade="F2"/>
            <w:noWrap/>
            <w:vAlign w:val="center"/>
          </w:tcPr>
          <w:p w14:paraId="0A95191E" w14:textId="6B7CA49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Tran</w:t>
            </w:r>
          </w:p>
        </w:tc>
        <w:tc>
          <w:tcPr>
            <w:tcW w:w="709" w:type="dxa"/>
            <w:vAlign w:val="center"/>
          </w:tcPr>
          <w:p w14:paraId="14F1595C" w14:textId="27C3126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2019</w:t>
            </w:r>
          </w:p>
        </w:tc>
        <w:tc>
          <w:tcPr>
            <w:tcW w:w="1418" w:type="dxa"/>
            <w:vAlign w:val="center"/>
          </w:tcPr>
          <w:p w14:paraId="09FDE083" w14:textId="01A5DE0D"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J Eat </w:t>
            </w:r>
            <w:proofErr w:type="spellStart"/>
            <w:r w:rsidRPr="00020D5E">
              <w:rPr>
                <w:rFonts w:asciiTheme="majorHAnsi" w:hAnsiTheme="majorHAnsi" w:cstheme="majorHAnsi"/>
                <w:i/>
                <w:iCs/>
                <w:color w:val="000000"/>
                <w:sz w:val="18"/>
                <w:szCs w:val="18"/>
              </w:rPr>
              <w:t>Disord</w:t>
            </w:r>
            <w:proofErr w:type="spellEnd"/>
          </w:p>
        </w:tc>
        <w:tc>
          <w:tcPr>
            <w:tcW w:w="708" w:type="dxa"/>
            <w:noWrap/>
            <w:vAlign w:val="center"/>
          </w:tcPr>
          <w:p w14:paraId="6B9ABD01" w14:textId="7AB0AE9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1,769</w:t>
            </w:r>
          </w:p>
        </w:tc>
        <w:tc>
          <w:tcPr>
            <w:tcW w:w="851" w:type="dxa"/>
            <w:noWrap/>
            <w:vAlign w:val="center"/>
          </w:tcPr>
          <w:p w14:paraId="2A51D124" w14:textId="7429234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All age (18-65+)</w:t>
            </w:r>
          </w:p>
        </w:tc>
        <w:tc>
          <w:tcPr>
            <w:tcW w:w="850" w:type="dxa"/>
            <w:noWrap/>
            <w:vAlign w:val="center"/>
          </w:tcPr>
          <w:p w14:paraId="1FD11CA2" w14:textId="47F23BE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63.6%</w:t>
            </w:r>
          </w:p>
        </w:tc>
        <w:tc>
          <w:tcPr>
            <w:tcW w:w="1276" w:type="dxa"/>
            <w:noWrap/>
            <w:vAlign w:val="center"/>
          </w:tcPr>
          <w:p w14:paraId="3444426D" w14:textId="52C0ACC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39B525B1" w14:textId="4A8A8C5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7573C5D3" w14:textId="0C76A96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Dating Apps</w:t>
            </w:r>
          </w:p>
        </w:tc>
        <w:tc>
          <w:tcPr>
            <w:tcW w:w="1134" w:type="dxa"/>
            <w:noWrap/>
            <w:vAlign w:val="center"/>
          </w:tcPr>
          <w:p w14:paraId="75791746" w14:textId="7DC33D4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Dating Apps</w:t>
            </w:r>
          </w:p>
        </w:tc>
        <w:tc>
          <w:tcPr>
            <w:tcW w:w="1985" w:type="dxa"/>
            <w:vAlign w:val="center"/>
          </w:tcPr>
          <w:p w14:paraId="182E147E" w14:textId="5E5AD5D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 xml:space="preserve">Unhealthy weight control </w:t>
            </w:r>
            <w:proofErr w:type="spellStart"/>
            <w:r w:rsidRPr="00020D5E">
              <w:rPr>
                <w:rFonts w:asciiTheme="majorHAnsi" w:hAnsiTheme="majorHAnsi" w:cstheme="majorHAnsi"/>
                <w:color w:val="000000"/>
                <w:sz w:val="18"/>
                <w:szCs w:val="18"/>
              </w:rPr>
              <w:t>behaviors</w:t>
            </w:r>
            <w:proofErr w:type="spellEnd"/>
            <w:r w:rsidRPr="00020D5E">
              <w:rPr>
                <w:rFonts w:asciiTheme="majorHAnsi" w:hAnsiTheme="majorHAnsi" w:cstheme="majorHAnsi"/>
                <w:color w:val="000000"/>
                <w:sz w:val="18"/>
                <w:szCs w:val="18"/>
              </w:rPr>
              <w:t xml:space="preserve"> (UWCBs)</w:t>
            </w:r>
          </w:p>
        </w:tc>
        <w:tc>
          <w:tcPr>
            <w:tcW w:w="709" w:type="dxa"/>
            <w:vAlign w:val="center"/>
          </w:tcPr>
          <w:p w14:paraId="4C5B6BF5" w14:textId="47712E3C" w:rsidR="007B5D58" w:rsidRPr="00020D5E" w:rsidRDefault="00735D74" w:rsidP="00020D5E">
            <w:pPr>
              <w:spacing w:line="240" w:lineRule="auto"/>
              <w:jc w:val="center"/>
              <w:rPr>
                <w:rFonts w:asciiTheme="majorHAnsi" w:hAnsiTheme="majorHAnsi" w:cstheme="majorHAnsi"/>
                <w:color w:val="000000"/>
                <w:sz w:val="18"/>
                <w:szCs w:val="18"/>
              </w:rPr>
            </w:pPr>
            <w:r>
              <w:rPr>
                <w:rFonts w:asciiTheme="majorHAnsi" w:hAnsiTheme="majorHAnsi" w:cstheme="majorHAnsi"/>
                <w:color w:val="000000"/>
                <w:sz w:val="18"/>
                <w:szCs w:val="18"/>
              </w:rPr>
              <w:t>4</w:t>
            </w:r>
          </w:p>
        </w:tc>
        <w:tc>
          <w:tcPr>
            <w:tcW w:w="708" w:type="dxa"/>
            <w:vAlign w:val="center"/>
          </w:tcPr>
          <w:p w14:paraId="640724F1" w14:textId="1F751FF0"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36F8C407" w14:textId="01210DB7" w:rsidTr="00020D5E">
        <w:trPr>
          <w:trHeight w:val="300"/>
        </w:trPr>
        <w:tc>
          <w:tcPr>
            <w:tcW w:w="440" w:type="dxa"/>
            <w:shd w:val="clear" w:color="auto" w:fill="F2F2F2" w:themeFill="background1" w:themeFillShade="F2"/>
            <w:noWrap/>
          </w:tcPr>
          <w:p w14:paraId="2EB7B87D" w14:textId="446BD1DC"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73</w:t>
            </w:r>
          </w:p>
        </w:tc>
        <w:tc>
          <w:tcPr>
            <w:tcW w:w="1256" w:type="dxa"/>
            <w:shd w:val="clear" w:color="auto" w:fill="F2F2F2" w:themeFill="background1" w:themeFillShade="F2"/>
            <w:noWrap/>
            <w:vAlign w:val="center"/>
          </w:tcPr>
          <w:p w14:paraId="592D6827" w14:textId="53444A0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Veldhuis</w:t>
            </w:r>
          </w:p>
        </w:tc>
        <w:tc>
          <w:tcPr>
            <w:tcW w:w="709" w:type="dxa"/>
            <w:vAlign w:val="center"/>
          </w:tcPr>
          <w:p w14:paraId="3E018AB7" w14:textId="7DD8B5F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2018</w:t>
            </w:r>
          </w:p>
        </w:tc>
        <w:tc>
          <w:tcPr>
            <w:tcW w:w="1418" w:type="dxa"/>
            <w:vAlign w:val="center"/>
          </w:tcPr>
          <w:p w14:paraId="5C33738F" w14:textId="77D9EF76"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proofErr w:type="spellStart"/>
            <w:r w:rsidRPr="00020D5E">
              <w:rPr>
                <w:rFonts w:asciiTheme="majorHAnsi" w:hAnsiTheme="majorHAnsi" w:cstheme="majorHAnsi"/>
                <w:i/>
                <w:iCs/>
                <w:color w:val="000000"/>
                <w:sz w:val="18"/>
                <w:szCs w:val="18"/>
              </w:rPr>
              <w:t>Psychol</w:t>
            </w:r>
            <w:proofErr w:type="spellEnd"/>
            <w:r w:rsidRPr="00020D5E">
              <w:rPr>
                <w:rFonts w:asciiTheme="majorHAnsi" w:hAnsiTheme="majorHAnsi" w:cstheme="majorHAnsi"/>
                <w:i/>
                <w:iCs/>
                <w:color w:val="000000"/>
                <w:sz w:val="18"/>
                <w:szCs w:val="18"/>
              </w:rPr>
              <w:t xml:space="preserve"> Pop Media Cult</w:t>
            </w:r>
          </w:p>
        </w:tc>
        <w:tc>
          <w:tcPr>
            <w:tcW w:w="708" w:type="dxa"/>
            <w:noWrap/>
            <w:vAlign w:val="center"/>
          </w:tcPr>
          <w:p w14:paraId="3CE51010" w14:textId="44B2259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179</w:t>
            </w:r>
          </w:p>
        </w:tc>
        <w:tc>
          <w:tcPr>
            <w:tcW w:w="851" w:type="dxa"/>
            <w:noWrap/>
            <w:vAlign w:val="center"/>
          </w:tcPr>
          <w:p w14:paraId="3AA60ADB" w14:textId="0159DC8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21.5</w:t>
            </w:r>
          </w:p>
        </w:tc>
        <w:tc>
          <w:tcPr>
            <w:tcW w:w="850" w:type="dxa"/>
            <w:noWrap/>
            <w:vAlign w:val="center"/>
          </w:tcPr>
          <w:p w14:paraId="0EFB539F" w14:textId="6F6D7DA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5AC3A8FE" w14:textId="02EBEB4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Netherlands</w:t>
            </w:r>
          </w:p>
        </w:tc>
        <w:tc>
          <w:tcPr>
            <w:tcW w:w="1276" w:type="dxa"/>
            <w:noWrap/>
            <w:vAlign w:val="center"/>
          </w:tcPr>
          <w:p w14:paraId="1F36F4E3" w14:textId="01FA08C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1A5D6F6D" w14:textId="3F4CDA0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SNS use</w:t>
            </w:r>
          </w:p>
        </w:tc>
        <w:tc>
          <w:tcPr>
            <w:tcW w:w="1134" w:type="dxa"/>
            <w:noWrap/>
            <w:vAlign w:val="center"/>
          </w:tcPr>
          <w:p w14:paraId="0D885C9A" w14:textId="13812F0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15BFC9E8" w14:textId="7F9FBD8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 xml:space="preserve">Body Dissatisfaction Subscale of the Eating Disorder Inventory (Garner, Olmstead, &amp; </w:t>
            </w:r>
            <w:proofErr w:type="spellStart"/>
            <w:r w:rsidRPr="00020D5E">
              <w:rPr>
                <w:rFonts w:asciiTheme="majorHAnsi" w:hAnsiTheme="majorHAnsi" w:cstheme="majorHAnsi"/>
                <w:color w:val="000000"/>
                <w:sz w:val="18"/>
                <w:szCs w:val="18"/>
              </w:rPr>
              <w:t>Polivy</w:t>
            </w:r>
            <w:proofErr w:type="spellEnd"/>
            <w:r w:rsidRPr="00020D5E">
              <w:rPr>
                <w:rFonts w:asciiTheme="majorHAnsi" w:hAnsiTheme="majorHAnsi" w:cstheme="majorHAnsi"/>
                <w:color w:val="000000"/>
                <w:sz w:val="18"/>
                <w:szCs w:val="18"/>
              </w:rPr>
              <w:t>, 1983;),</w:t>
            </w:r>
          </w:p>
        </w:tc>
        <w:tc>
          <w:tcPr>
            <w:tcW w:w="709" w:type="dxa"/>
            <w:vAlign w:val="center"/>
          </w:tcPr>
          <w:p w14:paraId="21905DE6" w14:textId="73076CB6"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4</w:t>
            </w:r>
          </w:p>
        </w:tc>
        <w:tc>
          <w:tcPr>
            <w:tcW w:w="708" w:type="dxa"/>
            <w:vAlign w:val="center"/>
          </w:tcPr>
          <w:p w14:paraId="6C17E8FD" w14:textId="170FEC3E"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70269BA8" w14:textId="6C522500" w:rsidTr="00020D5E">
        <w:trPr>
          <w:trHeight w:val="300"/>
        </w:trPr>
        <w:tc>
          <w:tcPr>
            <w:tcW w:w="440" w:type="dxa"/>
            <w:shd w:val="clear" w:color="auto" w:fill="F2F2F2" w:themeFill="background1" w:themeFillShade="F2"/>
            <w:noWrap/>
          </w:tcPr>
          <w:p w14:paraId="4233B121" w14:textId="0711444D"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74</w:t>
            </w:r>
          </w:p>
        </w:tc>
        <w:tc>
          <w:tcPr>
            <w:tcW w:w="1256" w:type="dxa"/>
            <w:shd w:val="clear" w:color="auto" w:fill="F2F2F2" w:themeFill="background1" w:themeFillShade="F2"/>
            <w:noWrap/>
            <w:vAlign w:val="center"/>
          </w:tcPr>
          <w:p w14:paraId="541F1FDF" w14:textId="2626470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Verbist</w:t>
            </w:r>
            <w:proofErr w:type="spellEnd"/>
          </w:p>
        </w:tc>
        <w:tc>
          <w:tcPr>
            <w:tcW w:w="709" w:type="dxa"/>
            <w:vAlign w:val="center"/>
          </w:tcPr>
          <w:p w14:paraId="49168288" w14:textId="257ECCD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2019</w:t>
            </w:r>
          </w:p>
        </w:tc>
        <w:tc>
          <w:tcPr>
            <w:tcW w:w="1418" w:type="dxa"/>
            <w:vAlign w:val="center"/>
          </w:tcPr>
          <w:p w14:paraId="7F9A710C" w14:textId="7EC47B06"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J Health </w:t>
            </w:r>
            <w:proofErr w:type="spellStart"/>
            <w:r w:rsidRPr="00020D5E">
              <w:rPr>
                <w:rFonts w:asciiTheme="majorHAnsi" w:hAnsiTheme="majorHAnsi" w:cstheme="majorHAnsi"/>
                <w:i/>
                <w:iCs/>
                <w:color w:val="000000"/>
                <w:sz w:val="18"/>
                <w:szCs w:val="18"/>
              </w:rPr>
              <w:t>Psychol</w:t>
            </w:r>
            <w:proofErr w:type="spellEnd"/>
          </w:p>
        </w:tc>
        <w:tc>
          <w:tcPr>
            <w:tcW w:w="708" w:type="dxa"/>
            <w:noWrap/>
            <w:vAlign w:val="center"/>
          </w:tcPr>
          <w:p w14:paraId="62EFCACD" w14:textId="58D9DD6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121</w:t>
            </w:r>
          </w:p>
        </w:tc>
        <w:tc>
          <w:tcPr>
            <w:tcW w:w="851" w:type="dxa"/>
            <w:noWrap/>
            <w:vAlign w:val="center"/>
          </w:tcPr>
          <w:p w14:paraId="2443F49D" w14:textId="390EC8E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36</w:t>
            </w:r>
          </w:p>
        </w:tc>
        <w:tc>
          <w:tcPr>
            <w:tcW w:w="850" w:type="dxa"/>
            <w:noWrap/>
            <w:vAlign w:val="center"/>
          </w:tcPr>
          <w:p w14:paraId="5E0BF237" w14:textId="073EFB2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88%</w:t>
            </w:r>
          </w:p>
        </w:tc>
        <w:tc>
          <w:tcPr>
            <w:tcW w:w="1276" w:type="dxa"/>
            <w:noWrap/>
            <w:vAlign w:val="center"/>
          </w:tcPr>
          <w:p w14:paraId="0B581741" w14:textId="1635AC7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UK</w:t>
            </w:r>
          </w:p>
        </w:tc>
        <w:tc>
          <w:tcPr>
            <w:tcW w:w="1276" w:type="dxa"/>
            <w:noWrap/>
            <w:vAlign w:val="center"/>
          </w:tcPr>
          <w:p w14:paraId="4D80C1F9" w14:textId="702FAA6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5F9E517C" w14:textId="025659E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 xml:space="preserve">Social network usage. Three questions, based on SNW usage by </w:t>
            </w:r>
            <w:proofErr w:type="spellStart"/>
            <w:r w:rsidRPr="00020D5E">
              <w:rPr>
                <w:rFonts w:asciiTheme="majorHAnsi" w:hAnsiTheme="majorHAnsi" w:cstheme="majorHAnsi"/>
                <w:color w:val="000000"/>
                <w:sz w:val="18"/>
                <w:szCs w:val="18"/>
              </w:rPr>
              <w:t>Fardouly</w:t>
            </w:r>
            <w:proofErr w:type="spellEnd"/>
            <w:r w:rsidRPr="00020D5E">
              <w:rPr>
                <w:rFonts w:asciiTheme="majorHAnsi" w:hAnsiTheme="majorHAnsi" w:cstheme="majorHAnsi"/>
                <w:color w:val="000000"/>
                <w:sz w:val="18"/>
                <w:szCs w:val="18"/>
              </w:rPr>
              <w:t xml:space="preserve"> and </w:t>
            </w:r>
            <w:proofErr w:type="spellStart"/>
            <w:r w:rsidRPr="00020D5E">
              <w:rPr>
                <w:rFonts w:asciiTheme="majorHAnsi" w:hAnsiTheme="majorHAnsi" w:cstheme="majorHAnsi"/>
                <w:color w:val="000000"/>
                <w:sz w:val="18"/>
                <w:szCs w:val="18"/>
              </w:rPr>
              <w:t>Vartanian</w:t>
            </w:r>
            <w:proofErr w:type="spellEnd"/>
            <w:r w:rsidRPr="00020D5E">
              <w:rPr>
                <w:rFonts w:asciiTheme="majorHAnsi" w:hAnsiTheme="majorHAnsi" w:cstheme="majorHAnsi"/>
                <w:color w:val="000000"/>
                <w:sz w:val="18"/>
                <w:szCs w:val="18"/>
              </w:rPr>
              <w:t xml:space="preserve"> (2015)</w:t>
            </w:r>
          </w:p>
        </w:tc>
        <w:tc>
          <w:tcPr>
            <w:tcW w:w="1134" w:type="dxa"/>
            <w:noWrap/>
            <w:vAlign w:val="center"/>
          </w:tcPr>
          <w:p w14:paraId="57A8EEB1" w14:textId="11916FF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2C562A42" w14:textId="2E37C30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Image States Scale.; DEBS: disordered eating behaviours (+/-) according to DEPS-R</w:t>
            </w:r>
          </w:p>
        </w:tc>
        <w:tc>
          <w:tcPr>
            <w:tcW w:w="709" w:type="dxa"/>
            <w:vAlign w:val="center"/>
          </w:tcPr>
          <w:p w14:paraId="4DDF6537" w14:textId="7EE27F65"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6</w:t>
            </w:r>
          </w:p>
        </w:tc>
        <w:tc>
          <w:tcPr>
            <w:tcW w:w="708" w:type="dxa"/>
            <w:vAlign w:val="center"/>
          </w:tcPr>
          <w:p w14:paraId="26625661" w14:textId="58E6B833"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0ADE76EB" w14:textId="259897F0" w:rsidTr="00020D5E">
        <w:trPr>
          <w:trHeight w:val="300"/>
        </w:trPr>
        <w:tc>
          <w:tcPr>
            <w:tcW w:w="440" w:type="dxa"/>
            <w:shd w:val="clear" w:color="auto" w:fill="F2F2F2" w:themeFill="background1" w:themeFillShade="F2"/>
            <w:noWrap/>
          </w:tcPr>
          <w:p w14:paraId="4A228A21" w14:textId="162F3E42"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75</w:t>
            </w:r>
          </w:p>
        </w:tc>
        <w:tc>
          <w:tcPr>
            <w:tcW w:w="1256" w:type="dxa"/>
            <w:shd w:val="clear" w:color="auto" w:fill="F2F2F2" w:themeFill="background1" w:themeFillShade="F2"/>
            <w:noWrap/>
            <w:vAlign w:val="center"/>
          </w:tcPr>
          <w:p w14:paraId="2A19E390" w14:textId="7C40964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Wagner</w:t>
            </w:r>
          </w:p>
        </w:tc>
        <w:tc>
          <w:tcPr>
            <w:tcW w:w="709" w:type="dxa"/>
            <w:vAlign w:val="center"/>
          </w:tcPr>
          <w:p w14:paraId="3E3BE168" w14:textId="54D2B81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2016</w:t>
            </w:r>
          </w:p>
        </w:tc>
        <w:tc>
          <w:tcPr>
            <w:tcW w:w="1418" w:type="dxa"/>
            <w:vAlign w:val="center"/>
          </w:tcPr>
          <w:p w14:paraId="1A43214F" w14:textId="32ECA26B"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First Monday</w:t>
            </w:r>
          </w:p>
        </w:tc>
        <w:tc>
          <w:tcPr>
            <w:tcW w:w="708" w:type="dxa"/>
            <w:noWrap/>
            <w:vAlign w:val="center"/>
          </w:tcPr>
          <w:p w14:paraId="1C6194F7" w14:textId="2426D60F"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130</w:t>
            </w:r>
          </w:p>
        </w:tc>
        <w:tc>
          <w:tcPr>
            <w:tcW w:w="851" w:type="dxa"/>
            <w:noWrap/>
            <w:vAlign w:val="center"/>
          </w:tcPr>
          <w:p w14:paraId="669C8339" w14:textId="00EEBC1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19.9</w:t>
            </w:r>
          </w:p>
        </w:tc>
        <w:tc>
          <w:tcPr>
            <w:tcW w:w="850" w:type="dxa"/>
            <w:noWrap/>
            <w:vAlign w:val="center"/>
          </w:tcPr>
          <w:p w14:paraId="1D630417" w14:textId="61B2928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7AA0ACC9" w14:textId="3F74E7C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01119156" w14:textId="6FA8679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1A013C87" w14:textId="45C3AE5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SNS use</w:t>
            </w:r>
          </w:p>
        </w:tc>
        <w:tc>
          <w:tcPr>
            <w:tcW w:w="1134" w:type="dxa"/>
            <w:noWrap/>
            <w:vAlign w:val="center"/>
          </w:tcPr>
          <w:p w14:paraId="3C7BC7EF" w14:textId="4B081EC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125CE6AC" w14:textId="448A786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Image Assessment Scale-Body Dimensions (or BIAS-BD)</w:t>
            </w:r>
          </w:p>
        </w:tc>
        <w:tc>
          <w:tcPr>
            <w:tcW w:w="709" w:type="dxa"/>
            <w:vAlign w:val="center"/>
          </w:tcPr>
          <w:p w14:paraId="01566508" w14:textId="523E3A81"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6</w:t>
            </w:r>
          </w:p>
        </w:tc>
        <w:tc>
          <w:tcPr>
            <w:tcW w:w="708" w:type="dxa"/>
            <w:vAlign w:val="center"/>
          </w:tcPr>
          <w:p w14:paraId="6A099DB7" w14:textId="6B570377"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57829521" w14:textId="0DF452EB" w:rsidTr="00020D5E">
        <w:trPr>
          <w:trHeight w:val="300"/>
        </w:trPr>
        <w:tc>
          <w:tcPr>
            <w:tcW w:w="440" w:type="dxa"/>
            <w:shd w:val="clear" w:color="auto" w:fill="F2F2F2" w:themeFill="background1" w:themeFillShade="F2"/>
            <w:noWrap/>
          </w:tcPr>
          <w:p w14:paraId="45603673" w14:textId="5DE2170C"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76</w:t>
            </w:r>
          </w:p>
        </w:tc>
        <w:tc>
          <w:tcPr>
            <w:tcW w:w="1256" w:type="dxa"/>
            <w:shd w:val="clear" w:color="auto" w:fill="F2F2F2" w:themeFill="background1" w:themeFillShade="F2"/>
            <w:noWrap/>
            <w:vAlign w:val="center"/>
          </w:tcPr>
          <w:p w14:paraId="1715B32B" w14:textId="3B1FC3D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Walker</w:t>
            </w:r>
          </w:p>
        </w:tc>
        <w:tc>
          <w:tcPr>
            <w:tcW w:w="709" w:type="dxa"/>
            <w:vAlign w:val="center"/>
          </w:tcPr>
          <w:p w14:paraId="368746D9" w14:textId="4CA8778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2015</w:t>
            </w:r>
          </w:p>
        </w:tc>
        <w:tc>
          <w:tcPr>
            <w:tcW w:w="1418" w:type="dxa"/>
            <w:vAlign w:val="center"/>
          </w:tcPr>
          <w:p w14:paraId="7EB5BE95" w14:textId="52B08A71"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J </w:t>
            </w:r>
            <w:proofErr w:type="spellStart"/>
            <w:r w:rsidRPr="00020D5E">
              <w:rPr>
                <w:rFonts w:asciiTheme="majorHAnsi" w:hAnsiTheme="majorHAnsi" w:cstheme="majorHAnsi"/>
                <w:i/>
                <w:iCs/>
                <w:color w:val="000000"/>
                <w:sz w:val="18"/>
                <w:szCs w:val="18"/>
              </w:rPr>
              <w:t>Adolesc</w:t>
            </w:r>
            <w:proofErr w:type="spellEnd"/>
            <w:r w:rsidRPr="00020D5E">
              <w:rPr>
                <w:rFonts w:asciiTheme="majorHAnsi" w:hAnsiTheme="majorHAnsi" w:cstheme="majorHAnsi"/>
                <w:i/>
                <w:iCs/>
                <w:color w:val="000000"/>
                <w:sz w:val="18"/>
                <w:szCs w:val="18"/>
              </w:rPr>
              <w:t xml:space="preserve"> Health</w:t>
            </w:r>
          </w:p>
        </w:tc>
        <w:tc>
          <w:tcPr>
            <w:tcW w:w="708" w:type="dxa"/>
            <w:noWrap/>
            <w:vAlign w:val="center"/>
          </w:tcPr>
          <w:p w14:paraId="1D5D4C79" w14:textId="2FD191E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128</w:t>
            </w:r>
          </w:p>
        </w:tc>
        <w:tc>
          <w:tcPr>
            <w:tcW w:w="851" w:type="dxa"/>
            <w:noWrap/>
            <w:vAlign w:val="center"/>
          </w:tcPr>
          <w:p w14:paraId="1F4B78A1" w14:textId="15D7416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18-23</w:t>
            </w:r>
          </w:p>
        </w:tc>
        <w:tc>
          <w:tcPr>
            <w:tcW w:w="850" w:type="dxa"/>
            <w:noWrap/>
            <w:vAlign w:val="center"/>
          </w:tcPr>
          <w:p w14:paraId="2D5F7495" w14:textId="7DF406B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100%</w:t>
            </w:r>
          </w:p>
        </w:tc>
        <w:tc>
          <w:tcPr>
            <w:tcW w:w="1276" w:type="dxa"/>
            <w:noWrap/>
            <w:vAlign w:val="center"/>
          </w:tcPr>
          <w:p w14:paraId="42084588" w14:textId="15B3A56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52603E3C" w14:textId="2A9BE61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514056BE" w14:textId="69485AC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Facebook intensity scale(FIS); Online physical appearance comparison scale; Online fat talk scale</w:t>
            </w:r>
          </w:p>
        </w:tc>
        <w:tc>
          <w:tcPr>
            <w:tcW w:w="1134" w:type="dxa"/>
            <w:noWrap/>
            <w:vAlign w:val="center"/>
          </w:tcPr>
          <w:p w14:paraId="2C4C93C9" w14:textId="6FE8A4D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4C7DDBE6" w14:textId="39D734D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The eating disorder examination questionnaire (EDE-Q)</w:t>
            </w:r>
          </w:p>
        </w:tc>
        <w:tc>
          <w:tcPr>
            <w:tcW w:w="709" w:type="dxa"/>
            <w:vAlign w:val="center"/>
          </w:tcPr>
          <w:p w14:paraId="311C8BFB" w14:textId="38574799"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10</w:t>
            </w:r>
          </w:p>
        </w:tc>
        <w:tc>
          <w:tcPr>
            <w:tcW w:w="708" w:type="dxa"/>
            <w:vAlign w:val="center"/>
          </w:tcPr>
          <w:p w14:paraId="711DC840" w14:textId="263566C7"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19C86172" w14:textId="1E983903" w:rsidTr="00020D5E">
        <w:trPr>
          <w:trHeight w:val="300"/>
        </w:trPr>
        <w:tc>
          <w:tcPr>
            <w:tcW w:w="440" w:type="dxa"/>
            <w:shd w:val="clear" w:color="auto" w:fill="F2F2F2" w:themeFill="background1" w:themeFillShade="F2"/>
            <w:noWrap/>
          </w:tcPr>
          <w:p w14:paraId="668DA021" w14:textId="6A1BEA12"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77</w:t>
            </w:r>
          </w:p>
        </w:tc>
        <w:tc>
          <w:tcPr>
            <w:tcW w:w="1256" w:type="dxa"/>
            <w:shd w:val="clear" w:color="auto" w:fill="F2F2F2" w:themeFill="background1" w:themeFillShade="F2"/>
            <w:noWrap/>
            <w:vAlign w:val="center"/>
          </w:tcPr>
          <w:p w14:paraId="6244FFD5" w14:textId="148DDE6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Wick</w:t>
            </w:r>
          </w:p>
        </w:tc>
        <w:tc>
          <w:tcPr>
            <w:tcW w:w="709" w:type="dxa"/>
            <w:vAlign w:val="center"/>
          </w:tcPr>
          <w:p w14:paraId="0C177329" w14:textId="219A856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2020</w:t>
            </w:r>
          </w:p>
        </w:tc>
        <w:tc>
          <w:tcPr>
            <w:tcW w:w="1418" w:type="dxa"/>
            <w:vAlign w:val="center"/>
          </w:tcPr>
          <w:p w14:paraId="7AA9AB21" w14:textId="3FFD057B"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Int J Eat </w:t>
            </w:r>
            <w:proofErr w:type="spellStart"/>
            <w:r w:rsidRPr="00020D5E">
              <w:rPr>
                <w:rFonts w:asciiTheme="majorHAnsi" w:hAnsiTheme="majorHAnsi" w:cstheme="majorHAnsi"/>
                <w:i/>
                <w:iCs/>
                <w:color w:val="000000"/>
                <w:sz w:val="18"/>
                <w:szCs w:val="18"/>
              </w:rPr>
              <w:t>Disord</w:t>
            </w:r>
            <w:proofErr w:type="spellEnd"/>
          </w:p>
        </w:tc>
        <w:tc>
          <w:tcPr>
            <w:tcW w:w="708" w:type="dxa"/>
            <w:noWrap/>
            <w:vAlign w:val="center"/>
          </w:tcPr>
          <w:p w14:paraId="5A171CE1" w14:textId="67263AF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2,485</w:t>
            </w:r>
          </w:p>
        </w:tc>
        <w:tc>
          <w:tcPr>
            <w:tcW w:w="851" w:type="dxa"/>
            <w:noWrap/>
            <w:vAlign w:val="center"/>
          </w:tcPr>
          <w:p w14:paraId="43BBC25F" w14:textId="12079DE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18.7</w:t>
            </w:r>
          </w:p>
        </w:tc>
        <w:tc>
          <w:tcPr>
            <w:tcW w:w="850" w:type="dxa"/>
            <w:noWrap/>
            <w:vAlign w:val="center"/>
          </w:tcPr>
          <w:p w14:paraId="151CA02A" w14:textId="4941B4C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76%</w:t>
            </w:r>
          </w:p>
        </w:tc>
        <w:tc>
          <w:tcPr>
            <w:tcW w:w="1276" w:type="dxa"/>
            <w:noWrap/>
            <w:vAlign w:val="center"/>
          </w:tcPr>
          <w:p w14:paraId="06392315" w14:textId="78C04A6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USA</w:t>
            </w:r>
          </w:p>
        </w:tc>
        <w:tc>
          <w:tcPr>
            <w:tcW w:w="1276" w:type="dxa"/>
            <w:noWrap/>
            <w:vAlign w:val="center"/>
          </w:tcPr>
          <w:p w14:paraId="59039C77" w14:textId="1013A55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7A967823" w14:textId="55CDB29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Instagram Photo Editing Applications use</w:t>
            </w:r>
          </w:p>
        </w:tc>
        <w:tc>
          <w:tcPr>
            <w:tcW w:w="1134" w:type="dxa"/>
            <w:noWrap/>
            <w:vAlign w:val="center"/>
          </w:tcPr>
          <w:p w14:paraId="798BE107" w14:textId="0CE608B4"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5E8EF2F3" w14:textId="00BD53A9"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Eating Attitudes Test-26</w:t>
            </w:r>
          </w:p>
        </w:tc>
        <w:tc>
          <w:tcPr>
            <w:tcW w:w="709" w:type="dxa"/>
            <w:vAlign w:val="center"/>
          </w:tcPr>
          <w:p w14:paraId="4FA80646" w14:textId="07627F2B"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11</w:t>
            </w:r>
          </w:p>
        </w:tc>
        <w:tc>
          <w:tcPr>
            <w:tcW w:w="708" w:type="dxa"/>
            <w:vAlign w:val="center"/>
          </w:tcPr>
          <w:p w14:paraId="50CFE202" w14:textId="042CDECD"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378902B8" w14:textId="521E503A" w:rsidTr="00020D5E">
        <w:trPr>
          <w:trHeight w:val="300"/>
        </w:trPr>
        <w:tc>
          <w:tcPr>
            <w:tcW w:w="440" w:type="dxa"/>
            <w:shd w:val="clear" w:color="auto" w:fill="F2F2F2" w:themeFill="background1" w:themeFillShade="F2"/>
            <w:noWrap/>
          </w:tcPr>
          <w:p w14:paraId="5B656F54" w14:textId="44F8BA13"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78</w:t>
            </w:r>
          </w:p>
        </w:tc>
        <w:tc>
          <w:tcPr>
            <w:tcW w:w="1256" w:type="dxa"/>
            <w:shd w:val="clear" w:color="auto" w:fill="F2F2F2" w:themeFill="background1" w:themeFillShade="F2"/>
            <w:noWrap/>
            <w:vAlign w:val="center"/>
          </w:tcPr>
          <w:p w14:paraId="5D6CCF1E" w14:textId="68C80E9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Wilksh</w:t>
            </w:r>
            <w:proofErr w:type="spellEnd"/>
          </w:p>
        </w:tc>
        <w:tc>
          <w:tcPr>
            <w:tcW w:w="709" w:type="dxa"/>
            <w:vAlign w:val="center"/>
          </w:tcPr>
          <w:p w14:paraId="3252A2E4" w14:textId="5DE44E3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2020</w:t>
            </w:r>
          </w:p>
        </w:tc>
        <w:tc>
          <w:tcPr>
            <w:tcW w:w="1418" w:type="dxa"/>
            <w:vAlign w:val="center"/>
          </w:tcPr>
          <w:p w14:paraId="273FDB5F" w14:textId="1A9A210D"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Int J Eat </w:t>
            </w:r>
            <w:proofErr w:type="spellStart"/>
            <w:r w:rsidRPr="00020D5E">
              <w:rPr>
                <w:rFonts w:asciiTheme="majorHAnsi" w:hAnsiTheme="majorHAnsi" w:cstheme="majorHAnsi"/>
                <w:i/>
                <w:iCs/>
                <w:color w:val="000000"/>
                <w:sz w:val="18"/>
                <w:szCs w:val="18"/>
              </w:rPr>
              <w:t>Disord</w:t>
            </w:r>
            <w:proofErr w:type="spellEnd"/>
          </w:p>
        </w:tc>
        <w:tc>
          <w:tcPr>
            <w:tcW w:w="708" w:type="dxa"/>
            <w:noWrap/>
            <w:vAlign w:val="center"/>
          </w:tcPr>
          <w:p w14:paraId="57CF9D7B" w14:textId="03F2EF5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996</w:t>
            </w:r>
          </w:p>
        </w:tc>
        <w:tc>
          <w:tcPr>
            <w:tcW w:w="851" w:type="dxa"/>
            <w:noWrap/>
            <w:vAlign w:val="center"/>
          </w:tcPr>
          <w:p w14:paraId="52D96CF2" w14:textId="19D3BC3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13.1</w:t>
            </w:r>
          </w:p>
        </w:tc>
        <w:tc>
          <w:tcPr>
            <w:tcW w:w="850" w:type="dxa"/>
            <w:noWrap/>
            <w:vAlign w:val="center"/>
          </w:tcPr>
          <w:p w14:paraId="7A356404" w14:textId="32F051C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53.6%</w:t>
            </w:r>
          </w:p>
        </w:tc>
        <w:tc>
          <w:tcPr>
            <w:tcW w:w="1276" w:type="dxa"/>
            <w:noWrap/>
            <w:vAlign w:val="center"/>
          </w:tcPr>
          <w:p w14:paraId="6D4AE111" w14:textId="42EA6B9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Australia</w:t>
            </w:r>
          </w:p>
        </w:tc>
        <w:tc>
          <w:tcPr>
            <w:tcW w:w="1276" w:type="dxa"/>
            <w:noWrap/>
            <w:vAlign w:val="center"/>
          </w:tcPr>
          <w:p w14:paraId="6CA92D81" w14:textId="5CBB47D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31439018" w14:textId="0CE1992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Social media use questionnaire, same as (Slater et al., 2017; Tiggemann &amp; Slater, 2013).</w:t>
            </w:r>
          </w:p>
        </w:tc>
        <w:tc>
          <w:tcPr>
            <w:tcW w:w="1134" w:type="dxa"/>
            <w:noWrap/>
            <w:vAlign w:val="center"/>
          </w:tcPr>
          <w:p w14:paraId="07FBC7A8" w14:textId="306AD123"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21E67BB6" w14:textId="3AD179A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 xml:space="preserve">EDE-Q  continuous measure; The Project EAT </w:t>
            </w:r>
            <w:r w:rsidR="005E35BA" w:rsidRPr="00020D5E">
              <w:rPr>
                <w:rFonts w:asciiTheme="majorHAnsi" w:hAnsiTheme="majorHAnsi" w:cstheme="majorHAnsi"/>
                <w:color w:val="000000"/>
                <w:sz w:val="18"/>
                <w:szCs w:val="18"/>
              </w:rPr>
              <w:t>questionnaire</w:t>
            </w:r>
            <w:r w:rsidRPr="00020D5E">
              <w:rPr>
                <w:rFonts w:asciiTheme="majorHAnsi" w:hAnsiTheme="majorHAnsi" w:cstheme="majorHAnsi"/>
                <w:color w:val="000000"/>
                <w:sz w:val="18"/>
                <w:szCs w:val="18"/>
              </w:rPr>
              <w:t>; EDE-Q/PEAT combo measure</w:t>
            </w:r>
          </w:p>
        </w:tc>
        <w:tc>
          <w:tcPr>
            <w:tcW w:w="709" w:type="dxa"/>
            <w:vAlign w:val="center"/>
          </w:tcPr>
          <w:p w14:paraId="7E76EFF6" w14:textId="68B54C24"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7</w:t>
            </w:r>
          </w:p>
        </w:tc>
        <w:tc>
          <w:tcPr>
            <w:tcW w:w="708" w:type="dxa"/>
            <w:vAlign w:val="center"/>
          </w:tcPr>
          <w:p w14:paraId="6FF89151" w14:textId="486C079C"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t>
            </w:r>
          </w:p>
        </w:tc>
      </w:tr>
      <w:tr w:rsidR="007B5D58" w:rsidRPr="00B514A7" w14:paraId="79CDF27C" w14:textId="2DEBBEDF" w:rsidTr="00020D5E">
        <w:trPr>
          <w:trHeight w:val="300"/>
        </w:trPr>
        <w:tc>
          <w:tcPr>
            <w:tcW w:w="440" w:type="dxa"/>
            <w:shd w:val="clear" w:color="auto" w:fill="F2F2F2" w:themeFill="background1" w:themeFillShade="F2"/>
            <w:noWrap/>
          </w:tcPr>
          <w:p w14:paraId="16F69CA5" w14:textId="556EA177"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79</w:t>
            </w:r>
          </w:p>
        </w:tc>
        <w:tc>
          <w:tcPr>
            <w:tcW w:w="1256" w:type="dxa"/>
            <w:shd w:val="clear" w:color="auto" w:fill="F2F2F2" w:themeFill="background1" w:themeFillShade="F2"/>
            <w:noWrap/>
            <w:vAlign w:val="center"/>
          </w:tcPr>
          <w:p w14:paraId="0DE41E11" w14:textId="25F2AD9E"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Xiaojing</w:t>
            </w:r>
            <w:proofErr w:type="spellEnd"/>
          </w:p>
        </w:tc>
        <w:tc>
          <w:tcPr>
            <w:tcW w:w="709" w:type="dxa"/>
            <w:vAlign w:val="center"/>
          </w:tcPr>
          <w:p w14:paraId="03622787" w14:textId="69FB3B3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2017</w:t>
            </w:r>
          </w:p>
        </w:tc>
        <w:tc>
          <w:tcPr>
            <w:tcW w:w="1418" w:type="dxa"/>
            <w:vAlign w:val="center"/>
          </w:tcPr>
          <w:p w14:paraId="6793261B" w14:textId="661BD5B8"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Asian J </w:t>
            </w:r>
            <w:proofErr w:type="spellStart"/>
            <w:r w:rsidRPr="00020D5E">
              <w:rPr>
                <w:rFonts w:asciiTheme="majorHAnsi" w:hAnsiTheme="majorHAnsi" w:cstheme="majorHAnsi"/>
                <w:i/>
                <w:iCs/>
                <w:color w:val="000000"/>
                <w:sz w:val="18"/>
                <w:szCs w:val="18"/>
              </w:rPr>
              <w:t>Commun</w:t>
            </w:r>
            <w:proofErr w:type="spellEnd"/>
          </w:p>
        </w:tc>
        <w:tc>
          <w:tcPr>
            <w:tcW w:w="708" w:type="dxa"/>
            <w:noWrap/>
            <w:vAlign w:val="center"/>
          </w:tcPr>
          <w:p w14:paraId="1329BF44" w14:textId="362D76AA"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384</w:t>
            </w:r>
          </w:p>
        </w:tc>
        <w:tc>
          <w:tcPr>
            <w:tcW w:w="851" w:type="dxa"/>
            <w:noWrap/>
            <w:vAlign w:val="center"/>
          </w:tcPr>
          <w:p w14:paraId="439B44EE" w14:textId="092E1B3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25.8</w:t>
            </w:r>
          </w:p>
        </w:tc>
        <w:tc>
          <w:tcPr>
            <w:tcW w:w="850" w:type="dxa"/>
            <w:noWrap/>
            <w:vAlign w:val="center"/>
          </w:tcPr>
          <w:p w14:paraId="36B04543" w14:textId="48D612EC"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53%</w:t>
            </w:r>
          </w:p>
        </w:tc>
        <w:tc>
          <w:tcPr>
            <w:tcW w:w="1276" w:type="dxa"/>
            <w:noWrap/>
            <w:vAlign w:val="center"/>
          </w:tcPr>
          <w:p w14:paraId="235DFD46" w14:textId="57A0C5B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China</w:t>
            </w:r>
          </w:p>
        </w:tc>
        <w:tc>
          <w:tcPr>
            <w:tcW w:w="1276" w:type="dxa"/>
            <w:noWrap/>
            <w:vAlign w:val="center"/>
          </w:tcPr>
          <w:p w14:paraId="67CA296A" w14:textId="17BFA3E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51A3B02F" w14:textId="4131B37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SNS Use</w:t>
            </w:r>
          </w:p>
        </w:tc>
        <w:tc>
          <w:tcPr>
            <w:tcW w:w="1134" w:type="dxa"/>
            <w:noWrap/>
            <w:vAlign w:val="center"/>
          </w:tcPr>
          <w:p w14:paraId="0FAACB67" w14:textId="41882E1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SNS</w:t>
            </w:r>
          </w:p>
        </w:tc>
        <w:tc>
          <w:tcPr>
            <w:tcW w:w="1985" w:type="dxa"/>
            <w:vAlign w:val="center"/>
          </w:tcPr>
          <w:p w14:paraId="7330E337" w14:textId="6334882D"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Body dissatisfaction from Body-Esteem Scale (Likert 1-5)</w:t>
            </w:r>
          </w:p>
        </w:tc>
        <w:tc>
          <w:tcPr>
            <w:tcW w:w="709" w:type="dxa"/>
            <w:vAlign w:val="center"/>
          </w:tcPr>
          <w:p w14:paraId="4F91CF63" w14:textId="0E36F1C6"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3</w:t>
            </w:r>
          </w:p>
        </w:tc>
        <w:tc>
          <w:tcPr>
            <w:tcW w:w="708" w:type="dxa"/>
            <w:vAlign w:val="center"/>
          </w:tcPr>
          <w:p w14:paraId="480640F6" w14:textId="69B4A97F"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r w:rsidR="007B5D58" w:rsidRPr="00B514A7" w14:paraId="0B5BB3DA" w14:textId="32F6EFF0" w:rsidTr="00020D5E">
        <w:trPr>
          <w:trHeight w:val="300"/>
        </w:trPr>
        <w:tc>
          <w:tcPr>
            <w:tcW w:w="440" w:type="dxa"/>
            <w:shd w:val="clear" w:color="auto" w:fill="F2F2F2" w:themeFill="background1" w:themeFillShade="F2"/>
            <w:noWrap/>
          </w:tcPr>
          <w:p w14:paraId="0281562D" w14:textId="66FED122" w:rsidR="007B5D58" w:rsidRDefault="007B5D58" w:rsidP="007B5D58">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80</w:t>
            </w:r>
          </w:p>
        </w:tc>
        <w:tc>
          <w:tcPr>
            <w:tcW w:w="1256" w:type="dxa"/>
            <w:shd w:val="clear" w:color="auto" w:fill="F2F2F2" w:themeFill="background1" w:themeFillShade="F2"/>
            <w:noWrap/>
            <w:vAlign w:val="center"/>
          </w:tcPr>
          <w:p w14:paraId="36D3ACAD" w14:textId="54E2CFC8"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proofErr w:type="spellStart"/>
            <w:r w:rsidRPr="00020D5E">
              <w:rPr>
                <w:rFonts w:asciiTheme="majorHAnsi" w:hAnsiTheme="majorHAnsi" w:cstheme="majorHAnsi"/>
                <w:color w:val="000000"/>
                <w:sz w:val="18"/>
                <w:szCs w:val="18"/>
              </w:rPr>
              <w:t>Zeeni</w:t>
            </w:r>
            <w:proofErr w:type="spellEnd"/>
          </w:p>
        </w:tc>
        <w:tc>
          <w:tcPr>
            <w:tcW w:w="709" w:type="dxa"/>
            <w:vAlign w:val="center"/>
          </w:tcPr>
          <w:p w14:paraId="719448C1" w14:textId="1C4A00A1"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2018</w:t>
            </w:r>
          </w:p>
        </w:tc>
        <w:tc>
          <w:tcPr>
            <w:tcW w:w="1418" w:type="dxa"/>
            <w:vAlign w:val="center"/>
          </w:tcPr>
          <w:p w14:paraId="60B81823" w14:textId="5E06D337" w:rsidR="007B5D58" w:rsidRPr="00020D5E" w:rsidRDefault="007B5D58" w:rsidP="00020D5E">
            <w:pPr>
              <w:spacing w:line="240" w:lineRule="auto"/>
              <w:jc w:val="center"/>
              <w:rPr>
                <w:rFonts w:asciiTheme="majorHAnsi" w:eastAsia="Times New Roman" w:hAnsiTheme="majorHAnsi" w:cstheme="majorHAnsi"/>
                <w:i/>
                <w:iCs/>
                <w:color w:val="000000"/>
                <w:sz w:val="18"/>
                <w:szCs w:val="18"/>
                <w:lang w:eastAsia="en-GB"/>
              </w:rPr>
            </w:pPr>
            <w:r w:rsidRPr="00020D5E">
              <w:rPr>
                <w:rFonts w:asciiTheme="majorHAnsi" w:hAnsiTheme="majorHAnsi" w:cstheme="majorHAnsi"/>
                <w:i/>
                <w:iCs/>
                <w:color w:val="000000"/>
                <w:sz w:val="18"/>
                <w:szCs w:val="18"/>
              </w:rPr>
              <w:t xml:space="preserve">Worldviews Evid Based </w:t>
            </w:r>
            <w:proofErr w:type="spellStart"/>
            <w:r w:rsidRPr="00020D5E">
              <w:rPr>
                <w:rFonts w:asciiTheme="majorHAnsi" w:hAnsiTheme="majorHAnsi" w:cstheme="majorHAnsi"/>
                <w:i/>
                <w:iCs/>
                <w:color w:val="000000"/>
                <w:sz w:val="18"/>
                <w:szCs w:val="18"/>
              </w:rPr>
              <w:t>Nurs</w:t>
            </w:r>
            <w:proofErr w:type="spellEnd"/>
          </w:p>
        </w:tc>
        <w:tc>
          <w:tcPr>
            <w:tcW w:w="708" w:type="dxa"/>
            <w:noWrap/>
            <w:vAlign w:val="center"/>
          </w:tcPr>
          <w:p w14:paraId="1182D2A8" w14:textId="4DCD0EF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244</w:t>
            </w:r>
          </w:p>
        </w:tc>
        <w:tc>
          <w:tcPr>
            <w:tcW w:w="851" w:type="dxa"/>
            <w:noWrap/>
            <w:vAlign w:val="center"/>
          </w:tcPr>
          <w:p w14:paraId="62D825A3" w14:textId="4EC3D047"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18.1</w:t>
            </w:r>
          </w:p>
        </w:tc>
        <w:tc>
          <w:tcPr>
            <w:tcW w:w="850" w:type="dxa"/>
            <w:noWrap/>
            <w:vAlign w:val="center"/>
          </w:tcPr>
          <w:p w14:paraId="1928B74F" w14:textId="491A16A0"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64%</w:t>
            </w:r>
          </w:p>
        </w:tc>
        <w:tc>
          <w:tcPr>
            <w:tcW w:w="1276" w:type="dxa"/>
            <w:noWrap/>
            <w:vAlign w:val="center"/>
          </w:tcPr>
          <w:p w14:paraId="4A0D040D" w14:textId="08E2C202"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Lebanon</w:t>
            </w:r>
          </w:p>
        </w:tc>
        <w:tc>
          <w:tcPr>
            <w:tcW w:w="1276" w:type="dxa"/>
            <w:noWrap/>
            <w:vAlign w:val="center"/>
          </w:tcPr>
          <w:p w14:paraId="706142F5" w14:textId="586275D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sz w:val="18"/>
                <w:szCs w:val="18"/>
              </w:rPr>
              <w:t>Cross-sectional</w:t>
            </w:r>
          </w:p>
        </w:tc>
        <w:tc>
          <w:tcPr>
            <w:tcW w:w="1984" w:type="dxa"/>
            <w:noWrap/>
            <w:vAlign w:val="center"/>
          </w:tcPr>
          <w:p w14:paraId="5E52A1D8" w14:textId="3995621B"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Media and technology usage</w:t>
            </w:r>
            <w:r w:rsidRPr="00020D5E">
              <w:rPr>
                <w:rFonts w:asciiTheme="majorHAnsi" w:hAnsiTheme="majorHAnsi" w:cstheme="majorHAnsi"/>
                <w:color w:val="000000"/>
                <w:sz w:val="18"/>
                <w:szCs w:val="18"/>
              </w:rPr>
              <w:br/>
              <w:t>MTUAS (Rosen et al., 2013)</w:t>
            </w:r>
          </w:p>
        </w:tc>
        <w:tc>
          <w:tcPr>
            <w:tcW w:w="1134" w:type="dxa"/>
            <w:noWrap/>
            <w:vAlign w:val="center"/>
          </w:tcPr>
          <w:p w14:paraId="2317CA97" w14:textId="2BD0D985"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eastAsia="Times New Roman" w:hAnsiTheme="majorHAnsi" w:cstheme="majorHAnsi"/>
                <w:color w:val="000000"/>
                <w:sz w:val="18"/>
                <w:szCs w:val="18"/>
                <w:lang w:eastAsia="en-GB"/>
              </w:rPr>
              <w:t>PUI</w:t>
            </w:r>
          </w:p>
        </w:tc>
        <w:tc>
          <w:tcPr>
            <w:tcW w:w="1985" w:type="dxa"/>
            <w:vAlign w:val="center"/>
          </w:tcPr>
          <w:p w14:paraId="7E85A2FE" w14:textId="71591936" w:rsidR="007B5D58" w:rsidRPr="00020D5E" w:rsidRDefault="007B5D58" w:rsidP="00020D5E">
            <w:pPr>
              <w:spacing w:line="240" w:lineRule="auto"/>
              <w:jc w:val="center"/>
              <w:rPr>
                <w:rFonts w:asciiTheme="majorHAnsi" w:eastAsia="Times New Roman" w:hAnsiTheme="majorHAnsi" w:cstheme="majorHAnsi"/>
                <w:color w:val="000000"/>
                <w:sz w:val="18"/>
                <w:szCs w:val="18"/>
                <w:lang w:eastAsia="en-GB"/>
              </w:rPr>
            </w:pPr>
            <w:r w:rsidRPr="00020D5E">
              <w:rPr>
                <w:rFonts w:asciiTheme="majorHAnsi" w:hAnsiTheme="majorHAnsi" w:cstheme="majorHAnsi"/>
                <w:color w:val="000000"/>
                <w:sz w:val="18"/>
                <w:szCs w:val="18"/>
              </w:rPr>
              <w:t>SCOFF and BID was measured through the Body Shape Questionnaire (BSQ-8c) shortened form (Evans &amp; Dolan, 1993).</w:t>
            </w:r>
          </w:p>
        </w:tc>
        <w:tc>
          <w:tcPr>
            <w:tcW w:w="709" w:type="dxa"/>
            <w:vAlign w:val="center"/>
          </w:tcPr>
          <w:p w14:paraId="20D626C2" w14:textId="6CE5F399"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8</w:t>
            </w:r>
          </w:p>
        </w:tc>
        <w:tc>
          <w:tcPr>
            <w:tcW w:w="708" w:type="dxa"/>
            <w:vAlign w:val="center"/>
          </w:tcPr>
          <w:p w14:paraId="465FAA78" w14:textId="52D758BC" w:rsidR="007B5D58" w:rsidRPr="00020D5E" w:rsidRDefault="007B5D58" w:rsidP="00020D5E">
            <w:pPr>
              <w:spacing w:line="240" w:lineRule="auto"/>
              <w:jc w:val="center"/>
              <w:rPr>
                <w:rFonts w:asciiTheme="majorHAnsi" w:hAnsiTheme="majorHAnsi" w:cstheme="majorHAnsi"/>
                <w:color w:val="000000"/>
                <w:sz w:val="18"/>
                <w:szCs w:val="18"/>
              </w:rPr>
            </w:pPr>
            <w:r w:rsidRPr="00020D5E">
              <w:rPr>
                <w:rFonts w:asciiTheme="majorHAnsi" w:hAnsiTheme="majorHAnsi" w:cstheme="majorHAnsi"/>
                <w:color w:val="000000"/>
                <w:sz w:val="18"/>
                <w:szCs w:val="18"/>
              </w:rPr>
              <w:t>W</w:t>
            </w:r>
          </w:p>
        </w:tc>
      </w:tr>
    </w:tbl>
    <w:p w14:paraId="4619E68A" w14:textId="77777777" w:rsidR="00FE07DA" w:rsidRDefault="00FE07DA"/>
    <w:p w14:paraId="4CA69F16" w14:textId="77777777" w:rsidR="004078D3" w:rsidRDefault="00143CCA" w:rsidP="004078D3">
      <w:pPr>
        <w:pStyle w:val="Heading3"/>
      </w:pPr>
      <w:bookmarkStart w:id="2" w:name="_Toc65760830"/>
      <w:r w:rsidRPr="00143CCA">
        <w:t>Legend</w:t>
      </w:r>
      <w:r w:rsidR="004078D3">
        <w:t xml:space="preserve"> Table S1</w:t>
      </w:r>
      <w:bookmarkEnd w:id="2"/>
    </w:p>
    <w:p w14:paraId="6AAE057C" w14:textId="3B818F04" w:rsidR="00143CCA" w:rsidRDefault="00143CCA">
      <w:r>
        <w:t xml:space="preserve">Full list of studies are presented here in </w:t>
      </w:r>
      <w:r w:rsidRPr="006D6F15">
        <w:rPr>
          <w:b/>
        </w:rPr>
        <w:t>Table</w:t>
      </w:r>
      <w:r w:rsidR="004078D3">
        <w:rPr>
          <w:b/>
        </w:rPr>
        <w:t xml:space="preserve"> S1</w:t>
      </w:r>
      <w:r w:rsidR="00B47FC2">
        <w:rPr>
          <w:b/>
        </w:rPr>
        <w:t xml:space="preserve"> </w:t>
      </w:r>
      <w:r w:rsidR="00B47FC2">
        <w:rPr>
          <w:b/>
        </w:rPr>
        <w:fldChar w:fldCharType="begin" w:fldLock="1"/>
      </w:r>
      <w:r w:rsidR="00F61831">
        <w:rPr>
          <w:b/>
        </w:rPr>
        <w:instrText>ADDIN CSL_CITATION {"citationItems":[{"id":"ITEM-1","itemData":{"DOI":"10.1016/j.chb.2016.11.011","ISSN":"07475632","abstract":"This study investigated the direct effect of Instagram usage on body satisfaction, whether this effect is mediated by appearance self-schema and self-discrepancy, and whether self-esteem moderates this effect. A total of 273 university students using Instagram were conveniently recruited to do the online survey on demographic characteristics, Instagram usage, self-schema, self-discrepancy, body satisfaction and self-esteem. Partial Least Squares Structural Equation Modeling was used to test the research hypotheses. As predicted, the results revealed that appearance self-schema and self-discrepancy mediated the effect of Instagram usage on body satisfaction. Moreover, this mediation effect varied depending on the Instagram users' self-esteem level, such that the negative effect of Instagram usage on body satisfaction through self-schema and self-discrepancy became stronger for those with a lower level of self-esteem.","author":[{"dropping-particle":"","family":"Ahadzadeh","given":"Ashraf Sadat","non-dropping-particle":"","parse-names":false,"suffix":""},{"dropping-particle":"","family":"Pahlevan Sharif","given":"Saeed","non-dropping-particle":"","parse-names":false,"suffix":""},{"dropping-particle":"","family":"Ong","given":"Fon Sim","non-dropping-particle":"","parse-names":false,"suffix":""}],"container-title":"Computers in Human Behavior","id":"ITEM-1","issued":{"date-parts":[["2017","3","1"]]},"page":"8-16","publisher":"Elsevier Ltd","title":"Self-schema and self-discrepancy mediate the influence of Instagram usage on body image satisfaction among youth","type":"article-journal","volume":"68"},"uris":["http://www.mendeley.com/documents/?uuid=cabba27d-b0d1-37a5-9fdc-e384844c769b"]},{"id":"ITEM-2","itemData":{"DOI":"10.2196/10189","ISSN":"1438-8871","PMID":"30946018","abstract":"BACKGROUND Nutrition, diet, and fitness are among the most searched health topics by internet users. Besides that, health-related internet users are diverse in their motivations and individual characteristics. However, little is known about the individual characteristics associated with the usage of nutrition, weight loss, and fitness websites. OBJECTIVE The aim of this study was to examine the individual factors associated with the usage of nutrition, weight loss, and fitness websites. METHODS An invitation to an online survey was published on 65 websites and discussion forums. In total, we employed data from 623 participants (aged 13 to 39 years, mean 24.11 [SD 5.26]). The measures included frequency of usage of nutrition, weight loss and fitness websites, excessive exercise, eating disorder symptomatology, internalization of the beauty ideal, weight status, and perceived online social support. Participants' data were used as predictors in a base linear regression model. RESULTS The final model had an acceptable fit (χ210 =14.1; P=.17; root mean square error of approximation=0.03; comparative fit index=0.99; Tucker-Lewis index=0.99). Positive associations were found between usage of (1) nutrition websites and being female, higher levels of excessive exercise, and perceived online social support; (2) weight loss websites and excessive exercise, internalization, being female, eating disorder symptomatology, and being overweight or obese; and (3) fitness websites and levels of excessive exercise, internalization, and frequency of internet use. CONCLUSIONS The results highlighted the importance of individual differences in the usage of health-related websites.","author":[{"dropping-particle":"","family":"Almenara","given":"Carlos A","non-dropping-particle":"","parse-names":false,"suffix":""},{"dropping-particle":"","family":"Machackova","given":"Hana","non-dropping-particle":"","parse-names":false,"suffix":""},{"dropping-particle":"","family":"Smahel","given":"David","non-dropping-particle":"","parse-names":false,"suffix":""}],"container-title":"Journal of medical Internet research","id":"ITEM-2","issue":"4","issued":{"date-parts":[["2019","4","4"]]},"page":"e10189","publisher":"Journal of Medical Internet Research","title":"Sociodemographic, Attitudinal, and Behavioral Correlates of Using Nutrition, Weight Loss, and Fitness Websites: An Online Survey.","type":"article-journal","volume":"21"},"uris":["http://www.mendeley.com/documents/?uuid=5fa6eed6-eadf-3773-8253-bce70a870394"]},{"id":"ITEM-3","itemData":{"DOI":"10.1007/s40519-015-0197-9","ISSN":"15901262","abstract":"Purpose: The aim of the present study is to investigate the prevalence of disordered eating attitudes (DEAs) and internet addiction (IA) among a non-clinical sample of adolescents and to investigate the relationship between IA, DEAs, and selected socio-demographic characteristics. Methods: A total of 584 adolescents (34.8 % n = 203 males and 65.2 % n = 381 females) completed three instruments: the Eating Attitude Test-26 (EAT-26), the Internet Addiction Test (IAT), and a socio-demographic questionnaire. Results: It was found that 15.2 % (n = 89) of the participants have DEAs, and IA was detected in 10.1 % (n = 59) of the participants. There was a statistically significant difference between the IA and non-IA groups in terms of body mass index (χ2 = 10.31, p &lt; 0.01). We found a significant positive correlation between the IAT and EAT-26 scores (r = 0.34, p &lt; 0.01). The presence of DEAs, male gender, and high BMI were found to be the strongest predictor variables of IA. Conclusions: IA and DEAs are relatively frequent phenomena among young students in Turkey. Future studies should attempt to determine the predictive factors by identifying the causal relations between IA and DEAs.","author":[{"dropping-particle":"","family":"Alpaslan","given":"Ahmet Hamdi","non-dropping-particle":"","parse-names":false,"suffix":""},{"dropping-particle":"","family":"Koçak","given":"Uğur","non-dropping-particle":"","parse-names":false,"suffix":""},{"dropping-particle":"","family":"Avci","given":"Kadriye","non-dropping-particle":"","parse-names":false,"suffix":""},{"dropping-particle":"","family":"Uzel Taş","given":"Hanife","non-dropping-particle":"","parse-names":false,"suffix":""}],"container-title":"Eating and Weight Disorders","id":"ITEM-3","issue":"4","issued":{"date-parts":[["2015","12","1"]]},"page":"441-448","publisher":"Springer International Publishing","title":"The association between internet addiction and disordered eating attitudes among Turkish high school students","type":"article-journal","volume":"20"},"uris":["http://www.mendeley.com/documents/?uuid=ea05b2ab-9c49-3c26-b3ee-6d35985841f6"]},{"id":"ITEM-4","itemData":{"DOI":"10.3390/ijerph16214177","ISSN":"1660-4601","abstract":"&lt;p&gt;Disordered eating attitudes are rapidly increasing, especially among young women in their twenties. These disordered behaviours result from the interaction of several factors, including beauty ideals. A significant factor is social media, by which the unrealistic beauty ideals are popularized and may lead to these behaviours. The objectives of this study were, first, to determine the relationship between disordered eating behaviours among female university students and sociocultural factors, such as the use of social network sites, beauty ideals, body satisfaction, body image and the body image desired to achieve and, second, to determine whether there is a sensitive relationship between disordered eating attitudes, addiction to social networks, and testosterone levels as a biological factor. The data (N = 168) was obtained using validated surveys (EAT-26, BSQ, CIPE-a, SNSA) and indirect measures of prenatal testosterone. The data was analysed using chi-square, Student’s t-test, correlation tests and logistic regression tests. The results showed that disordered eating attitudes were linked to self-esteem (p &amp;lt; 0.001), body image (p &amp;lt; 0.001), body desired to achieve (p &amp;lt; 0.001), the use of social media (p &amp;lt; 0.001) and prenatal testosterone (p &amp;lt; 0.01). The findings presented in this study suggest a relationship between body image, body concerns, body dissatisfaction, and disordered eating attitudes among college women.&lt;/p&gt;","author":[{"dropping-particle":"","family":"Aparicio-Martinez","given":"","non-dropping-particle":"","parse-names":false,"suffix":""},{"dropping-particle":"","family":"Perea-Moreno","given":"","non-dropping-particle":"","parse-names":false,"suffix":""},{"dropping-particle":"","family":"Martinez-Jimenez","given":"","non-dropping-particle":"","parse-names":false,"suffix":""},{"dropping-particle":"","family":"Redel-Macías","given":"","non-dropping-particle":"","parse-names":false,"suffix":""},{"dropping-particle":"","family":"Pagliari","given":"","non-dropping-particle":"","parse-names":false,"suffix":""},{"dropping-particle":"","family":"Vaquero-Abellan","given":"","non-dropping-particle":"","parse-names":false,"suffix":""}],"container-title":"International Journal of Environmental Research and Public Health","id":"ITEM-4","issue":"21","issued":{"date-parts":[["2019","10","29"]]},"page":"4177","publisher":"MDPI AG","title":"Social Media, Thin-Ideal, Body Dissatisfaction and Disordered Eating Attitudes: An Exploratory Analysis","type":"article-journal","volume":"16"},"uris":["http://www.mendeley.com/documents/?uuid=7d2fbb40-724f-3108-840e-c2a008413782"]},{"id":"ITEM-5","itemData":{"DOI":"10.1016/j.eatbeh.2012.06.003","ISSN":"14710153","abstract":"Research has identified a relation between exposure to thin-ideal magazine and television media images and eating disorder pathology. However, few studies have examined the potential influence of Internet media on eating disorder behaviors and attitudes. This study investigated associations among image-focused media exposure, body dissatisfaction, eating pathology and thin-ideal internalization in a sample of 421 female undergraduates. Undergraduate women spent significantly more time viewing online appearance-oriented media, rather than reading image-focused magazines. Appearance-oriented Internet and television use were associated with eating pathology. Moreover, the association between image-focused Internet use and BD was mediated by thin-ideal internalization. These findings are consistent with those of previous research, and highlight the vulnerability individuals high in thin-ideal internalization might have to media exposure. They also suggest that Internet media use is an important topic to attend to in eating disorders prevention and treatment. © 2012 Elsevier Ltd.","author":[{"dropping-particle":"","family":"Bair","given":"Carrie E.","non-dropping-particle":"","parse-names":false,"suffix":""},{"dropping-particle":"","family":"Kelly","given":"Nichole R.","non-dropping-particle":"","parse-names":false,"suffix":""},{"dropping-particle":"","family":"Serdar","given":"Kasey L.","non-dropping-particle":"","parse-names":false,"suffix":""},{"dropping-particle":"","family":"Mazzeo","given":"Suzanne E.","non-dropping-particle":"","parse-names":false,"suffix":""}],"container-title":"Eating Behaviors","id":"ITEM-5","issue":"4","issued":{"date-parts":[["2012","12"]]},"page":"398-401","publisher":"Eat Behav","title":"Does the Internet function like magazines? An exploration of image-focused media, eating pathology, and body dissatisfaction","type":"article-journal","volume":"13"},"uris":["http://www.mendeley.com/documents/?uuid=7713022d-3c52-3e72-93b8-dc1debbb4a15"]},{"id":"ITEM-6","itemData":{"DOI":"10.1080/07448481.2019.1583236","ISSN":"19403208","abstract":"Objective: To assess the effects of social media consumption on body dissatisfaction and negative affect using ecological momentary assessment, a method of assessment over time in the participants’ naturalistic environment. Participants: Woman college students (N = 30) from a large public university participated in the study in Fall 2015. Methods: Participants were contacted via their smartphones five times per day for five days and asked to complete a battery of measures which assessed social media use, body dissatisfaction, and negative affect. Results: Results demonstrated that the number of social media sites visited was a significant predictor of body dissatisfaction while time spent using social media was not. The number of sites visited and time spent on social media were both significant predictors of general negative affect, sadness, and guilt. Conclusions: Results demonstrate the negative impact that social media use can have on body dissatisfaction and negative affect.","author":[{"dropping-particle":"","family":"Bennett","given":"Brooke L.","non-dropping-particle":"","parse-names":false,"suffix":""},{"dropping-particle":"","family":"Whisenhunt","given":"Brooke L.","non-dropping-particle":"","parse-names":false,"suffix":""},{"dropping-particle":"","family":"Hudson","given":"Danae L.","non-dropping-particle":"","parse-names":false,"suffix":""},{"dropping-particle":"","family":"Wagner","given":"Allison F.","non-dropping-particle":"","parse-names":false,"suffix":""},{"dropping-particle":"","family":"Latner","given":"Janet D.","non-dropping-particle":"","parse-names":false,"suffix":""},{"dropping-particle":"","family":"Stefano","given":"Emily C.","non-dropping-particle":"","parse-names":false,"suffix":""},{"dropping-particle":"","family":"Beauchamp","given":"Marshall T.","non-dropping-particle":"","parse-names":false,"suffix":""}],"container-title":"Journal of American College Health","id":"ITEM-6","issued":{"date-parts":[["2019"]]},"publisher":"Routledge","title":"Examining the impact of social media on mood and body dissatisfaction using ecological momentary assessment","type":"article-journal"},"uris":["http://www.mendeley.com/documents/?uuid=d080c9fe-b020-39f2-8159-dc31219ead26"]},{"id":"ITEM-7","itemData":{"DOI":"10.1016/j.bodyim.2016.08.007","ISSN":"17401445","abstract":"A large body of research has documented that exposure to images of thin fashion models contributes to women's body dissatisfaction. The present study aimed to experimentally investigate the impact of attractive celebrity and peer images on women's body image. Participants were 138 female undergraduate students who were randomly assigned to view either a set of celebrity images, a set of equally attractive unknown peer images, or a control set of travel images. All images were sourced from public Instagram profiles. Results showed that exposure to celebrity and peer images increased negative mood and body dissatisfaction relative to travel images, with no significant difference between celebrity and peer images. This effect was mediated by state appearance comparison. In addition, celebrity worship moderated an increased effect of celebrity images on body dissatisfaction. It was concluded that exposure to attractive celebrity and peer images can be detrimental to women's body image.","author":[{"dropping-particle":"","family":"Brown","given":"Zoe","non-dropping-particle":"","parse-names":false,"suffix":""},{"dropping-particle":"","family":"Tiggemann","given":"Marika","non-dropping-particle":"","parse-names":false,"suffix":""}],"container-title":"Body Image","id":"ITEM-7","issued":{"date-parts":[["2016","12","1"]]},"page":"37-43","publisher":"Elsevier Ltd","title":"Attractive celebrity and peer images on Instagram: Effect on women's mood and body image","type":"article-journal","volume":"19"},"uris":["http://www.mendeley.com/documents/?uuid=a7347585-fd2e-38f5-939e-43dd8b414775"]},{"id":"ITEM-8","itemData":{"DOI":"10.1007/s11199-018-0993-6","ISSN":"15732762","abstract":"Selfies are self-taken self-portrait photographs captured with mobile phones, and they are among the most common forms of self-expression on the photo-based social network Instagram. Selfies display their subject’s face or body to social media followers and friends, making them particularly appearance-oriented images. As with other social networks such as Facebook and Twitter, Instagram posts garner feedback in the form of “likes” and comments from online audiences. When applied to selfies, such feedback can be interpreted as aggregated evaluations of their subject’s physical appearance. We employ objectification theory to explore how value placed on selfie feedback among young women relates to markers of body image disturbance, including body dissatisfaction, drive for thinness, and bulimia action tendencies. We conducted an online survey of 177 English-speaking young adult (18–30 years-old) female Instagram users who were recruited through MTurk and who post selfies to examine the relationship between investment in selfie feedback and body image disturbance. We found that women who reported higher investment in selfie feedback were more likely to express body dissatisfaction and drive for thinness through the indirect influence of body surveillance, but this effect did not extend to bulimic tendencies. Our findings suggest that young adult female Instagram users who value audience responses to their selfies are more likely to exhibit disordered eating attitudes and intentions.","author":[{"dropping-particle":"","family":"Butkowski","given":"Chelsea P.","non-dropping-particle":"","parse-names":false,"suffix":""},{"dropping-particle":"","family":"Dixon","given":"Travis L.","non-dropping-particle":"","parse-names":false,"suffix":""},{"dropping-particle":"","family":"Weeks","given":"Kristopher","non-dropping-particle":"","parse-names":false,"suffix":""}],"container-title":"Sex Roles","id":"ITEM-8","issue":"5-6","issued":{"date-parts":[["2019","9","1"]]},"page":"385-397","publisher":"Springer New York LLC","title":"Body Surveillance on Instagram: Examining the Role of Selfie Feedback Investment in Young Adult Women’s Body Image Concerns","type":"article-journal","volume":"81"},"uris":["http://www.mendeley.com/documents/?uuid=8f7a3e08-5400-3f58-b3d0-d9562339d185"]},{"id":"ITEM-9","itemData":{"DOI":"10.1089/cyber.2012.0733","author":[{"dropping-particle":"","family":"Canan","given":"Fatih","non-dropping-particle":"","parse-names":false,"suffix":""},{"dropping-particle":"","family":"Yildirim","given":"Osman","non-dropping-particle":"","parse-names":false,"suffix":""},{"dropping-particle":"","family":"Ustunel","given":"Tuba Yildirim","non-dropping-particle":"","parse-names":false,"suffix":""},{"dropping-particle":"","family":"Sinani","given":"Gjergji","non-dropping-particle":"","parse-names":false,"suffix":""},{"dropping-particle":"","family":"Kaleli","given":"Arzu Hisarvant","non-dropping-particle":"","parse-names":false,"suffix":""},{"dropping-particle":"","family":"Gunes","given":"Cemalettin","non-dropping-particle":"","parse-names":false,"suffix":""},{"dropping-particle":"","family":"Ataoglu","given":"Ahmet","non-dropping-particle":"","parse-names":false,"suffix":""}],"id":"ITEM-9","issue":"1","issued":{"date-parts":[["2014"]]},"page":"40-45","title":"The Relationship Between Internet Addiction and Body Mass Index in Turkish Adolescents 1","type":"article-journal","volume":"17"},"uris":["http://www.mendeley.com/documents/?uuid=670dc6a9-8554-4ff5-a555-492ff48e55e7"]},{"id":"ITEM-10","itemData":{"DOI":"10.30554/archmed.16.2.1735.2016","ISSN":"1657-320X","abstract":"Objetivo: la red internet es una de las herramientas más usadas por las personas, tanto que ha llegado incluso a presentarse uso problemático de este y por lo tanto a la aparición de problemas relacionados con su ocupación sin control. Se pretende estudiar el uso de Internet en estudiantes universitarios de 5 universidades del departamento de Caldas (Colombia), y su relación con factores personales que pueden verse afectados por este. Materiales y métodos: se tomó una población de 640 estudiantes de 5 universidades. Se realizaron encuestas aplicando varios instrumentos para medir las variables demográficas, funcionalidad familiar, trastornos de alimentación y sueño, déficit de atención e hiperactividad, ansiedad y depresión y su relación con la existencia de adicción a internet. Resultados: el 77,3% de los estudiantes participantes presentan algún grado de adicción a internet, el celular es el de mayor empleo con 65,6% para acceder, el principal motivo fueron las redes sociales 76,4%.  Se encontró que la adicción a internet está relacionada con las siguientes variables somnolencia (p=0,000), trastornos de la conducta alimentaria (p=0,012), depresión (p=0,000), estrés de examen (p=0,000), funcionalidad familiar (0,000), promedio de notas (p=0,001), género (0,000), diversos síntomas como molestias en los dedos (p=0,000), molestias en el codo (p=0,000) y otros, hiperactividad (p=0,000) e inatención (p=0,000). Conclusiones: similar a lo que sucede en otras poblaciones de estudiantes, en esta se presenta una alta proporción de adicción a internet, la cual está relacionada con múltiples aspectos de la vida cotidiana del estudiante.","author":[{"dropping-particle":"","family":"Cañon Buitrago","given":"Sandra Constanza","non-dropping-particle":"","parse-names":false,"suffix":""},{"dropping-particle":"","family":"Castaño Castrillón","given":"José Jaime","non-dropping-particle":"","parse-names":false,"suffix":""},{"dropping-particle":"","family":"Hoyos Monroy","given":"Deissy Carolina","non-dropping-particle":"","parse-names":false,"suffix":""},{"dropping-particle":"","family":"Jaramillo Hernández","given":"Juan Camilo","non-dropping-particle":"","parse-names":false,"suffix":""},{"dropping-particle":"","family":"Leal Ríos","given":"Daniel Roberto","non-dropping-particle":"","parse-names":false,"suffix":""},{"dropping-particle":"","family":"Rincón Viveros","given":"Resban","non-dropping-particle":"","parse-names":false,"suffix":""},{"dropping-particle":"","family":"Sánchez Preciado","given":"Edinson Andrés","non-dropping-particle":"","parse-names":false,"suffix":""},{"dropping-particle":"","family":"Urueña Calderón","given":"Linda Stephany","non-dropping-particle":"","parse-names":false,"suffix":""}],"container-title":"Archivos de Medicina (Manizales)","id":"ITEM-10","issue":"2","issued":{"date-parts":[["2016","12","31"]]},"page":"312-325","publisher":"Universidad de Manizales","title":"Uso de internet y su relación con la salud en estudiantes universitarios de la ciudad de Manizales (Caldas-Colombia), 2015-2016","type":"article-journal","volume":"16"},"uris":["http://www.mendeley.com/documents/?uuid=5ca946f3-cbb7-3b0e-a838-7e634e140fd9"]},{"id":"ITEM-11","itemData":{"DOI":"10.2196/jmir.4803","ISSN":"1438-8871","PMID":"26297689","abstract":"BACKGROUND Adolescence and young adulthood are key periods for developing norms related to health behaviors and body image, and social media can influence these norms. Social media is saturated with content related to dieting, fitness, and health. Health and fitness-related social media content has received significant media attention for often containing objectifying and inaccurate health messages. Limited research has identified problematic features of such content, including stigmatizing language around weight, portraying guilt-related messages regarding food, and praising thinness. However, no research has identified who is \"liking\" or \"following\" (ie, consuming) such content. OBJECTIVE This exploratory study aimed to identify demographics, mental health, and substance use-related behaviors that predicted consuming 3 types of health and fitness-related social media content-weight loss/fitness motivation pages (ie, \"fitspiration\"), detox/cleanse pages, and diet/fitness plan pages-among young social media users. METHODS Participants (N=1001; age: median 21.06, IQR 17.64-24.64; female: 723/1001, 72.23%) completed a cross-sectional 112-question online survey aimed at social media users aged between 15-29 years residing in Victoria, Australia. Logistic regression was used to determine which characteristics predicted consuming the 3 types of health and fitness-related social media content. RESULTS A total of 378 (37.76%) participants reported consuming at least 1 of the 3 types of health and fitness-related social media content: 308 (30.77%) fitspiration pages, 145 (14.49%) detox pages, and 235 (23.48%) diet/fitness plan pages. Of the health and fitness-related social media content consumers, 85.7% (324/378) identified as female and 44.8% (324/723) of all female participants consumed at least 1 type of health and fitness-related social media content. Predictors of consuming at least one type of health and fitness-related social media content in univariable analysis included female gender (OR 3.5, 95% CI 2.5-4.9, P&lt;.001), being aged 15-17 years (OR 3.0, 95% CI 2.2-4.0, P&lt;.001), residing outside a major city (OR 2.0, 95% CI 1.4-2.9, P&lt;.001), having no post-high school education (OR 2.2, 95% CI 1.7-2.9, P&lt;.001), being born in Australia (OR 2.0, 95% CI 1.2-3.2, P=.006), having a self-reported eating disorder (OR 2.4, 95% CI 1.5-3.9, P&lt;.001), being a victim of bullying (OR 1.7, CI 1.3-2.3, P&lt;.001), misusing detox/laxative teas or diet pills (OR 4.6, 95% CI 2.8…","author":[{"dropping-particle":"","family":"Carrotte","given":"Elise R","non-dropping-particle":"","parse-names":false,"suffix":""},{"dropping-particle":"","family":"Vella","given":"Alyce M","non-dropping-particle":"","parse-names":false,"suffix":""},{"dropping-particle":"","family":"Lim","given":"Megan S C","non-dropping-particle":"","parse-names":false,"suffix":""}],"container-title":"Journal of medical Internet research","id":"ITEM-11","issue":"8","issued":{"date-parts":[["2015","8","21"]]},"page":"e205","publisher":"Journal of Medical Internet Research","title":"Predictors of \"Liking\" Three Types of Health and Fitness-Related Content on Social Media: A Cross-Sectional Study.","type":"article-journal","volume":"17"},"uris":["http://www.mendeley.com/documents/?uuid=84edb63d-2bb7-388a-8ae6-458a1c59f265"]},{"id":"ITEM-12","itemData":{"DOI":"10.2196/jmir.5636","ISSN":"14388871","PMID":"28183688","abstract":"Background: Recent research suggests Internet exposure, including Facebook use, is positively correlated with body dissatisfaction, especially among girls and young women. Canada has one of the highest Internet access rates in the world, yet no previous study has examined this relationship using nationally representative data. Objective: Our objective was to evaluate the relationship between Internet use and body dissatisfaction among a national, population-based sample of Canadian females 12-29 years of age. Methods: We used cross-sectional data from the Canadian Community Health Survey 2011-2012. Body dissatisfaction was measured using a 5-point Likert scale and defined as \"very dissatisfied/dissatisfied\" with one's body. The explanatory variable was time spent using the Internet per week in the past 3 months, ranging from none/&lt;1 hour to &gt;20 hours. We used multinomial logistic regression to investigate whether greater Internet use was associated with increasing odds of being very dissatisfied/dissatisfied, neutral, or satisfied with one's body, using very satisfied as the referent. Probability survey sampling weights were applied to all analyses. Results: Of 2983 included participants, sampled to represent 940,786 young Canadian females, most were 20-29 years old (61.98%) and living in households with an annual income Can $80,000 or more (44.61%). The prevalence of body dissatisfaction was 14.70%, and 25- to 29-year-olds were more likely than 12- to 14-year-olds to be very dissatisfied or dissatisfied with their body (20.76% vs 6.34%). Few (5.01%) reported none/&lt;1 hour of Internet use, over half (56.93%) reported 1-10 hours, and one-fifth (19.52%) reported spending &gt;20 hours online per week. Adjusting for age and income, the odds of being very dissatisfied/dissatisfied, relative to very satisfied, were greater in the highest versus lowest Internet use group (adjusted odds ratio [AOR] 3.03, 95% CI 1.19-7.70). The AORs for this level of body dissatisfaction increased across increasing levels of Internet use, ranging from 0.88 (95% CI 0.35-2.21) to 3.03 (95% CI 1.19-7.70). Additionally, those who spent 11-14 hours online were more likely to be neutral (AOR 3.66, 95% CI 1.17-11.45) and those who spent 15-20 hours online were more likely to be neutral (AOR 4.36, 95% CI 1.18-16.13) or satisfied (AOR 2.82, 95% CI 1.14-7.01) with their bodies, relative to very satisfied, compared with those spending no time or &lt;1 hour online. Conclusions: A substantial propo…","author":[{"dropping-particle":"","family":"Carter","given":"Allison","non-dropping-particle":"","parse-names":false,"suffix":""},{"dropping-particle":"","family":"Forrest","given":"Jamie I.","non-dropping-particle":"","parse-names":false,"suffix":""},{"dropping-particle":"","family":"Kaida","given":"Angela","non-dropping-particle":"","parse-names":false,"suffix":""}],"container-title":"Journal of Medical Internet Research","id":"ITEM-12","issue":"2","issued":{"date-parts":[["2017","2","1"]]},"page":"e39","publisher":"Journal of Medical Internet Research","title":"Association between internet use and body dissatisfaction among young females: Cross-sectional analysis of the canadian community health survey","type":"article","volume":"19"},"uris":["http://www.mendeley.com/documents/?uuid=1eb17b2c-cd3a-3867-83c3-93e11841f542"]},{"id":"ITEM-13","itemData":{"DOI":"10.1007/s40519-014-0150-3","ISSN":"15901262","abstract":"Aims: The aim of this study was to investigate the relationship between problematic internet use and eating attitudes in a group of university students. Methods: The study sample consisted of 314 students attending programs at the faculties of education, medicine and communications at the Karadeniz Technical University in Turkey. One hundred forty-seven (46.8 %) were male and 167 (53.2 %) female. The Problematic Internet Use Scale was used to measure problematic internet use levels among university students and the Eating Attitudes Test to determine anorexia nervosa symptoms. Additionally, a Personal Data Form was used to determine age, gender, faculty attended and computer ownership. Data were analyzed on SPSS 15.00. Pearson’s product moments correlation coefficient, multiple linear regression analysis, the independent t test and one-way ANOVA were used for data analysis. Results: The research findings showed that 46.8 % of students were female and 53.2 % male. Mean age was 20.65 (SD 1.42). Analysis showed a significant positive correlation between problematic internet use and eating attitudes (r = 0.77, p &lt; 0.01). Problematic internet use was found to be a significant predictor of eating attitudes. The results also showed a significant difference in problematic internet use with regard to program variables [F(2,311) = 102.79]. There were no significant differences in problematic internet use in terms of gender or computer ownership. Conclusions: The results of this study indicate that problematic internet use is significantly correlated with eating disorders, that problematic internet use does not vary on the basis of gender or computer ownership and that variations arise in problematic internet use depending on the faculty attended.","author":[{"dropping-particle":"","family":"Çelik","given":"Çiğdem Berber","non-dropping-particle":"","parse-names":false,"suffix":""},{"dropping-particle":"","family":"Odacı","given":"Hatice","non-dropping-particle":"","parse-names":false,"suffix":""},{"dropping-particle":"","family":"Bayraktar","given":"Nihal","non-dropping-particle":"","parse-names":false,"suffix":""}],"container-title":"Eating and Weight Disorders","id":"ITEM-13","issue":"2","issued":{"date-parts":[["2015","6","12"]]},"page":"167-172","publisher":"Springer International Publishing","title":"Is problematic internet use an indicator of eating disorders among Turkish university students?","type":"article-journal","volume":"20"},"uris":["http://www.mendeley.com/documents/?uuid=f02bc385-7b16-37ed-9593-9ce70a87327b"]},{"id":"ITEM-14","itemData":{"DOI":"10.1186/s40337-015-0061-3","ISSN":"20502974","abstract":"Background: Appearance comparison has consistently been shown to engender body image dissatisfaction. To date, most studies have demonstrated this relationship between appearance comparison and body image dissatisfaction in the context of conventional media images depicting the thin-ideal. Social comparison theory posits that people are more likely to compare themselves to similar others. Since social media forums such as Facebook involve one's peers, the current study aimed to determine whether the relationship between appearance comparison and body image dissatisfaction would be stronger for those exposed to social media images, compared to conventional media images. Methods: A sample of 193 female first year university students were randomly allocated to view a series of either Facebook or conventional media thin-ideal images. Participants completed questionnaires assessing pre- and post- image exposure measures of thin-ideal internalisation, appearance comparison, self-esteem, Facebook use and eating disorder risk. Results: Type of exposure was not found to moderate the relationship between appearance comparison and changes in body image dissatisfaction. When analysed according to exposure type, appearance comparison only significantly predicted body image dissatisfaction change for those exposed to Facebook, but not conventional media. Facebook use was found to predict higher baseline body image dissatisfaction and was associated with higher eating disorder risk. Conclusions: The findings suggest the importance of extending the body image dissatisfaction literature by taking into account emerging social media formats. It is recommended that interventions for body image dissatisfaction and eating disorders consider appearance comparison processes elicited by thin-ideal content on social media forums, such as Facebook, in addition to conventional media.","author":[{"dropping-particle":"","family":"Cohen","given":"Rachel","non-dropping-particle":"","parse-names":false,"suffix":""},{"dropping-particle":"","family":"Blaszczynski","given":"Alex","non-dropping-particle":"","parse-names":false,"suffix":""}],"container-title":"Journal of Eating Disorders","id":"ITEM-14","issue":"1","issued":{"date-parts":[["2015"]]},"publisher":"BioMed Central Ltd.","title":"Comparative effects of Facebook and conventional media on body image dissatisfaction","type":"article-journal","volume":"3"},"uris":["http://www.mendeley.com/documents/?uuid=8d4df4ac-9ca6-35c3-866b-f112c144dd6a"]},{"id":"ITEM-15","itemData":{"DOI":"10.1016/j.bodyim.2017.10.002","ISSN":"17401445","abstract":"The present study aimed to identify the specific social networking sites (SNS) features that relate to body image concerns in young women. A total of 259 women aged 18–29 years completed questionnaire measures of SNS use (Facebook and Instagram) and body image concerns. It was found that appearance-focused SNS use, rather than overall SNS use, was related to body image concerns in young women. Specifically, greater engagement in photo activities on Facebook, but not general Facebook use, was associated with greater thin-ideal internalisation and body surveillance. Similarly, following appearance-focused accounts on Instagram was associated with thin-ideal internalisation, body surveillance, and drive for thinness, whereas following appearance-neutral accounts was not associated with any body image outcomes. Implications for future SNS research, as well as for body image and disordered eating interventions for young women, are discussed.","author":[{"dropping-particle":"","family":"Cohen","given":"Rachel","non-dropping-particle":"","parse-names":false,"suffix":""},{"dropping-particle":"","family":"Newton-John","given":"Toby","non-dropping-particle":"","parse-names":false,"suffix":""},{"dropping-particle":"","family":"Slater","given":"Amy","non-dropping-particle":"","parse-names":false,"suffix":""}],"container-title":"Body Image","id":"ITEM-15","issued":{"date-parts":[["2017","12","1"]]},"page":"183-187","publisher":"Elsevier Ltd","title":"The relationship between Facebook and Instagram appearance-focused activities and body image concerns in young women","type":"article-journal","volume":"23"},"uris":["http://www.mendeley.com/documents/?uuid=de4d4215-5951-32d0-8be0-6cbcbdb2b22e"]},{"id":"ITEM-16","itemData":{"DOI":"10.1007/s10964-015-0266-4","ISSN":"15736601","PMID":"25788122","abstract":"Previous correlational research indicates that adolescent girls who use social network sites more frequently are more dissatisfied with their bodies. However, we know little about the causal direction of this relationship, the mechanisms underlying this relationship, and whether this relationship also occurs among boys to the same extent. The present two-wave panel study (18 month time lag) among 604 Dutch adolescents (aged 11–18; 50.7 % female; 97.7 % native Dutch) aimed to fill these gaps in knowledge. Structural equation modeling showed that social network site use predicted increased body dissatisfaction and increased peer influence on body image in the form of receiving peer appearance-related feedback. Peer appearance-related feedback did not predict body dissatisfaction and thus did not mediate the effect of social network site use on body dissatisfaction. Gender did not moderate the findings. Hence, social network sites can play an adverse role in the body image of both adolescent boys and girls.","author":[{"dropping-particle":"","family":"Vries","given":"Dian A.","non-dropping-particle":"de","parse-names":false,"suffix":""},{"dropping-particle":"","family":"Peter","given":"Jochen","non-dropping-particle":"","parse-names":false,"suffix":""},{"dropping-particle":"","family":"Graaf","given":"Hanneke","non-dropping-particle":"de","parse-names":false,"suffix":""},{"dropping-particle":"","family":"Nikken","given":"Peter","non-dropping-particle":"","parse-names":false,"suffix":""}],"container-title":"Journal of Youth and Adolescence","id":"ITEM-16","issue":"1","issued":{"date-parts":[["2016","1","1"]]},"page":"211-224","publisher":"Springer New York LLC","title":"Adolescents’ Social Network Site Use, Peer Appearance-Related Feedback, and Body Dissatisfaction: Testing a Mediation Model","type":"article-journal","volume":"45"},"uris":["http://www.mendeley.com/documents/?uuid=ab6a32a8-5681-3ad2-b4e4-e49afea84b92"]},{"id":"ITEM-17","itemData":{"DOI":"10.1007/s10964-018-0956-9","ISSN":"15736601","abstract":"Previous research has shown that adolescents´ social media use predicts increased body dissatisfaction. However, little is known about social environmental factors that may attenuate this relationship. This study examines one such potential moderating social environmental factor: positive parent–adolescent relationships. A school-based survey was conducted among 440 adolescents aged 12 to 19 (M= 14.9, SD= 1.8, 47% female). On average, social media use was positively associated with body dissatisfaction, but this relationship was weaker among adolescents who reported a more positive mother–adolescent relationship. Positive father–adolescent relationship did not moderate the association between social media use and body dissatisfaction. These findings may indicate that adolescents’ social environment, notably the relationship they have with their mothers, can protect them against the detrimental effects of social media use on body dissatisfaction. However, longitudinal and experimental studies are needed to examine the direction of effects and test the validity of this interpretation.","author":[{"dropping-particle":"","family":"Vries","given":"Dian A.","non-dropping-particle":"de","parse-names":false,"suffix":""},{"dropping-particle":"","family":"Vossen","given":"Helen G.M.","non-dropping-particle":"","parse-names":false,"suffix":""},{"dropping-particle":"","family":"Kolk – van der Boom","given":"Paulien","non-dropping-particle":"van der","parse-names":false,"suffix":""}],"container-title":"Journal of Youth and Adolescence","id":"ITEM-17","issue":"3","issued":{"date-parts":[["2019","3","15"]]},"page":"527-536","publisher":"Springer New York LLC","title":"Social Media and Body Dissatisfaction: Investigating the Attenuating Role of Positive Parent–Adolescent Relationships","type":"article-journal","volume":"48"},"uris":["http://www.mendeley.com/documents/?uuid=15e9d186-a63c-31f6-9e13-a3b88a6e7f98"]},{"id":"ITEM-18","itemData":{"DOI":"10.1080/03630242.2016.1159268","ISSN":"15410331","abstract":"Young women increasingly spend time on social media, but the relationship of this exposure to body image is still in the initial stages of exploration. In this study the authors used social comparison theory to examine the relationship between time spent on Facebook and body image. A survey of 881 U.S. college women was conducted in April–May 2013. Findings showed that 10.1% had posted about weight, body image, exercise, or dieting, and 27.4% had commented on friends’ posts or photos. More time on Facebook related to more frequent body and weight comparisons, more attention to the physical appearance of others, and more negative feelings about their bodies for all women. For women who wanted to lose weight, more time on Facebook also related to more disordered eating symptoms.","author":[{"dropping-particle":"","family":"Eckler","given":"Petya","non-dropping-particle":"","parse-names":false,"suffix":""},{"dropping-particle":"","family":"Kalyango","given":"Yusuf","non-dropping-particle":"","parse-names":false,"suffix":""},{"dropping-particle":"","family":"Paasch","given":"Ellen","non-dropping-particle":"","parse-names":false,"suffix":""}],"container-title":"Women and Health","id":"ITEM-18","issue":"2","issued":{"date-parts":[["2017","2","7"]]},"page":"249-267","publisher":"Routledge","title":"Facebook use and negative body image among U.S. college women","type":"article-journal","volume":"57"},"uris":["http://www.mendeley.com/documents/?uuid=45577bb8-f2a3-30c6-9a42-828d89591f40"]},{"id":"ITEM-19","itemData":{"DOI":"10.1080/07448481.2018.1431905","ISSN":"19403208","PMID":"29405860","abstract":"Objective: This study investigated body dissatisfaction, neuroticism, and sex as potential predictors of calorie-tracking app usage amongst undergraduate college students. Participants: College students (N = 491) were recruited from a large northeastern university in October 2015. Methods: Participants completed an online survey asking about their sex, body dissatisfaction, neuroticism, and use of apps that track calories. Results: Analyses revealed that female sex and body dissatisfaction—but not neuroticism—were direct predictors of calorie-tracking app usage. Analyses also provided support for a causal sequence wherein neuroticism and body dissatisfaction mediate, in serial, the relationship between female sex and calorie-tracking app usage. Conclusions: The results from this study suggest that female college students are more likely to use calorie-tracking apps—a phenomenon which may be attributable to their higher levels of neuroticism and subsequent increased body dissatisfaction.","author":[{"dropping-particle":"","family":"Embacher Martin","given":"Kimberly","non-dropping-particle":"","parse-names":false,"suffix":""},{"dropping-particle":"","family":"McGloin","given":"Rory","non-dropping-particle":"","parse-names":false,"suffix":""},{"dropping-particle":"","family":"Atkin","given":"David","non-dropping-particle":"","parse-names":false,"suffix":""}],"container-title":"Journal of American College Health","id":"ITEM-19","issue":"7","issued":{"date-parts":[["2018","10","3"]]},"page":"608-616","publisher":"Routledge","title":"Body dissatisfaction, neuroticism, and female sex as predictors of calorie-tracking app use amongst college students","type":"article-journal","volume":"66"},"uris":["http://www.mendeley.com/documents/?uuid=cd86a055-acf4-3d5c-949a-0737cbf51e68"]},{"id":"ITEM-20","itemData":{"DOI":"10.1016/j.bodyim.2014.10.004","ISSN":"17401445","abstract":"Use of social media, such as Facebook, is pervasive among young women. Body dissatisfaction is also highly prevalent in this demographic. The present study examined the relationship between Facebook usage and body image concerns among female university students (N= 227), and tested whether appearance comparisons on Facebook in general, or comparisons to specific female target groups (family members, close friends, distant peers [women one may know but do not regularly socialize with], celebrities) mediated this relationship. Results showed a positive relationship between Facebook usage and body image concerns, which was mediated by appearance comparisons in general, frequency of comparisons to close friends and distant peers, and by upward comparisons (judging one's own appearance to be worse) to distant peers and celebrities. Thus, young women who spend more time on Facebook may feel more concerned about their body because they compare their appearance to others (especially to peers) on Facebook.","author":[{"dropping-particle":"","family":"Fardouly","given":"Jasmine","non-dropping-particle":"","parse-names":false,"suffix":""},{"dropping-particle":"","family":"Vartanian","given":"Lenny R.","non-dropping-particle":"","parse-names":false,"suffix":""}],"container-title":"Body Image","id":"ITEM-20","issue":"1","issued":{"date-parts":[["2015"]]},"page":"82-88","publisher":"Elsevier Ltd","title":"Negative comparisons about one's appearance mediate the relationship between Facebook usage and body image concerns","type":"article-journal","volume":"12"},"uris":["http://www.mendeley.com/documents/?uuid=6e4cecf4-c0af-36bf-8d1f-2a96ad14cf82"]},{"id":"ITEM-21","itemData":{"DOI":"10.1016/j.bodyim.2014.12.002","ISSN":"17401445","abstract":"The present study experimentally investigated the effect of Facebook usage on women's mood and body image, whether these effects differ from an online fashion magazine, and whether appearance comparison tendency moderates any of these effects. Female participants (. N=. 112) were randomly assigned to spend 10. min browsing their Facebook account, a magazine website, or an appearance-neutral control website before completing state measures of mood, body dissatisfaction, and appearance discrepancies (weight-related, and face, hair, and skin-related). Participants also completed a trait measure of appearance comparison tendency. Participants who spent time on Facebook reported being in a more negative mood than those who spent time on the control website. Furthermore, women high in appearance comparison tendency reported more facial, hair, and skin-related discrepancies after Facebook exposure than exposure to the control website. Given its popularity, more research is needed to better understand the impact that Facebook has on appearance concerns.","author":[{"dropping-particle":"","family":"Fardouly","given":"Jasmine","non-dropping-particle":"","parse-names":false,"suffix":""},{"dropping-particle":"","family":"Diedrichs","given":"Phillippa C.","non-dropping-particle":"","parse-names":false,"suffix":""},{"dropping-particle":"","family":"Vartanian","given":"Lenny R.","non-dropping-particle":"","parse-names":false,"suffix":""},{"dropping-particle":"","family":"Halliwell","given":"Emma","non-dropping-particle":"","parse-names":false,"suffix":""}],"container-title":"Body Image","id":"ITEM-21","issued":{"date-parts":[["2015","3","1"]]},"page":"38-45","publisher":"Elsevier Ltd","title":"Social comparisons on social media: The impact of Facebook on young women's body image concerns and mood","type":"article-journal","volume":"13"},"uris":["http://www.mendeley.com/documents/?uuid=4aaec679-cdc8-3890-b627-ecbdeca4df8e"]},{"id":"ITEM-22","itemData":{"DOI":"10.1007/s10964-012-9898-9","ISSN":"00472891","abstract":"The degree to which media contributes to body dissatisfaction, life satisfaction and eating disorder symptoms in teenage girls continues to be debated. The current study examines television, social media and peer competition influences on body dissatisfaction, eating disorder symptoms and life satisfaction in a sample of 237 mostly Hispanic girls. 101 of these girls were reassessed in a later 6-month follow-up. Neither television exposure to thin ideal media nor social media predicted negative outcomes either concurrently nor prospectively with the exception of a small concurrent correlation between social media use and life satisfaction. Social media use was found to contribute to later peer competition in prospective analysis, however, suggesting potential indirect but not direct effects on body related outcomes. Peer competition proved to be a moderate strong predictor of negative outcomes both concurrently and prospectively. It is concluded that the negative influences of social comparison are focused on peers rather than television or social media exposure. © 2013 Springer Science+Business Media New York.","author":[{"dropping-particle":"","family":"Ferguson","given":"Christopher J.","non-dropping-particle":"","parse-names":false,"suffix":""},{"dropping-particle":"","family":"Muñoz","given":"Mónica E.","non-dropping-particle":"","parse-names":false,"suffix":""},{"dropping-particle":"","family":"Garza","given":"Adolfo","non-dropping-particle":"","parse-names":false,"suffix":""},{"dropping-particle":"","family":"Galindo","given":"Mariza","non-dropping-particle":"","parse-names":false,"suffix":""}],"container-title":"Journal of Youth and Adolescence","id":"ITEM-22","issue":"1","issued":{"date-parts":[["2014","1"]]},"page":"1-14","publisher":"J Youth Adolesc","title":"Concurrent and Prospective Analyses of Peer, Television and Social Media Influences on Body Dissatisfaction, Eating Disorder Symptoms and Life Satisfaction in Adolescent Girls","type":"article-journal","volume":"43"},"uris":["http://www.mendeley.com/documents/?uuid=951f0598-c6bf-33ba-8faf-5100b1413698"]},{"id":"ITEM-23","itemData":{"author":[{"dropping-particle":"","family":"Fernández-villa","given":"Tania","non-dropping-particle":"","parse-names":false,"suffix":""},{"dropping-particle":"","family":"Ojeda","given":"Juan Alguacil","non-dropping-particle":"","parse-names":false,"suffix":""},{"dropping-particle":"","family":"Gómez","given":"Ana Almaraz","non-dropping-particle":"","parse-names":false,"suffix":""},{"dropping-particle":"","family":"María","given":"José","non-dropping-particle":"","parse-names":false,"suffix":""},{"dropping-particle":"","family":"Carral","given":"Cancela","non-dropping-particle":"","parse-names":false,"suffix":""},{"dropping-particle":"","family":"Delgado-rodríguez","given":"Miguel","non-dropping-particle":"","parse-names":false,"suffix":""},{"dropping-particle":"","family":"García-martín","given":"Miguel","non-dropping-particle":"","parse-names":false,"suffix":""},{"dropping-particle":"","family":"Jiménez-mejías","given":"Eladio","non-dropping-particle":"","parse-names":false,"suffix":""},{"dropping-particle":"","family":"Llorca","given":"Javier","non-dropping-particle":"","parse-names":false,"suffix":""},{"dropping-particle":"","family":"Molina","given":"Antonio José","non-dropping-particle":"","parse-names":false,"suffix":""}],"id":"ITEM-23","issue":"4","issued":{"date-parts":[["2015"]]},"page":"265-275","title":"Problematic Internet Use in University Students: associated factors and differences of gender","type":"article-journal","volume":"27"},"uris":["http://www.mendeley.com/documents/?uuid=5e234828-eb4a-40e4-8da9-ea40ebe1e905"]},{"id":"ITEM-24","itemData":{"DOI":"10.1089/cyber.2017.0375","ISSN":"2152-2715","abstract":"Social media has been associated with body dissatisfaction and eating disorder symptoms among young women and adolescent girls. However, despite notable evidence of susceptibility to body image pressures, it remains unknown whether these associations generalize to sexual minority men. A nationwide sample of 2,733 sexual minority men completed an online survey advertised to Australian and New Zealand users of a popular dating app. Participants answered questions about how frequently they used 11 different social media platforms in addition to questions about their dating app use, body image, eating disorder symptoms, and anabolic steroids. Facebook, Youtube, Instagram, and Snapchat were the most frequently used social media platforms. A pattern of small-sized and positive associations emerged between social media use and body dissatisfaction, eating disorder symptoms, and thoughts about using anabolic steroids. Facebook, Instagram, and Snapchat evidenced the strongest associations. The associations of social media use with both muscularity dissatisfaction and eating disorder symptoms were stronger for image-centric social media platforms (e.g., Instagram) than nonimage-centric platforms (e.g., Wordpress); no differences were observed for body fat dissatisfaction, height dissatisfaction, or thoughts about using anabolic steroids. Previously documented associations of social media use with body dissatisfaction and related variables among women and girls appear to generalize to sexual minority men. Social media platforms that more centrally involve imagery may be of greater concern than nonimage-centric platforms. Additional research with sexual minority men is needed to elucidate the distinctions between adaptive and maladaptive social media use in the context of body dissatisfaction, eating disorders, and anabolic steroid use.","author":[{"dropping-particle":"","family":"Griffiths","given":"Scott","non-dropping-particle":"","parse-names":false,"suffix":""},{"dropping-particle":"","family":"Murray","given":"Stuart B.","non-dropping-particle":"","parse-names":false,"suffix":""},{"dropping-particle":"","family":"Krug","given":"Isabel","non-dropping-particle":"","parse-names":false,"suffix":""},{"dropping-particle":"","family":"McLean","given":"Siân A.","non-dropping-particle":"","parse-names":false,"suffix":""}],"container-title":"Cyberpsychology, Behavior, and Social Networking","id":"ITEM-24","issue":"3","issued":{"date-parts":[["2018","3","1"]]},"page":"149-156","publisher":"Mary Ann Liebert Inc.","title":"The Contribution of Social Media to Body Dissatisfaction, Eating Disorder Symptoms, and Anabolic Steroid Use Among Sexual Minority Men","type":"article-journal","volume":"21"},"uris":["http://www.mendeley.com/documents/?uuid=30c695ea-5667-3e3d-92be-83d98c47acb8"]},{"id":"ITEM-25","itemData":{"DOI":"10.1016/j.bodyim.2018.10.002","ISSN":"17401445","abstract":"Thinspiration and fitspiration are classes of social media content characterised by idealised depictions of excessively thin and overtly fit/lean bodies, respectively. It is currently unknown whether and how exposure to thinspiration and fitspiration relates to symptom severity within high-risk clinical populations. Thus, in a clinical sample of individuals with eating disorders, we evaluated a model explaining how exposure to thinspiration and fitspiration relates to eating disorder symptoms. Individuals with self-reported eating disorders (N = 228, 47% with anorexia, 93% female) completed measures of image-centric social media use, thinspiration and fitspiration exposure, physical appearance comparisons, and symptom severity. Results showed that more frequent use of image-centric social media was associated with more frequent exposures to both thinspiration and fitspiration. In turn, these exposures were associated with more frequent physical appearance comparisons, and through these, greater symptom severity. Physical appearance comparisons mediated the relationships of both thinspiration and fitspiration exposure with symptom severity. Exposure to fitspiration was more common than exposure to thinspiration. However, thinspiration exposure evidenced stronger associations with symptom severity than fitspiration exposure. In conclusion, our model provides a useful account of how eating disorder symptoms relate to thinspiration and fitspiration exposure, and to image-centric social media more generally.","author":[{"dropping-particle":"","family":"Griffiths","given":"Scott","non-dropping-particle":"","parse-names":false,"suffix":""},{"dropping-particle":"","family":"Castle","given":"David","non-dropping-particle":"","parse-names":false,"suffix":""},{"dropping-particle":"","family":"Cunningham","given":"Mitchell","non-dropping-particle":"","parse-names":false,"suffix":""},{"dropping-particle":"","family":"Murray","given":"Stuart B.","non-dropping-particle":"","parse-names":false,"suffix":""},{"dropping-particle":"","family":"Bastian","given":"Brock","non-dropping-particle":"","parse-names":false,"suffix":""},{"dropping-particle":"","family":"Barlow","given":"Fiona Kate","non-dropping-particle":"","parse-names":false,"suffix":""}],"container-title":"Body Image","id":"ITEM-25","issued":{"date-parts":[["2018","12","1"]]},"page":"187-195","publisher":"Elsevier Ltd","title":"How does exposure to thinspiration and fitspiration relate to symptom severity among individuals with eating disorders? Evaluation of a proposed model","type":"article-journal","volume":"27"},"uris":["http://www.mendeley.com/documents/?uuid=66cc7d0b-985c-3f01-a7d5-f24a1dd8da0f"]},{"id":"ITEM-26","itemData":{"DOI":"10.1016/j.chb.2017.04.027","ISSN":"07475632","abstract":"Similar to effects identified with traditional media forms, recent evidence indicates that body image concerns, such as body dissatisfaction and drive for thinness, may also be associated with exposure to images on Social Networking Sites. Utilizing social comparison theory, the current study sought to examine the relationship between female university students’ photo-based activities on Instagram, which is a relatively new Social Networking Site, appearance-related comparisons, and two outcome variables: drive for thinness and body dissatisfaction. Mediational analyses using bootstrapping methods indicated that Instagram photo-based activities positively predicted both drive for thinness and body dissatisfaction through the mediating variable of appearance-related comparisons. These results suggest that Instagram use could be potentially harmful to individuals who find themselves frequently engaging in comparisons with others. Additionally, utilizing the intrasexual competition framework, the second aim of this study was to determine whether individual differences in competitiveness for mates influenced individual tendencies to engage in appearance-related comparisons on Instagram. A significant positive relationship emerged between intrasexual competitiveness for mates and appearance-related comparisons on Instagram. Theoretical and applied implications from these findings are discussed.","author":[{"dropping-particle":"","family":"Hendrickse","given":"Joshua","non-dropping-particle":"","parse-names":false,"suffix":""},{"dropping-particle":"","family":"Arpan","given":"Laura M.","non-dropping-particle":"","parse-names":false,"suffix":""},{"dropping-particle":"","family":"Clayton","given":"Russell B.","non-dropping-particle":"","parse-names":false,"suffix":""},{"dropping-particle":"","family":"Ridgway","given":"Jessica L.","non-dropping-particle":"","parse-names":false,"suffix":""}],"container-title":"Computers in Human Behavior","id":"ITEM-26","issued":{"date-parts":[["2017","9","1"]]},"page":"92-100","publisher":"Elsevier Ltd","title":"Instagram and college women's body image: Investigating the roles of appearance-related comparisons and intrasexual competition","type":"article-journal","volume":"74"},"uris":["http://www.mendeley.com/documents/?uuid=ab409de2-7b34-365c-809a-3744a6abaf37"]},{"id":"ITEM-27","itemData":{"DOI":"10.1002/eat.22559","ISSN":"02763478","abstract":"Objective: Fitspiration is a recent Internet trend designed to motivate people to eat healthily and to exercise. The aim of the study was to investigate disordered eating and exercise in women who post fitspiration on Instagram. Method: Participants were 101 women who post fitspiration images on Instagram and a comparison group of 102 women who post travel images. Both groups completed measures of disordered eating and compulsive exercise. Results: Women who post fitspiration images scored significantly higher on drive for thinness, bulimia, drive for muscularity, and compulsive exercise. Almost a fifth (17.5%) of these women were at risk for diagnosis of a clinical eating disorder, compared to 4.3% of the travel group. Compulsive exercise was related to disordered eating in both groups, but the relationship was significantly stronger for women who post fitspiration images. Discussion: For some women, posting fitspiration images on Instagram may signify maladaptive eating and exercise behaviors. © 2016 Wiley Periodicals, Inc. (Int J Eat Disord 2017; 50:76–79).","author":[{"dropping-particle":"","family":"Holland","given":"Grace","non-dropping-particle":"","parse-names":false,"suffix":""},{"dropping-particle":"","family":"Tiggemann","given":"Marika","non-dropping-particle":"","parse-names":false,"suffix":""}],"container-title":"International Journal of Eating Disorders","id":"ITEM-27","issue":"1","issued":{"date-parts":[["2017","1","1"]]},"page":"76-79","publisher":"John Wiley and Sons Inc.","title":"“Strong beats skinny every time”: Disordered eating and compulsive exercise in women who post fitspiration on Instagram","type":"article-journal","volume":"50"},"uris":["http://www.mendeley.com/documents/?uuid=efbc1498-e71a-36cd-b82c-3aeb45cc8081"]},{"id":"ITEM-28","itemData":{"DOI":"10.3390/ijerph15122861","ISSN":"16604601","abstract":"The aim of the study was to determine the predictive effects of sex, age, depression, and problematic behaviors on the incidence and remission of internet addiction (IA) in college students over a one-year follow-up. A total of 500 college students (262 women and 238 men) were recruited. The predictive effects of sex, age, severity of depression, self-harm/suicidal behaviors, eating problems, risk-taking behaviors, substance use, aggression, and uncontrollable sexual encounters on the incidence and remission of IA over a one-year follow-up were examined. The one-year incidence and remission rates for IA were 7.5% and 46.4%, respectively. Severity of depression, self-harm and suicidal behaviors, and uncontrollable sexual encounters at the initial investigation predicted the incidence of IA in a univariate analysis, whereas only severity of depression predicted the incidence of IA in a multivariable logistic regression (p = 0.015, odds ratio = 1.105, 95% confidence intervals: 1.021–1.196). A relatively young age predicted the remission of IA. Depression and young age predicted the incidence and remission, respectively, of IA in college students in the one-year follow-up.","author":[{"dropping-particle":"","family":"Hsieh","given":"Kuan Ying","non-dropping-particle":"","parse-names":false,"suffix":""},{"dropping-particle":"","family":"Hsiao","given":"Ray C.","non-dropping-particle":"","parse-names":false,"suffix":""},{"dropping-particle":"","family":"Yang","given":"Yi Hsin","non-dropping-particle":"","parse-names":false,"suffix":""},{"dropping-particle":"","family":"Liu","given":"Tai Ling","non-dropping-particle":"","parse-names":false,"suffix":""},{"dropping-particle":"","family":"Yen","given":"Cheng Fang","non-dropping-particle":"","parse-names":false,"suffix":""}],"container-title":"International Journal of Environmental Research and Public Health","id":"ITEM-28","issue":"12","issued":{"date-parts":[["2018","12","14"]]},"publisher":"MDPI AG","title":"Predictive effects of sex, age, depression, and problematic behaviors on the incidence and remission of internet addiction in college students: A prospective study","type":"article-journal","volume":"15"},"uris":["http://www.mendeley.com/documents/?uuid=21f1a0e8-8da7-343c-9ff3-951ee2fd3e50"]},{"id":"ITEM-29","itemData":{"DOI":"10.1002/eat.22336","ISSN":"1098108X","abstract":"Objective The current study examined whether certain types of Facebook content (i.e., status updates, comments) relate to eating concerns and attitudes. Method We examined the effects of seeking and receiving negative feedback via Facebook on disordered eating concerns in a sample of 185 undergraduate students followed for approximately 4 weeks. Results Results indicated that individuals with a negative feedback seeking style who received a high number of comments on Facebook were more likely to report disordered eating attitudes four weeks later. Additionally, individuals who received extremely negative comments in response to their personally revealing status updates were more likely to report disordered eating concerns four weeks later. Discussion Results of the current study provide preliminary evidence that seeking and receiving negative feedback via social networking sites can increase risk for disordered eating attitudes, and suggest that reducing maladaptive social networking usage may be an important target for prevention and intervention efforts aimed at reducing disordered eating attitudes.","author":[{"dropping-particle":"","family":"Hummel","given":"Alexandra C.","non-dropping-particle":"","parse-names":false,"suffix":""},{"dropping-particle":"","family":"Smith","given":"April R.","non-dropping-particle":"","parse-names":false,"suffix":""}],"container-title":"International Journal of Eating Disorders","id":"ITEM-29","issue":"4","issued":{"date-parts":[["2015","5","1"]]},"page":"436-442","publisher":"John Wiley and Sons Inc.","title":"Ask and you shall receive: Desire and receipt of feedback via Facebook predicts disordered eating concerns","type":"article-journal","volume":"48"},"uris":["http://www.mendeley.com/documents/?uuid=148fa894-2a85-3731-b565-1b00c3342cd4"]},{"id":"ITEM-30","itemData":{"DOI":"10.1016/j.addbeh.2015.11.015","ISSN":"18736327","abstract":"Purpose At-Risk/Problematic Internet Use (ARPIU) has been associated with impairment in multiple domains including psychopathology. The present study examined the relationship between ARPIU and disordered eating in a large community sample. Methods Participants (n = 1000) completed an online survey about health behaviors. Two thresholds of ARPIU and disordered eating each were examined. Results The ARPIU and Sub-ED (subthreshold eating disorders) groups reported greater depressive symptoms and poorer self-control than the Control group; the Sub-ED group reported greater impulsivity than the Control group. The ARPIU and Sub-ED groups significantly differed in key features related to each condition. Finally, the co-occurrence of ARPIU and Sub-ED was associated with greater depression. In the second set of analyses based on more stringent thresholds, the Problematic Internet Use (PIU) and ED groups differed on all measures compared to the Control group. The PIU and ED groups also differed on key features related to each condition, but did not differ on measures of impulsivity or self-control. The co-occurrence of PIU and ED was associated with greater depressive symptoms than either PIU or ED independently. Conclusions ARPIU and Sub-ED share links to depression and poor self-control and these may represent possible therapeutic targets across Internet-use and disordered-eating behaviors. Co-occurring PIU and ED at either lenient or stringent thresholds is associated with greater depression. Future studies should examine the temporal nature of these associations and the extent to which targeting depression, Internet use, or disordered eating may lead to improvements across domains.","author":[{"dropping-particle":"","family":"Ivezaj","given":"Valentina","non-dropping-particle":"","parse-names":false,"suffix":""},{"dropping-particle":"","family":"Potenza","given":"Marc N.","non-dropping-particle":"","parse-names":false,"suffix":""},{"dropping-particle":"","family":"Grilo","given":"Carlos M.","non-dropping-particle":"","parse-names":false,"suffix":""},{"dropping-particle":"","family":"White","given":"Marney A.","non-dropping-particle":"","parse-names":false,"suffix":""}],"container-title":"Addictive Behaviors","id":"ITEM-30","issued":{"date-parts":[["2017","1","1"]]},"page":"301-307","publisher":"Elsevier Ltd","title":"An exploratory examination of At-Risk/Problematic Internet Use and disordered eating in adults","type":"article-journal","volume":"64"},"uris":["http://www.mendeley.com/documents/?uuid=ac2f31a6-1066-3616-a6c0-7e6a2e1f1d4b"]},{"id":"ITEM-31","itemData":{"DOI":"10.4103/ijpvm.IJPVM_489_17","ISSN":"20088213","abstract":"Background: To determine the association between problematic Internet use (PIU) and disordered eating attitudes (DEAs) and to detect the potential risk factors for PIU among University students in Minia, Egypt. Methods: A cross-sectional study was carried out among a random sample (n = 2365) of Minia University students. PIU was assessed using The Problematic Internet Use Scale (PIUS), and the DEAs were assessed using eating attitudes test-26 questionnaire. Results: Of the 2365 students, 424 (17.9%) had DEAs, and it was more in females than males (22.3% and 14.5%, respectively). The mean of the PIUS score also was significantly higher in males than females (120.3 ± 30.5, and 117.5 ± 30.6, respectively). A positive moderate correlation (r = 0.48, P &lt; 0.05) was detected between PIU and DEAs. Conclusions: The results of this study indicate that PIU is significantly correlated with DEAs among University students in Minia, Egypt, and further studies are needed to identify the association between DEAs and PIU.","author":[{"dropping-particle":"","family":"Kamal","given":"Nashwa Nabil","non-dropping-particle":"","parse-names":false,"suffix":""},{"dropping-particle":"","family":"Kamal","given":"Nashaat Nabil","non-dropping-particle":"","parse-names":false,"suffix":""}],"container-title":"International Journal of Preventive Medicine","id":"ITEM-31","issued":{"date-parts":[["2018","4","1"]]},"publisher":"Medknow Publications","title":"Determinants of problematic internet use and its association with disordered eating attitudes among minia university students","type":"article-journal","volume":"9"},"uris":["http://www.mendeley.com/documents/?uuid=acbfe085-33d9-3ed5-97b6-3a6bf32b1494"]},{"id":"ITEM-32","itemData":{"DOI":"10.1016/j.eclinm.2018.12.005","ISSN":"25895370","abstract":"Background: Evidence suggests social media use is associated with mental health in young people but underlying processes are not well understood. This paper i) assesses whether social media use is associated with adolescents' depressive symptoms, and ii) investigates multiple potential explanatory pathways via online harassment, sleep, self-esteem and body image. Methods: We used population based data from the UK Millennium Cohort Study on 10,904 14 year olds. Multivariate regression and path models were used to examine associations between social media use and depressive symptoms. Findings: The magnitude of association between social media use and depressive symptoms was larger for girls than for boys. Compared with 1–3 h of daily use: 3 to &lt; 5 h 26% increase in scores vs 21%; ≥ 5 h 50% vs 35% for girls and boys respectively. Greater social media use related to online harassment, poor sleep, low self-esteem and poor body image; in turn these related to higher depressive symptom scores. Multiple potential intervening pathways were apparent, for example: greater hours social media use related to body weight dissatisfaction (≥ 5 h 31% more likely to be dissatisfied), which in turn linked to depressive symptom scores directly (body dissatisfaction 15% higher depressive symptom scores) and indirectly via self-esteem. Interpretation: Our findings highlight the potential pitfalls of lengthy social media use for young people's mental health. Findings are highly relevant for the development of guidelines for the safe use of social media and calls on industry to more tightly regulate hours of social media use. Funding: Economic and Social Research Council.","author":[{"dropping-particle":"","family":"Kelly","given":"Yvonne","non-dropping-particle":"","parse-names":false,"suffix":""},{"dropping-particle":"","family":"Zilanawala","given":"Afshin","non-dropping-particle":"","parse-names":false,"suffix":""},{"dropping-particle":"","family":"Booker","given":"Cara","non-dropping-particle":"","parse-names":false,"suffix":""},{"dropping-particle":"","family":"Sacker","given":"Amanda","non-dropping-particle":"","parse-names":false,"suffix":""}],"container-title":"EClinicalMedicine","id":"ITEM-32","issued":{"date-parts":[["2018","12","1"]]},"page":"59-68","publisher":"Lancet Publishing Group","title":"Social Media Use and Adolescent Mental Health: Findings From the UK Millennium Cohort Study","type":"article-journal","volume":"6"},"uris":["http://www.mendeley.com/documents/?uuid=b12f9473-7479-3ee4-a576-f082d644bbc4"]},{"id":"ITEM-33","itemData":{"DOI":"10.1016/j.chb.2015.01.009","ISSN":"07475632","abstract":"A cross-sectional survey (N = 186) was conducted to examine the relationships between young women's and men's social media use and body image attitudes - the drive for thinness and the drive for muscularity. Prior research has found relationships between exposure to traditional mass media and body image concerns. Drawing on social comparison theory, this study attempted to determine if similar relationships could be found for social media use. Results of this study indicated that simple exposure (time spent on social media) was not related to body image concerns. Online social grooming behaviors, such as viewing and commenting on peer's profiles, however, were significantly correlated with the drive for thinness for both female and male participants. Hierarchical regression analyses indicated that appearance comparison mediated the relationship between social grooming behaviors and the drive for thinness.","author":[{"dropping-particle":"","family":"Kim","given":"Ji Won","non-dropping-particle":"","parse-names":false,"suffix":""},{"dropping-particle":"","family":"Chock","given":"T. Makana","non-dropping-particle":"","parse-names":false,"suffix":""}],"container-title":"Computers in Human Behavior","id":"ITEM-33","issued":{"date-parts":[["2015","7","1"]]},"page":"331-339","publisher":"Elsevier Ltd","title":"Body image 2.0: Associations between social grooming on Facebook and body image concerns","type":"article-journal","volume":"48"},"uris":["http://www.mendeley.com/documents/?uuid=d632cb21-238b-35e1-b17e-a5ba22c4b794"]},{"id":"ITEM-34","itemData":{"DOI":"10.3390/ijerph17072416","ISSN":"16604601","PMID":"32252325","abstract":"One of the debates about media usage is the potential harmful effect that it has on body image and related eating disturbances because of its representations of the “ideal body”. This study focuses on the drive for thinness among the visitors of various health-oriented websites and online platforms because neither has yet been sufficiently studied in this context. Specifically, this study aims to bring more insight to the risk factors which can increase the drive for thinness in the users of these websites. We tested the presumption that web content internalization is a key factor in this process, and we considered the effects of selected individual factors, specifically the perceived online social support and neuroticism. We utilized survey data from 445 Czech women (aged 18– 29, M = 23.5, SD = 3.1) who visited nutrition, weight loss, and exercise websites. The results showed a positive indirect link between both perceived online social support and neuroticism to the drive for thinness via web content internalization. The results are discussed with regard to the dual role of online support as both risk and protective factor. Moreover, we consider the practical implications for eating behavior and weight-related problems with regard to prevention and intervention.","author":[{"dropping-particle":"","family":"Kvardova","given":"Nikol","non-dropping-particle":"","parse-names":false,"suffix":""},{"dropping-particle":"","family":"Machackova","given":"Hana","non-dropping-particle":"","parse-names":false,"suffix":""},{"dropping-particle":"","family":"Smahel","given":"David","non-dropping-particle":"","parse-names":false,"suffix":""}],"container-title":"International Journal of Environmental Research and Public Health","id":"ITEM-34","issue":"7","issued":{"date-parts":[["2020","4","1"]]},"publisher":"MDPI AG","title":"The direct and indirect effects of online social support, neuroticism, and web content internalization on the drive for thinness among women visiting health-oriented websites","type":"article-journal","volume":"17"},"uris":["http://www.mendeley.com/documents/?uuid=d91db141-8e52-3268-8a33-5895af1c7dd4"]},{"id":"ITEM-35","itemData":{"DOI":"10.1080/10810730.2014.904022","ISSN":"10870415","abstract":"This study examined the relationships among social media use for information, self-status seeking and socializing, body image, self-esteem, and psychological well-being, and some cultural effects moderating these relationships. Americans (n = 502) and Koreans (n = 518) completed an online survey. The main findings showed that (a) social media use for information about body image is negatively related to body satisfaction in the United States and Korea, while social media use for self-status seeking regarding body image is positively related to body satisfaction only in Korea; and (b) body satisfaction has direct and indirect positive effects on psychological well-being manifested in similar ways in the United States and Korea. Implications and future research directions are discussed.","author":[{"dropping-particle":"","family":"Lee","given":"Hye Ryeon","non-dropping-particle":"","parse-names":false,"suffix":""},{"dropping-particle":"","family":"Lee","given":"Hye Eun","non-dropping-particle":"","parse-names":false,"suffix":""},{"dropping-particle":"","family":"Choi","given":"Jounghwa","non-dropping-particle":"","parse-names":false,"suffix":""},{"dropping-particle":"","family":"Kim","given":"Jang Hyun","non-dropping-particle":"","parse-names":false,"suffix":""},{"dropping-particle":"","family":"Han","given":"Hae Lin","non-dropping-particle":"","parse-names":false,"suffix":""}],"container-title":"Journal of Health Communication","id":"ITEM-35","issue":"12","issued":{"date-parts":[["2014","12","2"]]},"page":"1343-1358","publisher":"Taylor and Francis Inc.","title":"Social media use, body image, and psychological well-being: A cross-cultural comparison of korea and the united states","type":"article-journal","volume":"19"},"uris":["http://www.mendeley.com/documents/?uuid=927e25eb-9da5-3706-9a29-4b93512a740c"]},{"id":"ITEM-36","itemData":{"DOI":"10.1016/j.eatbeh.2017.08.003","ISSN":"18737358","abstract":"Mobile phone and tablet usage has become a part of modern life. Mobile applications that count calories, such as My Fitness Pal, are frequently employed on a daily basis. Recent research has shown that in undergraduates, calorie tracking is associated with eating disorder pathology. In the current study (N = 105 individuals diagnosed with an eating disorder), we assessed usage of My Fitness Pal to track calories. We also assessed perceptions that My Fitness Pal contributed to eating disorder symptoms and if these perceptions were associated with eating disorder symptoms. We found that a substantial percentage (~ 75%) of participants used My Fitness Pal and that 73% of these users perceived the app as contributing to their eating disorder. Furthermore, we found that these perceptions were correlated with eating disorder symptoms. This research suggests that My Fitness Pal is widely used in an eating disorder population and is perceived as contributing to eating disorder symptoms. Further research is needed to clarify the role calorie tracking applications play within a sample of individuals with eating disorders.","author":[{"dropping-particle":"","family":"Levinson","given":"Cheri A.","non-dropping-particle":"","parse-names":false,"suffix":""},{"dropping-particle":"","family":"Fewell","given":"Laura","non-dropping-particle":"","parse-names":false,"suffix":""},{"dropping-particle":"","family":"Brosof","given":"Leigh C.","non-dropping-particle":"","parse-names":false,"suffix":""}],"container-title":"Eating Behaviors","id":"ITEM-36","issued":{"date-parts":[["2017","12","1"]]},"page":"14-16","publisher":"Elsevier Ltd","title":"My Fitness Pal calorie tracker usage in the eating disorders","type":"article-journal","volume":"27"},"uris":["http://www.mendeley.com/documents/?uuid=680a55e9-8c44-3f72-b7f9-0ac96874bd17"]},{"id":"ITEM-37","itemData":{"DOI":"10.1016/j.eatbeh.2019.02.003","ISSN":"18737358","abstract":"My Fitness Pal (MFP) is a calorie-tracking smartphone application that is gaining popularity worldwide. Although MFP has the potential to be a cheap and efficient weight-loss tool, concerns that MFP could trigger, maintain, or exacerbate eating disorder symptoms have been raised. Preliminary research has documented associations between MFP use and eating disorder symptoms in women with eating disorders and in undergraduate students. However, whether these associations exist additionally in a male-only sample has not been tested. Thus, we aimed to estimate MFP usage and examine its association with eating disorder symptoms and psychosocial impairment in a male sample. Cross-sectional data were analysed from 122 male participants (M age = 28.4, SD = 8.93) recruited primarily through fitness-related social media sites. Around half (56%) of the sample reported having used MFP. Nearly 40% of users perceived MFP as a factor contributing to disorder eating symptoms to some extent. MFP users reported significantly higher levels of attitudinal (dichotomous thinking, shape, weight, and eating concerns) and behavioural (binge eating, dietary restraint) eating disorder symptoms and psychosocial impairment than non-users. Effect sizes were large. MFP use also predicted unique variance in global attitudinal symptoms after controlling for eating disorder behaviours, impairment, and demographics. That nearly one-third of men perceived MFP as a factor contributing to their disordered eating highlights the possible utility of enquiring about the use of calorie-tracking apps when screening and assessing for eating disorder symptoms in men.","author":[{"dropping-particle":"","family":"Linardon","given":"Jake","non-dropping-particle":"","parse-names":false,"suffix":""},{"dropping-particle":"","family":"Messer","given":"Mariel","non-dropping-particle":"","parse-names":false,"suffix":""}],"container-title":"Eating Behaviors","id":"ITEM-37","issued":{"date-parts":[["2019","4","1"]]},"page":"13-17","publisher":"Elsevier Ltd","title":"My fitness pal usage in men: Associations with eating disorder symptoms and psychosocial impairment","type":"article-journal","volume":"33"},"uris":["http://www.mendeley.com/documents/?uuid=b2aeb6ac-0edb-3950-8c77-67f4aac3bdc8"]},{"id":"ITEM-38","itemData":{"DOI":"10.1016/j.bodyim.2018.12.001","ISSN":"17401445","abstract":"Factors that promote versus protect against body dissatisfaction remain unclear. Social media may be a risk factor, particularly given ubiquitous engagement among young people, and the pervasive use of “selfies.” Conversely, self-compassion has received attention as a protective factor against body dissatisfaction. This study examined: (a) the relationships between “manipulation” of selfies posted online, “investment” in others’ responses to selfies, and body dissatisfaction; and (b) whether self-compassion moderated the relationships between social media variables and body dissatisfaction. Results from 184 Australian men (n = 89) and women (n = 95) suggested that social media variables photo manipulation and investment were associated with greater body dissatisfaction for both genders. Self-compassion did not moderate these relationships. Findings suggest that manipulation and concern about selfies posted may be risk correlates for body dissatisfaction in men and women. Further research is needed to investigate protective factors against body dissatisfaction in an online environment.","author":[{"dropping-particle":"","family":"Lonergan","given":"Alexandra Rhodes","non-dropping-particle":"","parse-names":false,"suffix":""},{"dropping-particle":"","family":"Bussey","given":"Kay","non-dropping-particle":"","parse-names":false,"suffix":""},{"dropping-particle":"","family":"Mond","given":"Jonathan","non-dropping-particle":"","parse-names":false,"suffix":""},{"dropping-particle":"","family":"Brown","given":"Olivia","non-dropping-particle":"","parse-names":false,"suffix":""},{"dropping-particle":"","family":"Giffiths","given":"Scott","non-dropping-particle":"","parse-names":false,"suffix":""},{"dropping-particle":"","family":"Muray","given":"Stuart B.","non-dropping-particle":"","parse-names":false,"suffix":""},{"dropping-particle":"","family":"Mitchison","given":"Deborah","non-dropping-particle":"","parse-names":false,"suffix":""}],"container-title":"Body Image","id":"ITEM-38","issued":{"date-parts":[["2019","3","1"]]},"page":"39-43","publisher":"Elsevier Ltd","title":"Me, my selfie, and I: The relationship between editing and posting selfies and body dissatisfaction in men and women","type":"article-journal","volume":"28"},"uris":["http://www.mendeley.com/documents/?uuid=44607d7f-8015-34db-999a-1f19db61753b"]},{"id":"ITEM-39","itemData":{"DOI":"10.1002/eat.22254","ISSN":"1098108X","PMID":"25035882","abstract":"Objective Social media sites, such as Facebook, merge two factors that influence risk for eating disorders: media and peers. Previous work has identified cross-sectional and temporal associations between Facebook use and disordered eating. This study sought to replicate and extend these findings using an experimental design. Method In Study 1, 960 women completed self-report surveys regarding Facebook use and disordered eating. In Study 2, 84 women were randomly assigned to use Facebook or to use an alternate internet site for 20 min. Results More frequent Facebook use was associated with greater disordered eating in a cross-sectional survey. Facebook use was associated with the maintenance of weight/shape concerns and state anxiety compared to an alternate internet activity. Discussion Facebook use may contribute to disordered eating by maintaining risk for eating pathology. As such, targeting Facebook use may be helpful in intervention and prevention programs. © 2014 Wiley Periodicals, Inc.","author":[{"dropping-particle":"","family":"Mabe","given":"Annalise G.","non-dropping-particle":"","parse-names":false,"suffix":""},{"dropping-particle":"","family":"Forney","given":"K. Jean","non-dropping-particle":"","parse-names":false,"suffix":""},{"dropping-particle":"","family":"Keel","given":"Pamela K.","non-dropping-particle":"","parse-names":false,"suffix":""}],"container-title":"International Journal of Eating Disorders","id":"ITEM-39","issue":"5","issued":{"date-parts":[["2014"]]},"page":"516-523","publisher":"John Wiley and Sons Inc.","title":"Do you \"like\" my photo? Facebook use maintains eating disorder risk","type":"article-journal","volume":"47"},"uris":["http://www.mendeley.com/documents/?uuid=dcded867-e3f5-3a26-9dd1-9ba53ae6bead"]},{"id":"ITEM-40","itemData":{"DOI":"10.1007/s11199-014-0441-1","ISSN":"15732762","abstract":"Given the heightened attention to visual impression management on social media websites, previous research has demonstrated an association between Facebook use and objectified body consciousness among adolescent girls and young women in various Western countries, including the U.S. (e.g., Meier and Gray 2013). The current study aimed to test whether both young women and men using social networking sites are vulnerable to objectified body consciousness, and to extend this line of research to sexual health outcomes. We tested a path model of Facebook involvement, objectified body consciousness, body shame, and sexual assertiveness and examined whether the negative health consequences of objectified body consciousness were greater in magnitude for women than men. Participants in this study were U.S. college students in the Midwest, 467 women and 348 men, who on average reported using social networking sites for 6 years. They completed survey measures assessing their involvement in Facebook, body surveillance, appearance self-worth, and enjoyment of sexualization. They also reported on feelings of body shame and sexual assertiveness. For both women and men, Facebook involvement predicted objectified body consciousness, which in turn predicted greater body shame and decreased sexual assertiveness. The link between objectified body consciousness and body shame was greater in magnitude for women, but no gender difference was found in the association between body shame and sexual assertiveness. We suggest that social media foster a heightened experience of the self from an observer’s point of view, which has consequences for body image and sexual agency among women as well as men.","author":[{"dropping-particle":"","family":"Manago","given":"Adriana M.","non-dropping-particle":"","parse-names":false,"suffix":""},{"dropping-particle":"","family":"Monique Ward","given":"L.","non-dropping-particle":"","parse-names":false,"suffix":""},{"dropping-particle":"","family":"Lemm","given":"Kristi M.","non-dropping-particle":"","parse-names":false,"suffix":""},{"dropping-particle":"","family":"Reed","given":"Lauren","non-dropping-particle":"","parse-names":false,"suffix":""},{"dropping-particle":"","family":"Seabrook","given":"Rita","non-dropping-particle":"","parse-names":false,"suffix":""}],"container-title":"Sex Roles","id":"ITEM-40","issue":"1","issued":{"date-parts":[["2015","12","12"]]},"page":"1-14","publisher":"Springer New York LLC","title":"Facebook involvement, objectified body consciousness, body shame, and sexual assertiveness in college women and men","type":"article-journal","volume":"72"},"uris":["http://www.mendeley.com/documents/?uuid=350d95f5-373a-3c94-8951-ed63646ca67a"]},{"id":"ITEM-41","itemData":{"DOI":"10.1089/cyber.2018.0217","ISSN":"21522723","abstract":"Studies carried out in nonclinical samples have found an association between cyberbullying victimization and eating disorder (ED) psychopathology (negative emotions, low self-esteem, unhealthy eating behaviors, and body dissatisfaction); however, these previous studies were carried out with participants without an ED diagnosis. To extend the knowledge in this area of research, we aim to confirm these associations in two different samples: on the one hand, a sample composed of participants with ED diagnoses and, on the other hand, a sample composed of participants at high risk of ED. In study 1, the sample was composed of 80 participants diagnosed with EDs: 41.2 percent, n = 33, matched bulimia nervosa criteria; 33.8 percent, n = 27, matched anorexia nervosa restrictive criteria; and 25 percent, n = 20, matched eating disorder not otherwise specified. In study 2, the sample was composed of 156 participants at high risk of ED (elite athletes, both men and women). In both samples, the results indicated that cyberbullying victimization was positively correlated with ED psychopathology and depression. The model consisting of gender, body mass index, appearance evaluation, depression, and cyberbullying victimization was a significant predictor of ED psychopathology. This study suggests that cyberbullying victimization is a predictor of eating behaviors, attitudes, and symptoms associated with ED.","author":[{"dropping-particle":"","family":"Marco","given":"José H.","non-dropping-particle":"","parse-names":false,"suffix":""},{"dropping-particle":"","family":"Tormo-Irun","given":"Maria Pilar","non-dropping-particle":"","parse-names":false,"suffix":""},{"dropping-particle":"","family":"Galán-Escalante","given":"Alba","non-dropping-particle":"","parse-names":false,"suffix":""},{"dropping-particle":"","family":"Gonzalez-García","given":"Carmen","non-dropping-particle":"","parse-names":false,"suffix":""}],"container-title":"Cyberpsychology, Behavior, and Social Networking","id":"ITEM-41","issue":"10","issued":{"date-parts":[["2018","10","1"]]},"page":"611-617","publisher":"Mary Ann Liebert Inc.","title":"Is Cybervictimization Associated with Body Dissatisfaction, Depression, and Eating Disorder Psychopathology?","type":"article-journal","volume":"21"},"uris":["http://www.mendeley.com/documents/?uuid=77d21217-4be7-3104-b56e-2b84a3d7b442"]},{"id":"ITEM-42","itemData":{"DOI":"10.3305/nh.2014.30.4.7689","ISSN":"16995198","abstract":"Introduction: eating disorders (ED) are particularly common in young people.\nObjective: To determine the prevalence of eating disorders in college students and its associated factors.\nMethods: Study of prevalence in young Spanish university uniHcos project. Using unconditional logistic regression have determined the magnitude of the association between the risk factors associated with lifestyle and ED measured by questionnaire Sick, Control, One, Fat, Food (SCOFF).\nResults: The prevalence of ED was 19.5%, being higher in women (ORa=1.59; p=0.006). In boys, have criteria of developing an eating disorder was associated with living in halls of residence, “binge drinking” and problematic Internet use. In women studying different courses at Health Sciences (ORa=1.50) and problematic Internet use (ORa=2.33). Those women at risk of ED more frequently had depression (ORa=2.02), menstrual pains (ORa=1.81) and perceived poor health (ORa=1.70). In men, those at risk for eating disorders more frequently had poor perceived health (ORa=2.42).\nConclusions: The risk of a positive outcome in the scoff in our study is similar to that reported for other populations of students as well as their association with certain health problems and addictions. By gender differences that need attention in the design of prevention and control strategies were observed.","author":[{"dropping-particle":"","family":"Martínez-González","given":"Leticia","non-dropping-particle":"","parse-names":false,"suffix":""},{"dropping-particle":"","family":"Villa","given":"Tania Fernández","non-dropping-particle":"","parse-names":false,"suffix":""},{"dropping-particle":"","family":"La Torre","given":"Antonio José Molina","non-dropping-particle":"De","parse-names":false,"suffix":""},{"dropping-particle":"","family":"Pérez","given":"Carlos Ayán","non-dropping-particle":"","parse-names":false,"suffix":""},{"dropping-particle":"","family":"Cavanillas","given":"Aurora Bueno","non-dropping-particle":"","parse-names":false,"suffix":""},{"dropping-particle":"","family":"Álvarez","given":"Rocío Capelo","non-dropping-particle":"","parse-names":false,"suffix":""},{"dropping-particle":"","family":"Campos","given":"Ramona Mateos","non-dropping-particle":"","parse-names":false,"suffix":""},{"dropping-particle":"","family":"Sánchez","given":"Vicente Martín","non-dropping-particle":"","parse-names":false,"suffix":""}],"container-title":"Nutricion Hospitalaria","id":"ITEM-42","issue":"4","issued":{"date-parts":[["2014"]]},"page":"927-934","publisher":"Grupo Aula Medica S.A.","title":"Prevalencia de trastornos de la conducta alimentaria en universitarios españoles y factores asociados: Proyecto uniHcos","type":"article-journal","volume":"30"},"uris":["http://www.mendeley.com/documents/?uuid=c741f228-9653-3133-8d36-fa0f2461a82c"]},{"id":"ITEM-43","itemData":{"DOI":"10.1002/eat.22449","ISSN":"02763478","abstract":"Objective Social media engagement by adolescent girls is high. Despite its appeal, there are potential negative consequences for body dissatisfaction and disordered eating from social media use. This study aimed to examine, in a cross-sectional design, the relationship between social media use in general, and social media activities related to taking \"selfies\" and sharing specifically, with overvaluation of shape and weight, body dissatisfaction, and dietary restraint. Method Participants were 101 grade seven girls (Mage = 13.1, SD = 0.3), who completed self-report questionnaires of social media use and body-related and eating concerns measures. Results Results showed that girls who regularly shared self-images on social media, relative to those who did not, reported significantly higher overvaluation of shape and weight, body dissatisfaction, dietary restraint, and internalization of the thin ideal. In addition, among girls who shared photos of themselves on social media, higher engagement in manipulation of and investment in these photos, but not higher media exposure, were associated with greater body-related and eating concerns, including after accounting for media use and internalization of the thin ideal. Discussion Although cross-sectional, these findings suggest the importance of social media activities for body-related and eating concerns as well as potential avenues for targeted social-media-based intervention.","author":[{"dropping-particle":"","family":"McLean","given":"Siân A.","non-dropping-particle":"","parse-names":false,"suffix":""},{"dropping-particle":"","family":"Paxton","given":"Susan J.","non-dropping-particle":"","parse-names":false,"suffix":""},{"dropping-particle":"","family":"Wertheim","given":"Eleanor H.","non-dropping-particle":"","parse-names":false,"suffix":""},{"dropping-particle":"","family":"Masters","given":"Jennifer","non-dropping-particle":"","parse-names":false,"suffix":""}],"container-title":"International Journal of Eating Disorders","id":"ITEM-43","issue":"8","issued":{"date-parts":[["2015","12","1"]]},"page":"1132-1140","publisher":"John Wiley and Sons Inc.","title":"Photoshopping the selfie: Self photo editing and photo investment are associated with body dissatisfaction in adolescent girls","type":"article-journal","volume":"48"},"uris":["http://www.mendeley.com/documents/?uuid=f8a83580-e065-3629-9912-58b6991ec117"]},{"id":"ITEM-44","itemData":{"DOI":"10.1089/cyber.2013.0305","ISSN":"21522715","PMID":"24237288","abstract":"The present study examined the relationship between body image and adolescent girls' activity on the social networking site (SNS) Facebook (FB). Research has shown that elevated Internet \"appearance exposure\" is positively correlated with increased body image disturbance among adolescent girls, and there is a particularly strong association with FB use. The present study sought to replicate and extend upon these findings by identifying the specific FB features that correlate with body image disturbance in adolescent girls. A total of 103 middle and high school females completed questionnaire measures of total FB use, specific FB feature use, weight dissatisfaction, drive for thinness, thin ideal internalization, appearance comparison, and self-objectification. An appearance exposure score was calculated based on subjects' use of FB photo applications relative to total FB use. Elevated appearance exposure, but not overall FB usage, was significantly correlated with weight dissatisfaction, drive for thinness, thin ideal internalization, and self-objectification. Implications for eating disorder prevention programs and best practices in researching SNSs are discussed. © Mary Ann Liebert, Inc.","author":[{"dropping-particle":"","family":"Meier","given":"Evelyn P.","non-dropping-particle":"","parse-names":false,"suffix":""},{"dropping-particle":"","family":"Gray","given":"James","non-dropping-particle":"","parse-names":false,"suffix":""}],"container-title":"Cyberpsychology, Behavior, and Social Networking","id":"ITEM-44","issue":"4","issued":{"date-parts":[["2014","4","1"]]},"page":"199-206","publisher":" Mary Ann Liebert, Inc.  140 Huguenot Street, 3rd Floor New Rochelle, NY 10801 USA  ","title":"Facebook photo activity associated with body image disturbance in adolescent girls","type":"article-journal","volume":"17"},"uris":["http://www.mendeley.com/documents/?uuid=a1253132-b11d-30f7-a64f-04a562681164"]},{"id":"ITEM-45","itemData":{"DOI":"10.1089/cyber.2015.0154","ISSN":"21522723","abstract":"Exposure to traditional media has been associated with bulimic symptoms. However, to date, little is known regarding the effects of Internet exposure. The aim of this study was to explore the relationships between Internet use and bulimic symptoms within the competing frameworks of sociocultural, impression management, and self-objectification theory. A sample of 289 French women aged 18-25 years completed an online questionnaire assessing bulimic symptoms, body dissatisfaction, body image avoidance, self-surveillance, body shame, and weekly Internet use. Bootstrapping analyses revealed that body shame and body image avoidance mediated the effect of weekly Internet use on bulimic symptoms. Furthermore, when entered into a multiple mediation analysis, these two variables provided independent mediation pathways of equal magnitude. The findings support the usefulness of both the self-objectification and impression management frameworks for investigating the relationship between Internet use and bulimic symptoms. Longitudinal research would help to clarify these pathways further.","author":[{"dropping-particle":"","family":"Melioli","given":"Tiffany","non-dropping-particle":"","parse-names":false,"suffix":""},{"dropping-particle":"","family":"Rodgers","given":"Rachel F.","non-dropping-particle":"","parse-names":false,"suffix":""},{"dropping-particle":"","family":"Rodrigues","given":"Marie","non-dropping-particle":"","parse-names":false,"suffix":""},{"dropping-particle":"","family":"Chabrol","given":"Henri","non-dropping-particle":"","parse-names":false,"suffix":""}],"container-title":"Cyberpsychology, Behavior, and Social Networking","id":"ITEM-45","issue":"11","issued":{"date-parts":[["2015","11","1"]]},"page":"682-686","publisher":"Mary Ann Liebert Inc.","title":"The role of body image in the relationship between internet use and bulimic symptoms: Three theoretical frameworks","type":"article-journal","volume":"18"},"uris":["http://www.mendeley.com/documents/?uuid=136f7708-df9c-3326-b88d-00279ec19278"]},{"id":"ITEM-46","itemData":{"DOI":"10.1007/s11199-019-01045-9","ISSN":"15732762","abstract":"Considering the prevalence of social networking sites (SNSs) and restrained eating among young adult women, the present study aimed to investigate the association between selfie-posting on an SNS (WeChat Moments, the most widely used SNS in China) and self-objectification among Chinese young adult women as well as the mediating effects of commentary on appearance and self-objectification from the perspective of self-perception theory and objectification theory. A sample of 886 female undergraduate students who had an active WeChat Moments account were recruited voluntarily to complete questionnaires on selfie-posting on SNS, general SNS use, commentary on appearance on SNSs, self-objectification, and restrained eating. The results indicated that after controlling for general SNS use, age, and BMI, selfie-posting on a SNS was positively associated with restrained eating. Commentary on appearance and self-objectification mediated this association, which contained three mediating paths: the separate mediating effects of commentary on appearance and self-objectification and the serial mediating effect of commentary on appearance and self-objectification. These results indicate that selfie-posting and commentary on appearance on a SNS rather than general SNS use are risk factors accounting for restrained eating, which has theoretical and practical implications in terms of SNS use and restrained eating.","author":[{"dropping-particle":"","family":"Niu","given":"Gengfeng","non-dropping-particle":"","parse-names":false,"suffix":""},{"dropping-particle":"","family":"Sun","given":"Lijun","non-dropping-particle":"","parse-names":false,"suffix":""},{"dropping-particle":"","family":"Liu","given":"Qingqi","non-dropping-particle":"","parse-names":false,"suffix":""},{"dropping-particle":"","family":"Chai","given":"Huanyou","non-dropping-particle":"","parse-names":false,"suffix":""},{"dropping-particle":"","family":"Sun","given":"Xiaojun","non-dropping-particle":"","parse-names":false,"suffix":""},{"dropping-particle":"","family":"Zhou","given":"Zongkui","non-dropping-particle":"","parse-names":false,"suffix":""}],"container-title":"Sex Roles","id":"ITEM-46","issue":"3-4","issued":{"date-parts":[["2020","2","1"]]},"page":"232-240","publisher":"Springer","title":"Selfie-Posting and Young Adult Women’s Restrained Eating: The Role of Commentary on Appearance and Self-Objectification","type":"article-journal","volume":"82"},"uris":["http://www.mendeley.com/documents/?uuid=57f05769-b36b-3222-9c94-0b23e4815a11"]},{"id":"ITEM-47","itemData":{"DOI":"10.1080/00221325.2016.1195331","ISSN":"19400896","abstract":"The authors examined cyberbullying victimization in the context of issues of key importance to youth: body esteem, social support, and social self-efficacy. Research has found that traditional peer-bullying victimization is significantly correlated with low body esteem in Western societies, especially pertaining to weight (R. Puhl &amp; J. Luedicke, 2012). Studies have also found a relationship among bullying victimization, appearance-related bullying, low body esteem, and psychosocial difficulties among youth (L. E. Park, R. M. Calogero, A.F. Young, &amp; A. Diraddo, 2010). However, the emergence of cyberbullying, characterized by its own special features (P. K. Smith et al., 2008), has raised a salient need to explore the relationship between cyber victimization and body esteem, no less important with social framework, because both are key components in adolescents' lives that may be associated with cyberbullying victimization. The authors examined these relationships among 204 Israeli adolescents 14–16 years old. The results indicate a noteworthy prevalence (45%) of cyber victims. Cyber victimization is significantly correlated with low body esteem and low social support and social self-efficacy. Low body esteem and low social support predicted the probability of being a cyber victim. The results extend the knowledge about potential personal and social risk factors for cyber victimization during adolescence. Implications for specific intervention programs are discussed.","author":[{"dropping-particle":"","family":"Olenik-Shemesh","given":"Dorit","non-dropping-particle":"","parse-names":false,"suffix":""},{"dropping-particle":"","family":"Heiman","given":"Tali","non-dropping-particle":"","parse-names":false,"suffix":""}],"container-title":"Journal of Genetic Psychology","id":"ITEM-47","issue":"1","issued":{"date-parts":[["2017","1","2"]]},"page":"28-43","publisher":"Routledge","title":"Cyberbullying Victimization in Adolescents as Related to Body Esteem, Social Support, and Social Self-Efficacy","type":"article-journal","volume":"178"},"uris":["http://www.mendeley.com/documents/?uuid=926ae9cc-ba59-3cc2-8689-8cfb61022d34"]},{"id":"ITEM-48","itemData":{"DOI":"10.1016/j.psychres.2017.01.095","ISSN":"18727123","abstract":"We examined the association of body mass index (BMI), body weight perception, and weight control behaviors with problematic Internet use in a nationwide sample of Korean adolescents. Cross-sectional data from the 2010 Korean Youth Risk Behavior Web-based Survey collected from 37,041 boys and 33,655 girls in middle- and high- schools (grades 7–12) were analyzed. Participants were classified into groups based on BMI (underweight, normal weight, overweight, and obese), body weight perception (underweight, normal weight, and overweight), and weight control behavior (no weight control behavior, appropriate weight control behavior, inappropriate weight control behavior). The risk of problematic Internet use was assessed with the Korean Internet Addiction Proneness Scale for Youth-Short Form. Both boys and girls with inappropriate weight control behavior were more likely to have problematic Internet use. Underweight, overweight, and obese boys and girls were more likely to have problematic Internet use. For both boys and girls, subjective perception of underweight and overweight were positively associated with problematic Internet use. Given the negative effect of inappropriate weight control behavior, special attention needs to be given to adolescents’ inappropriate weight control behavior, and an educational intervention for adolescents to control their weight in healthy ways is needed.","author":[{"dropping-particle":"","family":"Park","given":"Subin","non-dropping-particle":"","parse-names":false,"suffix":""},{"dropping-particle":"","family":"Lee","given":"Yeeun","non-dropping-particle":"","parse-names":false,"suffix":""}],"container-title":"Psychiatry Research","id":"ITEM-48","issued":{"date-parts":[["2017","5","1"]]},"page":"275-280","publisher":"Elsevier Ireland Ltd","title":"Associations of body weight perception and weight control behaviors with problematic internet use among Korean adolescents","type":"article-journal","volume":"251"},"uris":["http://www.mendeley.com/documents/?uuid=162edf25-7cdf-38de-b117-15397863078d"]},{"id":"ITEM-49","itemData":{"DOI":"10.1002/eat.23055","ISSN":"0276-3478","abstract":"Objective: The aim of the study is to examine the association between victimization and unhealthy weight control behaviors (UWCB), accounting for other key correlates of UWCB while considering the moderating role of sexual identity and gender. Method: This study used data from the 2017 Texas Youth Risk Behavior Survey (YRBS), a representative sample of students in grades 9–12 in the U.S. state of Texas, including 2,067 students (1,754 heterosexuals and 313 sexual minorities). We used survey-weighted logistic regression to examine the association of sexual identity, gender, and victimization (dating violence, cyberbullying, and school bullying) with UWCB, after adjusting for demographic information and indicators of weight, physical activity, and support from adults. Results: Unhealthy weight control behaviors were associated with older age, being obese, lack of support from adults, low physical activity, and cyberbullying. A significant three-way interaction between gender, sexual identity and bullying showed that bullying was associated with high levels of UWCB among sexual minority males. Discussion: Our study highlights the role of victimization in health behaviors for stigmatized groups, and the importance of school efforts to implement an equitable and safe learning environment for all students.","author":[{"dropping-particle":"","family":"Pistella","given":"Jessica","non-dropping-particle":"","parse-names":false,"suffix":""},{"dropping-particle":"","family":"Ioverno","given":"Salvatore","non-dropping-particle":"","parse-names":false,"suffix":""},{"dropping-particle":"","family":"Russell","given":"Stephen T.","non-dropping-particle":"","parse-names":false,"suffix":""}],"container-title":"International Journal of Eating Disorders","id":"ITEM-49","issue":"5","issued":{"date-parts":[["2019","5","25"]]},"page":"597-601","publisher":"John Wiley and Sons Inc.","title":"The role of peer victimization, sexual identity, and gender on unhealthy weight control behaviors in a representative sample of Texas youth","type":"article-journal","volume":"52"},"uris":["http://www.mendeley.com/documents/?uuid=b141ba8d-eccc-3900-b572-819243ece57c"]},{"id":"ITEM-50","itemData":{"DOI":"10.1016/j.bodyim.2020.02.002","ISSN":"17401445","abstract":"The present study experimentally examined the effects of viewing Instagram images of fitspiration on body dissatisfaction, mood, and exercise behaviour among young women. Further, the study investigated if exercise engagement following exposure to fitspiration images could mitigate any negative effects from image exposure. Participants were 108 women, aged 17–25 years, who were randomly assigned to a 2 (image type: fitspiration, travel inspiration) × 2 (activity type: exercise, quiet rest) between groups design. State body dissatisfaction and mood were assessed at baseline, following image exposure, and following participation in 10 min of walking or quiet rest. Results demonstrated that exposure to fitspiration images led to significantly higher negative mood and body dissatisfaction relative to exposure to travel images. There was no difference in actual exercise behaviour according to image type. However, participants who exercised following exposure to fitspiration images were significantly more likely to report higher subjective exertion ratings. Overall, negative mood and body dissatisfaction decreased after both exercise and quiet rest, with no additional benefit of exercise for the fitspiration condition. These findings provide further evidence highlighting fitspiration as a potentially harmful online trend.","author":[{"dropping-particle":"","family":"Prichard","given":"Ivanka","non-dropping-particle":"","parse-names":false,"suffix":""},{"dropping-particle":"","family":"Kavanagh","given":"Eliza","non-dropping-particle":"","parse-names":false,"suffix":""},{"dropping-particle":"","family":"Mulgrew","given":"Kate E.","non-dropping-particle":"","parse-names":false,"suffix":""},{"dropping-particle":"","family":"Lim","given":"Megan S.C.","non-dropping-particle":"","parse-names":false,"suffix":""},{"dropping-particle":"","family":"Tiggemann","given":"Marika","non-dropping-particle":"","parse-names":false,"suffix":""}],"container-title":"Body Image","id":"ITEM-50","issued":{"date-parts":[["2020","6","1"]]},"page":"1-6","publisher":"Elsevier Ltd","title":"The effect of Instagram #fitspiration images on young women's mood, body image, and exercise behaviour","type":"article-journal","volume":"33"},"uris":["http://www.mendeley.com/documents/?uuid=8d04e5db-9789-39e1-a620-1cb9a7efd95f"]},{"id":"ITEM-51","itemData":{"DOI":"10.1007/s11469-017-9834-z","ISSN":"15571882","abstract":"Problematic Internet use (PIU) has been associated with eating disorder (ED) risk factors and pathological patterns of exercise (e.g., exercise dependence (EXD)). Few studies have empirically examined the co-occurrence and relationship among PIU, EXD, and EDs simultaneously. Thus, the primary purpose of this study was to examine the prevalence and co-occurrence of PIU, EXD, and ED in a population-based sample of women. The secondary purpose was to categorically examine the relationship of negative affect with PIU, EXD, and ED symptom scores while controlling for negative affect. A sample of 898 women (M age = 27.6) completed questionnaire measures of ED, EXD, and PUI. Overall, 14.32% reported PIU, 1.96% stated EXD, and 35.07% reported ED risk. Correlations among negative affect and PIU, EDS, and EXD scores were observed. Results suggest comorbid relationships may exist among these increasingly prevalent behaviors and have implications in decisions concerning the prevention and treatment of EDs.","author":[{"dropping-particle":"","family":"Quesnel","given":"Danika A.","non-dropping-particle":"","parse-names":false,"suffix":""},{"dropping-particle":"","family":"Cook","given":"Brian","non-dropping-particle":"","parse-names":false,"suffix":""},{"dropping-particle":"","family":"Murray","given":"Kellen","non-dropping-particle":"","parse-names":false,"suffix":""},{"dropping-particle":"","family":"Zamudio","given":"Jessica","non-dropping-particle":"","parse-names":false,"suffix":""}],"container-title":"International Journal of Mental Health and Addiction","id":"ITEM-51","issue":"5","issued":{"date-parts":[["2018","10","1"]]},"page":"1113-1124","publisher":"Springer New York LLC","title":"Inspiration or Thinspiration: the Association Among Problematic Internet Use, Exercise Dependence, and Eating Disorder Risk","type":"article-journal","volume":"16"},"uris":["http://www.mendeley.com/documents/?uuid=4bb8a9a4-7331-3447-87f0-06b60213e08e"]},{"id":"ITEM-52","itemData":{"DOI":"10.1007/s10964-019-01190-0","ISSN":"15736601","PMID":"31907699","abstract":"Social media use is associated with body image concerns, disordered eating and body change behaviors in adolescents. This study aimed to examine these relationships within a biopsychosocial framework and test an integrated model. A sample of 681 adolescents (49% female), mean age = 12.76 years (SD = 0.74), completed a questionnaire assessing social media use, depression, self-esteem, body mass index, social media and muscular ideal internalization, appearance comparison, body dissatisfaction, disordered eating, and muscle-building behaviors. Path analysis was used to test the hypothetical model, which after modification revealed good fit to the data, although gender differences emerged. The findings suggest that biopsychosocial frameworks are useful for conceptualizing relationships between social media use and body image, eating, and muscle building outcomes.","author":[{"dropping-particle":"","family":"Rodgers","given":"Rachel F.","non-dropping-particle":"","parse-names":false,"suffix":""},{"dropping-particle":"","family":"Slater","given":"Amy","non-dropping-particle":"","parse-names":false,"suffix":""},{"dropping-particle":"","family":"Gordon","given":"Chloe S.","non-dropping-particle":"","parse-names":false,"suffix":""},{"dropping-particle":"","family":"McLean","given":"Siân A.","non-dropping-particle":"","parse-names":false,"suffix":""},{"dropping-particle":"","family":"Jarman","given":"Hannah K.","non-dropping-particle":"","parse-names":false,"suffix":""},{"dropping-particle":"","family":"Paxton","given":"Susan J.","non-dropping-particle":"","parse-names":false,"suffix":""}],"container-title":"Journal of Youth and Adolescence","id":"ITEM-52","issue":"2","issued":{"date-parts":[["2020","2","1"]]},"page":"399-409","publisher":"Springer","title":"A Biopsychosocial Model of Social Media Use and Body Image Concerns, Disordered Eating, and Muscle-Building Behaviors among Adolescent Girls and Boys","type":"article-journal","volume":"49"},"uris":["http://www.mendeley.com/documents/?uuid=a3dd6820-96f3-3b86-bcec-bba16505a731"]},{"id":"ITEM-53","itemData":{"DOI":"10.1007/s40519-019-00754-0","ISSN":"15901262","abstract":"Background: Dating apps are largely visual platforms and based on evaluations of the attractiveness of users. Thus, engaging with this type of social media may be associated with body image concerns. Objective: This study aimed to explore the relationship between dating app use and body image. Methods: College students (n = 170, 50% females) reported on dating app use, as well as body shame, surveillance, body satisfaction, media ideal internalization, and controllability beliefs related to weight/shape. Results: Among males, frequent checking of dating apps was positively correlated with body shame and negatively with beliefs regarding weight/shape controllability. Media internalization was negatively correlated with experiencing negative feelings when using dating apps, and positively with positive feelings. Few associations emerged among females. Conclusion: Dating app use seems most tightly associated with body image concerns among males. Level of evidence: Level V, cross-sectional descriptive study.","author":[{"dropping-particle":"","family":"Rodgers","given":"Rachel F.","non-dropping-particle":"","parse-names":false,"suffix":""},{"dropping-particle":"","family":"Campagna","given":"Jenna","non-dropping-particle":"","parse-names":false,"suffix":""},{"dropping-particle":"","family":"Attawala","given":"Raihaan","non-dropping-particle":"","parse-names":false,"suffix":""},{"dropping-particle":"","family":"Richard","given":"Chloe","non-dropping-particle":"","parse-names":false,"suffix":""},{"dropping-particle":"","family":"Kakfa","given":"Chris","non-dropping-particle":"","parse-names":false,"suffix":""},{"dropping-particle":"","family":"Rizzo","given":"Christie","non-dropping-particle":"","parse-names":false,"suffix":""}],"container-title":"Eating and Weight Disorders","id":"ITEM-53","issued":{"date-parts":[["2019","7","27"]]},"page":"1-5","publisher":"Springer International Publishing","title":"In the eye of the swiper: a preliminary analysis of the relationship between dating app use and dimensions of body image","type":"article-journal"},"uris":["http://www.mendeley.com/documents/?uuid=a2ac0996-e456-313c-9fb3-7a67fec29e9b"]},{"id":"ITEM-54","itemData":{"DOI":"10.1089/cyber.2012.1570","ISSN":"21522715","abstract":"Internet addiction is an increasing concern among young adults. Self-presentational theory posits that the Internet offers a context in which individuals are able to control their image. Little is known about body image and eating concerns among pathological Internet users. The aim of this study was to explore the association between Internet addiction symptoms, body image esteem, body image avoidance, and disordered eating. A sample of 392 French young adults (68 percent women) completed an online questionnaire assessing time spent online, Internet addiction symptoms, disordered eating, and body image avoidance. Fourteen men (11 percent) and 26 women (9.7 percent) reported Internet addiction. Body image avoidance was associated with Internet addiction symptoms among both genders. Controlling for body-mass index, Internet addiction symptoms, and body image avoidance were both significant predictors of disordered eating among women. These findings support the self-presentational theory of Internet addiction and suggest that body image avoidance is an important factor. © Mary Ann Liebert, Inc.","author":[{"dropping-particle":"","family":"Rodgers","given":"Rachel F.","non-dropping-particle":"","parse-names":false,"suffix":""},{"dropping-particle":"","family":"Melioli","given":"Tiffany","non-dropping-particle":"","parse-names":false,"suffix":""},{"dropping-particle":"","family":"Laconi","given":"Stéphanie","non-dropping-particle":"","parse-names":false,"suffix":""},{"dropping-particle":"","family":"Bui","given":"Eric","non-dropping-particle":"","parse-names":false,"suffix":""},{"dropping-particle":"","family":"Chabrol","given":"Henri","non-dropping-particle":"","parse-names":false,"suffix":""}],"container-title":"Cyberpsychology, Behavior, and Social Networking","id":"ITEM-54","issue":"1","issued":{"date-parts":[["2013","1","1"]]},"page":"56-60","title":"Internet addiction symptoms, disordered eating, and body image avoidance","type":"article-journal","volume":"16"},"uris":["http://www.mendeley.com/documents/?uuid=b38512b6-dca7-3ce5-9622-c9f50522f8a3"]},{"id":"ITEM-55","itemData":{"DOI":"10.1002/erv.1096","ISSN":"10724133","abstract":"Objective The objective of this study was to explore motivations to become a member of a French-language 'pro-ana' online community, perceptions of support provided by other members and the nature of the information provided. Method A sample of 29 members of an online community were assessed for disordered eating and responded to open-ended questions exploring perceptions of the online community. Results All participants reported high levels of disordered eating (Eating Attitudes Test &gt; 30). The main motive for joining the online community was to be provided with both advice regarding weight loss and support. The majority of them equated thinness with happiness and were satisfied with their membership. Participants also described the types of advice that they had received concerning weight loss. Conclusions Members of pro-ana online communities are likely to display high levels of disordered eating. Furthermore, membership to the online community was motivated not only by weight concerns but also by the support provided. Our findings confirmed the role of these online communities in encouraging harmful weight-loss and weight-control practices. © 2011 John Wiley &amp; Sons, Ltd and Eating Disorders Association.","author":[{"dropping-particle":"","family":"Rodgers","given":"Rachel F.","non-dropping-particle":"","parse-names":false,"suffix":""},{"dropping-particle":"","family":"Skowron","given":"Sabrina","non-dropping-particle":"","parse-names":false,"suffix":""},{"dropping-particle":"","family":"Chabrol","given":"Henri","non-dropping-particle":"","parse-names":false,"suffix":""}],"container-title":"European Eating Disorders Review","id":"ITEM-55","issue":"1","issued":{"date-parts":[["2012","1","1"]]},"page":"9-12","publisher":"John Wiley &amp; Sons, Ltd","title":"Disordered Eating and Group Membership Among Members of a Pro-anorexic Online Community","type":"article-journal","volume":"20"},"uris":["http://www.mendeley.com/documents/?uuid=551e6071-760d-3483-92e3-ca42fed66284"]},{"id":"ITEM-56","itemData":{"DOI":"10.1016/j.jand.2016.03.021","ISSN":"22122672","PMID":"27161027","abstract":"Background The etiology of eating concerns is multifactorial, and exposure to media messages is considered to be a contributor. Although traditional media, such as television and magazines, have been examined extensively in relation to eating concerns risk, the influence of social media has received relatively less attention. Objective To examine the association between social media use and eating concerns in a large, nationally representative sample of young adults. Design Cross-sectional survey. Participants/setting Participants were 1,765 young adults aged 19 to 32 years who were randomly selected from a national probability-based online nonvolunteer panel. Outcome measures An eating concerns scale was adapted from two validated measures: the SCOFF Questionnaire and the Eating Disorder Screen for Primary Care. Social media use (including Facebook, Twitter, Google+, YouTube, LinkedIn, Instagram, Pinterest, Tumblr, Vine, Snapchat, and Reddit) was assessed using both volume (time per day) and frequency (visits per week). Statistical analyses To examine associations between eating concerns and social media use, ordered logistic regression was used, controlling for all covariates. Results Compared with those in the lowest quartile, participants in the highest quartiles for social media volume and frequency had significantly greater odds of having eating concerns (adjusted odds ratio 2.18, 95% CI 1.50 to 3.17 and adjusted odds ratio 2.55, 95% CI 1.72 to 3.78, respectively). There were significant positive overall linear associations between the social media use variables and eating concerns (P&lt;0.001). Conclusions The results from this study indicate a strong and consistent association between social media use and eating concerns in a nationally representative sample of young adults aged 19 to 32 years. This association was apparent whether social media use was measured as volume or frequency. Further research should assess the temporality of these associations. It would also be useful to examine more closely the influence of specific characteristics of social media use, including content-related and contextual features.","author":[{"dropping-particle":"","family":"Sidani","given":"Jaime E.","non-dropping-particle":"","parse-names":false,"suffix":""},{"dropping-particle":"","family":"Shensa","given":"Ariel","non-dropping-particle":"","parse-names":false,"suffix":""},{"dropping-particle":"","family":"Hoffman","given":"Beth","non-dropping-particle":"","parse-names":false,"suffix":""},{"dropping-particle":"","family":"Hanmer","given":"Janel","non-dropping-particle":"","parse-names":false,"suffix":""},{"dropping-particle":"","family":"Primack","given":"Brian A.","non-dropping-particle":"","parse-names":false,"suffix":""}],"container-title":"Journal of the Academy of Nutrition and Dietetics","id":"ITEM-56","issue":"9","issued":{"date-parts":[["2016","9","1"]]},"page":"1465-1472","publisher":"Elsevier B.V.","title":"The Association between Social Media Use and Eating Concerns among US Young Adults","type":"article-journal","volume":"116"},"uris":["http://www.mendeley.com/documents/?uuid=3ff3adee-ae11-39f7-9919-0d4fccd0e217"]},{"id":"ITEM-57","itemData":{"DOI":"10.1016/j.eatbeh.2017.02.002","ISSN":"18737358","abstract":"The use of online calorie tracking applications and activity monitors is increasing exponentially. Anecdotal reports document the potential for these trackers to trigger, maintain, or exacerbate eating disorder symptomatology. Yet, research has not examined the relation between use of these devices and eating disorder-related attitudes and behaviors. This study explored associations between the use of calorie counting and fitness tracking devices and eating disorder symptomatology. Participants (N = 493) were college students who reported their use of tracking technology and completed measures of eating disorder symptomatology. Individuals who reported using calorie trackers manifested higher levels of eating concern and dietary restraint, controlling for BMI. Additionally, fitness tracking was uniquely associated with ED symptomatology after adjusting for gender and bingeing and purging behavior within the past month. Findings highlight associations between use of calorie and fitness trackers and eating disorder symptomatology. Although preliminary, overall results suggest that for some individuals, these devices might do more harm than good.","author":[{"dropping-particle":"","family":"Simpson","given":"Courtney C.","non-dropping-particle":"","parse-names":false,"suffix":""},{"dropping-particle":"","family":"Mazzeo","given":"Suzanne E.","non-dropping-particle":"","parse-names":false,"suffix":""}],"container-title":"Eating Behaviors","id":"ITEM-57","issued":{"date-parts":[["2017","8","1"]]},"page":"89-92","publisher":"Elsevier Ltd","title":"Calorie counting and fitness tracking technology: Associations with eating disorder symptomatology","type":"article-journal","volume":"26"},"uris":["http://www.mendeley.com/documents/?uuid=b38605cf-8b82-3da1-9fb0-9e2cbabce95d"]},{"id":"ITEM-58","itemData":{"DOI":"10.1002/eat.22640","ISSN":"02763478","abstract":"Objective: The primary aim of the study was to examine the relationship across time between Facebook use and body image concern in adolescent girls. Method: A sample of 438 girls in the first two years (Years 8 and 9) of high school (aged 13-15 years) at Time 1 completed questionnaire measures of Facebook consumption and body image concerns, and again two years later (Time 2). Results: Facebook involvement increased substantially over the two year time period. Body image concerns also increased. Number of Facebook friends was found to prospectively predict the observed increase in drive for thinness. On the other hand, internalization and body surveillance prospectively predicted the observed increase in number of Facebook friends. Discussion: It was concluded that Facebook “friendships” represent a potent sociocultural force in the body image of adolescent girls. © 2016 Wiley Periodicals, Inc. (Int J Eat Disord 2017; 50:80–83).","author":[{"dropping-particle":"","family":"Tiggemann","given":"Marika","non-dropping-particle":"","parse-names":false,"suffix":""},{"dropping-particle":"","family":"Slater","given":"Amy","non-dropping-particle":"","parse-names":false,"suffix":""}],"container-title":"International Journal of Eating Disorders","id":"ITEM-58","issue":"1","issued":{"date-parts":[["2017","1","1"]]},"page":"80-83","publisher":"John Wiley and Sons Inc.","title":"Facebook and body image concern in adolescent girls: A prospective study","type":"article-journal","volume":"50"},"uris":["http://www.mendeley.com/documents/?uuid=6b1b8d41-ac34-37d8-af68-9d5d86cd9c06"]},{"id":"ITEM-59","itemData":{"DOI":"10.1016/j.bodyim.2019.03.001","ISSN":"17401445","abstract":"Although social networking services typically promote the thin beauty ideal for women, they also provide an opportunity for users to challenge this dominant ideal in unique and novel ways. This study aimed to experimentally investigate the influence of exposure to humorous, parody images of thin-ideal celebrity Instagram posts on women's body satisfaction and mood compared to exposure to thin-ideal celebrity posts alone. Participants were 102 women aged 18–30 years who were randomly allocated to view either a set of Instagram images of thin-ideal celebrity posts or humorous parody images of the same celebrity posts. Results indicated that acute exposure to parody images led to increased body satisfaction and positive mood (happiness) compared to exposure to the thin-ideal celebrity images alone. No group differences were found on levels of trait appearance comparison or social media literacy, and the findings were not moderated by trait levels of thin-ideal internalisation. The findings provide preliminary support for the use of humorous, parody images for improving body satisfaction and positive mood in young women and add to the small but growing body of research highlighting potentially positive effects of social media.","author":[{"dropping-particle":"","family":"Slater","given":"Amy","non-dropping-particle":"","parse-names":false,"suffix":""},{"dropping-particle":"","family":"Cole","given":"Natasha","non-dropping-particle":"","parse-names":false,"suffix":""},{"dropping-particle":"","family":"Fardouly","given":"Jasmine","non-dropping-particle":"","parse-names":false,"suffix":""}],"container-title":"Body Image","id":"ITEM-59","issued":{"date-parts":[["2019","6","1"]]},"page":"82-89","publisher":"Elsevier Ltd","title":"The effect of exposure to parodies of thin-ideal images on young women's body image and mood","type":"article-journal","volume":"29"},"uris":["http://www.mendeley.com/documents/?uuid=0f01ca20-5712-3259-a3cb-a2aa7f9c690e"]},{"id":"ITEM-60","itemData":{"DOI":"10.1016/j.jad.2013.01.032","ISSN":"01650327","abstract":"Background: The current study examined the effects of online social evaluations and comparisons on body dissatisfaction and bulimic symptoms. Methods: We tested the effects of maladaptive Facebook usage (defined as the tendency to seek negative social evaluations and/or engage in social comparisons via Facebook) on body dissatisfaction and bulimic symptoms in a sample of 232 college females followed for approximately 4 weeks. Results: Results provided evidence that maladaptive Facebook usage significantly predicted increases in bulimic symptoms and episodes of over-eating approximately four weeks later. Body dissatisfaction was found to fully mediate the relationship between maladaptive Facebook usage and increases in over-eating episodes, whereas body dissatisfaction partially mediated the relationship between maladaptive Facebook usage and increases in bulimic symptoms more broadly. Limitations: Limitations include the use of a novel measure of maladaptive Facebook usage due to the absence of an existing measure and a non-clinical sample. Conclusions: The results of this study suggest that reducing maladaptive Facebook usage may be a fruitful target for interventions aimed at reducing body dissatisfaction and symptoms of eating pathology. © 2013 Elsevier B.V.","author":[{"dropping-particle":"","family":"Smith","given":"April R.","non-dropping-particle":"","parse-names":false,"suffix":""},{"dropping-particle":"","family":"Hames","given":"Jennifer L.","non-dropping-particle":"","parse-names":false,"suffix":""},{"dropping-particle":"","family":"Joiner","given":"Thomas E.","non-dropping-particle":"","parse-names":false,"suffix":""}],"container-title":"Journal of Affective Disorders","id":"ITEM-60","issue":"1-3","issued":{"date-parts":[["2013","7"]]},"page":"235-240","publisher":"J Affect Disord","title":"Status Update: Maladaptive Facebook usage predicts increases in body dissatisfaction and bulimic symptoms","type":"article-journal","volume":"149"},"uris":["http://www.mendeley.com/documents/?uuid=b4ee98f3-dee0-3b29-b35f-0e6c881ee1f5"]},{"id":"ITEM-61","itemData":{"DOI":"10.1007/s11199-015-0517-6","ISSN":"15732762","abstract":"Growing media consumption and emerging forms of social media such as Facebook allow for unprecedented appearance-based social comparison with peers, family, and the wider media. We hypothesise that, for adult men and women, body dissatisfaction is related to peer-based media just as it is to traditional media forms. We expect that middle-aged women in particular are a vulnerable population, due to increasing pressure to conform to youthful beauty standards. In a national sample of New Zealand adults collected in 2012 (N = 11,017), we test the cross-sectional links between being a Facebook user and body satisfaction for men and women across age cohorts. Using a Bayesian regression model testing curvilinear effects of age, we show that having and using a Facebook profile is associated with poorer body satisfaction for both men and women, and across all ages. For women who use Facebook, a U-shaped curvilinear relationship was found between age and body satisfaction; thus the gap between non-users and users in body satisfaction was exacerbated among middle-aged women. A possible cohort effect also indicated that young women tend to be lower in body satisfaction overall. These findings add to the extant literature by suggesting that new media exposure may be associated with lower body satisfaction for some populations more than others, and emphasise the importance of examining body satisfaction in older populations.","author":[{"dropping-particle":"","family":"Stronge","given":"Samantha","non-dropping-particle":"","parse-names":false,"suffix":""},{"dropping-particle":"","family":"Greaves","given":"Lara M.","non-dropping-particle":"","parse-names":false,"suffix":""},{"dropping-particle":"","family":"Milojev","given":"Petar","non-dropping-particle":"","parse-names":false,"suffix":""},{"dropping-particle":"","family":"West-Newman","given":"Tim","non-dropping-particle":"","parse-names":false,"suffix":""},{"dropping-particle":"","family":"Barlow","given":"Fiona Kate","non-dropping-particle":"","parse-names":false,"suffix":""},{"dropping-particle":"","family":"Sibley","given":"Chris G.","non-dropping-particle":"","parse-names":false,"suffix":""}],"container-title":"Sex Roles","id":"ITEM-61","issue":"5-6","issued":{"date-parts":[["2015","9","22"]]},"page":"200-213","publisher":"Springer New York LLC","title":"Facebook is Linked to Body Dissatisfaction: Comparing Users and Non-Users","type":"article-journal","volume":"73"},"uris":["http://www.mendeley.com/documents/?uuid=3835291d-1427-3e46-b715-fe688797d45e"]},{"id":"ITEM-62","itemData":{"DOI":"10.1002/eat.23202","ISSN":"1098108X","abstract":"Objective: Desire for slimness (DS) is a well-established risk factor for eating disorders among adolescents, particularly girls. It is known that exposure to traditional media such as television can increase DS. However, the association between DS and the use of new media, such as social networking sites (SNS), adjusting for relevant potential confounders, has not been examined to-date. In this study, we assessed the relationship between DS and SNS use among early adolescent girls and boys, adjusting for body mass index (BMI), time spent watching television, and Internet use. Method: DS, SNS use, and confounding variables were assessed using self-report questionnaires and face-to-face interviews from a cross-sectional population-based survey of 4,478 10-year-old Japanese adolescents (2,100 girls and 2,378 boys). Results: After adjusting for confounding variables, SNS use was associated with increased risk of DS among girls (odds ratio [OR] = 1.93; 95% confidence interval [CI], 1.17–3.18, p =.010), but not among boys (OR = 1.07; 95% CI, 0.64–1.80, p =.786). Discussion: Exposure to SNS was associated with an increased risk of DS among early adolescents, especially girls. Targeting SNS use in early adolescence seems a promising approach to prevention of DS and subsequent eating problems, particularly among girls.","author":[{"dropping-particle":"","family":"Sugimoto","given":"Noriko","non-dropping-particle":"","parse-names":false,"suffix":""},{"dropping-particle":"","family":"Nishida","given":"Atsushi","non-dropping-particle":"","parse-names":false,"suffix":""},{"dropping-particle":"","family":"Ando","given":"Shuntaro","non-dropping-particle":"","parse-names":false,"suffix":""},{"dropping-particle":"","family":"Usami","given":"Satoshi","non-dropping-particle":"","parse-names":false,"suffix":""},{"dropping-particle":"","family":"Toriyama","given":"Rie","non-dropping-particle":"","parse-names":false,"suffix":""},{"dropping-particle":"","family":"Morimoto","given":"Yuko","non-dropping-particle":"","parse-names":false,"suffix":""},{"dropping-particle":"","family":"Koike","given":"Shinsuke","non-dropping-particle":"","parse-names":false,"suffix":""},{"dropping-particle":"","family":"Yamasaki","given":"Syudo","non-dropping-particle":"","parse-names":false,"suffix":""},{"dropping-particle":"","family":"Kanata","given":"Sho","non-dropping-particle":"","parse-names":false,"suffix":""},{"dropping-particle":"","family":"Fujikawa","given":"Shinya","non-dropping-particle":"","parse-names":false,"suffix":""},{"dropping-particle":"","family":"Furukawa","given":"Toshiaki A.","non-dropping-particle":"","parse-names":false,"suffix":""},{"dropping-particle":"","family":"Sasaki","given":"Tsukasa","non-dropping-particle":"","parse-names":false,"suffix":""},{"dropping-particle":"","family":"Hiraiwa-Hasegawa","given":"Mariko","non-dropping-particle":"","parse-names":false,"suffix":""},{"dropping-particle":"","family":"Kasai","given":"Kiyoto","non-dropping-particle":"","parse-names":false,"suffix":""}],"container-title":"International Journal of Eating Disorders","id":"ITEM-62","issue":"2","issued":{"date-parts":[["2020","2","1"]]},"page":"288-295","publisher":"John Wiley and Sons Inc.","title":"Use of social networking sites and desire for slimness among 10-year-old girls and boys: A population-based birth cohort study","type":"article-journal","volume":"53"},"uris":["http://www.mendeley.com/documents/?uuid=4bca9c32-5650-3c84-bb9a-0f906415c463"]},{"id":"ITEM-63","itemData":{"DOI":"10.1007/s40519-013-0025-z","ISSN":"11244909","abstract":"Background: It has been reported that Internet addiction is associated with substance dependence. Eating disorders have high rates of co-morbidity with substance use disorders. The relationship between Internet addiction and eating disorders was reported in a previous study. Aims: To examine the hypothesis that Internet addiction is closely associated with bulimia. The hypothesis that depression mediates the relationship between Internet addiction and bulimia symptoms was also tested. Methods: 2,036 Chinese college students were assessed on Internet addiction, eating behaviors and depression. Binge eating, compensatory behaviors, weight concern, menarche and weight change were also reported. Multiple regression analysis was used to test the mediating effect of depression. Results: Internet addicts showed significantly higher scores on most subscales on EDI-1 than the controls. They reported significantly more binge eating, weight concern and weight change than the controls. Among all of the participants, depression was found to be a partial mediator in the relationship between Internet addiction and bulimia. Conclusion: This survey provides evidence of the co-morbidity of Internet addiction and bulimia. © 2013 Springer International Publishing Switzerland.","author":[{"dropping-particle":"","family":"Tao","given":"Zhuoli","non-dropping-particle":"","parse-names":false,"suffix":""}],"container-title":"Eating and Weight Disorders","id":"ITEM-63","issue":"3","issued":{"date-parts":[["2013","9"]]},"page":"233-243","title":"The relationship between Internet addiction and bulimia in a sample of Chinese college students: Depression as partial mediator between Internet addiction and bulimia","type":"article-journal","volume":"18"},"uris":["http://www.mendeley.com/documents/?uuid=29ffd3c9-a50f-3376-bdd9-d148eb6f8fe3"]},{"id":"ITEM-64","itemData":{"DOI":"10.1007/BF03327803","ISSN":"15901262","PMID":"19934640","abstract":"OBJECTIVE: Several studies have examined the underlying psychopathology in overuse of the Internet, including depression, social anxiety, and substance dependence. A relationship between these psychological disorders appears to exist. No links have been established between Internet dependence and eating disorders. METHOD: Fifty-four Internet dependents were compared with a control group concerning symptomatic aspects of eating disorders and psychological characteristics related to eating disorders. They all belonged to 1199 respondents of Chinese secondary school and college students between the ages of 12 and 25 years old. A Mann-Whitney U-test was used to determine the difference between Internet dependent groups and non-Internet dependent groups concerning Eating Attitudes Test and Eating Disorder Inventory scores. RESULTS: Females and male Internet dependents rated themselves with significantly higher symptomatic aspects of eating disorders than control groups. Female and male Internet dependents showed significantly higher psychological characteristics related to eating disorders than control groups. CONCLUSIONS: A relationship between Internet dependence and eating disorders appears to exist. ©2009, Editrice Kurtis.","author":[{"dropping-particle":"","family":"Tao","given":"Zhuoli L.","non-dropping-particle":"","parse-names":false,"suffix":""},{"dropping-particle":"","family":"Liu","given":"Y.","non-dropping-particle":"","parse-names":false,"suffix":""}],"container-title":"Eating and Weight Disorders","id":"ITEM-64","issue":"2-3","issued":{"date-parts":[["2009","12","18"]]},"page":"e77-e83","publisher":"Springer International Publishing","title":"Is there a relationship between Internet dependence and eating disorders? A comparison study of Internet dependents and non-Internet dependents","type":"article-journal","volume":"14"},"uris":["http://www.mendeley.com/documents/?uuid=029044a6-44f3-316e-b79f-c026f8896f73"]},{"id":"ITEM-65","itemData":{"DOI":"10.1111/tmi.13340","ISSN":"1360-2276","abstract":"Objective: Body dissatisfaction and eating disorders (ED) among young females may increase in limited-resource settings as exposure to media and higher-resource cultures increases. We examined ED prevalence and its predictors among adolescent girls in rural north-western Burkina Faso. Methods: Fieldworkers interviewed 696 female adolescents aged 12-20 years in the Nouna Health and Demographic Surveillance System (HDSS). ED were evaluated using the Structured Clinical Interview for DSM-5 (SCID-5), self-perceived appearance and body ideal were measured using Thompson and Gray’s Contour Drawing Rating Scale (CDRS) and eating disorder predictors by the Eating Disorder Examination Questionnaire (EDE-Q). We assessed media exposure to magazines, radio, television, and the internet. Results: 16% of respondents had a BMI below WHO age-standardised 5th percentile, while 4% were above the 85th percentile; most respondents wanted to be larger. DSM-5 criteria for anorexia nervosa (AN) were fulfilled by four of 696 respondents (0.6%), those for bulimia nervosa by none, and those for binge eating disorder by two (0.3%). In multivariable regression, more AN symptoms were associated with greater EDE-Q body dissatisfaction, desiring a thinner body and a history of sexual harassment or assault, but not with media exposure. A thinner desired body was associated with greater media exposure, higher BMI z-score and greater EDE-Q disordered eating. Conclusion: ED were very rare in rural Burkinabé female adolescents, but factors predictive of ED in higher-resource settings were also predictive of ED precursor symptoms here. Our findings suggest that increasing media exposure in resource-limited settings may lead to increased body dissatisfaction, and potentially to increased future ED prevalence.","author":[{"dropping-particle":"","family":"Terhoeven","given":"Valentin","non-dropping-particle":"","parse-names":false,"suffix":""},{"dropping-particle":"","family":"Nikendei","given":"Christoph","non-dropping-particle":"","parse-names":false,"suffix":""},{"dropping-particle":"","family":"Bärnighausen","given":"Till","non-dropping-particle":"","parse-names":false,"suffix":""},{"dropping-particle":"","family":"Bountogo","given":"Mamadou","non-dropping-particle":"","parse-names":false,"suffix":""},{"dropping-particle":"","family":"Friederich","given":"Hans‐Christoph","non-dropping-particle":"","parse-names":false,"suffix":""},{"dropping-particle":"","family":"Ouermi","given":"Lucienne","non-dropping-particle":"","parse-names":false,"suffix":""},{"dropping-particle":"","family":"Sié","given":"Ali","non-dropping-particle":"","parse-names":false,"suffix":""},{"dropping-particle":"","family":"Harling","given":"Guy","non-dropping-particle":"","parse-names":false,"suffix":""}],"container-title":"Tropical Medicine &amp; International Health","id":"ITEM-65","issue":"1","issued":{"date-parts":[["2020","1","26"]]},"page":"132-141","publisher":"Blackwell Publishing Ltd","title":"Eating disorders, body image and media exposure among adolescent girls in rural Burkina Faso","type":"article-journal","volume":"25"},"uris":["http://www.mendeley.com/documents/?uuid=7745cb0d-e725-3fe8-a317-cb5fd931c8ea"]},{"id":"ITEM-66","itemData":{"DOI":"10.1007/s11199-010-9789-z","ISSN":"03600025","abstract":"The primary aim of the study was to examine the relationship between media exposure and body image in adolescent girls, with a particular focus on the 'new' and as yet unstudied medium of the Internet. A sample of 156 Australian female high school students (mean age = 14.9 years) completed questionnaire measures of media consumption and body image. Internet appearance exposure and magazine reading, but not television exposure, were found to be correlated with greater internalization of thin ideals, appearance comparison, weight dissatisfaction, and drive for thinness. Regression analyses indicated that the effects of magazines and Internet exposure were mediated by internalization and appearance comparison. It was concluded that the Internet represents a powerful sociocultural influence on young women's lives. © 2010 Springer Science+Business Media, LLC.","author":[{"dropping-particle":"","family":"Tiggemann","given":"Marika","non-dropping-particle":"","parse-names":false,"suffix":""},{"dropping-particle":"","family":"Miller","given":"Jessica","non-dropping-particle":"","parse-names":false,"suffix":""}],"container-title":"Sex Roles","id":"ITEM-66","issue":"1","issued":{"date-parts":[["2010"]]},"page":"79-90","title":"The internet and adolescent girls' weight satisfaction and drive for thinness","type":"article-journal","volume":"63"},"uris":["http://www.mendeley.com/documents/?uuid=7e212fa2-6093-38a9-b6a8-6adc0be726b6"]},{"id":"ITEM-67","itemData":{"DOI":"10.1016/j.bodyim.2015.06.003","ISSN":"17401445","abstract":"Fitspiration is an online trend designed to inspire viewers towards a healthier lifestyle by promoting exercise and healthy food. The present study aimed to experimentally investigate the impact of fitspiration images on women's body image. Participants were 130 female undergraduate students who were randomly assigned to view either a set of Instagram fitspiration images or a control set of travel images presented on an iPad. Results showed that acute exposure to fitspiration images led to increased negative mood and body dissatisfaction and decreased state appearance self-esteem relative to travel images. Importantly, regression analyses showed that the effects of image type were mediated by state appearance comparison. Thus it was concluded that fitspiration can have negative unintended consequences for body image. The results offer support to general sociocultural models of media effects on body image, and extend these to \"new\" media.","author":[{"dropping-particle":"","family":"Tiggemann","given":"Marika","non-dropping-particle":"","parse-names":false,"suffix":""},{"dropping-particle":"","family":"Zaccardo","given":"Mia","non-dropping-particle":"","parse-names":false,"suffix":""}],"container-title":"Body Image","id":"ITEM-67","issued":{"date-parts":[["2015","9","1"]]},"page":"61-67","publisher":"Elsevier Ltd","title":"\"Exercise to be fit, not skinny\": The effect of fitspiration imagery on women's body image","type":"article-journal","volume":"15"},"uris":["http://www.mendeley.com/documents/?uuid=ca7066be-9477-3d40-9928-38e07cb655d7"]},{"id":"ITEM-68","itemData":{"DOI":"10.1016/j.bodyim.2020.03.002","ISSN":"17401445","abstract":"Social media have given rise to new forms of self-presentation, in particular, the posting of self-portrait photos, commonly known as “selfies.” The aim of the present study was to experimentally investigate the relationship between selfie editing and body dissatisfaction. Participants were 130 women aged 18–30 years who were asked to view Instagram images of thin women or of average-sized women, with a view to inducing body dissatisfaction in the former group. Participants were then asked to take a selfie on an iPad and were given 10 min. to edit the selfie. They completed state measures of mood, body dissatisfaction, and facial dissatisfaction at baseline, after viewing the images, and after editing their selfies. It was found that although viewing the thin images increased negative mood and body/facial dissatisfaction, experimental condition had no effect on the time spent or extent of editing of the selfie. However, taking and editing the selfie resulted in increased negative mood and facial dissatisfaction in both groups. Further, the observed extent of editing predicted the degree of increase in facial dissatisfaction. It was concluded that investing heavily in and editing one's self-presentation on social media is a detrimental activity for young women.","author":[{"dropping-particle":"","family":"Tiggemann","given":"Marika","non-dropping-particle":"","parse-names":false,"suffix":""},{"dropping-particle":"","family":"Anderberg","given":"Isabella","non-dropping-particle":"","parse-names":false,"suffix":""},{"dropping-particle":"","family":"Brown","given":"Zoe","non-dropping-particle":"","parse-names":false,"suffix":""}],"container-title":"Body Image","id":"ITEM-68","issued":{"date-parts":[["2020","6","1"]]},"page":"175-182","publisher":"Elsevier Ltd","title":"Uploading your best self: Selfie editing and body dissatisfaction","type":"article-journal","volume":"33"},"uris":["http://www.mendeley.com/documents/?uuid=70d3cdd5-7319-3f2f-97f6-2e276ce34007"]},{"id":"ITEM-69","itemData":{"DOI":"10.1037/ppm0000206","ISSN":"21604142","abstract":"Due to the enormous popularity of social networking sites (SNSs), online and offline social lives seem inextricably linked, which raises concerns for how SNS use relates to psychological health. Similarly, the omnipresence of selfies on SNSs-a form of appearance-related exposure-raises concerns regarding psychological health. This study aimed to investigate the relationships between body image, self-objectification, self-esteem, and various selfie behaviors among young women (N = 179). We hypothesized that a worsened body image (i.e., higher body dissatisfaction or lower body appreciation), higher levels of self-objectification, and lower self-esteem would precede greater engagement in selfie behaviors. Structural equation modeling showed that body appreciation is associated with greater engagement in selfie selection and deliberate posting, and that self-objectification is related to greater engagement in all selfie behaviors assessed. In support of our proposed model, a reversed model was also tested that showed poorer results. These findings suggest that body image may serve not only as an outcome of SNS use but also as a motive preceding selfie behaviors.","author":[{"dropping-particle":"","family":"Veldhuis","given":"Jolanda","non-dropping-particle":"","parse-names":false,"suffix":""},{"dropping-particle":"","family":"Alleva","given":"Jessica M.","non-dropping-particle":"","parse-names":false,"suffix":""},{"dropping-particle":"","family":"Bij de Vaate","given":"Anna J.D.","non-dropping-particle":"","parse-names":false,"suffix":""},{"dropping-particle":"","family":"Keijer","given":"Micha","non-dropping-particle":"","parse-names":false,"suffix":""},{"dropping-particle":"","family":"Konijn","given":"Elly A.","non-dropping-particle":"","parse-names":false,"suffix":""}],"container-title":"Psychology of Popular Media Culture","id":"ITEM-69","issued":{"date-parts":[["2018","8","20"]]},"publisher":"American Psychological Association Inc.","title":"Me, My Selfie, and I: The Relations Between Selfie Behaviors, Body Image, Self-Objectification, and Self- Esteem in Young Women","type":"article-journal"},"uris":["http://www.mendeley.com/documents/?uuid=75144e27-2c07-3b92-99cb-78eee059252d"]},{"id":"ITEM-70","itemData":{"DOI":"10.1177/1359105319888262","ISSN":"14617277","abstract":"The purpose of this study was twofold: to examine predictors of disordered eating behaviours and body image dissatisfaction, including social networking, among type 1 diabetes population, and to qualitatively explore the relationship between type 1 diabetes management and body image. A convenience sample of 121 type 1 diabetes patients (F = 106; Mage = 36 ± 6.5) was collected via online questionnaires, of which 98 patients responded to two open-ended questions. Young age and negative body image explained 58.8 per cent of disordered eating variance, while body weight and social networking negatively contributed to poor body image (29.9%). Qualitative analysis revealed three themes: no control over body weight, limitation in clothing options and discomfort towards medical equipment.","author":[{"dropping-particle":"","family":"Verbist","given":"Irini L.","non-dropping-particle":"","parse-names":false,"suffix":""},{"dropping-particle":"","family":"Condon","given":"Laura","non-dropping-particle":"","parse-names":false,"suffix":""}],"container-title":"Journal of Health Psychology","id":"ITEM-70","issued":{"date-parts":[["2019"]]},"publisher":"SAGE Publications Ltd","title":"Disordered eating behaviours, body image and social networking in a type 1 diabetes population","type":"article-journal"},"uris":["http://www.mendeley.com/documents/?uuid=04e8e095-b6b0-37a8-8ce9-48237c19aec2"]},{"id":"ITEM-71","itemData":{"DOI":"10.5210/fm.v21i9.6390","ISSN":"13960466","abstract":"This study observed the relations between actual body size, body dissatisfaction, frequency of selfies taken, and number of Instagram selfies posted. Results indicated that actual body size was positively related to body dissatisfaction, and negatively related to the number of selfies taken. Results also revealed a positive relationship between body dissatisfaction and selfies taken. Conversely, no correlations were detected between the frequency of selfies posted to Instagram and either actual body size or body image dissatisfaction.","author":[{"dropping-particle":"","family":"Wagner","given":"Charles","non-dropping-particle":"","parse-names":false,"suffix":""},{"dropping-particle":"","family":"Aguirre","given":"Ester","non-dropping-particle":"","parse-names":false,"suffix":""},{"dropping-particle":"","family":"Sumner","given":"Erin M.","non-dropping-particle":"","parse-names":false,"suffix":""}],"container-title":"First Monday","id":"ITEM-71","issue":"9","issued":{"date-parts":[["2016","8","18"]]},"publisher":"First Monday","title":"The relationship between Instagram selfies and body image in young adult women","type":"article-journal","volume":"21"},"uris":["http://www.mendeley.com/documents/?uuid=6d06133f-d12c-33e2-a954-bf98de7123a6"]},{"id":"ITEM-72","itemData":{"DOI":"10.1016/j.jadohealth.2015.04.026","ISSN":"18791972","abstract":"Purpose Disordered eating behavior - dieting, laxative use, fasting, binge eating - is common in college-aged women (11%-20%). A documented increase in the number of young women experiencing eating psychopathology has been blamed on the rise of engagement with social media sites such as Facebook. We predicted that college-aged women's Facebook intensity (e.g., the amount of time spent on Facebook, number of Facebook friends, and integration of Facebook into daily life), online physical appearance comparison (i.e., comparing one's appearance to others' on social media), and online \"fat talk\" (i.e., talking negatively about one's body) would be positively associated with their disordered eating behavior. Methods In an online survey, 128 college-aged women (81.3% Caucasian, 6.7% Asian, 9.0% African-American, and 3.0% Other) completed items, which measured their disordered eating, Facebook intensity, online physical appearance comparison, online fat talk, body mass index, depression, anxiety, perfectionism, impulsivity, and self-efficacy. Results In regression analyses, Facebook intensity, online physical appearance comparison, and online fat talk were significantly and uniquely associated with disordered eating and explained a large percentage of the variance in disordered eating (60%) in conjunction with covariates. However, greater Facebook intensity was associated with decreased disordered eating behavior, whereas both online physical appearance comparison and online fat talk were associated with greater disordered eating. Conclusions College-aged women who endorsed greater Facebook intensity were less likely to struggle with disordered eating when online physical appearance comparison was accounted for statistically. Facebook intensity may carry both risks and benefits for disordered eating.","author":[{"dropping-particle":"","family":"Walker","given":"Morgan","non-dropping-particle":"","parse-names":false,"suffix":""},{"dropping-particle":"","family":"Thornton","given":"Laura","non-dropping-particle":"","parse-names":false,"suffix":""},{"dropping-particle":"","family":"Choudhury","given":"Munmun","non-dropping-particle":"De","parse-names":false,"suffix":""},{"dropping-particle":"","family":"Teevan","given":"Jaime","non-dropping-particle":"","parse-names":false,"suffix":""},{"dropping-particle":"","family":"Bulik","given":"Cynthia M.","non-dropping-particle":"","parse-names":false,"suffix":""},{"dropping-particle":"","family":"Levinson","given":"Cheri A.","non-dropping-particle":"","parse-names":false,"suffix":""},{"dropping-particle":"","family":"Zerwas","given":"Stephanie","non-dropping-particle":"","parse-names":false,"suffix":""}],"container-title":"Journal of Adolescent Health","id":"ITEM-72","issue":"2","issued":{"date-parts":[["2015","8","1"]]},"page":"157-163","publisher":"Elsevier USA","title":"Facebook Use and Disordered Eating in College-Aged Women","type":"article-journal","volume":"57"},"uris":["http://www.mendeley.com/documents/?uuid=6ef20aa9-1b11-3eff-8d60-2f49f8e2fee6"]},{"id":"ITEM-73","itemData":{"DOI":"10.1002/eat.23263","ISSN":"0276-3478","author":[{"dropping-particle":"","family":"Wick","given":"Madeline R.","non-dropping-particle":"","parse-names":false,"suffix":""},{"dropping-particle":"","family":"Keel","given":"Pamela K.","non-dropping-particle":"","parse-names":false,"suffix":""}],"container-title":"International Journal of Eating Disorders","id":"ITEM-73","issued":{"date-parts":[["2020","5","5"]]},"page":"eat.23263","publisher":"John Wiley &amp; Sons, Ltd","title":"Posting edited photos of the self: Increasing eating disorder risk or harmless behavior?","type":"article-journal"},"uris":["http://www.mendeley.com/documents/?uuid=56e61752-d33c-3b4a-b095-c75e549e5396"]},{"id":"ITEM-74","itemData":{"DOI":"10.1002/eat.23198","ISSN":"0276-3478","abstract":"Background: The relationship between social media (SM) use and disordered eating (DE) has not been adequately explored in young adolescents. Methods: Data from 996 Grade 7 and 8 adolescents (n = 534 girls; M age = 13.08) was investigated. DE cognitions (Eating Disorder Examination-Questionnaire [EDE-Q]), DE behaviors (Project Eating Among Teens), and SM use measures related to Facebook, Instagram, Snapchat, and Tumblr were completed. Results: DE behaviors were reported by 51.7% of girls and 45.0% of boys, with strict exercise and meal skipping the most common. A total of 75.4% of girls and 69.9% of boys had at least one SM account where Instagram was the most common, used by 68.1% of girls and 61.7% of boys. Global EDE-Q scores were significantly higher for girls and boys with each type of SM account, except for Facebook and Instagram for girls. A greater number of SM accounts was associated with higher DE scores for both cognitions and behaviors. Girls with Snapchat and Tumblr accounts and boys with Snapchat, Facebook and Instagram were significantly more likely to have both DE behaviors and over-evaluation of shape and weight in the clinical range. Greater daily time spent using Instagram was associated with significantly higher Global EDE-Q scores and DE behaviors for girls, while this pattern was also found for Snapchat usage and DE behaviors for girls. Conclusions: A clear pattern of association was found between SM usage and DE cognitions and behaviors with this exploratory study confirming that these relationships occur at younger-age than previously investigated.","author":[{"dropping-particle":"","family":"Wilksch","given":"Simon M.","non-dropping-particle":"","parse-names":false,"suffix":""},{"dropping-particle":"","family":"O'Shea","given":"Anne","non-dropping-particle":"","parse-names":false,"suffix":""},{"dropping-particle":"","family":"Ho","given":"Pheobe","non-dropping-particle":"","parse-names":false,"suffix":""},{"dropping-particle":"","family":"Byrne","given":"Sue","non-dropping-particle":"","parse-names":false,"suffix":""},{"dropping-particle":"","family":"Wade","given":"Tracey D.","non-dropping-particle":"","parse-names":false,"suffix":""}],"container-title":"International Journal of Eating Disorders","id":"ITEM-74","issue":"1","issued":{"date-parts":[["2020","1","3"]]},"page":"96-106","publisher":"John Wiley and Sons Inc.","title":"The relationship between social media use and disordered eating in young adolescents","type":"article-journal","volume":"53"},"uris":["http://www.mendeley.com/documents/?uuid=c203087d-ddba-356c-83bb-972c8425fb18"]},{"id":"ITEM-75","itemData":{"DOI":"10.1080/01292986.2017.1365914","ISSN":"17420911","abstract":"Findings indicated that the mass media exposure significantly associated with body image dissatisfaction [Chen &amp; Jackson, 2012. Gender and age group differences in mass media and interpersonal influences on body dissatisfaction among Chinese adolescents. Sex Roles, 66(1-2), 3–20; Field et al., 2005. Exposure to the mass media, body shape concerns, and use of supplements to improve weight and shape among male and female adolescents. Pediatrics, 116(2), e214–e220]. However, limited studies have examined the effect of social media on body image concerns. In regard to this, this paper aims to explore how appearance presentation and appearance interaction on social networking sites influence young adults’ body image dissatisfaction in the Chinese patriarchal society. It proposes that internalization, social comparison and body surveillance may be potential mediators of SNS influences from appearance presentation and appearance interaction on female’s and male’s body dissatisfaction. A survey of 181 males and 203 females indicated that online appearance interaction was significantly associated with female’s body dissatisfaction. In addition, its effect was partially mediated by body surveillance. Besides, body surveillance also mediated the effect of appearance presentation on female’s body dissatisfaction. In male’s case, the influence of online appearance interaction on body dissatisfaction was mediated by internalization and social comparison.","author":[{"dropping-particle":"","family":"Xiaojing","given":"An","non-dropping-particle":"","parse-names":false,"suffix":""}],"container-title":"Asian Journal of Communication","id":"ITEM-75","issue":"6","issued":{"date-parts":[["2017","11","2"]]},"page":"616-630","publisher":"Routledge","title":"Social networking site uses, internalization, body surveillance, social comparison and body dissatisfaction of males and females in mainland China","type":"article-journal","volume":"27"},"uris":["http://www.mendeley.com/documents/?uuid=d909f016-7d76-3e2d-a662-3dba71f2834c"]},{"id":"ITEM-76","itemData":{"DOI":"10.1111/wvn.12298","ISSN":"17416787","PMID":"29763998","abstract":"Background: Previous research has shown that the use of technology and media, in their different available forms, may have detrimental effects on the physical and mental well-being of adolescents and young adults. Aims: The present study aimed to investigate the use of different types of technology and media, attitudes toward them, and how they relate to physical and mental well-being in Lebanese university students. Methods: A descriptive, correlational, cross-sectional design was used. A sample of 244 undergraduates completed a self-report measuring media and technology use and attitudes, eating-related variables (e.g., healthy eating, body image dissatisfaction [BID], and eating disorders [EDs] risk), trait emotional intelligence (TEI), and psychopathology indicators (stress, anxiety, and depression). Results: The use of mobile phone multimedia (music, pictures, and videos) correlated with unhealthy eating and stress. Social media use was associated with BID, EDs risk, and the self-control construct of TEI. Anxiety of separation from technological devices and dependence on them was associated with increased BID, EDs risk, depression, and anxiety. Linking Evidence to Action: Practical implications are discussed in terms of setting limits and boundaries on technology use during childhood and adolescence, and encouraging healthy eating and physical activity at home and on college campuses. Moreover, social media could be used as a platform for intervention and prevention programs to decrease BID, EDs, depression, and anxiety.","author":[{"dropping-particle":"","family":"Zeeni","given":"Nadine","non-dropping-particle":"","parse-names":false,"suffix":""},{"dropping-particle":"","family":"Doumit","given":"Rita","non-dropping-particle":"","parse-names":false,"suffix":""},{"dropping-particle":"","family":"Abi Kharma","given":"Joelle","non-dropping-particle":"","parse-names":false,"suffix":""},{"dropping-particle":"","family":"Sanchez-Ruiz","given":"Maria Jose","non-dropping-particle":"","parse-names":false,"suffix":""}],"container-title":"Worldviews on Evidence-Based Nursing","id":"ITEM-76","issue":"4","issued":{"date-parts":[["2018","8","1"]]},"page":"304-312","publisher":"Blackwell Publishing Ltd","title":"Media, Technology Use, and Attitudes: Associations With Physical and Mental Well-Being in Youth With Implications for Evidence-Based Practice","type":"article-journal","volume":"15"},"uris":["http://www.mendeley.com/documents/?uuid=e3befcf0-386b-36d8-9f1c-843d45d1c235"]},{"id":"ITEM-77","itemData":{"DOI":"10.1186/s40337-019-0244-4","ISSN":"20502974","abstract":"Background: Online dating has become increasingly popular over the years. Few research studies have examined the association between dating apps and disordered eating. In this study, we evaluated the association between dating app use and unhealthy weight control behaviors (UWCBs) among a sample of U.S. adults. Methods: Our sample includes 1769 adults who completed an online survey assessing dating app use and UWCBs in the past year. Survey assessed participants' self-reported frequency of using dating apps within the past 30 days and engagement in six UWCBs with the purpose of lowering weight or changing their body shape within the past 12 months. UWCBs included vomiting, laxative use, fasting, diet pill use, muscle building supplement use, and use of anabolic steroids. Results: Results of multivariate logistic regression models suggest dating app users had substantially elevated odds of UWCBs compared with non-users (odds ratios [OR] range = 2.7 - 16.2). These findings were supported by results of additional gender-stratified multivariate logistic regression analyses among women and men. Conclusions: This study's findings contribute to the limited literature exploring the association between dating app use and adverse health outcomes, particularly UWCBs. While additional longitudinal and representative research is needed, public health professionals ought to explore dating app use as a potential risk factor for UWCBs.","author":[{"dropping-particle":"","family":"Tran","given":"Alvin","non-dropping-particle":"","parse-names":false,"suffix":""},{"dropping-particle":"","family":"Suharlim","given":"Christian","non-dropping-particle":"","parse-names":false,"suffix":""},{"dropping-particle":"","family":"Mattie","given":"Heather","non-dropping-particle":"","parse-names":false,"suffix":""},{"dropping-particle":"","family":"Davison","given":"Kirsten","non-dropping-particle":"","parse-names":false,"suffix":""},{"dropping-particle":"","family":"Agénor","given":"Madina","non-dropping-particle":"","parse-names":false,"suffix":""},{"dropping-particle":"","family":"Austin","given":"S. Bryn","non-dropping-particle":"","parse-names":false,"suffix":""}],"container-title":"Journal of Eating Disorders","id":"ITEM-77","issue":"1","issued":{"date-parts":[["2019","5","31"]]},"page":"16","publisher":"BioMed Central Ltd.","title":"Dating app use and unhealthy weight control behaviors among a sample of U.S. adults: A cross-sectional study","type":"article-journal","volume":"7"},"uris":["http://www.mendeley.com/documents/?uuid=b0360424-5a9a-35c5-88a8-52fb0bf25029"]},{"id":"ITEM-78","itemData":{"DOI":"10.1055/s-0031-1301336","ISSN":"09372032","abstract":"Pro-eating disorders (ED) websites are assumed to have a negative impact on internet users because these sites promote ED as a lifestyle, and present an extreme thin ideal as well as extreme weight loss measures. We tested the impact of reading pro-ED contents in a sample of 421 women. The participants were randomly assigned to one of 3 conditions in which they were exposed to either a pro-ED blog, a self-help blog, or a neutral control blog. Post-exposure negative affect was higher in participants of the pro-ED and the self-help conditions compared to the neutral blog condition. Participants with an elevated risk for developing an ED had a lower appearance self esteem after exposure to the pro-ED, or the self-help blog. According to the study, a subgroup of high risk individuals might be affected by ED-related internet content. The implications of this study are discussed in the context of the ongoing controversy around pro-ED websites. © Georg Thieme Verlag KG Stuttgart · New York.","author":[{"dropping-particle":"","family":"Theis","given":"Florian","non-dropping-particle":"","parse-names":false,"suffix":""},{"dropping-particle":"","family":"Wolf","given":"Markus","non-dropping-particle":"","parse-names":false,"suffix":""},{"dropping-particle":"","family":"Fiedler","given":"Peter","non-dropping-particle":"","parse-names":false,"suffix":""},{"dropping-particle":"","family":"Backenstrass","given":"Matthias","non-dropping-particle":"","parse-names":false,"suffix":""},{"dropping-particle":"","family":"Kordy","given":"Hans","non-dropping-particle":"","parse-names":false,"suffix":""}],"container-title":"Psychotherapie, Psychosomatik, medizinische Psychologie","id":"ITEM-78","issue":"2","issued":{"date-parts":[["2012","2"]]},"page":"58-65","publisher":"Psychother Psychosom Med Psychol","title":"Essstörungen im Internet: Eine experimentelle Studie zu den Auswirkungen von Pro-Essstörungs- und Selbsthilfewebsites.","type":"article-journal","volume":"62"},"uris":["http://www.mendeley.com/documents/?uuid=d8798256-4f44-30c1-9d44-5de6e36ea595"]},{"id":"ITEM-79","itemData":{"DOI":"10.1007/s10964-017-0659-7","ISSN":"15736601","abstract":"In recent years, elements of the modern environment (such as television, Internet, toys and clothes) have been criticized for having an increasingly sexualized or appearance focus, which has been suggested to be detrimental to girls’ development. The current study examined the impact of an appearance-focused Internet game on young girls’ body image and career cognitions and aspirations. Eighty British girls aged 8–9 years were randomly assigned to play an appearance-focused or a non-appearance focused game for 10 minutes. Girls in the appearance-focused game condition displayed greater body dissatisfaction compared to the control condition. Type of game did not impact girls’ perceived capacity to do various jobs. However, girls who played the appearance-focused game reported a greater preference for feminine careers compared to the control group. This provides preliminary evidence that appearance-focused Internet games may be detrimental to young girls’ body image and aspirations. Internet games should be included in our consideration of influential messages for young girls.","author":[{"dropping-particle":"","family":"Slater","given":"Amy","non-dropping-particle":"","parse-names":false,"suffix":""},{"dropping-particle":"","family":"Halliwell","given":"Emma","non-dropping-particle":"","parse-names":false,"suffix":""},{"dropping-particle":"","family":"Jarman","given":"Hannah","non-dropping-particle":"","parse-names":false,"suffix":""},{"dropping-particle":"","family":"Gaskin","given":"Emma","non-dropping-particle":"","parse-names":false,"suffix":""}],"container-title":"Journal of Youth and Adolescence","id":"ITEM-79","issue":"9","issued":{"date-parts":[["2017","9","1"]]},"page":"2047-2059","publisher":"Springer New York LLC","title":"More than Just Child’s Play?: An Experimental Investigation of the Impact of an Appearance-Focused Internet Game on Body Image and Career Aspirations of Young Girls","type":"article-journal","volume":"46"},"uris":["http://www.mendeley.com/documents/?uuid=231b4760-c402-38cf-b276-7e908ce02ee4"]}],"mendeley":{"formattedCitation":"(Ahadzadeh et al., 2017; Almenara et al., 2019; Alpaslan et al., 2015; Aparicio-Martinez et al., 2019; Bair et al., 2012; Bennett et al., 2019; Brown and Tiggemann, 2016; Butkowski et al., 2019; Canan et al., 2014; Cañon Buitrago et al., 2016; Carrotte et al., 2015; Carter et al., 2017; Çelik et al., 2015; Cohen et al., 2017; Cohen and Blaszczynski, 2015; de Vries et al., 2019, 2016; Eckler et al., 2017; Embacher Martin et al., 2018; Fardouly et al., 2015; Fardouly and Vartanian, 2015; Ferguson et al., 2014; Fernández-villa et al., 2015; Griffiths et al., 2018a, 2018b; Hendrickse et al., 2017; Holland and Tiggemann, 2017; Hsieh et al., 2018; Hummel and Smith, 2015; Ivezaj et al., 2017; Kamal and Kamal, 2018; Kelly et al., 2018; Kim and Chock, 2015; Kvardova et al., 2020; Lee et al., 2014; Levinson et al., 2017; Linardon and Messer, 2019; Lonergan et al., 2019; Mabe et al., 2014; Manago et al., 2015; Marco et al., 2018; Martínez-González et al., 2014; McLean et al., 2015; Meier and Gray, 2014; Melioli et al., 2015; Niu et al., 2020; Olenik-Shemesh and Heiman, 2017; Park and Lee, 2017; Pistella et al., 2019; Prichard et al., 2020; Quesnel et al., 2018; Rodgers et al., 2020, 2019, 2013, 2012; Sidani et al., 2016; Simpson and Mazzeo, 2017; Slater et al., 2019, 2017; Smith et al., 2013; Stronge et al., 2015; Sugimoto et al., 2020; Tao, 2013; Tao and Liu, 2009; Terhoeven et al., 2020; Theis et al., 2012; Tiggemann et al., 2020; Tiggemann and Miller, 2010; Tiggemann and Slater, 2017; Tiggemann and Zaccardo, 2015; Tran et al., 2019; Veldhuis et al., 2018; Verbist and Condon, 2019; Wagner et al., 2016; Walker et al., 2015; Wick and Keel, 2020; Wilksch et al., 2020; Xiaojing, 2017; Zeeni et al., 2018)","plainTextFormattedCitation":"(Ahadzadeh et al., 2017; Almenara et al., 2019; Alpaslan et al., 2015; Aparicio-Martinez et al., 2019; Bair et al., 2012; Bennett et al., 2019; Brown and Tiggemann, 2016; Butkowski et al., 2019; Canan et al., 2014; Cañon Buitrago et al., 2016; Carrotte et al., 2015; Carter et al., 2017; Çelik et al., 2015; Cohen et al., 2017; Cohen and Blaszczynski, 2015; de Vries et al., 2019, 2016; Eckler et al., 2017; Embacher Martin et al., 2018; Fardouly et al., 2015; Fardouly and Vartanian, 2015; Ferguson et al., 2014; Fernández-villa et al., 2015; Griffiths et al., 2018a, 2018b; Hendrickse et al., 2017; Holland and Tiggemann, 2017; Hsieh et al., 2018; Hummel and Smith, 2015; Ivezaj et al., 2017; Kamal and Kamal, 2018; Kelly et al., 2018; Kim and Chock, 2015; Kvardova et al., 2020; Lee et al., 2014; Levinson et al., 2017; Linardon and Messer, 2019; Lonergan et al., 2019; Mabe et al., 2014; Manago et al., 2015; Marco et al., 2018; Martínez-González et al., 2014; McLean et al., 2015; Meier and Gray, 2014; Melioli et al., 2015; Niu et al., 2020; Olenik-Shemesh and Heiman, 2017; Park and Lee, 2017; Pistella et al., 2019; Prichard et al., 2020; Quesnel et al., 2018; Rodgers et al., 2020, 2019, 2013, 2012; Sidani et al., 2016; Simpson and Mazzeo, 2017; Slater et al., 2019, 2017; Smith et al., 2013; Stronge et al., 2015; Sugimoto et al., 2020; Tao, 2013; Tao and Liu, 2009; Terhoeven et al., 2020; Theis et al., 2012; Tiggemann et al., 2020; Tiggemann and Miller, 2010; Tiggemann and Slater, 2017; Tiggemann and Zaccardo, 2015; Tran et al., 2019; Veldhuis et al., 2018; Verbist and Condon, 2019; Wagner et al., 2016; Walker et al., 2015; Wick and Keel, 2020; Wilksch et al., 2020; Xiaojing, 2017; Zeeni et al., 2018)","previouslyFormattedCitation":"(Ahadzadeh et al., 2017; Almenara et al., 2019; Alpaslan et al., 2015; Aparicio-Martinez et al., 2019; Bair et al., 2012; Bennett et al., 2019; Brown and Tiggemann, 2016; Butkowski et al., 2019; Canan et al., 2014; Cañon Buitrago et al., 2016; Carrotte et al., 2015; Carter et al., 2017; Çelik et al., 2015; Cohen et al., 2017; Cohen and Blaszczynski, 2015; de Vries et al., 2016, 2019; Eckler et al., 2017; Embacher Martin et al., 2018; Fardouly et al., 2015; Fardouly and Vartanian, 2015; Ferguson et al., 2014; Fernández-villa et al., 2015; Griffiths et al., 2018b, 2018a; Hendrickse et al., 2017; Holland and Tiggemann, 2017; Hsieh et al., 2018; Hummel and Smith, 2015; Ivezaj et al., 2017; Kamal and Kamal, 2018; Kelly et al., 2018; Kim and Chock, 2015; Kvardova et al., 2020; Lee et al., 2014; Levinson et al., 2017; Linardon and Messer, 2019; Lonergan et al., 2019; Mabe et al., 2014; Manago et al., 2015; Marco et al., 2018; Martínez-González et al., 2014; McLean et al., 2015; Meier and Gray, 2014; Melioli et al., 2015; Niu et al., 2020; Olenik-Shemesh and Heiman, 2017; Park and Lee, 2017; Pistella et al., 2019; Prichard et al., 2020; Quesnel et al., 2018; Rodgers et al., 2012, 2013, 2019, 2020; Sidani et al., 2016; Simpson and Mazzeo, 2017; Slater et al., 2019; Smith et al., 2013; Stronge et al., 2015; Sugimoto et al., 2020; Tao, 2013; Tao and Liu, 2009; Terhoeven et al., 2020; Theis et al., 2012; Tiggemann et al., 2020; Tiggemann and Miller, 2010; Tiggemann and Slater, 2017; Tiggemann and Zaccardo, 2015; Tran et al., 2019; Veldhuis et al., 2018; Verbist and Condon, 2019; Wagner et al., 2016; Walker et al., 2015; Wick and Keel, 2020; Wilksch et al., 2020; Xiaojing, 2017; Zeeni et al., 2018)"},"properties":{"noteIndex":0},"schema":"https://github.com/citation-style-language/schema/raw/master/csl-citation.json"}</w:instrText>
      </w:r>
      <w:r w:rsidR="00B47FC2">
        <w:rPr>
          <w:b/>
        </w:rPr>
        <w:fldChar w:fldCharType="separate"/>
      </w:r>
      <w:r w:rsidR="00F61831" w:rsidRPr="00F61831">
        <w:rPr>
          <w:noProof/>
        </w:rPr>
        <w:t>(Ahadzadeh et al., 2017; Almenara et al., 2019; Alpaslan et al., 2015; Aparicio-Martinez et al., 2019; Bair et al., 2012; Bennett et al., 2019; Brown and Tiggemann, 2016; Butkowski et al., 2019; Canan et al., 2014; Cañon Buitrago et al., 2016; Carrotte et al., 2015; Carter et al., 2017; Çelik et al., 2015; Cohen et al., 2017; Cohen and Blaszczynski, 2015; de Vries et al., 2019, 2016; Eckler et al., 2017; Embacher Martin et al., 2018; Fardouly et al., 2015; Fardouly and Vartanian, 2015; Ferguson et al., 2014; Fernández-villa et al., 2015; Griffiths et al., 2018a, 2018b; Hendrickse et al., 2017; Holland and Tiggemann, 2017; Hsieh et al., 2018; Hummel and Smith, 2015; Ivezaj et al., 2017; Kamal and Kamal, 2018; Kelly et al., 2018; Kim and Chock, 2015; Kvardova et al., 2020; Lee et al., 2014; Levinson et al., 2017; Linardon and Messer, 2019; Lonergan et al., 2019; Mabe et al., 2014; Manago et al., 2015; Marco et al., 2018; Martínez-González et al., 2014; McLean et al., 2015; Meier and Gray, 2014; Melioli et al., 2015; Niu et al., 2020; Olenik-Shemesh and Heiman, 2017; Park and Lee, 2017; Pistella et al., 2019; Prichard et al., 2020; Quesnel et al., 2018; Rodgers et al., 2020, 2019, 2013, 2012; Sidani et al., 2016; Simpson and Mazzeo, 2017; Slater et al., 2019, 2017; Smith et al., 2013; Stronge et al., 2015; Sugimoto et al., 2020; Tao, 2013; Tao and Liu, 2009; Terhoeven et al., 2020; Theis et al., 2012; Tiggemann et al., 2020; Tiggemann and Miller, 2010; Tiggemann and Slater, 2017; Tiggemann and Zaccardo, 2015; Tran et al., 2019; Veldhuis et al., 2018; Verbist and Condon, 2019; Wagner et al., 2016; Walker et al., 2015; Wick and Keel, 2020; Wilksch et al., 2020; Xiaojing, 2017; Zeeni et al., 2018)</w:t>
      </w:r>
      <w:r w:rsidR="00B47FC2">
        <w:rPr>
          <w:b/>
        </w:rPr>
        <w:fldChar w:fldCharType="end"/>
      </w:r>
      <w:r w:rsidR="004078D3">
        <w:rPr>
          <w:b/>
        </w:rPr>
        <w:t xml:space="preserve"> </w:t>
      </w:r>
      <w:r>
        <w:t>.</w:t>
      </w:r>
      <w:r w:rsidR="009F1888">
        <w:t xml:space="preserve"> </w:t>
      </w:r>
      <w:r w:rsidR="00465812">
        <w:rPr>
          <w:b/>
        </w:rPr>
        <w:t xml:space="preserve">AN = </w:t>
      </w:r>
      <w:r w:rsidR="00465812" w:rsidRPr="00465812">
        <w:t>Anorex</w:t>
      </w:r>
      <w:r w:rsidR="00465812">
        <w:t>i</w:t>
      </w:r>
      <w:r w:rsidR="00465812" w:rsidRPr="00465812">
        <w:t>a Nervosa;</w:t>
      </w:r>
      <w:r w:rsidR="00465812">
        <w:t xml:space="preserve"> </w:t>
      </w:r>
      <w:r w:rsidR="00465812" w:rsidRPr="00465812">
        <w:rPr>
          <w:b/>
        </w:rPr>
        <w:t xml:space="preserve">BN </w:t>
      </w:r>
      <w:r w:rsidR="00465812">
        <w:t xml:space="preserve">= Bulimia Nervosa; </w:t>
      </w:r>
      <w:r w:rsidR="00465812" w:rsidRPr="00465812">
        <w:rPr>
          <w:b/>
        </w:rPr>
        <w:t xml:space="preserve">BED </w:t>
      </w:r>
      <w:r w:rsidR="00465812">
        <w:t>= Binge Eating Disorder;</w:t>
      </w:r>
      <w:r w:rsidR="00465812" w:rsidRPr="00465812">
        <w:t xml:space="preserve"> </w:t>
      </w:r>
      <w:r w:rsidR="00A756CF">
        <w:rPr>
          <w:b/>
        </w:rPr>
        <w:t xml:space="preserve">BSQ = </w:t>
      </w:r>
      <w:r w:rsidR="00A756CF" w:rsidRPr="00A756CF">
        <w:rPr>
          <w:bCs/>
        </w:rPr>
        <w:t>Body Shape Questionnaire</w:t>
      </w:r>
      <w:r w:rsidR="00A756CF">
        <w:rPr>
          <w:bCs/>
        </w:rPr>
        <w:t>;</w:t>
      </w:r>
      <w:r w:rsidR="00A756CF" w:rsidRPr="00A756CF">
        <w:rPr>
          <w:b/>
        </w:rPr>
        <w:t xml:space="preserve"> </w:t>
      </w:r>
      <w:r w:rsidR="009418E4" w:rsidRPr="006D6F15">
        <w:rPr>
          <w:b/>
        </w:rPr>
        <w:t>CIAS:</w:t>
      </w:r>
      <w:r w:rsidR="009418E4">
        <w:t xml:space="preserve"> </w:t>
      </w:r>
      <w:r w:rsidR="009418E4" w:rsidRPr="009F1888">
        <w:t>Chen Internet Addiction Scal</w:t>
      </w:r>
      <w:r w:rsidR="009418E4">
        <w:t xml:space="preserve">e; </w:t>
      </w:r>
      <w:r w:rsidR="009418E4" w:rsidRPr="006D6F15">
        <w:rPr>
          <w:b/>
        </w:rPr>
        <w:t>DCIA-C:</w:t>
      </w:r>
      <w:r w:rsidR="009418E4">
        <w:t xml:space="preserve"> Diagnostic </w:t>
      </w:r>
      <w:r w:rsidR="009418E4" w:rsidRPr="009F1888">
        <w:t>Criteria for Internet Addiction for College Students</w:t>
      </w:r>
      <w:r w:rsidR="009418E4">
        <w:t xml:space="preserve">; </w:t>
      </w:r>
      <w:r w:rsidR="009418E4" w:rsidRPr="006D6F15">
        <w:rPr>
          <w:b/>
        </w:rPr>
        <w:t>DSM:</w:t>
      </w:r>
      <w:r w:rsidR="009418E4">
        <w:t xml:space="preserve"> Diagnostic and statistical Manual</w:t>
      </w:r>
      <w:r w:rsidR="009418E4" w:rsidRPr="006D6F15">
        <w:t xml:space="preserve">; </w:t>
      </w:r>
      <w:r w:rsidR="00465812">
        <w:rPr>
          <w:b/>
        </w:rPr>
        <w:t xml:space="preserve">EAT-26 = </w:t>
      </w:r>
      <w:r w:rsidR="00465812">
        <w:rPr>
          <w:bCs/>
        </w:rPr>
        <w:t xml:space="preserve">Eating Attitudes Test 26 items; </w:t>
      </w:r>
      <w:r w:rsidR="00EF0275">
        <w:rPr>
          <w:b/>
        </w:rPr>
        <w:t xml:space="preserve">EDE-Q = </w:t>
      </w:r>
      <w:r w:rsidR="00EF0275" w:rsidRPr="00EF0275">
        <w:rPr>
          <w:bCs/>
        </w:rPr>
        <w:t>Eating Disorder Examination-Questionnaire;</w:t>
      </w:r>
      <w:r w:rsidR="00EF0275" w:rsidRPr="00EF0275">
        <w:rPr>
          <w:b/>
        </w:rPr>
        <w:t xml:space="preserve"> </w:t>
      </w:r>
      <w:r w:rsidR="00465812" w:rsidRPr="00465812">
        <w:rPr>
          <w:b/>
        </w:rPr>
        <w:t xml:space="preserve">EDI </w:t>
      </w:r>
      <w:r w:rsidR="00465812">
        <w:rPr>
          <w:b/>
        </w:rPr>
        <w:t xml:space="preserve">= </w:t>
      </w:r>
      <w:r w:rsidR="00465812" w:rsidRPr="00465812">
        <w:t>Eating Disorder Inventory;</w:t>
      </w:r>
      <w:r w:rsidR="00465812">
        <w:rPr>
          <w:b/>
        </w:rPr>
        <w:t xml:space="preserve"> </w:t>
      </w:r>
      <w:r w:rsidR="004078D3" w:rsidRPr="004078D3">
        <w:rPr>
          <w:b/>
          <w:bCs/>
        </w:rPr>
        <w:t xml:space="preserve">EPHPP </w:t>
      </w:r>
      <w:r w:rsidR="004078D3">
        <w:rPr>
          <w:bCs/>
        </w:rPr>
        <w:t xml:space="preserve">= </w:t>
      </w:r>
      <w:r w:rsidR="004078D3" w:rsidRPr="004078D3">
        <w:rPr>
          <w:bCs/>
        </w:rPr>
        <w:t>Effective Public Health Practice Project Quality Assessment Tool for Quantitative Studie</w:t>
      </w:r>
      <w:r w:rsidR="004078D3">
        <w:rPr>
          <w:bCs/>
        </w:rPr>
        <w:t>s;</w:t>
      </w:r>
      <w:r w:rsidR="004078D3" w:rsidRPr="004078D3">
        <w:rPr>
          <w:bCs/>
        </w:rPr>
        <w:t xml:space="preserve"> </w:t>
      </w:r>
      <w:r w:rsidR="00B9679E" w:rsidRPr="006D6F15">
        <w:rPr>
          <w:b/>
        </w:rPr>
        <w:t>IAT:</w:t>
      </w:r>
      <w:r w:rsidR="00B9679E">
        <w:t xml:space="preserve"> Young’s Internet addiction test; </w:t>
      </w:r>
      <w:r w:rsidR="009F1888" w:rsidRPr="006D6F15">
        <w:rPr>
          <w:b/>
        </w:rPr>
        <w:t>IADQ:</w:t>
      </w:r>
      <w:r w:rsidR="009F1888">
        <w:t xml:space="preserve"> </w:t>
      </w:r>
      <w:r w:rsidR="009F1888" w:rsidRPr="009F1888">
        <w:t>Young's Internet Addiction Diagnostic Questionnaire</w:t>
      </w:r>
      <w:r w:rsidR="00B9679E">
        <w:t>;</w:t>
      </w:r>
      <w:r w:rsidR="00465812">
        <w:t xml:space="preserve"> </w:t>
      </w:r>
      <w:r w:rsidR="00465812" w:rsidRPr="00465812">
        <w:rPr>
          <w:b/>
        </w:rPr>
        <w:t>Pro-ED</w:t>
      </w:r>
      <w:r w:rsidR="00465812">
        <w:t xml:space="preserve"> = Promoting Eating Disorder content;</w:t>
      </w:r>
      <w:r w:rsidR="00B9679E">
        <w:t xml:space="preserve"> </w:t>
      </w:r>
      <w:r w:rsidR="00465812">
        <w:rPr>
          <w:b/>
        </w:rPr>
        <w:t>P</w:t>
      </w:r>
      <w:r w:rsidR="009F1888" w:rsidRPr="006D6F15">
        <w:rPr>
          <w:b/>
        </w:rPr>
        <w:t>U</w:t>
      </w:r>
      <w:r w:rsidR="00465812">
        <w:rPr>
          <w:b/>
        </w:rPr>
        <w:t>I</w:t>
      </w:r>
      <w:r w:rsidR="009F1888" w:rsidRPr="006D6F15">
        <w:rPr>
          <w:b/>
        </w:rPr>
        <w:t>:</w:t>
      </w:r>
      <w:r w:rsidR="009F1888">
        <w:t xml:space="preserve"> Problematic </w:t>
      </w:r>
      <w:r w:rsidR="00465812">
        <w:t xml:space="preserve">use of the </w:t>
      </w:r>
      <w:r w:rsidR="009F1888">
        <w:t>internet;</w:t>
      </w:r>
      <w:r w:rsidR="009418E4">
        <w:t xml:space="preserve"> </w:t>
      </w:r>
      <w:r w:rsidR="00465812" w:rsidRPr="00465812">
        <w:rPr>
          <w:b/>
        </w:rPr>
        <w:t xml:space="preserve">SATAQ </w:t>
      </w:r>
      <w:r w:rsidR="00465812">
        <w:t xml:space="preserve">= </w:t>
      </w:r>
      <w:r w:rsidR="00465812" w:rsidRPr="00465812">
        <w:t>Sociocultural Attitudes Towards Appearance Questionnaire-3</w:t>
      </w:r>
      <w:r w:rsidR="00465812">
        <w:t>;</w:t>
      </w:r>
      <w:r w:rsidR="00465812" w:rsidRPr="00465812">
        <w:t xml:space="preserve"> </w:t>
      </w:r>
      <w:r w:rsidR="009418E4">
        <w:rPr>
          <w:b/>
        </w:rPr>
        <w:t xml:space="preserve">SCOFF = </w:t>
      </w:r>
      <w:r w:rsidR="009418E4" w:rsidRPr="00A756CF">
        <w:rPr>
          <w:bCs/>
        </w:rPr>
        <w:t>Sick, Control, One, Fat, Food questionnaire;</w:t>
      </w:r>
      <w:r w:rsidR="00465812">
        <w:rPr>
          <w:bCs/>
        </w:rPr>
        <w:t xml:space="preserve"> </w:t>
      </w:r>
      <w:r w:rsidR="00465812" w:rsidRPr="00465812">
        <w:rPr>
          <w:b/>
          <w:bCs/>
        </w:rPr>
        <w:t>SNS</w:t>
      </w:r>
      <w:r w:rsidR="00465812">
        <w:rPr>
          <w:bCs/>
        </w:rPr>
        <w:t xml:space="preserve"> = Social Networking Sites;</w:t>
      </w:r>
      <w:r w:rsidR="009418E4">
        <w:rPr>
          <w:bCs/>
        </w:rPr>
        <w:t xml:space="preserve"> </w:t>
      </w:r>
      <w:r w:rsidR="009418E4" w:rsidRPr="009418E4">
        <w:rPr>
          <w:b/>
        </w:rPr>
        <w:t>VAS</w:t>
      </w:r>
      <w:r w:rsidR="009418E4">
        <w:t>: Visual Analogue scale</w:t>
      </w:r>
      <w:r w:rsidR="009F1888">
        <w:t xml:space="preserve"> </w:t>
      </w:r>
      <w:r w:rsidR="009F1888" w:rsidRPr="006D6F15">
        <w:rPr>
          <w:b/>
        </w:rPr>
        <w:t>VAT:</w:t>
      </w:r>
      <w:r w:rsidR="009F1888">
        <w:t xml:space="preserve"> Video game Addiction Test; </w:t>
      </w:r>
      <w:r w:rsidR="009418E4" w:rsidRPr="006D6F15">
        <w:rPr>
          <w:b/>
        </w:rPr>
        <w:t>YDQ:</w:t>
      </w:r>
      <w:r w:rsidR="009418E4">
        <w:t xml:space="preserve"> Young’s diagnostic questionnaire; </w:t>
      </w:r>
      <w:r w:rsidR="00465812" w:rsidRPr="00095C7B">
        <w:rPr>
          <w:b/>
        </w:rPr>
        <w:t>UWCBs</w:t>
      </w:r>
      <w:r w:rsidR="00465812">
        <w:t xml:space="preserve"> = </w:t>
      </w:r>
      <w:r w:rsidR="00465812" w:rsidRPr="00465812">
        <w:t xml:space="preserve">Unhealthy weight control </w:t>
      </w:r>
      <w:proofErr w:type="spellStart"/>
      <w:r w:rsidR="00465812" w:rsidRPr="00465812">
        <w:t>behaviors</w:t>
      </w:r>
      <w:proofErr w:type="spellEnd"/>
      <w:r w:rsidR="00465812" w:rsidRPr="00465812">
        <w:t xml:space="preserve"> </w:t>
      </w:r>
    </w:p>
    <w:p w14:paraId="31155F95" w14:textId="77777777" w:rsidR="00143CCA" w:rsidRDefault="00143CCA"/>
    <w:p w14:paraId="28303E2D" w14:textId="48984BA7" w:rsidR="003D3464" w:rsidRDefault="00CB212E">
      <w:pPr>
        <w:spacing w:line="259" w:lineRule="auto"/>
        <w:jc w:val="left"/>
        <w:rPr>
          <w:rFonts w:asciiTheme="majorHAnsi" w:eastAsiaTheme="majorEastAsia" w:hAnsiTheme="majorHAnsi" w:cstheme="majorBidi"/>
          <w:b/>
          <w:sz w:val="26"/>
          <w:szCs w:val="26"/>
        </w:rPr>
      </w:pPr>
      <w:r>
        <w:br w:type="page"/>
      </w:r>
    </w:p>
    <w:p w14:paraId="712FB80C" w14:textId="2896470B" w:rsidR="003D3464" w:rsidRDefault="003D3464" w:rsidP="003D3464">
      <w:pPr>
        <w:pStyle w:val="Heading2"/>
      </w:pPr>
      <w:bookmarkStart w:id="3" w:name="_Toc65760831"/>
      <w:r>
        <w:t>TABLE S2 - Ad-hoc quality score system</w:t>
      </w:r>
      <w:bookmarkEnd w:id="3"/>
    </w:p>
    <w:tbl>
      <w:tblPr>
        <w:tblW w:w="15565" w:type="dxa"/>
        <w:tblLook w:val="04A0" w:firstRow="1" w:lastRow="0" w:firstColumn="1" w:lastColumn="0" w:noHBand="0" w:noVBand="1"/>
      </w:tblPr>
      <w:tblGrid>
        <w:gridCol w:w="1356"/>
        <w:gridCol w:w="1519"/>
        <w:gridCol w:w="1980"/>
        <w:gridCol w:w="10710"/>
      </w:tblGrid>
      <w:tr w:rsidR="003D3464" w:rsidRPr="003D3464" w14:paraId="02989FF5" w14:textId="77777777" w:rsidTr="00D36AC4">
        <w:trPr>
          <w:trHeight w:val="300"/>
        </w:trPr>
        <w:tc>
          <w:tcPr>
            <w:tcW w:w="1356" w:type="dxa"/>
            <w:tcBorders>
              <w:top w:val="single" w:sz="4" w:space="0" w:color="A5A5A5" w:themeColor="accent3"/>
              <w:left w:val="single" w:sz="4" w:space="0" w:color="A5A5A5" w:themeColor="accent3"/>
              <w:bottom w:val="single" w:sz="4" w:space="0" w:color="A5A5A5" w:themeColor="accent3"/>
              <w:right w:val="nil"/>
            </w:tcBorders>
            <w:shd w:val="clear" w:color="auto" w:fill="DBDBDB" w:themeFill="accent3" w:themeFillTint="66"/>
          </w:tcPr>
          <w:p w14:paraId="6A62A7C8" w14:textId="77777777" w:rsidR="003D3464" w:rsidRPr="003D3464" w:rsidRDefault="003D3464" w:rsidP="00135959">
            <w:pPr>
              <w:spacing w:after="0" w:line="240" w:lineRule="auto"/>
              <w:jc w:val="center"/>
              <w:rPr>
                <w:rFonts w:asciiTheme="majorHAnsi" w:eastAsia="Times New Roman" w:hAnsiTheme="majorHAnsi" w:cstheme="majorHAnsi"/>
                <w:b/>
                <w:bCs/>
                <w:sz w:val="18"/>
                <w:szCs w:val="18"/>
                <w:lang w:eastAsia="en-GB"/>
              </w:rPr>
            </w:pPr>
          </w:p>
        </w:tc>
        <w:tc>
          <w:tcPr>
            <w:tcW w:w="14209" w:type="dxa"/>
            <w:gridSpan w:val="3"/>
            <w:tcBorders>
              <w:top w:val="single" w:sz="4" w:space="0" w:color="A5A5A5" w:themeColor="accent3"/>
              <w:left w:val="nil"/>
              <w:bottom w:val="nil"/>
              <w:right w:val="single" w:sz="4" w:space="0" w:color="A5A5A5" w:themeColor="accent3"/>
            </w:tcBorders>
            <w:shd w:val="clear" w:color="auto" w:fill="DBDBDB" w:themeFill="accent3" w:themeFillTint="66"/>
            <w:noWrap/>
            <w:vAlign w:val="bottom"/>
            <w:hideMark/>
          </w:tcPr>
          <w:p w14:paraId="4EB4A130" w14:textId="0F8E8A77" w:rsidR="003D3464" w:rsidRPr="003D3464" w:rsidRDefault="003D3464" w:rsidP="00135959">
            <w:pPr>
              <w:spacing w:after="0" w:line="240" w:lineRule="auto"/>
              <w:jc w:val="center"/>
              <w:rPr>
                <w:rFonts w:asciiTheme="majorHAnsi" w:eastAsia="Times New Roman" w:hAnsiTheme="majorHAnsi" w:cstheme="majorHAnsi"/>
                <w:b/>
                <w:bCs/>
                <w:sz w:val="18"/>
                <w:szCs w:val="18"/>
                <w:lang w:eastAsia="en-GB"/>
              </w:rPr>
            </w:pPr>
            <w:r w:rsidRPr="003D3464">
              <w:rPr>
                <w:rFonts w:asciiTheme="majorHAnsi" w:eastAsia="Times New Roman" w:hAnsiTheme="majorHAnsi" w:cstheme="majorHAnsi"/>
                <w:b/>
                <w:bCs/>
                <w:sz w:val="18"/>
                <w:szCs w:val="18"/>
                <w:lang w:eastAsia="en-GB"/>
              </w:rPr>
              <w:t>Quality scoring system</w:t>
            </w:r>
          </w:p>
        </w:tc>
      </w:tr>
      <w:tr w:rsidR="003D3464" w:rsidRPr="003D3464" w14:paraId="240C7290" w14:textId="77777777" w:rsidTr="00D36AC4">
        <w:trPr>
          <w:trHeight w:val="300"/>
        </w:trPr>
        <w:tc>
          <w:tcPr>
            <w:tcW w:w="1356" w:type="dxa"/>
            <w:tcBorders>
              <w:top w:val="single" w:sz="4" w:space="0" w:color="A5A5A5" w:themeColor="accent3"/>
              <w:left w:val="single" w:sz="4" w:space="0" w:color="A5A5A5" w:themeColor="accent3"/>
              <w:bottom w:val="single" w:sz="4" w:space="0" w:color="A5A5A5" w:themeColor="accent3"/>
              <w:right w:val="nil"/>
            </w:tcBorders>
            <w:shd w:val="clear" w:color="auto" w:fill="EDEDED" w:themeFill="accent3" w:themeFillTint="33"/>
          </w:tcPr>
          <w:p w14:paraId="4EA51440" w14:textId="77777777" w:rsidR="003D3464" w:rsidRPr="003D3464" w:rsidRDefault="003D3464" w:rsidP="00135959">
            <w:pPr>
              <w:spacing w:after="0" w:line="240" w:lineRule="auto"/>
              <w:jc w:val="left"/>
              <w:rPr>
                <w:rFonts w:asciiTheme="majorHAnsi" w:eastAsia="Times New Roman" w:hAnsiTheme="majorHAnsi" w:cstheme="majorHAnsi"/>
                <w:b/>
                <w:bCs/>
                <w:sz w:val="18"/>
                <w:szCs w:val="18"/>
                <w:lang w:eastAsia="en-GB"/>
              </w:rPr>
            </w:pPr>
          </w:p>
        </w:tc>
        <w:tc>
          <w:tcPr>
            <w:tcW w:w="1519" w:type="dxa"/>
            <w:tcBorders>
              <w:top w:val="single" w:sz="4" w:space="0" w:color="AEAAAA" w:themeColor="background2" w:themeShade="BF"/>
              <w:left w:val="nil"/>
              <w:bottom w:val="single" w:sz="4" w:space="0" w:color="A5A5A5" w:themeColor="accent3"/>
              <w:right w:val="nil"/>
            </w:tcBorders>
            <w:shd w:val="clear" w:color="auto" w:fill="EDEDED" w:themeFill="accent3" w:themeFillTint="33"/>
            <w:noWrap/>
            <w:vAlign w:val="bottom"/>
            <w:hideMark/>
          </w:tcPr>
          <w:p w14:paraId="343D3499" w14:textId="65CB9878" w:rsidR="003D3464" w:rsidRPr="003D3464" w:rsidRDefault="003D3464" w:rsidP="00135959">
            <w:pPr>
              <w:spacing w:after="0" w:line="240" w:lineRule="auto"/>
              <w:jc w:val="left"/>
              <w:rPr>
                <w:rFonts w:asciiTheme="majorHAnsi" w:eastAsia="Times New Roman" w:hAnsiTheme="majorHAnsi" w:cstheme="majorHAnsi"/>
                <w:b/>
                <w:bCs/>
                <w:color w:val="000000"/>
                <w:sz w:val="18"/>
                <w:szCs w:val="18"/>
                <w:lang w:eastAsia="en-GB"/>
              </w:rPr>
            </w:pPr>
            <w:r w:rsidRPr="003D3464">
              <w:rPr>
                <w:rFonts w:asciiTheme="majorHAnsi" w:eastAsia="Times New Roman" w:hAnsiTheme="majorHAnsi" w:cstheme="majorHAnsi"/>
                <w:b/>
                <w:bCs/>
                <w:sz w:val="18"/>
                <w:szCs w:val="18"/>
                <w:lang w:eastAsia="en-GB"/>
              </w:rPr>
              <w:t>Question</w:t>
            </w:r>
          </w:p>
        </w:tc>
        <w:tc>
          <w:tcPr>
            <w:tcW w:w="1980" w:type="dxa"/>
            <w:tcBorders>
              <w:top w:val="single" w:sz="4" w:space="0" w:color="AEAAAA" w:themeColor="background2" w:themeShade="BF"/>
              <w:left w:val="nil"/>
              <w:bottom w:val="single" w:sz="4" w:space="0" w:color="A5A5A5" w:themeColor="accent3"/>
              <w:right w:val="nil"/>
            </w:tcBorders>
            <w:shd w:val="clear" w:color="auto" w:fill="EDEDED" w:themeFill="accent3" w:themeFillTint="33"/>
            <w:noWrap/>
            <w:vAlign w:val="bottom"/>
            <w:hideMark/>
          </w:tcPr>
          <w:p w14:paraId="2B17AD13" w14:textId="77777777" w:rsidR="003D3464" w:rsidRPr="003D3464" w:rsidRDefault="003D3464" w:rsidP="00135959">
            <w:pPr>
              <w:spacing w:after="0" w:line="240" w:lineRule="auto"/>
              <w:jc w:val="left"/>
              <w:rPr>
                <w:rFonts w:asciiTheme="majorHAnsi" w:eastAsia="Times New Roman" w:hAnsiTheme="majorHAnsi" w:cstheme="majorHAnsi"/>
                <w:b/>
                <w:bCs/>
                <w:color w:val="000000"/>
                <w:sz w:val="18"/>
                <w:szCs w:val="18"/>
                <w:lang w:eastAsia="en-GB"/>
              </w:rPr>
            </w:pPr>
            <w:r w:rsidRPr="003D3464">
              <w:rPr>
                <w:rFonts w:asciiTheme="majorHAnsi" w:eastAsia="Times New Roman" w:hAnsiTheme="majorHAnsi" w:cstheme="majorHAnsi"/>
                <w:b/>
                <w:bCs/>
                <w:sz w:val="18"/>
                <w:szCs w:val="18"/>
                <w:lang w:eastAsia="en-GB"/>
              </w:rPr>
              <w:t>Point</w:t>
            </w:r>
            <w:r w:rsidRPr="003D3464">
              <w:rPr>
                <w:rFonts w:asciiTheme="majorHAnsi" w:eastAsia="Times New Roman" w:hAnsiTheme="majorHAnsi" w:cstheme="majorHAnsi"/>
                <w:b/>
                <w:bCs/>
                <w:color w:val="000000"/>
                <w:sz w:val="18"/>
                <w:szCs w:val="18"/>
                <w:lang w:eastAsia="en-GB"/>
              </w:rPr>
              <w:t xml:space="preserve"> system</w:t>
            </w:r>
          </w:p>
        </w:tc>
        <w:tc>
          <w:tcPr>
            <w:tcW w:w="10710" w:type="dxa"/>
            <w:tcBorders>
              <w:top w:val="single" w:sz="4" w:space="0" w:color="AEAAAA" w:themeColor="background2" w:themeShade="BF"/>
              <w:left w:val="nil"/>
              <w:bottom w:val="single" w:sz="4" w:space="0" w:color="A5A5A5" w:themeColor="accent3"/>
              <w:right w:val="single" w:sz="4" w:space="0" w:color="A5A5A5" w:themeColor="accent3"/>
            </w:tcBorders>
            <w:shd w:val="clear" w:color="auto" w:fill="EDEDED" w:themeFill="accent3" w:themeFillTint="33"/>
            <w:noWrap/>
            <w:vAlign w:val="bottom"/>
            <w:hideMark/>
          </w:tcPr>
          <w:p w14:paraId="46577410" w14:textId="6ABB645D" w:rsidR="003D3464" w:rsidRPr="003D3464" w:rsidRDefault="003D3464" w:rsidP="004160AB">
            <w:pPr>
              <w:spacing w:after="0" w:line="240" w:lineRule="auto"/>
              <w:jc w:val="left"/>
              <w:rPr>
                <w:rFonts w:asciiTheme="majorHAnsi" w:eastAsia="Times New Roman" w:hAnsiTheme="majorHAnsi" w:cstheme="majorHAnsi"/>
                <w:b/>
                <w:bCs/>
                <w:color w:val="000000"/>
                <w:sz w:val="18"/>
                <w:szCs w:val="18"/>
                <w:lang w:eastAsia="en-GB"/>
              </w:rPr>
            </w:pPr>
            <w:r w:rsidRPr="003D3464">
              <w:rPr>
                <w:rFonts w:asciiTheme="majorHAnsi" w:eastAsia="Times New Roman" w:hAnsiTheme="majorHAnsi" w:cstheme="majorHAnsi"/>
                <w:b/>
                <w:bCs/>
                <w:color w:val="000000"/>
                <w:sz w:val="18"/>
                <w:szCs w:val="18"/>
                <w:lang w:eastAsia="en-GB"/>
              </w:rPr>
              <w:t>SCOR</w:t>
            </w:r>
            <w:r w:rsidR="004160AB">
              <w:rPr>
                <w:rFonts w:asciiTheme="majorHAnsi" w:eastAsia="Times New Roman" w:hAnsiTheme="majorHAnsi" w:cstheme="majorHAnsi"/>
                <w:b/>
                <w:bCs/>
                <w:color w:val="000000"/>
                <w:sz w:val="18"/>
                <w:szCs w:val="18"/>
                <w:lang w:eastAsia="en-GB"/>
              </w:rPr>
              <w:t>ING DETAILS</w:t>
            </w:r>
          </w:p>
        </w:tc>
      </w:tr>
      <w:tr w:rsidR="003D3464" w:rsidRPr="003D3464" w14:paraId="21F14578" w14:textId="77777777" w:rsidTr="00D36AC4">
        <w:trPr>
          <w:trHeight w:val="420"/>
        </w:trPr>
        <w:tc>
          <w:tcPr>
            <w:tcW w:w="1356" w:type="dxa"/>
            <w:vMerge w:val="restart"/>
            <w:tcBorders>
              <w:top w:val="single" w:sz="4" w:space="0" w:color="A5A5A5" w:themeColor="accent3"/>
              <w:left w:val="single" w:sz="4" w:space="0" w:color="A5A5A5" w:themeColor="accent3"/>
              <w:right w:val="single" w:sz="4" w:space="0" w:color="A5A5A5" w:themeColor="accent3"/>
            </w:tcBorders>
            <w:shd w:val="clear" w:color="auto" w:fill="FFFFFF" w:themeFill="background1"/>
            <w:textDirection w:val="btLr"/>
          </w:tcPr>
          <w:p w14:paraId="2D857ED5" w14:textId="77777777" w:rsidR="003D3464" w:rsidRDefault="003D3464" w:rsidP="003D3464">
            <w:pPr>
              <w:spacing w:after="0" w:line="240" w:lineRule="auto"/>
              <w:ind w:left="113" w:right="113"/>
              <w:jc w:val="center"/>
              <w:rPr>
                <w:rFonts w:asciiTheme="majorHAnsi" w:hAnsiTheme="majorHAnsi" w:cstheme="majorHAnsi"/>
                <w:sz w:val="18"/>
                <w:szCs w:val="18"/>
              </w:rPr>
            </w:pPr>
          </w:p>
          <w:p w14:paraId="542FB013" w14:textId="281DAACD" w:rsidR="003D3464" w:rsidRPr="003D3464" w:rsidRDefault="003D3464" w:rsidP="003D3464">
            <w:pPr>
              <w:spacing w:after="0" w:line="240" w:lineRule="auto"/>
              <w:ind w:left="113" w:right="113"/>
              <w:jc w:val="center"/>
              <w:rPr>
                <w:rFonts w:asciiTheme="majorHAnsi" w:hAnsiTheme="majorHAnsi" w:cstheme="majorHAnsi"/>
                <w:sz w:val="18"/>
                <w:szCs w:val="18"/>
              </w:rPr>
            </w:pPr>
            <w:r>
              <w:rPr>
                <w:rFonts w:asciiTheme="majorHAnsi" w:hAnsiTheme="majorHAnsi" w:cstheme="majorHAnsi"/>
                <w:sz w:val="18"/>
                <w:szCs w:val="18"/>
              </w:rPr>
              <w:t>Study design, representativeness and completeness of reported metrics</w:t>
            </w:r>
          </w:p>
        </w:tc>
        <w:tc>
          <w:tcPr>
            <w:tcW w:w="1519" w:type="dxa"/>
            <w:tcBorders>
              <w:top w:val="single" w:sz="4" w:space="0" w:color="A5A5A5" w:themeColor="accent3"/>
              <w:left w:val="single" w:sz="4" w:space="0" w:color="A5A5A5" w:themeColor="accent3"/>
              <w:bottom w:val="nil"/>
              <w:right w:val="nil"/>
            </w:tcBorders>
            <w:shd w:val="clear" w:color="auto" w:fill="FFFFFF" w:themeFill="background1"/>
            <w:noWrap/>
            <w:vAlign w:val="bottom"/>
            <w:hideMark/>
          </w:tcPr>
          <w:p w14:paraId="0C93D59C" w14:textId="2E06C13B" w:rsidR="003D3464" w:rsidRPr="003D3464" w:rsidRDefault="003D3464" w:rsidP="00135959">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Q1</w:t>
            </w:r>
            <w:r w:rsidRPr="003D3464">
              <w:rPr>
                <w:rFonts w:asciiTheme="majorHAnsi" w:eastAsia="Times New Roman" w:hAnsiTheme="majorHAnsi" w:cstheme="majorHAnsi"/>
                <w:sz w:val="18"/>
                <w:szCs w:val="18"/>
                <w:lang w:eastAsia="en-GB"/>
              </w:rPr>
              <w:t xml:space="preserve"> </w:t>
            </w:r>
            <w:r w:rsidRPr="003D3464">
              <w:rPr>
                <w:rFonts w:asciiTheme="majorHAnsi" w:eastAsia="Times New Roman" w:hAnsiTheme="majorHAnsi" w:cstheme="majorHAnsi"/>
                <w:color w:val="000000"/>
                <w:sz w:val="18"/>
                <w:szCs w:val="18"/>
                <w:lang w:eastAsia="en-GB"/>
              </w:rPr>
              <w:t>- DMG (Age)</w:t>
            </w:r>
          </w:p>
        </w:tc>
        <w:tc>
          <w:tcPr>
            <w:tcW w:w="1980" w:type="dxa"/>
            <w:tcBorders>
              <w:top w:val="single" w:sz="4" w:space="0" w:color="A5A5A5" w:themeColor="accent3"/>
              <w:left w:val="nil"/>
              <w:bottom w:val="nil"/>
              <w:right w:val="nil"/>
            </w:tcBorders>
            <w:shd w:val="clear" w:color="auto" w:fill="auto"/>
            <w:noWrap/>
            <w:vAlign w:val="bottom"/>
            <w:hideMark/>
          </w:tcPr>
          <w:p w14:paraId="1E76663D" w14:textId="77777777" w:rsidR="003D3464" w:rsidRPr="003D3464" w:rsidRDefault="003D3464" w:rsidP="00135959">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reporting age</w:t>
            </w:r>
            <w:r w:rsidRPr="003D3464">
              <w:rPr>
                <w:rFonts w:asciiTheme="majorHAnsi" w:eastAsia="Times New Roman" w:hAnsiTheme="majorHAnsi" w:cstheme="majorHAnsi"/>
                <w:sz w:val="18"/>
                <w:szCs w:val="18"/>
                <w:lang w:eastAsia="en-GB"/>
              </w:rPr>
              <w:t xml:space="preserve"> </w:t>
            </w:r>
            <w:r w:rsidRPr="003D3464">
              <w:rPr>
                <w:rFonts w:asciiTheme="majorHAnsi" w:eastAsia="Times New Roman" w:hAnsiTheme="majorHAnsi" w:cstheme="majorHAnsi"/>
                <w:color w:val="000000"/>
                <w:sz w:val="18"/>
                <w:szCs w:val="18"/>
                <w:lang w:eastAsia="en-GB"/>
              </w:rPr>
              <w:t>metrics (0-1)</w:t>
            </w:r>
          </w:p>
        </w:tc>
        <w:tc>
          <w:tcPr>
            <w:tcW w:w="10710" w:type="dxa"/>
            <w:tcBorders>
              <w:top w:val="single" w:sz="4" w:space="0" w:color="A5A5A5" w:themeColor="accent3"/>
              <w:left w:val="nil"/>
              <w:bottom w:val="nil"/>
              <w:right w:val="single" w:sz="4" w:space="0" w:color="A5A5A5" w:themeColor="accent3"/>
            </w:tcBorders>
            <w:shd w:val="clear" w:color="auto" w:fill="auto"/>
            <w:vAlign w:val="bottom"/>
            <w:hideMark/>
          </w:tcPr>
          <w:p w14:paraId="3F3CFE36" w14:textId="77777777" w:rsidR="003D3464" w:rsidRPr="003D3464" w:rsidRDefault="003D3464" w:rsidP="00135959">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Age mean and</w:t>
            </w:r>
            <w:r w:rsidRPr="003D3464">
              <w:rPr>
                <w:rFonts w:asciiTheme="majorHAnsi" w:eastAsia="Times New Roman" w:hAnsiTheme="majorHAnsi" w:cstheme="majorHAnsi"/>
                <w:sz w:val="18"/>
                <w:szCs w:val="18"/>
                <w:lang w:eastAsia="en-GB"/>
              </w:rPr>
              <w:t xml:space="preserve"> </w:t>
            </w:r>
            <w:r w:rsidRPr="003D3464">
              <w:rPr>
                <w:rFonts w:asciiTheme="majorHAnsi" w:eastAsia="Times New Roman" w:hAnsiTheme="majorHAnsi" w:cstheme="majorHAnsi"/>
                <w:color w:val="000000"/>
                <w:sz w:val="18"/>
                <w:szCs w:val="18"/>
                <w:lang w:eastAsia="en-GB"/>
              </w:rPr>
              <w:t>standard deviation (or equivalent metrics e.g. median, standard error) need to be reported; otherwise score 0</w:t>
            </w:r>
          </w:p>
        </w:tc>
      </w:tr>
      <w:tr w:rsidR="003D3464" w:rsidRPr="003D3464" w14:paraId="5C2FFA38" w14:textId="77777777" w:rsidTr="00D36AC4">
        <w:trPr>
          <w:trHeight w:val="465"/>
        </w:trPr>
        <w:tc>
          <w:tcPr>
            <w:tcW w:w="1356" w:type="dxa"/>
            <w:vMerge/>
            <w:tcBorders>
              <w:left w:val="single" w:sz="4" w:space="0" w:color="A5A5A5" w:themeColor="accent3"/>
              <w:right w:val="single" w:sz="4" w:space="0" w:color="A5A5A5" w:themeColor="accent3"/>
            </w:tcBorders>
            <w:shd w:val="clear" w:color="auto" w:fill="FFFFFF" w:themeFill="background1"/>
          </w:tcPr>
          <w:p w14:paraId="66087DE5" w14:textId="77777777" w:rsidR="003D3464" w:rsidRPr="003D3464" w:rsidRDefault="003D3464" w:rsidP="00135959">
            <w:pPr>
              <w:spacing w:after="0" w:line="240" w:lineRule="auto"/>
              <w:jc w:val="left"/>
              <w:rPr>
                <w:rFonts w:asciiTheme="majorHAnsi" w:hAnsiTheme="majorHAnsi" w:cstheme="majorHAnsi"/>
                <w:sz w:val="18"/>
                <w:szCs w:val="18"/>
              </w:rPr>
            </w:pPr>
          </w:p>
        </w:tc>
        <w:tc>
          <w:tcPr>
            <w:tcW w:w="1519" w:type="dxa"/>
            <w:tcBorders>
              <w:top w:val="nil"/>
              <w:left w:val="single" w:sz="4" w:space="0" w:color="A5A5A5" w:themeColor="accent3"/>
              <w:bottom w:val="nil"/>
              <w:right w:val="nil"/>
            </w:tcBorders>
            <w:shd w:val="clear" w:color="auto" w:fill="auto"/>
            <w:noWrap/>
            <w:vAlign w:val="bottom"/>
            <w:hideMark/>
          </w:tcPr>
          <w:p w14:paraId="4002DCFE" w14:textId="4482B938" w:rsidR="003D3464" w:rsidRPr="003D3464" w:rsidRDefault="003D3464" w:rsidP="00135959">
            <w:pPr>
              <w:spacing w:after="0" w:line="240" w:lineRule="auto"/>
              <w:jc w:val="left"/>
              <w:rPr>
                <w:rFonts w:asciiTheme="majorHAnsi" w:eastAsia="Times New Roman" w:hAnsiTheme="majorHAnsi" w:cstheme="majorHAnsi"/>
                <w:sz w:val="18"/>
                <w:szCs w:val="18"/>
                <w:lang w:eastAsia="en-GB"/>
              </w:rPr>
            </w:pPr>
            <w:r w:rsidRPr="003D3464">
              <w:rPr>
                <w:rFonts w:asciiTheme="majorHAnsi" w:hAnsiTheme="majorHAnsi" w:cstheme="majorHAnsi"/>
                <w:sz w:val="18"/>
                <w:szCs w:val="18"/>
              </w:rPr>
              <w:t>Q2 - DMG (Gen)</w:t>
            </w:r>
          </w:p>
        </w:tc>
        <w:tc>
          <w:tcPr>
            <w:tcW w:w="1980" w:type="dxa"/>
            <w:tcBorders>
              <w:top w:val="nil"/>
              <w:left w:val="nil"/>
              <w:bottom w:val="nil"/>
              <w:right w:val="nil"/>
            </w:tcBorders>
            <w:shd w:val="clear" w:color="auto" w:fill="auto"/>
            <w:noWrap/>
            <w:vAlign w:val="bottom"/>
            <w:hideMark/>
          </w:tcPr>
          <w:p w14:paraId="48E4D24A" w14:textId="77777777" w:rsidR="003D3464" w:rsidRPr="003D3464" w:rsidRDefault="003D3464" w:rsidP="00135959">
            <w:pPr>
              <w:spacing w:after="0" w:line="240" w:lineRule="auto"/>
              <w:jc w:val="left"/>
              <w:rPr>
                <w:rFonts w:asciiTheme="majorHAnsi" w:eastAsia="Times New Roman" w:hAnsiTheme="majorHAnsi" w:cstheme="majorHAnsi"/>
                <w:sz w:val="18"/>
                <w:szCs w:val="18"/>
                <w:lang w:eastAsia="en-GB"/>
              </w:rPr>
            </w:pPr>
            <w:r w:rsidRPr="003D3464">
              <w:rPr>
                <w:rFonts w:asciiTheme="majorHAnsi" w:hAnsiTheme="majorHAnsi" w:cstheme="majorHAnsi"/>
                <w:sz w:val="18"/>
                <w:szCs w:val="18"/>
              </w:rPr>
              <w:t>reporting gender metrics (0-1)</w:t>
            </w:r>
          </w:p>
        </w:tc>
        <w:tc>
          <w:tcPr>
            <w:tcW w:w="10710" w:type="dxa"/>
            <w:tcBorders>
              <w:top w:val="nil"/>
              <w:left w:val="nil"/>
              <w:bottom w:val="nil"/>
              <w:right w:val="single" w:sz="4" w:space="0" w:color="A5A5A5" w:themeColor="accent3"/>
            </w:tcBorders>
            <w:shd w:val="clear" w:color="auto" w:fill="auto"/>
            <w:vAlign w:val="bottom"/>
            <w:hideMark/>
          </w:tcPr>
          <w:p w14:paraId="0D644ECE" w14:textId="77777777" w:rsidR="003D3464" w:rsidRPr="003D3464" w:rsidRDefault="003D3464" w:rsidP="00135959">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Distribution between genders need to be reported either by number or percentage or by sample (e.g. 100% males/females)</w:t>
            </w:r>
          </w:p>
        </w:tc>
      </w:tr>
      <w:tr w:rsidR="003D3464" w:rsidRPr="003D3464" w14:paraId="0C123947" w14:textId="77777777" w:rsidTr="00D36AC4">
        <w:trPr>
          <w:trHeight w:val="465"/>
        </w:trPr>
        <w:tc>
          <w:tcPr>
            <w:tcW w:w="1356" w:type="dxa"/>
            <w:vMerge/>
            <w:tcBorders>
              <w:left w:val="single" w:sz="4" w:space="0" w:color="A5A5A5" w:themeColor="accent3"/>
              <w:right w:val="single" w:sz="4" w:space="0" w:color="A5A5A5" w:themeColor="accent3"/>
            </w:tcBorders>
            <w:shd w:val="clear" w:color="auto" w:fill="FFFFFF" w:themeFill="background1"/>
          </w:tcPr>
          <w:p w14:paraId="23E6D625" w14:textId="77777777" w:rsidR="003D3464" w:rsidRPr="003D3464" w:rsidRDefault="003D3464" w:rsidP="00135959">
            <w:pPr>
              <w:spacing w:after="0" w:line="240" w:lineRule="auto"/>
              <w:jc w:val="left"/>
              <w:rPr>
                <w:rFonts w:asciiTheme="majorHAnsi" w:hAnsiTheme="majorHAnsi" w:cstheme="majorHAnsi"/>
                <w:sz w:val="18"/>
                <w:szCs w:val="18"/>
              </w:rPr>
            </w:pPr>
          </w:p>
        </w:tc>
        <w:tc>
          <w:tcPr>
            <w:tcW w:w="1519" w:type="dxa"/>
            <w:tcBorders>
              <w:top w:val="nil"/>
              <w:left w:val="single" w:sz="4" w:space="0" w:color="A5A5A5" w:themeColor="accent3"/>
              <w:bottom w:val="nil"/>
              <w:right w:val="nil"/>
            </w:tcBorders>
            <w:shd w:val="clear" w:color="auto" w:fill="auto"/>
            <w:noWrap/>
            <w:vAlign w:val="bottom"/>
            <w:hideMark/>
          </w:tcPr>
          <w:p w14:paraId="379F17D4" w14:textId="6ED2B140" w:rsidR="003D3464" w:rsidRPr="003D3464" w:rsidRDefault="003D3464" w:rsidP="00135959">
            <w:pPr>
              <w:spacing w:after="0" w:line="240" w:lineRule="auto"/>
              <w:jc w:val="left"/>
              <w:rPr>
                <w:rFonts w:asciiTheme="majorHAnsi" w:eastAsia="Times New Roman" w:hAnsiTheme="majorHAnsi" w:cstheme="majorHAnsi"/>
                <w:sz w:val="18"/>
                <w:szCs w:val="18"/>
                <w:lang w:eastAsia="en-GB"/>
              </w:rPr>
            </w:pPr>
            <w:r w:rsidRPr="003D3464">
              <w:rPr>
                <w:rFonts w:asciiTheme="majorHAnsi" w:hAnsiTheme="majorHAnsi" w:cstheme="majorHAnsi"/>
                <w:sz w:val="18"/>
                <w:szCs w:val="18"/>
              </w:rPr>
              <w:t>Q3 - DMG (Edu)</w:t>
            </w:r>
          </w:p>
        </w:tc>
        <w:tc>
          <w:tcPr>
            <w:tcW w:w="1980" w:type="dxa"/>
            <w:tcBorders>
              <w:top w:val="nil"/>
              <w:left w:val="nil"/>
              <w:bottom w:val="nil"/>
              <w:right w:val="nil"/>
            </w:tcBorders>
            <w:shd w:val="clear" w:color="auto" w:fill="auto"/>
            <w:noWrap/>
            <w:vAlign w:val="bottom"/>
            <w:hideMark/>
          </w:tcPr>
          <w:p w14:paraId="6D61DF8D" w14:textId="77777777" w:rsidR="003D3464" w:rsidRPr="003D3464" w:rsidRDefault="003D3464" w:rsidP="00135959">
            <w:pPr>
              <w:spacing w:after="0" w:line="240" w:lineRule="auto"/>
              <w:jc w:val="left"/>
              <w:rPr>
                <w:rFonts w:asciiTheme="majorHAnsi" w:eastAsia="Times New Roman" w:hAnsiTheme="majorHAnsi" w:cstheme="majorHAnsi"/>
                <w:sz w:val="18"/>
                <w:szCs w:val="18"/>
                <w:lang w:eastAsia="en-GB"/>
              </w:rPr>
            </w:pPr>
            <w:r w:rsidRPr="003D3464">
              <w:rPr>
                <w:rFonts w:asciiTheme="majorHAnsi" w:hAnsiTheme="majorHAnsi" w:cstheme="majorHAnsi"/>
                <w:sz w:val="18"/>
                <w:szCs w:val="18"/>
              </w:rPr>
              <w:t>reporting education metrics (0-1)</w:t>
            </w:r>
          </w:p>
        </w:tc>
        <w:tc>
          <w:tcPr>
            <w:tcW w:w="10710" w:type="dxa"/>
            <w:tcBorders>
              <w:top w:val="nil"/>
              <w:left w:val="nil"/>
              <w:bottom w:val="nil"/>
              <w:right w:val="single" w:sz="4" w:space="0" w:color="A5A5A5" w:themeColor="accent3"/>
            </w:tcBorders>
            <w:shd w:val="clear" w:color="auto" w:fill="auto"/>
            <w:vAlign w:val="bottom"/>
            <w:hideMark/>
          </w:tcPr>
          <w:p w14:paraId="5ECA259F" w14:textId="77777777" w:rsidR="003D3464" w:rsidRPr="003D3464" w:rsidRDefault="003D3464" w:rsidP="00135959">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Score 0 if no metrics or if sample is unclear (e.g. sampled from X University) but with no metrics;</w:t>
            </w:r>
            <w:r w:rsidRPr="003D3464">
              <w:rPr>
                <w:rFonts w:asciiTheme="majorHAnsi" w:eastAsia="Times New Roman" w:hAnsiTheme="majorHAnsi" w:cstheme="majorHAnsi"/>
                <w:sz w:val="18"/>
                <w:szCs w:val="18"/>
                <w:lang w:eastAsia="en-GB"/>
              </w:rPr>
              <w:t xml:space="preserve"> </w:t>
            </w:r>
            <w:r w:rsidRPr="003D3464">
              <w:rPr>
                <w:rFonts w:asciiTheme="majorHAnsi" w:eastAsia="Times New Roman" w:hAnsiTheme="majorHAnsi" w:cstheme="majorHAnsi"/>
                <w:color w:val="000000"/>
                <w:sz w:val="18"/>
                <w:szCs w:val="18"/>
                <w:lang w:eastAsia="en-GB"/>
              </w:rPr>
              <w:t>score 1 if specific metrics of education reported or sample group is specified (e.g. sample of College students from X University)</w:t>
            </w:r>
          </w:p>
        </w:tc>
      </w:tr>
      <w:tr w:rsidR="003D3464" w:rsidRPr="003D3464" w14:paraId="0D5ABFCA" w14:textId="77777777" w:rsidTr="00D36AC4">
        <w:trPr>
          <w:trHeight w:val="555"/>
        </w:trPr>
        <w:tc>
          <w:tcPr>
            <w:tcW w:w="1356" w:type="dxa"/>
            <w:vMerge/>
            <w:tcBorders>
              <w:left w:val="single" w:sz="4" w:space="0" w:color="A5A5A5" w:themeColor="accent3"/>
              <w:right w:val="single" w:sz="4" w:space="0" w:color="A5A5A5" w:themeColor="accent3"/>
            </w:tcBorders>
            <w:shd w:val="clear" w:color="auto" w:fill="FFFFFF" w:themeFill="background1"/>
          </w:tcPr>
          <w:p w14:paraId="6CCA8ED5" w14:textId="77777777" w:rsidR="003D3464" w:rsidRPr="003D3464" w:rsidRDefault="003D3464" w:rsidP="00135959">
            <w:pPr>
              <w:spacing w:after="0" w:line="240" w:lineRule="auto"/>
              <w:jc w:val="left"/>
              <w:rPr>
                <w:rFonts w:asciiTheme="majorHAnsi" w:hAnsiTheme="majorHAnsi" w:cstheme="majorHAnsi"/>
                <w:sz w:val="18"/>
                <w:szCs w:val="18"/>
              </w:rPr>
            </w:pPr>
          </w:p>
        </w:tc>
        <w:tc>
          <w:tcPr>
            <w:tcW w:w="1519" w:type="dxa"/>
            <w:tcBorders>
              <w:top w:val="nil"/>
              <w:left w:val="single" w:sz="4" w:space="0" w:color="A5A5A5" w:themeColor="accent3"/>
              <w:bottom w:val="nil"/>
              <w:right w:val="nil"/>
            </w:tcBorders>
            <w:shd w:val="clear" w:color="auto" w:fill="auto"/>
            <w:noWrap/>
            <w:vAlign w:val="bottom"/>
            <w:hideMark/>
          </w:tcPr>
          <w:p w14:paraId="322C1D94" w14:textId="69B20083" w:rsidR="003D3464" w:rsidRPr="003D3464" w:rsidRDefault="003D3464" w:rsidP="00135959">
            <w:pPr>
              <w:spacing w:after="0" w:line="240" w:lineRule="auto"/>
              <w:jc w:val="left"/>
              <w:rPr>
                <w:rFonts w:asciiTheme="majorHAnsi" w:eastAsia="Times New Roman" w:hAnsiTheme="majorHAnsi" w:cstheme="majorHAnsi"/>
                <w:sz w:val="18"/>
                <w:szCs w:val="18"/>
                <w:lang w:eastAsia="en-GB"/>
              </w:rPr>
            </w:pPr>
            <w:r w:rsidRPr="003D3464">
              <w:rPr>
                <w:rFonts w:asciiTheme="majorHAnsi" w:hAnsiTheme="majorHAnsi" w:cstheme="majorHAnsi"/>
                <w:sz w:val="18"/>
                <w:szCs w:val="18"/>
              </w:rPr>
              <w:t>Q4 - DMG (Eth)</w:t>
            </w:r>
          </w:p>
        </w:tc>
        <w:tc>
          <w:tcPr>
            <w:tcW w:w="1980" w:type="dxa"/>
            <w:tcBorders>
              <w:top w:val="nil"/>
              <w:left w:val="nil"/>
              <w:bottom w:val="nil"/>
              <w:right w:val="nil"/>
            </w:tcBorders>
            <w:shd w:val="clear" w:color="auto" w:fill="auto"/>
            <w:noWrap/>
            <w:vAlign w:val="bottom"/>
            <w:hideMark/>
          </w:tcPr>
          <w:p w14:paraId="617786DD" w14:textId="77777777" w:rsidR="003D3464" w:rsidRPr="003D3464" w:rsidRDefault="003D3464" w:rsidP="00135959">
            <w:pPr>
              <w:spacing w:after="0" w:line="240" w:lineRule="auto"/>
              <w:jc w:val="left"/>
              <w:rPr>
                <w:rFonts w:asciiTheme="majorHAnsi" w:eastAsia="Times New Roman" w:hAnsiTheme="majorHAnsi" w:cstheme="majorHAnsi"/>
                <w:sz w:val="18"/>
                <w:szCs w:val="18"/>
                <w:lang w:eastAsia="en-GB"/>
              </w:rPr>
            </w:pPr>
            <w:r w:rsidRPr="003D3464">
              <w:rPr>
                <w:rFonts w:asciiTheme="majorHAnsi" w:hAnsiTheme="majorHAnsi" w:cstheme="majorHAnsi"/>
                <w:sz w:val="18"/>
                <w:szCs w:val="18"/>
              </w:rPr>
              <w:t>reporting ethnicity metrics (0-1)</w:t>
            </w:r>
          </w:p>
        </w:tc>
        <w:tc>
          <w:tcPr>
            <w:tcW w:w="10710" w:type="dxa"/>
            <w:tcBorders>
              <w:top w:val="nil"/>
              <w:left w:val="nil"/>
              <w:bottom w:val="nil"/>
              <w:right w:val="single" w:sz="4" w:space="0" w:color="A5A5A5" w:themeColor="accent3"/>
            </w:tcBorders>
            <w:shd w:val="clear" w:color="auto" w:fill="auto"/>
            <w:vAlign w:val="bottom"/>
            <w:hideMark/>
          </w:tcPr>
          <w:p w14:paraId="417DACCB" w14:textId="77777777" w:rsidR="003D3464" w:rsidRPr="003D3464" w:rsidRDefault="003D3464" w:rsidP="00135959">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 xml:space="preserve">Score 1 if distribution between ethnic groups is reported either by number or percentage or by sample (e.g. 100% Caucasian); score 0 if distribution is implied by sample (e.g. students from USA college) but not explicitly stated or if </w:t>
            </w:r>
            <w:r w:rsidRPr="003D3464">
              <w:rPr>
                <w:rFonts w:asciiTheme="majorHAnsi" w:eastAsia="Times New Roman" w:hAnsiTheme="majorHAnsi" w:cstheme="majorHAnsi"/>
                <w:sz w:val="18"/>
                <w:szCs w:val="18"/>
                <w:lang w:eastAsia="en-GB"/>
              </w:rPr>
              <w:t>no</w:t>
            </w:r>
            <w:r w:rsidRPr="003D3464">
              <w:rPr>
                <w:rFonts w:asciiTheme="majorHAnsi" w:eastAsia="Times New Roman" w:hAnsiTheme="majorHAnsi" w:cstheme="majorHAnsi"/>
                <w:color w:val="000000"/>
                <w:sz w:val="18"/>
                <w:szCs w:val="18"/>
                <w:lang w:eastAsia="en-GB"/>
              </w:rPr>
              <w:t xml:space="preserve"> ethnicity reported</w:t>
            </w:r>
          </w:p>
        </w:tc>
      </w:tr>
      <w:tr w:rsidR="003D3464" w:rsidRPr="003D3464" w14:paraId="4760BB09" w14:textId="77777777" w:rsidTr="00D36AC4">
        <w:trPr>
          <w:trHeight w:val="702"/>
        </w:trPr>
        <w:tc>
          <w:tcPr>
            <w:tcW w:w="1356" w:type="dxa"/>
            <w:vMerge/>
            <w:tcBorders>
              <w:left w:val="single" w:sz="4" w:space="0" w:color="A5A5A5" w:themeColor="accent3"/>
              <w:bottom w:val="single" w:sz="4" w:space="0" w:color="AEAAAA" w:themeColor="background2" w:themeShade="BF"/>
              <w:right w:val="single" w:sz="4" w:space="0" w:color="A5A5A5" w:themeColor="accent3"/>
            </w:tcBorders>
            <w:shd w:val="clear" w:color="auto" w:fill="FFFFFF" w:themeFill="background1"/>
          </w:tcPr>
          <w:p w14:paraId="0C3ECE00" w14:textId="77777777" w:rsidR="003D3464" w:rsidRPr="003D3464" w:rsidRDefault="003D3464" w:rsidP="003D3464">
            <w:pPr>
              <w:spacing w:after="0" w:line="240" w:lineRule="auto"/>
              <w:jc w:val="left"/>
              <w:rPr>
                <w:rFonts w:asciiTheme="majorHAnsi" w:hAnsiTheme="majorHAnsi" w:cstheme="majorHAnsi"/>
                <w:sz w:val="18"/>
                <w:szCs w:val="18"/>
              </w:rPr>
            </w:pPr>
          </w:p>
        </w:tc>
        <w:tc>
          <w:tcPr>
            <w:tcW w:w="1519" w:type="dxa"/>
            <w:tcBorders>
              <w:top w:val="nil"/>
              <w:left w:val="single" w:sz="4" w:space="0" w:color="A5A5A5" w:themeColor="accent3"/>
              <w:bottom w:val="single" w:sz="4" w:space="0" w:color="AEAAAA" w:themeColor="background2" w:themeShade="BF"/>
              <w:right w:val="nil"/>
            </w:tcBorders>
            <w:shd w:val="clear" w:color="auto" w:fill="auto"/>
            <w:noWrap/>
            <w:vAlign w:val="bottom"/>
          </w:tcPr>
          <w:p w14:paraId="06517CF5" w14:textId="31D67B23" w:rsidR="003D3464" w:rsidRPr="003D3464" w:rsidRDefault="003D3464"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Q</w:t>
            </w:r>
            <w:r>
              <w:rPr>
                <w:rFonts w:asciiTheme="majorHAnsi" w:hAnsiTheme="majorHAnsi" w:cstheme="majorHAnsi"/>
                <w:sz w:val="18"/>
                <w:szCs w:val="18"/>
              </w:rPr>
              <w:t>5</w:t>
            </w:r>
            <w:r w:rsidRPr="003D3464">
              <w:rPr>
                <w:rFonts w:asciiTheme="majorHAnsi" w:hAnsiTheme="majorHAnsi" w:cstheme="majorHAnsi"/>
                <w:sz w:val="18"/>
                <w:szCs w:val="18"/>
              </w:rPr>
              <w:t xml:space="preserve"> - (NOQ-Rep)</w:t>
            </w:r>
          </w:p>
        </w:tc>
        <w:tc>
          <w:tcPr>
            <w:tcW w:w="1980" w:type="dxa"/>
            <w:tcBorders>
              <w:top w:val="nil"/>
              <w:left w:val="nil"/>
              <w:bottom w:val="single" w:sz="4" w:space="0" w:color="AEAAAA" w:themeColor="background2" w:themeShade="BF"/>
              <w:right w:val="nil"/>
            </w:tcBorders>
            <w:shd w:val="clear" w:color="auto" w:fill="auto"/>
            <w:noWrap/>
            <w:vAlign w:val="bottom"/>
          </w:tcPr>
          <w:p w14:paraId="7F33762D" w14:textId="4C3F474E" w:rsidR="003D3464" w:rsidRPr="003D3464" w:rsidRDefault="003D3464"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representativeness of the exposed cohort</w:t>
            </w:r>
            <w:r w:rsidRPr="003D3464">
              <w:rPr>
                <w:rFonts w:asciiTheme="majorHAnsi" w:eastAsia="Times New Roman" w:hAnsiTheme="majorHAnsi" w:cstheme="majorHAnsi"/>
                <w:sz w:val="18"/>
                <w:szCs w:val="18"/>
                <w:lang w:eastAsia="en-GB"/>
              </w:rPr>
              <w:t xml:space="preserve"> </w:t>
            </w:r>
            <w:r w:rsidRPr="003D3464">
              <w:rPr>
                <w:rFonts w:asciiTheme="majorHAnsi" w:eastAsia="Times New Roman" w:hAnsiTheme="majorHAnsi" w:cstheme="majorHAnsi"/>
                <w:color w:val="000000"/>
                <w:sz w:val="18"/>
                <w:szCs w:val="18"/>
                <w:lang w:eastAsia="en-GB"/>
              </w:rPr>
              <w:t>(0-2)</w:t>
            </w:r>
          </w:p>
        </w:tc>
        <w:tc>
          <w:tcPr>
            <w:tcW w:w="10710" w:type="dxa"/>
            <w:tcBorders>
              <w:top w:val="nil"/>
              <w:left w:val="nil"/>
              <w:bottom w:val="single" w:sz="4" w:space="0" w:color="AEAAAA" w:themeColor="background2" w:themeShade="BF"/>
              <w:right w:val="single" w:sz="4" w:space="0" w:color="A5A5A5" w:themeColor="accent3"/>
            </w:tcBorders>
            <w:shd w:val="clear" w:color="auto" w:fill="auto"/>
            <w:vAlign w:val="bottom"/>
          </w:tcPr>
          <w:p w14:paraId="74499EDF" w14:textId="329F5AFC" w:rsidR="003D3464" w:rsidRPr="003D3464" w:rsidRDefault="003D3464"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Sample is representative of the average in the community, randomized, stratified sampling score 2;  volunteer sampling,  online survey, selected subgroup,</w:t>
            </w:r>
            <w:r w:rsidRPr="003D3464">
              <w:rPr>
                <w:rFonts w:asciiTheme="majorHAnsi" w:eastAsia="Times New Roman" w:hAnsiTheme="majorHAnsi" w:cstheme="majorHAnsi"/>
                <w:sz w:val="18"/>
                <w:szCs w:val="18"/>
                <w:lang w:eastAsia="en-GB"/>
              </w:rPr>
              <w:t xml:space="preserve"> </w:t>
            </w:r>
            <w:r w:rsidRPr="003D3464">
              <w:rPr>
                <w:rFonts w:asciiTheme="majorHAnsi" w:eastAsia="Times New Roman" w:hAnsiTheme="majorHAnsi" w:cstheme="majorHAnsi"/>
                <w:color w:val="000000"/>
                <w:sz w:val="18"/>
                <w:szCs w:val="18"/>
                <w:lang w:eastAsia="en-GB"/>
              </w:rPr>
              <w:t>convenience sample, score 1;  not defined or not rep sample, score 0</w:t>
            </w:r>
          </w:p>
        </w:tc>
      </w:tr>
      <w:tr w:rsidR="004160AB" w:rsidRPr="003D3464" w14:paraId="79FE632C" w14:textId="77777777" w:rsidTr="00D36AC4">
        <w:trPr>
          <w:trHeight w:val="530"/>
        </w:trPr>
        <w:tc>
          <w:tcPr>
            <w:tcW w:w="1356" w:type="dxa"/>
            <w:vMerge w:val="restart"/>
            <w:tcBorders>
              <w:top w:val="single" w:sz="4" w:space="0" w:color="AEAAAA" w:themeColor="background2" w:themeShade="BF"/>
              <w:left w:val="single" w:sz="4" w:space="0" w:color="A5A5A5" w:themeColor="accent3"/>
              <w:right w:val="single" w:sz="4" w:space="0" w:color="A5A5A5" w:themeColor="accent3"/>
            </w:tcBorders>
            <w:shd w:val="clear" w:color="auto" w:fill="FFFFFF" w:themeFill="background1"/>
            <w:textDirection w:val="btLr"/>
          </w:tcPr>
          <w:p w14:paraId="5C3DBBEC" w14:textId="77777777" w:rsidR="004160AB" w:rsidRDefault="004160AB" w:rsidP="003D3464">
            <w:pPr>
              <w:spacing w:after="0" w:line="240" w:lineRule="auto"/>
              <w:ind w:left="113" w:right="113"/>
              <w:jc w:val="center"/>
              <w:rPr>
                <w:rFonts w:asciiTheme="majorHAnsi" w:hAnsiTheme="majorHAnsi" w:cstheme="majorHAnsi"/>
                <w:sz w:val="18"/>
                <w:szCs w:val="18"/>
              </w:rPr>
            </w:pPr>
          </w:p>
          <w:p w14:paraId="010CA3F8" w14:textId="475F36FC" w:rsidR="004160AB" w:rsidRDefault="004160AB" w:rsidP="003D3464">
            <w:pPr>
              <w:spacing w:after="0" w:line="240" w:lineRule="auto"/>
              <w:ind w:left="113" w:right="113"/>
              <w:jc w:val="center"/>
              <w:rPr>
                <w:rFonts w:asciiTheme="majorHAnsi" w:hAnsiTheme="majorHAnsi" w:cstheme="majorHAnsi"/>
                <w:sz w:val="18"/>
                <w:szCs w:val="18"/>
              </w:rPr>
            </w:pPr>
            <w:r>
              <w:rPr>
                <w:rFonts w:asciiTheme="majorHAnsi" w:hAnsiTheme="majorHAnsi" w:cstheme="majorHAnsi"/>
                <w:sz w:val="18"/>
                <w:szCs w:val="18"/>
              </w:rPr>
              <w:t>Validity and clarity of reporting of eating disorder and problematic usage of the internet facets</w:t>
            </w:r>
          </w:p>
        </w:tc>
        <w:tc>
          <w:tcPr>
            <w:tcW w:w="1519" w:type="dxa"/>
            <w:tcBorders>
              <w:top w:val="single" w:sz="4" w:space="0" w:color="AEAAAA" w:themeColor="background2" w:themeShade="BF"/>
              <w:left w:val="single" w:sz="4" w:space="0" w:color="A5A5A5" w:themeColor="accent3"/>
              <w:bottom w:val="single" w:sz="4" w:space="0" w:color="FFFFFF" w:themeColor="background1"/>
              <w:right w:val="nil"/>
            </w:tcBorders>
            <w:shd w:val="clear" w:color="auto" w:fill="auto"/>
            <w:noWrap/>
            <w:vAlign w:val="bottom"/>
            <w:hideMark/>
          </w:tcPr>
          <w:p w14:paraId="6D7C6C44" w14:textId="5222092C"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Pr>
                <w:rFonts w:asciiTheme="majorHAnsi" w:hAnsiTheme="majorHAnsi" w:cstheme="majorHAnsi"/>
                <w:sz w:val="18"/>
                <w:szCs w:val="18"/>
              </w:rPr>
              <w:t>Q6</w:t>
            </w:r>
            <w:r w:rsidRPr="003D3464">
              <w:rPr>
                <w:rFonts w:asciiTheme="majorHAnsi" w:hAnsiTheme="majorHAnsi" w:cstheme="majorHAnsi"/>
                <w:sz w:val="18"/>
                <w:szCs w:val="18"/>
              </w:rPr>
              <w:t xml:space="preserve"> - </w:t>
            </w:r>
            <w:r>
              <w:rPr>
                <w:rFonts w:asciiTheme="majorHAnsi" w:hAnsiTheme="majorHAnsi" w:cstheme="majorHAnsi"/>
                <w:sz w:val="18"/>
                <w:szCs w:val="18"/>
              </w:rPr>
              <w:t>PUI</w:t>
            </w:r>
            <w:r w:rsidRPr="003D3464">
              <w:rPr>
                <w:rFonts w:asciiTheme="majorHAnsi" w:hAnsiTheme="majorHAnsi" w:cstheme="majorHAnsi"/>
                <w:sz w:val="18"/>
                <w:szCs w:val="18"/>
              </w:rPr>
              <w:t xml:space="preserve"> (Diagn)</w:t>
            </w:r>
          </w:p>
        </w:tc>
        <w:tc>
          <w:tcPr>
            <w:tcW w:w="1980" w:type="dxa"/>
            <w:tcBorders>
              <w:top w:val="single" w:sz="4" w:space="0" w:color="AEAAAA" w:themeColor="background2" w:themeShade="BF"/>
              <w:left w:val="nil"/>
              <w:bottom w:val="single" w:sz="4" w:space="0" w:color="FFFFFF" w:themeColor="background1"/>
              <w:right w:val="nil"/>
            </w:tcBorders>
            <w:shd w:val="clear" w:color="auto" w:fill="auto"/>
            <w:noWrap/>
            <w:vAlign w:val="bottom"/>
            <w:hideMark/>
          </w:tcPr>
          <w:p w14:paraId="59525C45" w14:textId="2B93C978" w:rsidR="004160AB" w:rsidRPr="003D3464" w:rsidRDefault="004160AB" w:rsidP="003D3464">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 xml:space="preserve">reporting </w:t>
            </w:r>
            <w:r>
              <w:rPr>
                <w:rFonts w:asciiTheme="majorHAnsi" w:hAnsiTheme="majorHAnsi" w:cstheme="majorHAnsi"/>
                <w:sz w:val="18"/>
                <w:szCs w:val="18"/>
              </w:rPr>
              <w:t>PUI</w:t>
            </w:r>
            <w:r w:rsidRPr="003D3464">
              <w:rPr>
                <w:rFonts w:asciiTheme="majorHAnsi" w:hAnsiTheme="majorHAnsi" w:cstheme="majorHAnsi"/>
                <w:sz w:val="18"/>
                <w:szCs w:val="18"/>
              </w:rPr>
              <w:t xml:space="preserve"> diagnostic metrics (</w:t>
            </w:r>
            <w:r w:rsidRPr="003D3464">
              <w:rPr>
                <w:rFonts w:asciiTheme="majorHAnsi" w:eastAsia="Times New Roman" w:hAnsiTheme="majorHAnsi" w:cstheme="majorHAnsi"/>
                <w:sz w:val="18"/>
                <w:szCs w:val="18"/>
                <w:lang w:eastAsia="en-GB"/>
              </w:rPr>
              <w:t>0-2</w:t>
            </w:r>
            <w:r w:rsidRPr="003D3464">
              <w:rPr>
                <w:rFonts w:asciiTheme="majorHAnsi" w:eastAsia="Times New Roman" w:hAnsiTheme="majorHAnsi" w:cstheme="majorHAnsi"/>
                <w:color w:val="000000"/>
                <w:sz w:val="18"/>
                <w:szCs w:val="18"/>
                <w:lang w:eastAsia="en-GB"/>
              </w:rPr>
              <w:t>)</w:t>
            </w:r>
          </w:p>
        </w:tc>
        <w:tc>
          <w:tcPr>
            <w:tcW w:w="10710" w:type="dxa"/>
            <w:tcBorders>
              <w:top w:val="single" w:sz="4" w:space="0" w:color="AEAAAA" w:themeColor="background2" w:themeShade="BF"/>
              <w:left w:val="nil"/>
              <w:bottom w:val="single" w:sz="4" w:space="0" w:color="FFFFFF" w:themeColor="background1"/>
              <w:right w:val="single" w:sz="4" w:space="0" w:color="A5A5A5" w:themeColor="accent3"/>
            </w:tcBorders>
            <w:shd w:val="clear" w:color="auto" w:fill="auto"/>
            <w:vAlign w:val="bottom"/>
            <w:hideMark/>
          </w:tcPr>
          <w:p w14:paraId="47AAAEBD" w14:textId="3E3649C2" w:rsidR="004160AB" w:rsidRPr="003D3464" w:rsidRDefault="004160AB" w:rsidP="003D3464">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 xml:space="preserve">Score 2 if diagnostic interview or established </w:t>
            </w:r>
            <w:r>
              <w:rPr>
                <w:rFonts w:asciiTheme="majorHAnsi" w:hAnsiTheme="majorHAnsi" w:cstheme="majorHAnsi"/>
                <w:sz w:val="18"/>
                <w:szCs w:val="18"/>
              </w:rPr>
              <w:t>PUI</w:t>
            </w:r>
            <w:r w:rsidRPr="003D3464">
              <w:rPr>
                <w:rFonts w:asciiTheme="majorHAnsi" w:hAnsiTheme="majorHAnsi" w:cstheme="majorHAnsi"/>
                <w:sz w:val="18"/>
                <w:szCs w:val="18"/>
              </w:rPr>
              <w:t xml:space="preserve"> clinical sample from records; score 1 if a valid tool of </w:t>
            </w:r>
            <w:r>
              <w:rPr>
                <w:rFonts w:asciiTheme="majorHAnsi" w:hAnsiTheme="majorHAnsi" w:cstheme="majorHAnsi"/>
                <w:sz w:val="18"/>
                <w:szCs w:val="18"/>
              </w:rPr>
              <w:t>PUI</w:t>
            </w:r>
            <w:r w:rsidRPr="003D3464">
              <w:rPr>
                <w:rFonts w:asciiTheme="majorHAnsi" w:hAnsiTheme="majorHAnsi" w:cstheme="majorHAnsi"/>
                <w:sz w:val="18"/>
                <w:szCs w:val="18"/>
              </w:rPr>
              <w:t xml:space="preserve"> is used; score 0 if unvalidated or only tests </w:t>
            </w:r>
            <w:r>
              <w:rPr>
                <w:rFonts w:asciiTheme="majorHAnsi" w:hAnsiTheme="majorHAnsi" w:cstheme="majorHAnsi"/>
                <w:sz w:val="18"/>
                <w:szCs w:val="18"/>
              </w:rPr>
              <w:t>PUI</w:t>
            </w:r>
            <w:r w:rsidRPr="003D3464">
              <w:rPr>
                <w:rFonts w:asciiTheme="majorHAnsi" w:hAnsiTheme="majorHAnsi" w:cstheme="majorHAnsi"/>
                <w:sz w:val="18"/>
                <w:szCs w:val="18"/>
              </w:rPr>
              <w:t xml:space="preserve"> by virtue of </w:t>
            </w:r>
            <w:r w:rsidRPr="003D3464">
              <w:rPr>
                <w:rFonts w:asciiTheme="majorHAnsi" w:eastAsia="Times New Roman" w:hAnsiTheme="majorHAnsi" w:cstheme="majorHAnsi"/>
                <w:sz w:val="18"/>
                <w:szCs w:val="18"/>
                <w:lang w:eastAsia="en-GB"/>
              </w:rPr>
              <w:t>a</w:t>
            </w:r>
            <w:r w:rsidRPr="003D3464">
              <w:rPr>
                <w:rFonts w:asciiTheme="majorHAnsi" w:eastAsia="Times New Roman" w:hAnsiTheme="majorHAnsi" w:cstheme="majorHAnsi"/>
                <w:color w:val="000000"/>
                <w:sz w:val="18"/>
                <w:szCs w:val="18"/>
                <w:lang w:eastAsia="en-GB"/>
              </w:rPr>
              <w:t xml:space="preserve"> single measure of online activity (e.g. n of Facebook friends, time spend online)</w:t>
            </w:r>
          </w:p>
        </w:tc>
      </w:tr>
      <w:tr w:rsidR="004160AB" w:rsidRPr="003D3464" w14:paraId="4C923569" w14:textId="77777777" w:rsidTr="00D36AC4">
        <w:trPr>
          <w:trHeight w:val="540"/>
        </w:trPr>
        <w:tc>
          <w:tcPr>
            <w:tcW w:w="1356" w:type="dxa"/>
            <w:vMerge/>
            <w:tcBorders>
              <w:left w:val="single" w:sz="4" w:space="0" w:color="A5A5A5" w:themeColor="accent3"/>
              <w:right w:val="single" w:sz="4" w:space="0" w:color="A5A5A5" w:themeColor="accent3"/>
            </w:tcBorders>
            <w:shd w:val="clear" w:color="auto" w:fill="FFFFFF" w:themeFill="background1"/>
            <w:textDirection w:val="btLr"/>
          </w:tcPr>
          <w:p w14:paraId="24A7B55D" w14:textId="2826314A" w:rsidR="004160AB" w:rsidRDefault="004160AB" w:rsidP="003D3464">
            <w:pPr>
              <w:spacing w:after="0" w:line="240" w:lineRule="auto"/>
              <w:ind w:left="113" w:right="113"/>
              <w:jc w:val="center"/>
              <w:rPr>
                <w:rFonts w:asciiTheme="majorHAnsi" w:hAnsiTheme="majorHAnsi" w:cstheme="majorHAnsi"/>
                <w:sz w:val="18"/>
                <w:szCs w:val="18"/>
              </w:rPr>
            </w:pPr>
          </w:p>
        </w:tc>
        <w:tc>
          <w:tcPr>
            <w:tcW w:w="1519" w:type="dxa"/>
            <w:tcBorders>
              <w:top w:val="single" w:sz="4" w:space="0" w:color="FFFFFF" w:themeColor="background1"/>
              <w:left w:val="single" w:sz="4" w:space="0" w:color="A5A5A5" w:themeColor="accent3"/>
              <w:bottom w:val="nil"/>
              <w:right w:val="nil"/>
            </w:tcBorders>
            <w:shd w:val="clear" w:color="auto" w:fill="auto"/>
            <w:noWrap/>
            <w:vAlign w:val="bottom"/>
            <w:hideMark/>
          </w:tcPr>
          <w:p w14:paraId="2F2F7902" w14:textId="3CC6321E"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Pr>
                <w:rFonts w:asciiTheme="majorHAnsi" w:hAnsiTheme="majorHAnsi" w:cstheme="majorHAnsi"/>
                <w:sz w:val="18"/>
                <w:szCs w:val="18"/>
              </w:rPr>
              <w:t>Q7</w:t>
            </w:r>
            <w:r w:rsidRPr="003D3464">
              <w:rPr>
                <w:rFonts w:asciiTheme="majorHAnsi" w:hAnsiTheme="majorHAnsi" w:cstheme="majorHAnsi"/>
                <w:sz w:val="18"/>
                <w:szCs w:val="18"/>
              </w:rPr>
              <w:t xml:space="preserve"> - </w:t>
            </w:r>
            <w:r>
              <w:rPr>
                <w:rFonts w:asciiTheme="majorHAnsi" w:hAnsiTheme="majorHAnsi" w:cstheme="majorHAnsi"/>
                <w:sz w:val="18"/>
                <w:szCs w:val="18"/>
              </w:rPr>
              <w:t>PUI</w:t>
            </w:r>
            <w:r w:rsidRPr="003D3464">
              <w:rPr>
                <w:rFonts w:asciiTheme="majorHAnsi" w:hAnsiTheme="majorHAnsi" w:cstheme="majorHAnsi"/>
                <w:sz w:val="18"/>
                <w:szCs w:val="18"/>
              </w:rPr>
              <w:t xml:space="preserve"> (Facet)</w:t>
            </w:r>
          </w:p>
        </w:tc>
        <w:tc>
          <w:tcPr>
            <w:tcW w:w="1980" w:type="dxa"/>
            <w:tcBorders>
              <w:top w:val="single" w:sz="4" w:space="0" w:color="FFFFFF" w:themeColor="background1"/>
              <w:left w:val="nil"/>
              <w:bottom w:val="nil"/>
              <w:right w:val="nil"/>
            </w:tcBorders>
            <w:shd w:val="clear" w:color="auto" w:fill="auto"/>
            <w:noWrap/>
            <w:vAlign w:val="bottom"/>
            <w:hideMark/>
          </w:tcPr>
          <w:p w14:paraId="4B421C77" w14:textId="5D944CBE" w:rsidR="004160AB" w:rsidRPr="003D3464" w:rsidRDefault="004160AB"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 xml:space="preserve">reporting </w:t>
            </w:r>
            <w:r>
              <w:rPr>
                <w:rFonts w:asciiTheme="majorHAnsi" w:hAnsiTheme="majorHAnsi" w:cstheme="majorHAnsi"/>
                <w:sz w:val="18"/>
                <w:szCs w:val="18"/>
              </w:rPr>
              <w:t>PUI</w:t>
            </w:r>
            <w:r w:rsidRPr="003D3464">
              <w:rPr>
                <w:rFonts w:asciiTheme="majorHAnsi" w:hAnsiTheme="majorHAnsi" w:cstheme="majorHAnsi"/>
                <w:sz w:val="18"/>
                <w:szCs w:val="18"/>
              </w:rPr>
              <w:t xml:space="preserve"> facets (0-1)</w:t>
            </w:r>
          </w:p>
        </w:tc>
        <w:tc>
          <w:tcPr>
            <w:tcW w:w="10710" w:type="dxa"/>
            <w:tcBorders>
              <w:top w:val="single" w:sz="4" w:space="0" w:color="FFFFFF" w:themeColor="background1"/>
              <w:left w:val="nil"/>
              <w:bottom w:val="nil"/>
              <w:right w:val="single" w:sz="4" w:space="0" w:color="A5A5A5" w:themeColor="accent3"/>
            </w:tcBorders>
            <w:shd w:val="clear" w:color="auto" w:fill="auto"/>
            <w:vAlign w:val="bottom"/>
            <w:hideMark/>
          </w:tcPr>
          <w:p w14:paraId="424AD9CC" w14:textId="5F5A5540" w:rsidR="004160AB" w:rsidRPr="003D3464" w:rsidRDefault="004160AB"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 xml:space="preserve">Score 1 if the facet of </w:t>
            </w:r>
            <w:r>
              <w:rPr>
                <w:rFonts w:asciiTheme="majorHAnsi" w:hAnsiTheme="majorHAnsi" w:cstheme="majorHAnsi"/>
                <w:sz w:val="18"/>
                <w:szCs w:val="18"/>
              </w:rPr>
              <w:t>PUI</w:t>
            </w:r>
            <w:r w:rsidRPr="003D3464">
              <w:rPr>
                <w:rFonts w:asciiTheme="majorHAnsi" w:hAnsiTheme="majorHAnsi" w:cstheme="majorHAnsi"/>
                <w:sz w:val="18"/>
                <w:szCs w:val="18"/>
              </w:rPr>
              <w:t xml:space="preserve"> (e.g. gaming, social media, or global </w:t>
            </w:r>
            <w:r>
              <w:rPr>
                <w:rFonts w:asciiTheme="majorHAnsi" w:hAnsiTheme="majorHAnsi" w:cstheme="majorHAnsi"/>
                <w:sz w:val="18"/>
                <w:szCs w:val="18"/>
              </w:rPr>
              <w:t>PUI</w:t>
            </w:r>
            <w:r w:rsidRPr="003D3464">
              <w:rPr>
                <w:rFonts w:asciiTheme="majorHAnsi" w:hAnsiTheme="majorHAnsi" w:cstheme="majorHAnsi"/>
                <w:sz w:val="18"/>
                <w:szCs w:val="18"/>
              </w:rPr>
              <w:t>) are clearly assessed and reported. Score 0 if not or facet unclear</w:t>
            </w:r>
          </w:p>
        </w:tc>
      </w:tr>
      <w:tr w:rsidR="004160AB" w:rsidRPr="003D3464" w14:paraId="5EFB8B42" w14:textId="77777777" w:rsidTr="00D36AC4">
        <w:trPr>
          <w:trHeight w:val="465"/>
        </w:trPr>
        <w:tc>
          <w:tcPr>
            <w:tcW w:w="1356" w:type="dxa"/>
            <w:vMerge/>
            <w:tcBorders>
              <w:left w:val="single" w:sz="4" w:space="0" w:color="A5A5A5" w:themeColor="accent3"/>
              <w:right w:val="single" w:sz="4" w:space="0" w:color="A5A5A5" w:themeColor="accent3"/>
            </w:tcBorders>
            <w:shd w:val="clear" w:color="auto" w:fill="FFFFFF" w:themeFill="background1"/>
          </w:tcPr>
          <w:p w14:paraId="0F8E3E9D" w14:textId="77777777" w:rsidR="004160AB" w:rsidRDefault="004160AB" w:rsidP="003D3464">
            <w:pPr>
              <w:spacing w:after="0" w:line="240" w:lineRule="auto"/>
              <w:jc w:val="left"/>
              <w:rPr>
                <w:rFonts w:asciiTheme="majorHAnsi" w:hAnsiTheme="majorHAnsi" w:cstheme="majorHAnsi"/>
                <w:sz w:val="18"/>
                <w:szCs w:val="18"/>
              </w:rPr>
            </w:pPr>
          </w:p>
        </w:tc>
        <w:tc>
          <w:tcPr>
            <w:tcW w:w="1519" w:type="dxa"/>
            <w:tcBorders>
              <w:top w:val="nil"/>
              <w:left w:val="single" w:sz="4" w:space="0" w:color="A5A5A5" w:themeColor="accent3"/>
              <w:bottom w:val="nil"/>
              <w:right w:val="nil"/>
            </w:tcBorders>
            <w:shd w:val="clear" w:color="auto" w:fill="auto"/>
            <w:noWrap/>
            <w:vAlign w:val="bottom"/>
            <w:hideMark/>
          </w:tcPr>
          <w:p w14:paraId="2017CFDE" w14:textId="45681774"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Pr>
                <w:rFonts w:asciiTheme="majorHAnsi" w:hAnsiTheme="majorHAnsi" w:cstheme="majorHAnsi"/>
                <w:sz w:val="18"/>
                <w:szCs w:val="18"/>
              </w:rPr>
              <w:t>Q8</w:t>
            </w:r>
            <w:r w:rsidRPr="003D3464">
              <w:rPr>
                <w:rFonts w:asciiTheme="majorHAnsi" w:hAnsiTheme="majorHAnsi" w:cstheme="majorHAnsi"/>
                <w:sz w:val="18"/>
                <w:szCs w:val="18"/>
              </w:rPr>
              <w:t xml:space="preserve"> - </w:t>
            </w:r>
            <w:r>
              <w:rPr>
                <w:rFonts w:asciiTheme="majorHAnsi" w:hAnsiTheme="majorHAnsi" w:cstheme="majorHAnsi"/>
                <w:sz w:val="18"/>
                <w:szCs w:val="18"/>
              </w:rPr>
              <w:t>PUI</w:t>
            </w:r>
            <w:r w:rsidRPr="003D3464">
              <w:rPr>
                <w:rFonts w:asciiTheme="majorHAnsi" w:hAnsiTheme="majorHAnsi" w:cstheme="majorHAnsi"/>
                <w:sz w:val="18"/>
                <w:szCs w:val="18"/>
              </w:rPr>
              <w:t xml:space="preserve"> (Out)</w:t>
            </w:r>
          </w:p>
        </w:tc>
        <w:tc>
          <w:tcPr>
            <w:tcW w:w="1980" w:type="dxa"/>
            <w:tcBorders>
              <w:top w:val="nil"/>
              <w:left w:val="nil"/>
              <w:bottom w:val="nil"/>
              <w:right w:val="nil"/>
            </w:tcBorders>
            <w:shd w:val="clear" w:color="auto" w:fill="auto"/>
            <w:noWrap/>
            <w:vAlign w:val="bottom"/>
            <w:hideMark/>
          </w:tcPr>
          <w:p w14:paraId="4C8E3F81" w14:textId="70AB039D"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sidRPr="003D3464">
              <w:rPr>
                <w:rFonts w:asciiTheme="majorHAnsi" w:hAnsiTheme="majorHAnsi" w:cstheme="majorHAnsi"/>
                <w:sz w:val="18"/>
                <w:szCs w:val="18"/>
              </w:rPr>
              <w:t xml:space="preserve">reporting </w:t>
            </w:r>
            <w:r>
              <w:rPr>
                <w:rFonts w:asciiTheme="majorHAnsi" w:hAnsiTheme="majorHAnsi" w:cstheme="majorHAnsi"/>
                <w:sz w:val="18"/>
                <w:szCs w:val="18"/>
              </w:rPr>
              <w:t>PUI</w:t>
            </w:r>
            <w:r w:rsidRPr="003D3464">
              <w:rPr>
                <w:rFonts w:asciiTheme="majorHAnsi" w:hAnsiTheme="majorHAnsi" w:cstheme="majorHAnsi"/>
                <w:sz w:val="18"/>
                <w:szCs w:val="18"/>
              </w:rPr>
              <w:t xml:space="preserve"> outcomes (0-1)</w:t>
            </w:r>
          </w:p>
        </w:tc>
        <w:tc>
          <w:tcPr>
            <w:tcW w:w="10710" w:type="dxa"/>
            <w:tcBorders>
              <w:top w:val="nil"/>
              <w:left w:val="nil"/>
              <w:bottom w:val="nil"/>
              <w:right w:val="single" w:sz="4" w:space="0" w:color="A5A5A5" w:themeColor="accent3"/>
            </w:tcBorders>
            <w:shd w:val="clear" w:color="auto" w:fill="auto"/>
            <w:vAlign w:val="bottom"/>
            <w:hideMark/>
          </w:tcPr>
          <w:p w14:paraId="08271920" w14:textId="32063C7F" w:rsidR="004160AB" w:rsidRPr="003D3464" w:rsidRDefault="004160AB" w:rsidP="003D3464">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 xml:space="preserve">Score 1 if outcome metrics are clearly reported for </w:t>
            </w:r>
            <w:r>
              <w:rPr>
                <w:rFonts w:asciiTheme="majorHAnsi" w:hAnsiTheme="majorHAnsi" w:cstheme="majorHAnsi"/>
                <w:sz w:val="18"/>
                <w:szCs w:val="18"/>
              </w:rPr>
              <w:t>PUI</w:t>
            </w:r>
            <w:r w:rsidRPr="003D3464">
              <w:rPr>
                <w:rFonts w:asciiTheme="majorHAnsi" w:hAnsiTheme="majorHAnsi" w:cstheme="majorHAnsi"/>
                <w:sz w:val="18"/>
                <w:szCs w:val="18"/>
              </w:rPr>
              <w:t xml:space="preserve"> and non </w:t>
            </w:r>
            <w:r>
              <w:rPr>
                <w:rFonts w:asciiTheme="majorHAnsi" w:hAnsiTheme="majorHAnsi" w:cstheme="majorHAnsi"/>
                <w:sz w:val="18"/>
                <w:szCs w:val="18"/>
              </w:rPr>
              <w:t>PUI</w:t>
            </w:r>
            <w:r w:rsidRPr="003D3464">
              <w:rPr>
                <w:rFonts w:asciiTheme="majorHAnsi" w:hAnsiTheme="majorHAnsi" w:cstheme="majorHAnsi"/>
                <w:sz w:val="18"/>
                <w:szCs w:val="18"/>
              </w:rPr>
              <w:t xml:space="preserve"> groups</w:t>
            </w:r>
            <w:r>
              <w:rPr>
                <w:rFonts w:asciiTheme="majorHAnsi" w:hAnsiTheme="majorHAnsi" w:cstheme="majorHAnsi"/>
                <w:sz w:val="18"/>
                <w:szCs w:val="18"/>
              </w:rPr>
              <w:t xml:space="preserve"> or cohort</w:t>
            </w:r>
            <w:r w:rsidRPr="003D3464">
              <w:rPr>
                <w:rFonts w:asciiTheme="majorHAnsi" w:hAnsiTheme="majorHAnsi" w:cstheme="majorHAnsi"/>
                <w:sz w:val="18"/>
                <w:szCs w:val="18"/>
              </w:rPr>
              <w:t>; score 0 if outcomes are not clearly reported. If authors use regression analysis with continuous</w:t>
            </w:r>
            <w:r w:rsidRPr="003D3464">
              <w:rPr>
                <w:rFonts w:asciiTheme="majorHAnsi" w:eastAsia="Times New Roman" w:hAnsiTheme="majorHAnsi" w:cstheme="majorHAnsi"/>
                <w:sz w:val="18"/>
                <w:szCs w:val="18"/>
                <w:lang w:eastAsia="en-GB"/>
              </w:rPr>
              <w:t xml:space="preserve"> </w:t>
            </w:r>
            <w:r w:rsidRPr="003D3464">
              <w:rPr>
                <w:rFonts w:asciiTheme="majorHAnsi" w:eastAsia="Times New Roman" w:hAnsiTheme="majorHAnsi" w:cstheme="majorHAnsi"/>
                <w:color w:val="000000"/>
                <w:sz w:val="18"/>
                <w:szCs w:val="18"/>
                <w:lang w:eastAsia="en-GB"/>
              </w:rPr>
              <w:t>score, they should also comment on the level above which they consider outcome measure as problematic</w:t>
            </w:r>
          </w:p>
        </w:tc>
      </w:tr>
      <w:tr w:rsidR="004160AB" w:rsidRPr="003D3464" w14:paraId="566E4841" w14:textId="77777777" w:rsidTr="00D36AC4">
        <w:trPr>
          <w:trHeight w:val="465"/>
        </w:trPr>
        <w:tc>
          <w:tcPr>
            <w:tcW w:w="1356" w:type="dxa"/>
            <w:vMerge/>
            <w:tcBorders>
              <w:left w:val="single" w:sz="4" w:space="0" w:color="A5A5A5" w:themeColor="accent3"/>
              <w:right w:val="single" w:sz="4" w:space="0" w:color="A5A5A5" w:themeColor="accent3"/>
            </w:tcBorders>
            <w:shd w:val="clear" w:color="auto" w:fill="FFFFFF" w:themeFill="background1"/>
          </w:tcPr>
          <w:p w14:paraId="5415365D" w14:textId="77777777" w:rsidR="004160AB" w:rsidRDefault="004160AB" w:rsidP="003D3464">
            <w:pPr>
              <w:spacing w:after="0" w:line="240" w:lineRule="auto"/>
              <w:jc w:val="left"/>
              <w:rPr>
                <w:rFonts w:asciiTheme="majorHAnsi" w:hAnsiTheme="majorHAnsi" w:cstheme="majorHAnsi"/>
                <w:sz w:val="18"/>
                <w:szCs w:val="18"/>
              </w:rPr>
            </w:pPr>
          </w:p>
        </w:tc>
        <w:tc>
          <w:tcPr>
            <w:tcW w:w="1519" w:type="dxa"/>
            <w:tcBorders>
              <w:top w:val="nil"/>
              <w:left w:val="single" w:sz="4" w:space="0" w:color="A5A5A5" w:themeColor="accent3"/>
              <w:bottom w:val="nil"/>
              <w:right w:val="nil"/>
            </w:tcBorders>
            <w:shd w:val="clear" w:color="auto" w:fill="auto"/>
            <w:noWrap/>
            <w:vAlign w:val="bottom"/>
            <w:hideMark/>
          </w:tcPr>
          <w:p w14:paraId="731A4A60" w14:textId="6FDC0573"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Pr>
                <w:rFonts w:asciiTheme="majorHAnsi" w:hAnsiTheme="majorHAnsi" w:cstheme="majorHAnsi"/>
                <w:sz w:val="18"/>
                <w:szCs w:val="18"/>
              </w:rPr>
              <w:t>Q9</w:t>
            </w:r>
            <w:r w:rsidR="00165CBD">
              <w:rPr>
                <w:rFonts w:asciiTheme="majorHAnsi" w:hAnsiTheme="majorHAnsi" w:cstheme="majorHAnsi"/>
                <w:sz w:val="18"/>
                <w:szCs w:val="18"/>
              </w:rPr>
              <w:t xml:space="preserve"> - ED (D</w:t>
            </w:r>
            <w:r w:rsidRPr="003D3464">
              <w:rPr>
                <w:rFonts w:asciiTheme="majorHAnsi" w:hAnsiTheme="majorHAnsi" w:cstheme="majorHAnsi"/>
                <w:sz w:val="18"/>
                <w:szCs w:val="18"/>
              </w:rPr>
              <w:t>iagn)</w:t>
            </w:r>
          </w:p>
        </w:tc>
        <w:tc>
          <w:tcPr>
            <w:tcW w:w="1980" w:type="dxa"/>
            <w:tcBorders>
              <w:top w:val="nil"/>
              <w:left w:val="nil"/>
              <w:bottom w:val="nil"/>
              <w:right w:val="nil"/>
            </w:tcBorders>
            <w:shd w:val="clear" w:color="auto" w:fill="auto"/>
            <w:noWrap/>
            <w:vAlign w:val="bottom"/>
            <w:hideMark/>
          </w:tcPr>
          <w:p w14:paraId="52A43830" w14:textId="77777777" w:rsidR="004160AB" w:rsidRPr="003D3464" w:rsidRDefault="004160AB" w:rsidP="003D3464">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reporting ED diagnostic metrics (</w:t>
            </w:r>
            <w:r w:rsidRPr="003D3464">
              <w:rPr>
                <w:rFonts w:asciiTheme="majorHAnsi" w:eastAsia="Times New Roman" w:hAnsiTheme="majorHAnsi" w:cstheme="majorHAnsi"/>
                <w:sz w:val="18"/>
                <w:szCs w:val="18"/>
                <w:lang w:eastAsia="en-GB"/>
              </w:rPr>
              <w:t>0-2</w:t>
            </w:r>
            <w:r w:rsidRPr="003D3464">
              <w:rPr>
                <w:rFonts w:asciiTheme="majorHAnsi" w:eastAsia="Times New Roman" w:hAnsiTheme="majorHAnsi" w:cstheme="majorHAnsi"/>
                <w:color w:val="000000"/>
                <w:sz w:val="18"/>
                <w:szCs w:val="18"/>
                <w:lang w:eastAsia="en-GB"/>
              </w:rPr>
              <w:t>)</w:t>
            </w:r>
          </w:p>
        </w:tc>
        <w:tc>
          <w:tcPr>
            <w:tcW w:w="10710" w:type="dxa"/>
            <w:tcBorders>
              <w:top w:val="nil"/>
              <w:left w:val="nil"/>
              <w:bottom w:val="nil"/>
              <w:right w:val="single" w:sz="4" w:space="0" w:color="A5A5A5" w:themeColor="accent3"/>
            </w:tcBorders>
            <w:shd w:val="clear" w:color="auto" w:fill="auto"/>
            <w:vAlign w:val="bottom"/>
            <w:hideMark/>
          </w:tcPr>
          <w:p w14:paraId="010C7843" w14:textId="721A8F95" w:rsidR="004160AB" w:rsidRPr="003D3464" w:rsidRDefault="004160AB" w:rsidP="004160AB">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Score 2 if valid tool of eating disorder psychopathology is measured e.g. diagnostic interview (MINI, DSM-4/5, clinical interview); score 1 if valid measure is used; score 0 if ED measure is unclear or only</w:t>
            </w:r>
            <w:r w:rsidRPr="003D3464">
              <w:rPr>
                <w:rFonts w:asciiTheme="majorHAnsi" w:eastAsia="Times New Roman" w:hAnsiTheme="majorHAnsi" w:cstheme="majorHAnsi"/>
                <w:sz w:val="18"/>
                <w:szCs w:val="18"/>
                <w:lang w:eastAsia="en-GB"/>
              </w:rPr>
              <w:t xml:space="preserve"> </w:t>
            </w:r>
            <w:r w:rsidRPr="003D3464">
              <w:rPr>
                <w:rFonts w:asciiTheme="majorHAnsi" w:eastAsia="Times New Roman" w:hAnsiTheme="majorHAnsi" w:cstheme="majorHAnsi"/>
                <w:color w:val="000000"/>
                <w:sz w:val="18"/>
                <w:szCs w:val="18"/>
                <w:lang w:eastAsia="en-GB"/>
              </w:rPr>
              <w:t>tests limited aspect of ED-symptomatology</w:t>
            </w:r>
          </w:p>
        </w:tc>
      </w:tr>
      <w:tr w:rsidR="004160AB" w:rsidRPr="003D3464" w14:paraId="07EC78D0" w14:textId="77777777" w:rsidTr="00D36AC4">
        <w:trPr>
          <w:trHeight w:val="495"/>
        </w:trPr>
        <w:tc>
          <w:tcPr>
            <w:tcW w:w="1356" w:type="dxa"/>
            <w:vMerge/>
            <w:tcBorders>
              <w:left w:val="single" w:sz="4" w:space="0" w:color="A5A5A5" w:themeColor="accent3"/>
              <w:right w:val="single" w:sz="4" w:space="0" w:color="A5A5A5" w:themeColor="accent3"/>
            </w:tcBorders>
            <w:shd w:val="clear" w:color="auto" w:fill="FFFFFF" w:themeFill="background1"/>
          </w:tcPr>
          <w:p w14:paraId="687CD14A" w14:textId="77777777" w:rsidR="004160AB" w:rsidRDefault="004160AB" w:rsidP="003D3464">
            <w:pPr>
              <w:spacing w:after="0" w:line="240" w:lineRule="auto"/>
              <w:jc w:val="left"/>
              <w:rPr>
                <w:rFonts w:asciiTheme="majorHAnsi" w:hAnsiTheme="majorHAnsi" w:cstheme="majorHAnsi"/>
                <w:sz w:val="18"/>
                <w:szCs w:val="18"/>
              </w:rPr>
            </w:pPr>
          </w:p>
        </w:tc>
        <w:tc>
          <w:tcPr>
            <w:tcW w:w="1519" w:type="dxa"/>
            <w:tcBorders>
              <w:top w:val="nil"/>
              <w:left w:val="single" w:sz="4" w:space="0" w:color="A5A5A5" w:themeColor="accent3"/>
              <w:bottom w:val="nil"/>
              <w:right w:val="nil"/>
            </w:tcBorders>
            <w:shd w:val="clear" w:color="auto" w:fill="auto"/>
            <w:noWrap/>
            <w:vAlign w:val="bottom"/>
            <w:hideMark/>
          </w:tcPr>
          <w:p w14:paraId="5FD6BC01" w14:textId="4CD37D5A"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Pr>
                <w:rFonts w:asciiTheme="majorHAnsi" w:hAnsiTheme="majorHAnsi" w:cstheme="majorHAnsi"/>
                <w:sz w:val="18"/>
                <w:szCs w:val="18"/>
              </w:rPr>
              <w:t>Q10</w:t>
            </w:r>
            <w:r w:rsidRPr="003D3464">
              <w:rPr>
                <w:rFonts w:asciiTheme="majorHAnsi" w:hAnsiTheme="majorHAnsi" w:cstheme="majorHAnsi"/>
                <w:sz w:val="18"/>
                <w:szCs w:val="18"/>
              </w:rPr>
              <w:t xml:space="preserve"> - ED (Facet)</w:t>
            </w:r>
          </w:p>
        </w:tc>
        <w:tc>
          <w:tcPr>
            <w:tcW w:w="1980" w:type="dxa"/>
            <w:tcBorders>
              <w:top w:val="nil"/>
              <w:left w:val="nil"/>
              <w:bottom w:val="nil"/>
              <w:right w:val="nil"/>
            </w:tcBorders>
            <w:shd w:val="clear" w:color="auto" w:fill="auto"/>
            <w:noWrap/>
            <w:vAlign w:val="bottom"/>
            <w:hideMark/>
          </w:tcPr>
          <w:p w14:paraId="4BF7683A" w14:textId="5121E344" w:rsidR="004160AB" w:rsidRPr="003D3464" w:rsidRDefault="004160AB"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 xml:space="preserve">reporting ED </w:t>
            </w:r>
            <w:r>
              <w:rPr>
                <w:rFonts w:asciiTheme="majorHAnsi" w:hAnsiTheme="majorHAnsi" w:cstheme="majorHAnsi"/>
                <w:sz w:val="18"/>
                <w:szCs w:val="18"/>
              </w:rPr>
              <w:t xml:space="preserve">clinical </w:t>
            </w:r>
            <w:r w:rsidRPr="003D3464">
              <w:rPr>
                <w:rFonts w:asciiTheme="majorHAnsi" w:hAnsiTheme="majorHAnsi" w:cstheme="majorHAnsi"/>
                <w:sz w:val="18"/>
                <w:szCs w:val="18"/>
              </w:rPr>
              <w:t>facets (0-1)</w:t>
            </w:r>
          </w:p>
        </w:tc>
        <w:tc>
          <w:tcPr>
            <w:tcW w:w="10710" w:type="dxa"/>
            <w:tcBorders>
              <w:top w:val="nil"/>
              <w:left w:val="nil"/>
              <w:bottom w:val="nil"/>
              <w:right w:val="single" w:sz="4" w:space="0" w:color="A5A5A5" w:themeColor="accent3"/>
            </w:tcBorders>
            <w:shd w:val="clear" w:color="auto" w:fill="auto"/>
            <w:vAlign w:val="bottom"/>
            <w:hideMark/>
          </w:tcPr>
          <w:p w14:paraId="6D664831" w14:textId="54335A73" w:rsidR="004160AB" w:rsidRPr="003D3464" w:rsidRDefault="004160AB"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Score 1 if the</w:t>
            </w:r>
            <w:r>
              <w:rPr>
                <w:rFonts w:asciiTheme="majorHAnsi" w:hAnsiTheme="majorHAnsi" w:cstheme="majorHAnsi"/>
                <w:sz w:val="18"/>
                <w:szCs w:val="18"/>
              </w:rPr>
              <w:t xml:space="preserve"> clinical</w:t>
            </w:r>
            <w:r w:rsidRPr="003D3464">
              <w:rPr>
                <w:rFonts w:asciiTheme="majorHAnsi" w:hAnsiTheme="majorHAnsi" w:cstheme="majorHAnsi"/>
                <w:sz w:val="18"/>
                <w:szCs w:val="18"/>
              </w:rPr>
              <w:t xml:space="preserve"> facet of ED (e.g. anorexia nervosa, bulimia, BED, ARFID) are clearly assessed and reported. Score 0 if not or facet unclear</w:t>
            </w:r>
          </w:p>
        </w:tc>
      </w:tr>
      <w:tr w:rsidR="004160AB" w:rsidRPr="003D3464" w14:paraId="5F84C34B" w14:textId="77777777" w:rsidTr="00D36AC4">
        <w:trPr>
          <w:trHeight w:val="555"/>
        </w:trPr>
        <w:tc>
          <w:tcPr>
            <w:tcW w:w="1356" w:type="dxa"/>
            <w:vMerge/>
            <w:tcBorders>
              <w:left w:val="single" w:sz="4" w:space="0" w:color="A5A5A5" w:themeColor="accent3"/>
              <w:bottom w:val="single" w:sz="4" w:space="0" w:color="AEAAAA" w:themeColor="background2" w:themeShade="BF"/>
              <w:right w:val="single" w:sz="4" w:space="0" w:color="A5A5A5" w:themeColor="accent3"/>
            </w:tcBorders>
            <w:shd w:val="clear" w:color="auto" w:fill="FFFFFF" w:themeFill="background1"/>
          </w:tcPr>
          <w:p w14:paraId="24961C88" w14:textId="77777777" w:rsidR="004160AB" w:rsidRDefault="004160AB" w:rsidP="003D3464">
            <w:pPr>
              <w:spacing w:after="0" w:line="240" w:lineRule="auto"/>
              <w:jc w:val="left"/>
              <w:rPr>
                <w:rFonts w:asciiTheme="majorHAnsi" w:hAnsiTheme="majorHAnsi" w:cstheme="majorHAnsi"/>
                <w:sz w:val="18"/>
                <w:szCs w:val="18"/>
              </w:rPr>
            </w:pPr>
          </w:p>
        </w:tc>
        <w:tc>
          <w:tcPr>
            <w:tcW w:w="1519" w:type="dxa"/>
            <w:tcBorders>
              <w:top w:val="nil"/>
              <w:left w:val="single" w:sz="4" w:space="0" w:color="A5A5A5" w:themeColor="accent3"/>
              <w:bottom w:val="single" w:sz="4" w:space="0" w:color="AEAAAA" w:themeColor="background2" w:themeShade="BF"/>
              <w:right w:val="nil"/>
            </w:tcBorders>
            <w:shd w:val="clear" w:color="auto" w:fill="auto"/>
            <w:noWrap/>
            <w:vAlign w:val="bottom"/>
            <w:hideMark/>
          </w:tcPr>
          <w:p w14:paraId="15E38487" w14:textId="1775FDCB"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Pr>
                <w:rFonts w:asciiTheme="majorHAnsi" w:hAnsiTheme="majorHAnsi" w:cstheme="majorHAnsi"/>
                <w:sz w:val="18"/>
                <w:szCs w:val="18"/>
              </w:rPr>
              <w:t>Q11</w:t>
            </w:r>
            <w:r w:rsidRPr="003D3464">
              <w:rPr>
                <w:rFonts w:asciiTheme="majorHAnsi" w:hAnsiTheme="majorHAnsi" w:cstheme="majorHAnsi"/>
                <w:sz w:val="18"/>
                <w:szCs w:val="18"/>
              </w:rPr>
              <w:t xml:space="preserve"> - ED (Out)</w:t>
            </w:r>
          </w:p>
        </w:tc>
        <w:tc>
          <w:tcPr>
            <w:tcW w:w="1980" w:type="dxa"/>
            <w:tcBorders>
              <w:top w:val="nil"/>
              <w:left w:val="nil"/>
              <w:bottom w:val="single" w:sz="4" w:space="0" w:color="AEAAAA" w:themeColor="background2" w:themeShade="BF"/>
              <w:right w:val="nil"/>
            </w:tcBorders>
            <w:shd w:val="clear" w:color="auto" w:fill="auto"/>
            <w:noWrap/>
            <w:vAlign w:val="bottom"/>
            <w:hideMark/>
          </w:tcPr>
          <w:p w14:paraId="545FF506" w14:textId="0E24B8AF"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sidRPr="003D3464">
              <w:rPr>
                <w:rFonts w:asciiTheme="majorHAnsi" w:hAnsiTheme="majorHAnsi" w:cstheme="majorHAnsi"/>
                <w:sz w:val="18"/>
                <w:szCs w:val="18"/>
              </w:rPr>
              <w:t>reporting ED outcomes (0-1)</w:t>
            </w:r>
          </w:p>
        </w:tc>
        <w:tc>
          <w:tcPr>
            <w:tcW w:w="10710" w:type="dxa"/>
            <w:tcBorders>
              <w:top w:val="nil"/>
              <w:left w:val="nil"/>
              <w:bottom w:val="single" w:sz="4" w:space="0" w:color="AEAAAA" w:themeColor="background2" w:themeShade="BF"/>
              <w:right w:val="single" w:sz="4" w:space="0" w:color="A5A5A5" w:themeColor="accent3"/>
            </w:tcBorders>
            <w:shd w:val="clear" w:color="auto" w:fill="auto"/>
            <w:vAlign w:val="bottom"/>
            <w:hideMark/>
          </w:tcPr>
          <w:p w14:paraId="0047DA0D" w14:textId="1C187A5A" w:rsidR="004160AB" w:rsidRPr="003D3464" w:rsidRDefault="004160AB" w:rsidP="003D3464">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Score 1 if outcome metrics are clearly reported for ED and non ED groups</w:t>
            </w:r>
            <w:r>
              <w:rPr>
                <w:rFonts w:asciiTheme="majorHAnsi" w:hAnsiTheme="majorHAnsi" w:cstheme="majorHAnsi"/>
                <w:sz w:val="18"/>
                <w:szCs w:val="18"/>
              </w:rPr>
              <w:t xml:space="preserve"> or cohort</w:t>
            </w:r>
            <w:r w:rsidRPr="003D3464">
              <w:rPr>
                <w:rFonts w:asciiTheme="majorHAnsi" w:hAnsiTheme="majorHAnsi" w:cstheme="majorHAnsi"/>
                <w:sz w:val="18"/>
                <w:szCs w:val="18"/>
              </w:rPr>
              <w:t xml:space="preserve">; score 0 if outcomes are not clearly reported. If authors use regression analysis with </w:t>
            </w:r>
            <w:r w:rsidRPr="003D3464">
              <w:rPr>
                <w:rFonts w:asciiTheme="majorHAnsi" w:eastAsia="Times New Roman" w:hAnsiTheme="majorHAnsi" w:cstheme="majorHAnsi"/>
                <w:sz w:val="18"/>
                <w:szCs w:val="18"/>
                <w:lang w:eastAsia="en-GB"/>
              </w:rPr>
              <w:t>continuous</w:t>
            </w:r>
            <w:r w:rsidRPr="003D3464">
              <w:rPr>
                <w:rFonts w:asciiTheme="majorHAnsi" w:eastAsia="Times New Roman" w:hAnsiTheme="majorHAnsi" w:cstheme="majorHAnsi"/>
                <w:color w:val="000000"/>
                <w:sz w:val="18"/>
                <w:szCs w:val="18"/>
                <w:lang w:eastAsia="en-GB"/>
              </w:rPr>
              <w:t xml:space="preserve"> score, they should also comment on the level above which they consider outcome measure as problematic</w:t>
            </w:r>
          </w:p>
        </w:tc>
      </w:tr>
      <w:tr w:rsidR="004160AB" w:rsidRPr="003D3464" w14:paraId="722A1F62" w14:textId="77777777" w:rsidTr="00D36AC4">
        <w:trPr>
          <w:trHeight w:val="375"/>
        </w:trPr>
        <w:tc>
          <w:tcPr>
            <w:tcW w:w="1356" w:type="dxa"/>
            <w:vMerge w:val="restart"/>
            <w:tcBorders>
              <w:top w:val="single" w:sz="4" w:space="0" w:color="AEAAAA" w:themeColor="background2" w:themeShade="BF"/>
              <w:left w:val="single" w:sz="4" w:space="0" w:color="A5A5A5" w:themeColor="accent3"/>
              <w:right w:val="single" w:sz="4" w:space="0" w:color="A5A5A5" w:themeColor="accent3"/>
            </w:tcBorders>
            <w:shd w:val="clear" w:color="auto" w:fill="FFFFFF" w:themeFill="background1"/>
            <w:textDirection w:val="btLr"/>
          </w:tcPr>
          <w:p w14:paraId="1EB8F9A3" w14:textId="77777777" w:rsidR="004160AB" w:rsidRDefault="004160AB" w:rsidP="003D3464">
            <w:pPr>
              <w:spacing w:after="0" w:line="240" w:lineRule="auto"/>
              <w:ind w:left="113" w:right="113"/>
              <w:jc w:val="center"/>
              <w:rPr>
                <w:rFonts w:asciiTheme="majorHAnsi" w:hAnsiTheme="majorHAnsi" w:cstheme="majorHAnsi"/>
                <w:sz w:val="18"/>
                <w:szCs w:val="18"/>
              </w:rPr>
            </w:pPr>
          </w:p>
          <w:p w14:paraId="4D634BE1" w14:textId="77777777" w:rsidR="004160AB" w:rsidRDefault="004160AB" w:rsidP="003D3464">
            <w:pPr>
              <w:spacing w:after="0" w:line="240" w:lineRule="auto"/>
              <w:ind w:left="113" w:right="113"/>
              <w:jc w:val="center"/>
              <w:rPr>
                <w:rFonts w:asciiTheme="majorHAnsi" w:hAnsiTheme="majorHAnsi" w:cstheme="majorHAnsi"/>
                <w:sz w:val="18"/>
                <w:szCs w:val="18"/>
              </w:rPr>
            </w:pPr>
            <w:r>
              <w:rPr>
                <w:rFonts w:asciiTheme="majorHAnsi" w:hAnsiTheme="majorHAnsi" w:cstheme="majorHAnsi"/>
                <w:sz w:val="18"/>
                <w:szCs w:val="18"/>
              </w:rPr>
              <w:t xml:space="preserve">Mental health </w:t>
            </w:r>
          </w:p>
          <w:p w14:paraId="4FC42EFF" w14:textId="7562DF1C" w:rsidR="004160AB" w:rsidRDefault="004160AB" w:rsidP="003D3464">
            <w:pPr>
              <w:spacing w:after="0" w:line="240" w:lineRule="auto"/>
              <w:ind w:left="113" w:right="113"/>
              <w:jc w:val="center"/>
              <w:rPr>
                <w:rFonts w:asciiTheme="majorHAnsi" w:hAnsiTheme="majorHAnsi" w:cstheme="majorHAnsi"/>
                <w:sz w:val="18"/>
                <w:szCs w:val="18"/>
              </w:rPr>
            </w:pPr>
            <w:r>
              <w:rPr>
                <w:rFonts w:asciiTheme="majorHAnsi" w:hAnsiTheme="majorHAnsi" w:cstheme="majorHAnsi"/>
                <w:sz w:val="18"/>
                <w:szCs w:val="18"/>
              </w:rPr>
              <w:t>Confounders</w:t>
            </w:r>
          </w:p>
        </w:tc>
        <w:tc>
          <w:tcPr>
            <w:tcW w:w="1519" w:type="dxa"/>
            <w:tcBorders>
              <w:top w:val="single" w:sz="4" w:space="0" w:color="AEAAAA" w:themeColor="background2" w:themeShade="BF"/>
              <w:left w:val="single" w:sz="4" w:space="0" w:color="A5A5A5" w:themeColor="accent3"/>
              <w:bottom w:val="single" w:sz="4" w:space="0" w:color="FFFFFF" w:themeColor="background1"/>
              <w:right w:val="nil"/>
            </w:tcBorders>
            <w:shd w:val="clear" w:color="auto" w:fill="auto"/>
            <w:noWrap/>
            <w:vAlign w:val="bottom"/>
            <w:hideMark/>
          </w:tcPr>
          <w:p w14:paraId="0344F249" w14:textId="2DD14155"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Pr>
                <w:rFonts w:asciiTheme="majorHAnsi" w:hAnsiTheme="majorHAnsi" w:cstheme="majorHAnsi"/>
                <w:sz w:val="18"/>
                <w:szCs w:val="18"/>
              </w:rPr>
              <w:t>Q12</w:t>
            </w:r>
            <w:r w:rsidRPr="003D3464">
              <w:rPr>
                <w:rFonts w:asciiTheme="majorHAnsi" w:hAnsiTheme="majorHAnsi" w:cstheme="majorHAnsi"/>
                <w:sz w:val="18"/>
                <w:szCs w:val="18"/>
              </w:rPr>
              <w:t xml:space="preserve"> - Com (MD)</w:t>
            </w:r>
          </w:p>
        </w:tc>
        <w:tc>
          <w:tcPr>
            <w:tcW w:w="1980" w:type="dxa"/>
            <w:tcBorders>
              <w:top w:val="single" w:sz="4" w:space="0" w:color="AEAAAA" w:themeColor="background2" w:themeShade="BF"/>
              <w:left w:val="nil"/>
              <w:bottom w:val="single" w:sz="4" w:space="0" w:color="FFFFFF" w:themeColor="background1"/>
              <w:right w:val="nil"/>
            </w:tcBorders>
            <w:shd w:val="clear" w:color="auto" w:fill="auto"/>
            <w:noWrap/>
            <w:vAlign w:val="bottom"/>
            <w:hideMark/>
          </w:tcPr>
          <w:p w14:paraId="070F9AD0" w14:textId="5094E9E5" w:rsidR="004160AB" w:rsidRPr="003D3464" w:rsidRDefault="004160AB" w:rsidP="003D3464">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reporting comorbid mood disorders (</w:t>
            </w:r>
            <w:r w:rsidRPr="003D3464">
              <w:rPr>
                <w:rFonts w:asciiTheme="majorHAnsi" w:eastAsia="Times New Roman" w:hAnsiTheme="majorHAnsi" w:cstheme="majorHAnsi"/>
                <w:sz w:val="18"/>
                <w:szCs w:val="18"/>
                <w:lang w:eastAsia="en-GB"/>
              </w:rPr>
              <w:t>0-1</w:t>
            </w:r>
            <w:r w:rsidRPr="003D3464">
              <w:rPr>
                <w:rFonts w:asciiTheme="majorHAnsi" w:eastAsia="Times New Roman" w:hAnsiTheme="majorHAnsi" w:cstheme="majorHAnsi"/>
                <w:color w:val="000000"/>
                <w:sz w:val="18"/>
                <w:szCs w:val="18"/>
                <w:lang w:eastAsia="en-GB"/>
              </w:rPr>
              <w:t>)</w:t>
            </w:r>
          </w:p>
        </w:tc>
        <w:tc>
          <w:tcPr>
            <w:tcW w:w="10710" w:type="dxa"/>
            <w:tcBorders>
              <w:top w:val="single" w:sz="4" w:space="0" w:color="AEAAAA" w:themeColor="background2" w:themeShade="BF"/>
              <w:left w:val="nil"/>
              <w:bottom w:val="single" w:sz="4" w:space="0" w:color="FFFFFF" w:themeColor="background1"/>
              <w:right w:val="single" w:sz="4" w:space="0" w:color="A5A5A5" w:themeColor="accent3"/>
            </w:tcBorders>
            <w:shd w:val="clear" w:color="auto" w:fill="auto"/>
            <w:vAlign w:val="bottom"/>
            <w:hideMark/>
          </w:tcPr>
          <w:p w14:paraId="7CB2CB31" w14:textId="66C818A9" w:rsidR="004160AB" w:rsidRPr="003D3464" w:rsidRDefault="004160AB"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 xml:space="preserve">Score one point if common comorbidities have been assessed: Mood disorders (any of depression, bipolar, suicidality, self-injurious </w:t>
            </w:r>
            <w:proofErr w:type="spellStart"/>
            <w:r w:rsidRPr="003D3464">
              <w:rPr>
                <w:rFonts w:asciiTheme="majorHAnsi" w:hAnsiTheme="majorHAnsi" w:cstheme="majorHAnsi"/>
                <w:sz w:val="18"/>
                <w:szCs w:val="18"/>
              </w:rPr>
              <w:t>behav</w:t>
            </w:r>
            <w:proofErr w:type="spellEnd"/>
            <w:r w:rsidRPr="003D3464">
              <w:rPr>
                <w:rFonts w:asciiTheme="majorHAnsi" w:hAnsiTheme="majorHAnsi" w:cstheme="majorHAnsi"/>
                <w:sz w:val="18"/>
                <w:szCs w:val="18"/>
              </w:rPr>
              <w:t>)</w:t>
            </w:r>
          </w:p>
        </w:tc>
      </w:tr>
      <w:tr w:rsidR="004160AB" w:rsidRPr="003D3464" w14:paraId="4272B817" w14:textId="77777777" w:rsidTr="00D36AC4">
        <w:trPr>
          <w:trHeight w:val="450"/>
        </w:trPr>
        <w:tc>
          <w:tcPr>
            <w:tcW w:w="1356" w:type="dxa"/>
            <w:vMerge/>
            <w:tcBorders>
              <w:left w:val="single" w:sz="4" w:space="0" w:color="A5A5A5" w:themeColor="accent3"/>
              <w:right w:val="single" w:sz="4" w:space="0" w:color="A5A5A5" w:themeColor="accent3"/>
            </w:tcBorders>
            <w:textDirection w:val="btLr"/>
          </w:tcPr>
          <w:p w14:paraId="5C03F13B" w14:textId="224A7D63" w:rsidR="004160AB" w:rsidRDefault="004160AB" w:rsidP="003D3464">
            <w:pPr>
              <w:spacing w:after="0" w:line="240" w:lineRule="auto"/>
              <w:ind w:left="113" w:right="113"/>
              <w:jc w:val="center"/>
              <w:rPr>
                <w:rFonts w:asciiTheme="majorHAnsi" w:hAnsiTheme="majorHAnsi" w:cstheme="majorHAnsi"/>
                <w:sz w:val="18"/>
                <w:szCs w:val="18"/>
              </w:rPr>
            </w:pPr>
          </w:p>
        </w:tc>
        <w:tc>
          <w:tcPr>
            <w:tcW w:w="1519" w:type="dxa"/>
            <w:tcBorders>
              <w:top w:val="single" w:sz="4" w:space="0" w:color="FFFFFF" w:themeColor="background1"/>
              <w:left w:val="single" w:sz="4" w:space="0" w:color="A5A5A5" w:themeColor="accent3"/>
              <w:bottom w:val="nil"/>
              <w:right w:val="nil"/>
            </w:tcBorders>
            <w:shd w:val="clear" w:color="auto" w:fill="auto"/>
            <w:noWrap/>
            <w:vAlign w:val="bottom"/>
            <w:hideMark/>
          </w:tcPr>
          <w:p w14:paraId="5502E89D" w14:textId="344BD3AA"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Pr>
                <w:rFonts w:asciiTheme="majorHAnsi" w:hAnsiTheme="majorHAnsi" w:cstheme="majorHAnsi"/>
                <w:sz w:val="18"/>
                <w:szCs w:val="18"/>
              </w:rPr>
              <w:t>Q13</w:t>
            </w:r>
            <w:r w:rsidRPr="003D3464">
              <w:rPr>
                <w:rFonts w:asciiTheme="majorHAnsi" w:hAnsiTheme="majorHAnsi" w:cstheme="majorHAnsi"/>
                <w:sz w:val="18"/>
                <w:szCs w:val="18"/>
              </w:rPr>
              <w:t xml:space="preserve"> - Com (AD)</w:t>
            </w:r>
          </w:p>
        </w:tc>
        <w:tc>
          <w:tcPr>
            <w:tcW w:w="1980" w:type="dxa"/>
            <w:tcBorders>
              <w:top w:val="single" w:sz="4" w:space="0" w:color="FFFFFF" w:themeColor="background1"/>
              <w:left w:val="nil"/>
              <w:bottom w:val="nil"/>
              <w:right w:val="nil"/>
            </w:tcBorders>
            <w:shd w:val="clear" w:color="auto" w:fill="auto"/>
            <w:noWrap/>
            <w:vAlign w:val="bottom"/>
            <w:hideMark/>
          </w:tcPr>
          <w:p w14:paraId="6BA2AC2B" w14:textId="3FBF61DE" w:rsidR="004160AB" w:rsidRPr="003D3464" w:rsidRDefault="004160AB"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reporting anxiety disorders (0-1)</w:t>
            </w:r>
          </w:p>
        </w:tc>
        <w:tc>
          <w:tcPr>
            <w:tcW w:w="10710" w:type="dxa"/>
            <w:tcBorders>
              <w:top w:val="single" w:sz="4" w:space="0" w:color="FFFFFF" w:themeColor="background1"/>
              <w:left w:val="nil"/>
              <w:bottom w:val="nil"/>
              <w:right w:val="single" w:sz="4" w:space="0" w:color="A5A5A5" w:themeColor="accent3"/>
            </w:tcBorders>
            <w:shd w:val="clear" w:color="auto" w:fill="auto"/>
            <w:vAlign w:val="bottom"/>
            <w:hideMark/>
          </w:tcPr>
          <w:p w14:paraId="5AB3E55B" w14:textId="3F4F6151" w:rsidR="004160AB" w:rsidRPr="003D3464" w:rsidRDefault="004160AB" w:rsidP="003D3464">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Score one point if common comorbidities have been assessed: Any of Anxiety dis (OCD, GAD, Social Phobia, Hypochondriasis,</w:t>
            </w:r>
            <w:r w:rsidRPr="003D3464">
              <w:rPr>
                <w:rFonts w:asciiTheme="majorHAnsi" w:eastAsia="Times New Roman" w:hAnsiTheme="majorHAnsi" w:cstheme="majorHAnsi"/>
                <w:sz w:val="18"/>
                <w:szCs w:val="18"/>
                <w:lang w:eastAsia="en-GB"/>
              </w:rPr>
              <w:t xml:space="preserve"> </w:t>
            </w:r>
            <w:r w:rsidRPr="003D3464">
              <w:rPr>
                <w:rFonts w:asciiTheme="majorHAnsi" w:eastAsia="Times New Roman" w:hAnsiTheme="majorHAnsi" w:cstheme="majorHAnsi"/>
                <w:color w:val="000000"/>
                <w:sz w:val="18"/>
                <w:szCs w:val="18"/>
                <w:lang w:eastAsia="en-GB"/>
              </w:rPr>
              <w:t xml:space="preserve">somatization disorder) </w:t>
            </w:r>
          </w:p>
        </w:tc>
      </w:tr>
      <w:tr w:rsidR="004160AB" w:rsidRPr="003D3464" w14:paraId="491E3BA8" w14:textId="77777777" w:rsidTr="00D36AC4">
        <w:trPr>
          <w:trHeight w:val="495"/>
        </w:trPr>
        <w:tc>
          <w:tcPr>
            <w:tcW w:w="1356" w:type="dxa"/>
            <w:vMerge/>
            <w:tcBorders>
              <w:left w:val="single" w:sz="4" w:space="0" w:color="A5A5A5" w:themeColor="accent3"/>
              <w:right w:val="single" w:sz="4" w:space="0" w:color="A5A5A5" w:themeColor="accent3"/>
            </w:tcBorders>
            <w:textDirection w:val="btLr"/>
          </w:tcPr>
          <w:p w14:paraId="21BC8FAC" w14:textId="77777777" w:rsidR="004160AB" w:rsidRDefault="004160AB" w:rsidP="003D3464">
            <w:pPr>
              <w:spacing w:after="0" w:line="240" w:lineRule="auto"/>
              <w:ind w:left="113" w:right="113"/>
              <w:jc w:val="center"/>
              <w:rPr>
                <w:rFonts w:asciiTheme="majorHAnsi" w:hAnsiTheme="majorHAnsi" w:cstheme="majorHAnsi"/>
                <w:sz w:val="18"/>
                <w:szCs w:val="18"/>
              </w:rPr>
            </w:pPr>
          </w:p>
        </w:tc>
        <w:tc>
          <w:tcPr>
            <w:tcW w:w="1519" w:type="dxa"/>
            <w:tcBorders>
              <w:top w:val="nil"/>
              <w:left w:val="single" w:sz="4" w:space="0" w:color="A5A5A5" w:themeColor="accent3"/>
              <w:bottom w:val="nil"/>
              <w:right w:val="nil"/>
            </w:tcBorders>
            <w:shd w:val="clear" w:color="auto" w:fill="auto"/>
            <w:noWrap/>
            <w:vAlign w:val="bottom"/>
            <w:hideMark/>
          </w:tcPr>
          <w:p w14:paraId="460D10A3" w14:textId="1E4A416C" w:rsidR="004160AB" w:rsidRPr="003D3464" w:rsidRDefault="004160AB" w:rsidP="003D3464">
            <w:pPr>
              <w:spacing w:after="0" w:line="240" w:lineRule="auto"/>
              <w:jc w:val="left"/>
              <w:rPr>
                <w:rFonts w:asciiTheme="majorHAnsi" w:hAnsiTheme="majorHAnsi" w:cstheme="majorHAnsi"/>
                <w:sz w:val="18"/>
                <w:szCs w:val="18"/>
              </w:rPr>
            </w:pPr>
            <w:r>
              <w:rPr>
                <w:rFonts w:asciiTheme="majorHAnsi" w:hAnsiTheme="majorHAnsi" w:cstheme="majorHAnsi"/>
                <w:sz w:val="18"/>
                <w:szCs w:val="18"/>
              </w:rPr>
              <w:t>Q14</w:t>
            </w:r>
            <w:r w:rsidRPr="003D3464">
              <w:rPr>
                <w:rFonts w:asciiTheme="majorHAnsi" w:hAnsiTheme="majorHAnsi" w:cstheme="majorHAnsi"/>
                <w:sz w:val="18"/>
                <w:szCs w:val="18"/>
              </w:rPr>
              <w:t xml:space="preserve"> - (BDD)</w:t>
            </w:r>
          </w:p>
        </w:tc>
        <w:tc>
          <w:tcPr>
            <w:tcW w:w="1980" w:type="dxa"/>
            <w:tcBorders>
              <w:top w:val="nil"/>
              <w:left w:val="nil"/>
              <w:bottom w:val="nil"/>
              <w:right w:val="nil"/>
            </w:tcBorders>
            <w:shd w:val="clear" w:color="auto" w:fill="auto"/>
            <w:noWrap/>
            <w:vAlign w:val="bottom"/>
            <w:hideMark/>
          </w:tcPr>
          <w:p w14:paraId="7E442596" w14:textId="77777777" w:rsidR="004160AB" w:rsidRPr="003D3464" w:rsidRDefault="004160AB"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reporting BDD (0-1)</w:t>
            </w:r>
          </w:p>
        </w:tc>
        <w:tc>
          <w:tcPr>
            <w:tcW w:w="10710" w:type="dxa"/>
            <w:tcBorders>
              <w:top w:val="nil"/>
              <w:left w:val="nil"/>
              <w:bottom w:val="nil"/>
              <w:right w:val="single" w:sz="4" w:space="0" w:color="A5A5A5" w:themeColor="accent3"/>
            </w:tcBorders>
            <w:shd w:val="clear" w:color="auto" w:fill="auto"/>
            <w:vAlign w:val="bottom"/>
            <w:hideMark/>
          </w:tcPr>
          <w:p w14:paraId="1762ECAC" w14:textId="5A522430" w:rsidR="004160AB" w:rsidRPr="003D3464" w:rsidRDefault="004160AB"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 xml:space="preserve">Score one point if common comorbidities have been assessed: Body dysmorphic disorder </w:t>
            </w:r>
          </w:p>
        </w:tc>
      </w:tr>
      <w:tr w:rsidR="004160AB" w:rsidRPr="003D3464" w14:paraId="3B344694" w14:textId="77777777" w:rsidTr="00D36AC4">
        <w:trPr>
          <w:trHeight w:val="435"/>
        </w:trPr>
        <w:tc>
          <w:tcPr>
            <w:tcW w:w="1356" w:type="dxa"/>
            <w:vMerge/>
            <w:tcBorders>
              <w:left w:val="single" w:sz="4" w:space="0" w:color="A5A5A5" w:themeColor="accent3"/>
              <w:right w:val="single" w:sz="4" w:space="0" w:color="A5A5A5" w:themeColor="accent3"/>
            </w:tcBorders>
          </w:tcPr>
          <w:p w14:paraId="147E4B7D" w14:textId="77777777" w:rsidR="004160AB" w:rsidRDefault="004160AB" w:rsidP="003D3464">
            <w:pPr>
              <w:spacing w:after="0" w:line="240" w:lineRule="auto"/>
              <w:jc w:val="left"/>
              <w:rPr>
                <w:rFonts w:asciiTheme="majorHAnsi" w:hAnsiTheme="majorHAnsi" w:cstheme="majorHAnsi"/>
                <w:sz w:val="18"/>
                <w:szCs w:val="18"/>
              </w:rPr>
            </w:pPr>
          </w:p>
        </w:tc>
        <w:tc>
          <w:tcPr>
            <w:tcW w:w="1519" w:type="dxa"/>
            <w:tcBorders>
              <w:top w:val="nil"/>
              <w:left w:val="single" w:sz="4" w:space="0" w:color="A5A5A5" w:themeColor="accent3"/>
              <w:bottom w:val="nil"/>
              <w:right w:val="nil"/>
            </w:tcBorders>
            <w:shd w:val="clear" w:color="auto" w:fill="auto"/>
            <w:noWrap/>
            <w:vAlign w:val="bottom"/>
            <w:hideMark/>
          </w:tcPr>
          <w:p w14:paraId="27E36636" w14:textId="59E07F3E"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Pr>
                <w:rFonts w:asciiTheme="majorHAnsi" w:hAnsiTheme="majorHAnsi" w:cstheme="majorHAnsi"/>
                <w:sz w:val="18"/>
                <w:szCs w:val="18"/>
              </w:rPr>
              <w:t>Q15</w:t>
            </w:r>
            <w:r w:rsidRPr="003D3464">
              <w:rPr>
                <w:rFonts w:asciiTheme="majorHAnsi" w:hAnsiTheme="majorHAnsi" w:cstheme="majorHAnsi"/>
                <w:sz w:val="18"/>
                <w:szCs w:val="18"/>
              </w:rPr>
              <w:t xml:space="preserve"> - (EA)</w:t>
            </w:r>
          </w:p>
        </w:tc>
        <w:tc>
          <w:tcPr>
            <w:tcW w:w="1980" w:type="dxa"/>
            <w:tcBorders>
              <w:top w:val="nil"/>
              <w:left w:val="nil"/>
              <w:bottom w:val="nil"/>
              <w:right w:val="nil"/>
            </w:tcBorders>
            <w:shd w:val="clear" w:color="auto" w:fill="auto"/>
            <w:noWrap/>
            <w:vAlign w:val="bottom"/>
            <w:hideMark/>
          </w:tcPr>
          <w:p w14:paraId="59D4F8B6" w14:textId="77777777" w:rsidR="004160AB" w:rsidRPr="003D3464" w:rsidRDefault="004160AB" w:rsidP="003D3464">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reporting Exercise addiction (</w:t>
            </w:r>
            <w:r w:rsidRPr="003D3464">
              <w:rPr>
                <w:rFonts w:asciiTheme="majorHAnsi" w:eastAsia="Times New Roman" w:hAnsiTheme="majorHAnsi" w:cstheme="majorHAnsi"/>
                <w:sz w:val="18"/>
                <w:szCs w:val="18"/>
                <w:lang w:eastAsia="en-GB"/>
              </w:rPr>
              <w:t>0-1</w:t>
            </w:r>
            <w:r w:rsidRPr="003D3464">
              <w:rPr>
                <w:rFonts w:asciiTheme="majorHAnsi" w:eastAsia="Times New Roman" w:hAnsiTheme="majorHAnsi" w:cstheme="majorHAnsi"/>
                <w:color w:val="000000"/>
                <w:sz w:val="18"/>
                <w:szCs w:val="18"/>
                <w:lang w:eastAsia="en-GB"/>
              </w:rPr>
              <w:t>)</w:t>
            </w:r>
          </w:p>
        </w:tc>
        <w:tc>
          <w:tcPr>
            <w:tcW w:w="10710" w:type="dxa"/>
            <w:tcBorders>
              <w:top w:val="nil"/>
              <w:left w:val="nil"/>
              <w:bottom w:val="nil"/>
              <w:right w:val="single" w:sz="4" w:space="0" w:color="A5A5A5" w:themeColor="accent3"/>
            </w:tcBorders>
            <w:shd w:val="clear" w:color="auto" w:fill="auto"/>
            <w:vAlign w:val="bottom"/>
            <w:hideMark/>
          </w:tcPr>
          <w:p w14:paraId="5A5648D0" w14:textId="48E35C14" w:rsidR="004160AB" w:rsidRPr="003D3464" w:rsidRDefault="004160AB"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Score one point if common comorbidities have been assessed: Exercise Addiction</w:t>
            </w:r>
          </w:p>
        </w:tc>
      </w:tr>
      <w:tr w:rsidR="004160AB" w:rsidRPr="003D3464" w14:paraId="2FAC7CC6" w14:textId="77777777" w:rsidTr="00D36AC4">
        <w:trPr>
          <w:trHeight w:val="465"/>
        </w:trPr>
        <w:tc>
          <w:tcPr>
            <w:tcW w:w="1356" w:type="dxa"/>
            <w:vMerge/>
            <w:tcBorders>
              <w:left w:val="single" w:sz="4" w:space="0" w:color="A5A5A5" w:themeColor="accent3"/>
              <w:right w:val="single" w:sz="4" w:space="0" w:color="A5A5A5" w:themeColor="accent3"/>
            </w:tcBorders>
          </w:tcPr>
          <w:p w14:paraId="682DFDE1" w14:textId="77777777" w:rsidR="004160AB" w:rsidRDefault="004160AB" w:rsidP="003D3464">
            <w:pPr>
              <w:spacing w:after="0" w:line="240" w:lineRule="auto"/>
              <w:jc w:val="left"/>
              <w:rPr>
                <w:rFonts w:asciiTheme="majorHAnsi" w:hAnsiTheme="majorHAnsi" w:cstheme="majorHAnsi"/>
                <w:sz w:val="18"/>
                <w:szCs w:val="18"/>
              </w:rPr>
            </w:pPr>
          </w:p>
        </w:tc>
        <w:tc>
          <w:tcPr>
            <w:tcW w:w="1519" w:type="dxa"/>
            <w:tcBorders>
              <w:top w:val="nil"/>
              <w:left w:val="single" w:sz="4" w:space="0" w:color="A5A5A5" w:themeColor="accent3"/>
              <w:bottom w:val="nil"/>
              <w:right w:val="nil"/>
            </w:tcBorders>
            <w:shd w:val="clear" w:color="auto" w:fill="auto"/>
            <w:noWrap/>
            <w:vAlign w:val="bottom"/>
            <w:hideMark/>
          </w:tcPr>
          <w:p w14:paraId="5F846EA2" w14:textId="4C22A558"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Pr>
                <w:rFonts w:asciiTheme="majorHAnsi" w:hAnsiTheme="majorHAnsi" w:cstheme="majorHAnsi"/>
                <w:sz w:val="18"/>
                <w:szCs w:val="18"/>
              </w:rPr>
              <w:t>Q16</w:t>
            </w:r>
            <w:r w:rsidRPr="003D3464">
              <w:rPr>
                <w:rFonts w:asciiTheme="majorHAnsi" w:hAnsiTheme="majorHAnsi" w:cstheme="majorHAnsi"/>
                <w:sz w:val="18"/>
                <w:szCs w:val="18"/>
              </w:rPr>
              <w:t xml:space="preserve"> - (SUD)</w:t>
            </w:r>
          </w:p>
        </w:tc>
        <w:tc>
          <w:tcPr>
            <w:tcW w:w="1980" w:type="dxa"/>
            <w:tcBorders>
              <w:top w:val="nil"/>
              <w:left w:val="nil"/>
              <w:bottom w:val="nil"/>
              <w:right w:val="nil"/>
            </w:tcBorders>
            <w:shd w:val="clear" w:color="auto" w:fill="auto"/>
            <w:noWrap/>
            <w:vAlign w:val="bottom"/>
            <w:hideMark/>
          </w:tcPr>
          <w:p w14:paraId="76953901" w14:textId="77777777"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sidRPr="003D3464">
              <w:rPr>
                <w:rFonts w:asciiTheme="majorHAnsi" w:hAnsiTheme="majorHAnsi" w:cstheme="majorHAnsi"/>
                <w:sz w:val="18"/>
                <w:szCs w:val="18"/>
              </w:rPr>
              <w:t>reporting substance misuse (0-1)</w:t>
            </w:r>
          </w:p>
        </w:tc>
        <w:tc>
          <w:tcPr>
            <w:tcW w:w="10710" w:type="dxa"/>
            <w:tcBorders>
              <w:top w:val="nil"/>
              <w:left w:val="nil"/>
              <w:bottom w:val="nil"/>
              <w:right w:val="single" w:sz="4" w:space="0" w:color="A5A5A5" w:themeColor="accent3"/>
            </w:tcBorders>
            <w:shd w:val="clear" w:color="auto" w:fill="auto"/>
            <w:vAlign w:val="bottom"/>
            <w:hideMark/>
          </w:tcPr>
          <w:p w14:paraId="55B8DABE" w14:textId="082FD3DF" w:rsidR="004160AB" w:rsidRPr="003D3464" w:rsidRDefault="004160AB" w:rsidP="003D3464">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Score one point if common comorbidities</w:t>
            </w:r>
            <w:r>
              <w:rPr>
                <w:rFonts w:asciiTheme="majorHAnsi" w:hAnsiTheme="majorHAnsi" w:cstheme="majorHAnsi"/>
                <w:sz w:val="18"/>
                <w:szCs w:val="18"/>
              </w:rPr>
              <w:t xml:space="preserve"> have been assessed</w:t>
            </w:r>
            <w:r w:rsidRPr="003D3464">
              <w:rPr>
                <w:rFonts w:asciiTheme="majorHAnsi" w:hAnsiTheme="majorHAnsi" w:cstheme="majorHAnsi"/>
                <w:sz w:val="18"/>
                <w:szCs w:val="18"/>
              </w:rPr>
              <w:t xml:space="preserve">: Substance </w:t>
            </w:r>
            <w:r w:rsidRPr="003D3464">
              <w:rPr>
                <w:rFonts w:asciiTheme="majorHAnsi" w:eastAsia="Times New Roman" w:hAnsiTheme="majorHAnsi" w:cstheme="majorHAnsi"/>
                <w:sz w:val="18"/>
                <w:szCs w:val="18"/>
                <w:lang w:eastAsia="en-GB"/>
              </w:rPr>
              <w:t>misuse</w:t>
            </w:r>
            <w:r w:rsidRPr="003D3464">
              <w:rPr>
                <w:rFonts w:asciiTheme="majorHAnsi" w:eastAsia="Times New Roman" w:hAnsiTheme="majorHAnsi" w:cstheme="majorHAnsi"/>
                <w:color w:val="000000"/>
                <w:sz w:val="18"/>
                <w:szCs w:val="18"/>
                <w:lang w:eastAsia="en-GB"/>
              </w:rPr>
              <w:t xml:space="preserve"> (any) </w:t>
            </w:r>
          </w:p>
        </w:tc>
      </w:tr>
      <w:tr w:rsidR="004160AB" w:rsidRPr="003D3464" w14:paraId="6BE6D645" w14:textId="77777777" w:rsidTr="00D36AC4">
        <w:trPr>
          <w:trHeight w:val="555"/>
        </w:trPr>
        <w:tc>
          <w:tcPr>
            <w:tcW w:w="1356" w:type="dxa"/>
            <w:vMerge/>
            <w:tcBorders>
              <w:left w:val="single" w:sz="4" w:space="0" w:color="A5A5A5" w:themeColor="accent3"/>
              <w:bottom w:val="single" w:sz="4" w:space="0" w:color="D0CECE" w:themeColor="background2" w:themeShade="E6"/>
              <w:right w:val="single" w:sz="4" w:space="0" w:color="A5A5A5" w:themeColor="accent3"/>
            </w:tcBorders>
          </w:tcPr>
          <w:p w14:paraId="68D141EB" w14:textId="77777777" w:rsidR="004160AB" w:rsidRDefault="004160AB" w:rsidP="003D3464">
            <w:pPr>
              <w:spacing w:after="0" w:line="240" w:lineRule="auto"/>
              <w:jc w:val="left"/>
              <w:rPr>
                <w:rFonts w:asciiTheme="majorHAnsi" w:hAnsiTheme="majorHAnsi" w:cstheme="majorHAnsi"/>
                <w:sz w:val="18"/>
                <w:szCs w:val="18"/>
              </w:rPr>
            </w:pPr>
          </w:p>
        </w:tc>
        <w:tc>
          <w:tcPr>
            <w:tcW w:w="1519" w:type="dxa"/>
            <w:tcBorders>
              <w:top w:val="nil"/>
              <w:left w:val="single" w:sz="4" w:space="0" w:color="A5A5A5" w:themeColor="accent3"/>
              <w:bottom w:val="single" w:sz="4" w:space="0" w:color="D0CECE" w:themeColor="background2" w:themeShade="E6"/>
              <w:right w:val="nil"/>
            </w:tcBorders>
            <w:shd w:val="clear" w:color="auto" w:fill="auto"/>
            <w:noWrap/>
            <w:vAlign w:val="bottom"/>
            <w:hideMark/>
          </w:tcPr>
          <w:p w14:paraId="073B71EE" w14:textId="47718392" w:rsidR="004160AB" w:rsidRPr="003D3464" w:rsidRDefault="004160AB" w:rsidP="003D3464">
            <w:pPr>
              <w:spacing w:after="0" w:line="240" w:lineRule="auto"/>
              <w:jc w:val="left"/>
              <w:rPr>
                <w:rFonts w:asciiTheme="majorHAnsi" w:eastAsia="Times New Roman" w:hAnsiTheme="majorHAnsi" w:cstheme="majorHAnsi"/>
                <w:sz w:val="18"/>
                <w:szCs w:val="18"/>
                <w:lang w:eastAsia="en-GB"/>
              </w:rPr>
            </w:pPr>
            <w:r>
              <w:rPr>
                <w:rFonts w:asciiTheme="majorHAnsi" w:hAnsiTheme="majorHAnsi" w:cstheme="majorHAnsi"/>
                <w:sz w:val="18"/>
                <w:szCs w:val="18"/>
              </w:rPr>
              <w:t>Q17</w:t>
            </w:r>
            <w:r w:rsidRPr="003D3464">
              <w:rPr>
                <w:rFonts w:asciiTheme="majorHAnsi" w:hAnsiTheme="majorHAnsi" w:cstheme="majorHAnsi"/>
                <w:sz w:val="18"/>
                <w:szCs w:val="18"/>
              </w:rPr>
              <w:t xml:space="preserve"> - (ICD)</w:t>
            </w:r>
          </w:p>
        </w:tc>
        <w:tc>
          <w:tcPr>
            <w:tcW w:w="1980" w:type="dxa"/>
            <w:tcBorders>
              <w:top w:val="nil"/>
              <w:left w:val="nil"/>
              <w:bottom w:val="single" w:sz="4" w:space="0" w:color="D0CECE" w:themeColor="background2" w:themeShade="E6"/>
              <w:right w:val="nil"/>
            </w:tcBorders>
            <w:shd w:val="clear" w:color="auto" w:fill="auto"/>
            <w:noWrap/>
            <w:vAlign w:val="bottom"/>
            <w:hideMark/>
          </w:tcPr>
          <w:p w14:paraId="0E8E5B35" w14:textId="77777777" w:rsidR="004160AB" w:rsidRPr="003D3464" w:rsidRDefault="004160AB"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reporting ICDs (0-1)</w:t>
            </w:r>
          </w:p>
        </w:tc>
        <w:tc>
          <w:tcPr>
            <w:tcW w:w="10710" w:type="dxa"/>
            <w:tcBorders>
              <w:top w:val="nil"/>
              <w:left w:val="nil"/>
              <w:bottom w:val="single" w:sz="4" w:space="0" w:color="D0CECE" w:themeColor="background2" w:themeShade="E6"/>
              <w:right w:val="single" w:sz="4" w:space="0" w:color="A5A5A5" w:themeColor="accent3"/>
            </w:tcBorders>
            <w:shd w:val="clear" w:color="auto" w:fill="auto"/>
            <w:vAlign w:val="bottom"/>
            <w:hideMark/>
          </w:tcPr>
          <w:p w14:paraId="064DA606" w14:textId="4D9AC6AB" w:rsidR="004160AB" w:rsidRPr="003D3464" w:rsidRDefault="004160AB" w:rsidP="003D3464">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Score one point if common comorbidities have been assessed: Impulse control disorders (kleptomania,</w:t>
            </w:r>
            <w:r w:rsidRPr="003D3464">
              <w:rPr>
                <w:rFonts w:asciiTheme="majorHAnsi" w:eastAsia="Times New Roman" w:hAnsiTheme="majorHAnsi" w:cstheme="majorHAnsi"/>
                <w:sz w:val="18"/>
                <w:szCs w:val="18"/>
                <w:lang w:eastAsia="en-GB"/>
              </w:rPr>
              <w:t xml:space="preserve"> </w:t>
            </w:r>
            <w:r w:rsidRPr="003D3464">
              <w:rPr>
                <w:rFonts w:asciiTheme="majorHAnsi" w:eastAsia="Times New Roman" w:hAnsiTheme="majorHAnsi" w:cstheme="majorHAnsi"/>
                <w:color w:val="000000"/>
                <w:sz w:val="18"/>
                <w:szCs w:val="18"/>
                <w:lang w:eastAsia="en-GB"/>
              </w:rPr>
              <w:t xml:space="preserve">gambling, trichotillomania, pyromania, IED </w:t>
            </w:r>
            <w:r w:rsidR="00D36AC4" w:rsidRPr="003D3464">
              <w:rPr>
                <w:rFonts w:asciiTheme="majorHAnsi" w:eastAsia="Times New Roman" w:hAnsiTheme="majorHAnsi" w:cstheme="majorHAnsi"/>
                <w:color w:val="000000"/>
                <w:sz w:val="18"/>
                <w:szCs w:val="18"/>
                <w:lang w:eastAsia="en-GB"/>
              </w:rPr>
              <w:t>etc.</w:t>
            </w:r>
            <w:r w:rsidRPr="003D3464">
              <w:rPr>
                <w:rFonts w:asciiTheme="majorHAnsi" w:eastAsia="Times New Roman" w:hAnsiTheme="majorHAnsi" w:cstheme="majorHAnsi"/>
                <w:color w:val="000000"/>
                <w:sz w:val="18"/>
                <w:szCs w:val="18"/>
                <w:lang w:eastAsia="en-GB"/>
              </w:rPr>
              <w:t>)</w:t>
            </w:r>
          </w:p>
        </w:tc>
      </w:tr>
      <w:tr w:rsidR="003D3464" w:rsidRPr="003D3464" w14:paraId="02D5AD08" w14:textId="77777777" w:rsidTr="00D36AC4">
        <w:trPr>
          <w:trHeight w:val="630"/>
        </w:trPr>
        <w:tc>
          <w:tcPr>
            <w:tcW w:w="1356" w:type="dxa"/>
            <w:vMerge w:val="restart"/>
            <w:tcBorders>
              <w:top w:val="single" w:sz="4" w:space="0" w:color="D0CECE" w:themeColor="background2" w:themeShade="E6"/>
              <w:left w:val="single" w:sz="4" w:space="0" w:color="A5A5A5" w:themeColor="accent3"/>
              <w:right w:val="single" w:sz="4" w:space="0" w:color="A5A5A5" w:themeColor="accent3"/>
            </w:tcBorders>
            <w:textDirection w:val="btLr"/>
          </w:tcPr>
          <w:p w14:paraId="649BF06C" w14:textId="77777777" w:rsidR="004160AB" w:rsidRDefault="004160AB" w:rsidP="004160AB">
            <w:pPr>
              <w:spacing w:after="0" w:line="240" w:lineRule="auto"/>
              <w:ind w:left="113" w:right="113"/>
              <w:jc w:val="left"/>
              <w:rPr>
                <w:rFonts w:asciiTheme="majorHAnsi" w:hAnsiTheme="majorHAnsi" w:cstheme="majorHAnsi"/>
                <w:sz w:val="18"/>
                <w:szCs w:val="18"/>
              </w:rPr>
            </w:pPr>
          </w:p>
          <w:p w14:paraId="66E9D8D2" w14:textId="57A6A71F" w:rsidR="003D3464" w:rsidRDefault="003D3464" w:rsidP="00165CBD">
            <w:pPr>
              <w:spacing w:after="0" w:line="240" w:lineRule="auto"/>
              <w:ind w:left="113" w:right="113"/>
              <w:jc w:val="center"/>
              <w:rPr>
                <w:rFonts w:asciiTheme="majorHAnsi" w:hAnsiTheme="majorHAnsi" w:cstheme="majorHAnsi"/>
                <w:sz w:val="18"/>
                <w:szCs w:val="18"/>
              </w:rPr>
            </w:pPr>
            <w:r>
              <w:rPr>
                <w:rFonts w:asciiTheme="majorHAnsi" w:hAnsiTheme="majorHAnsi" w:cstheme="majorHAnsi"/>
                <w:sz w:val="18"/>
                <w:szCs w:val="18"/>
              </w:rPr>
              <w:t>Neurobiological determinants</w:t>
            </w:r>
          </w:p>
        </w:tc>
        <w:tc>
          <w:tcPr>
            <w:tcW w:w="1519" w:type="dxa"/>
            <w:tcBorders>
              <w:top w:val="single" w:sz="4" w:space="0" w:color="D0CECE" w:themeColor="background2" w:themeShade="E6"/>
              <w:left w:val="single" w:sz="4" w:space="0" w:color="A5A5A5" w:themeColor="accent3"/>
              <w:bottom w:val="nil"/>
              <w:right w:val="nil"/>
            </w:tcBorders>
            <w:shd w:val="clear" w:color="auto" w:fill="auto"/>
            <w:noWrap/>
            <w:vAlign w:val="bottom"/>
            <w:hideMark/>
          </w:tcPr>
          <w:p w14:paraId="11B707B6" w14:textId="3EDAB1F5" w:rsidR="003D3464" w:rsidRPr="003D3464" w:rsidRDefault="003D3464" w:rsidP="003D3464">
            <w:pPr>
              <w:spacing w:after="0" w:line="240" w:lineRule="auto"/>
              <w:jc w:val="left"/>
              <w:rPr>
                <w:rFonts w:asciiTheme="majorHAnsi" w:eastAsia="Times New Roman" w:hAnsiTheme="majorHAnsi" w:cstheme="majorHAnsi"/>
                <w:sz w:val="18"/>
                <w:szCs w:val="18"/>
                <w:lang w:eastAsia="en-GB"/>
              </w:rPr>
            </w:pPr>
            <w:r>
              <w:rPr>
                <w:rFonts w:asciiTheme="majorHAnsi" w:hAnsiTheme="majorHAnsi" w:cstheme="majorHAnsi"/>
                <w:sz w:val="18"/>
                <w:szCs w:val="18"/>
              </w:rPr>
              <w:t>Q18</w:t>
            </w:r>
            <w:r w:rsidRPr="003D3464">
              <w:rPr>
                <w:rFonts w:asciiTheme="majorHAnsi" w:hAnsiTheme="majorHAnsi" w:cstheme="majorHAnsi"/>
                <w:sz w:val="18"/>
                <w:szCs w:val="18"/>
              </w:rPr>
              <w:t xml:space="preserve"> - (</w:t>
            </w:r>
            <w:proofErr w:type="spellStart"/>
            <w:r w:rsidRPr="003D3464">
              <w:rPr>
                <w:rFonts w:asciiTheme="majorHAnsi" w:hAnsiTheme="majorHAnsi" w:cstheme="majorHAnsi"/>
                <w:sz w:val="18"/>
                <w:szCs w:val="18"/>
              </w:rPr>
              <w:t>Beh</w:t>
            </w:r>
            <w:proofErr w:type="spellEnd"/>
            <w:r w:rsidRPr="003D3464">
              <w:rPr>
                <w:rFonts w:asciiTheme="majorHAnsi" w:hAnsiTheme="majorHAnsi" w:cstheme="majorHAnsi"/>
                <w:sz w:val="18"/>
                <w:szCs w:val="18"/>
              </w:rPr>
              <w:t>)</w:t>
            </w:r>
          </w:p>
        </w:tc>
        <w:tc>
          <w:tcPr>
            <w:tcW w:w="1980" w:type="dxa"/>
            <w:tcBorders>
              <w:top w:val="single" w:sz="4" w:space="0" w:color="D0CECE" w:themeColor="background2" w:themeShade="E6"/>
              <w:left w:val="nil"/>
              <w:bottom w:val="nil"/>
              <w:right w:val="nil"/>
            </w:tcBorders>
            <w:shd w:val="clear" w:color="auto" w:fill="auto"/>
            <w:noWrap/>
            <w:vAlign w:val="bottom"/>
            <w:hideMark/>
          </w:tcPr>
          <w:p w14:paraId="35AF814C" w14:textId="77777777" w:rsidR="003D3464" w:rsidRPr="003D3464" w:rsidRDefault="003D3464" w:rsidP="003D3464">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reporting neurobiological determinants (</w:t>
            </w:r>
            <w:r w:rsidRPr="003D3464">
              <w:rPr>
                <w:rFonts w:asciiTheme="majorHAnsi" w:eastAsia="Times New Roman" w:hAnsiTheme="majorHAnsi" w:cstheme="majorHAnsi"/>
                <w:sz w:val="18"/>
                <w:szCs w:val="18"/>
                <w:lang w:eastAsia="en-GB"/>
              </w:rPr>
              <w:t>0-1</w:t>
            </w:r>
            <w:r w:rsidRPr="003D3464">
              <w:rPr>
                <w:rFonts w:asciiTheme="majorHAnsi" w:eastAsia="Times New Roman" w:hAnsiTheme="majorHAnsi" w:cstheme="majorHAnsi"/>
                <w:color w:val="000000"/>
                <w:sz w:val="18"/>
                <w:szCs w:val="18"/>
                <w:lang w:eastAsia="en-GB"/>
              </w:rPr>
              <w:t>)</w:t>
            </w:r>
          </w:p>
        </w:tc>
        <w:tc>
          <w:tcPr>
            <w:tcW w:w="10710" w:type="dxa"/>
            <w:tcBorders>
              <w:top w:val="single" w:sz="4" w:space="0" w:color="D0CECE" w:themeColor="background2" w:themeShade="E6"/>
              <w:left w:val="nil"/>
              <w:bottom w:val="nil"/>
              <w:right w:val="single" w:sz="4" w:space="0" w:color="A5A5A5" w:themeColor="accent3"/>
            </w:tcBorders>
            <w:shd w:val="clear" w:color="auto" w:fill="auto"/>
            <w:vAlign w:val="bottom"/>
            <w:hideMark/>
          </w:tcPr>
          <w:p w14:paraId="29001295" w14:textId="4E08F324" w:rsidR="003D3464" w:rsidRPr="003D3464" w:rsidRDefault="003D3464" w:rsidP="003D3464">
            <w:pPr>
              <w:spacing w:after="0" w:line="240" w:lineRule="auto"/>
              <w:jc w:val="left"/>
              <w:rPr>
                <w:rFonts w:asciiTheme="majorHAnsi" w:eastAsia="Times New Roman" w:hAnsiTheme="majorHAnsi" w:cstheme="majorHAnsi"/>
                <w:color w:val="000000"/>
                <w:sz w:val="18"/>
                <w:szCs w:val="18"/>
                <w:lang w:eastAsia="en-GB"/>
              </w:rPr>
            </w:pPr>
            <w:r w:rsidRPr="003D3464">
              <w:rPr>
                <w:rFonts w:asciiTheme="majorHAnsi" w:hAnsiTheme="majorHAnsi" w:cstheme="majorHAnsi"/>
                <w:sz w:val="18"/>
                <w:szCs w:val="18"/>
              </w:rPr>
              <w:t xml:space="preserve">Score one point if the papers reports any neurobiological measure of </w:t>
            </w:r>
            <w:proofErr w:type="spellStart"/>
            <w:r w:rsidRPr="003D3464">
              <w:rPr>
                <w:rFonts w:asciiTheme="majorHAnsi" w:hAnsiTheme="majorHAnsi" w:cstheme="majorHAnsi"/>
                <w:sz w:val="18"/>
                <w:szCs w:val="18"/>
              </w:rPr>
              <w:t>behaviors</w:t>
            </w:r>
            <w:proofErr w:type="spellEnd"/>
            <w:r w:rsidRPr="003D3464">
              <w:rPr>
                <w:rFonts w:asciiTheme="majorHAnsi" w:hAnsiTheme="majorHAnsi" w:cstheme="majorHAnsi"/>
                <w:sz w:val="18"/>
                <w:szCs w:val="18"/>
              </w:rPr>
              <w:t xml:space="preserve"> (e.g. impulsivity, comp</w:t>
            </w:r>
            <w:r>
              <w:rPr>
                <w:rFonts w:asciiTheme="majorHAnsi" w:hAnsiTheme="majorHAnsi" w:cstheme="majorHAnsi"/>
                <w:sz w:val="18"/>
                <w:szCs w:val="18"/>
              </w:rPr>
              <w:t>ul</w:t>
            </w:r>
            <w:r w:rsidRPr="003D3464">
              <w:rPr>
                <w:rFonts w:asciiTheme="majorHAnsi" w:hAnsiTheme="majorHAnsi" w:cstheme="majorHAnsi"/>
                <w:sz w:val="18"/>
                <w:szCs w:val="18"/>
              </w:rPr>
              <w:t>sivity, obsessionality, intolerance to</w:t>
            </w:r>
            <w:r w:rsidRPr="003D3464">
              <w:rPr>
                <w:rFonts w:asciiTheme="majorHAnsi" w:eastAsia="Times New Roman" w:hAnsiTheme="majorHAnsi" w:cstheme="majorHAnsi"/>
                <w:sz w:val="18"/>
                <w:szCs w:val="18"/>
                <w:lang w:eastAsia="en-GB"/>
              </w:rPr>
              <w:t xml:space="preserve"> </w:t>
            </w:r>
            <w:r w:rsidRPr="003D3464">
              <w:rPr>
                <w:rFonts w:asciiTheme="majorHAnsi" w:eastAsia="Times New Roman" w:hAnsiTheme="majorHAnsi" w:cstheme="majorHAnsi"/>
                <w:color w:val="000000"/>
                <w:sz w:val="18"/>
                <w:szCs w:val="18"/>
                <w:lang w:eastAsia="en-GB"/>
              </w:rPr>
              <w:t>uncertainty, sensation seeking or other) linked both to P</w:t>
            </w:r>
            <w:r>
              <w:rPr>
                <w:rFonts w:asciiTheme="majorHAnsi" w:eastAsia="Times New Roman" w:hAnsiTheme="majorHAnsi" w:cstheme="majorHAnsi"/>
                <w:color w:val="000000"/>
                <w:sz w:val="18"/>
                <w:szCs w:val="18"/>
                <w:lang w:eastAsia="en-GB"/>
              </w:rPr>
              <w:t>UI</w:t>
            </w:r>
            <w:r w:rsidRPr="003D3464">
              <w:rPr>
                <w:rFonts w:asciiTheme="majorHAnsi" w:eastAsia="Times New Roman" w:hAnsiTheme="majorHAnsi" w:cstheme="majorHAnsi"/>
                <w:color w:val="000000"/>
                <w:sz w:val="18"/>
                <w:szCs w:val="18"/>
                <w:lang w:eastAsia="en-GB"/>
              </w:rPr>
              <w:t xml:space="preserve"> and ED</w:t>
            </w:r>
          </w:p>
        </w:tc>
      </w:tr>
      <w:tr w:rsidR="003D3464" w:rsidRPr="003D3464" w14:paraId="648BEC97" w14:textId="77777777" w:rsidTr="00D36AC4">
        <w:trPr>
          <w:trHeight w:val="900"/>
        </w:trPr>
        <w:tc>
          <w:tcPr>
            <w:tcW w:w="1356" w:type="dxa"/>
            <w:vMerge/>
            <w:tcBorders>
              <w:left w:val="single" w:sz="4" w:space="0" w:color="A5A5A5" w:themeColor="accent3"/>
              <w:bottom w:val="single" w:sz="4" w:space="0" w:color="A5A5A5" w:themeColor="accent3"/>
              <w:right w:val="single" w:sz="4" w:space="0" w:color="A5A5A5" w:themeColor="accent3"/>
            </w:tcBorders>
          </w:tcPr>
          <w:p w14:paraId="2BF67CCB" w14:textId="77777777" w:rsidR="003D3464" w:rsidRDefault="003D3464" w:rsidP="003D3464">
            <w:pPr>
              <w:spacing w:after="0" w:line="240" w:lineRule="auto"/>
              <w:jc w:val="left"/>
              <w:rPr>
                <w:rFonts w:asciiTheme="majorHAnsi" w:hAnsiTheme="majorHAnsi" w:cstheme="majorHAnsi"/>
                <w:sz w:val="18"/>
                <w:szCs w:val="18"/>
              </w:rPr>
            </w:pPr>
          </w:p>
        </w:tc>
        <w:tc>
          <w:tcPr>
            <w:tcW w:w="1519" w:type="dxa"/>
            <w:tcBorders>
              <w:top w:val="nil"/>
              <w:left w:val="single" w:sz="4" w:space="0" w:color="A5A5A5" w:themeColor="accent3"/>
              <w:bottom w:val="single" w:sz="4" w:space="0" w:color="A5A5A5" w:themeColor="accent3"/>
              <w:right w:val="nil"/>
            </w:tcBorders>
            <w:shd w:val="clear" w:color="auto" w:fill="auto"/>
            <w:noWrap/>
            <w:vAlign w:val="bottom"/>
            <w:hideMark/>
          </w:tcPr>
          <w:p w14:paraId="5A5BC9A5" w14:textId="342FE1CE" w:rsidR="003D3464" w:rsidRPr="003D3464" w:rsidRDefault="003D3464" w:rsidP="003D3464">
            <w:pPr>
              <w:spacing w:after="0" w:line="240" w:lineRule="auto"/>
              <w:jc w:val="left"/>
              <w:rPr>
                <w:rFonts w:asciiTheme="majorHAnsi" w:eastAsia="Times New Roman" w:hAnsiTheme="majorHAnsi" w:cstheme="majorHAnsi"/>
                <w:sz w:val="18"/>
                <w:szCs w:val="18"/>
                <w:lang w:eastAsia="en-GB"/>
              </w:rPr>
            </w:pPr>
            <w:r>
              <w:rPr>
                <w:rFonts w:asciiTheme="majorHAnsi" w:hAnsiTheme="majorHAnsi" w:cstheme="majorHAnsi"/>
                <w:sz w:val="18"/>
                <w:szCs w:val="18"/>
              </w:rPr>
              <w:t>Q19</w:t>
            </w:r>
            <w:r w:rsidRPr="003D3464">
              <w:rPr>
                <w:rFonts w:asciiTheme="majorHAnsi" w:hAnsiTheme="majorHAnsi" w:cstheme="majorHAnsi"/>
                <w:sz w:val="18"/>
                <w:szCs w:val="18"/>
              </w:rPr>
              <w:t xml:space="preserve"> - (CSF)</w:t>
            </w:r>
          </w:p>
        </w:tc>
        <w:tc>
          <w:tcPr>
            <w:tcW w:w="1980" w:type="dxa"/>
            <w:tcBorders>
              <w:top w:val="nil"/>
              <w:left w:val="nil"/>
              <w:bottom w:val="single" w:sz="4" w:space="0" w:color="A5A5A5" w:themeColor="accent3"/>
              <w:right w:val="nil"/>
            </w:tcBorders>
            <w:shd w:val="clear" w:color="auto" w:fill="auto"/>
            <w:noWrap/>
            <w:vAlign w:val="bottom"/>
            <w:hideMark/>
          </w:tcPr>
          <w:p w14:paraId="0E53B290" w14:textId="77777777" w:rsidR="003D3464" w:rsidRPr="003D3464" w:rsidRDefault="003D3464" w:rsidP="003D3464">
            <w:pPr>
              <w:spacing w:after="0" w:line="240" w:lineRule="auto"/>
              <w:jc w:val="left"/>
              <w:rPr>
                <w:rFonts w:asciiTheme="majorHAnsi" w:eastAsia="Times New Roman" w:hAnsiTheme="majorHAnsi" w:cstheme="majorHAnsi"/>
                <w:sz w:val="18"/>
                <w:szCs w:val="18"/>
                <w:lang w:eastAsia="en-GB"/>
              </w:rPr>
            </w:pPr>
            <w:r w:rsidRPr="003D3464">
              <w:rPr>
                <w:rFonts w:asciiTheme="majorHAnsi" w:hAnsiTheme="majorHAnsi" w:cstheme="majorHAnsi"/>
                <w:sz w:val="18"/>
                <w:szCs w:val="18"/>
              </w:rPr>
              <w:t>reporting neurobiological determinants (0-1)</w:t>
            </w:r>
          </w:p>
        </w:tc>
        <w:tc>
          <w:tcPr>
            <w:tcW w:w="10710" w:type="dxa"/>
            <w:tcBorders>
              <w:top w:val="nil"/>
              <w:left w:val="nil"/>
              <w:bottom w:val="single" w:sz="4" w:space="0" w:color="A5A5A5" w:themeColor="accent3"/>
              <w:right w:val="single" w:sz="4" w:space="0" w:color="A5A5A5" w:themeColor="accent3"/>
            </w:tcBorders>
            <w:shd w:val="clear" w:color="auto" w:fill="auto"/>
            <w:vAlign w:val="bottom"/>
            <w:hideMark/>
          </w:tcPr>
          <w:p w14:paraId="3BF5ECD8" w14:textId="00724A1B" w:rsidR="003D3464" w:rsidRPr="003D3464" w:rsidRDefault="003D3464" w:rsidP="003D3464">
            <w:pPr>
              <w:spacing w:after="0" w:line="240" w:lineRule="auto"/>
              <w:jc w:val="left"/>
              <w:rPr>
                <w:rFonts w:asciiTheme="majorHAnsi" w:hAnsiTheme="majorHAnsi" w:cstheme="majorHAnsi"/>
                <w:sz w:val="18"/>
                <w:szCs w:val="18"/>
              </w:rPr>
            </w:pPr>
            <w:r w:rsidRPr="003D3464">
              <w:rPr>
                <w:rFonts w:asciiTheme="majorHAnsi" w:hAnsiTheme="majorHAnsi" w:cstheme="majorHAnsi"/>
                <w:sz w:val="18"/>
                <w:szCs w:val="18"/>
              </w:rPr>
              <w:t xml:space="preserve">Score one point if the papers reports any neurobiological measure of cognition of brain structure/function linked both to </w:t>
            </w:r>
            <w:r>
              <w:rPr>
                <w:rFonts w:asciiTheme="majorHAnsi" w:hAnsiTheme="majorHAnsi" w:cstheme="majorHAnsi"/>
                <w:sz w:val="18"/>
                <w:szCs w:val="18"/>
              </w:rPr>
              <w:t>PUI</w:t>
            </w:r>
            <w:r w:rsidRPr="003D3464">
              <w:rPr>
                <w:rFonts w:asciiTheme="majorHAnsi" w:hAnsiTheme="majorHAnsi" w:cstheme="majorHAnsi"/>
                <w:sz w:val="18"/>
                <w:szCs w:val="18"/>
              </w:rPr>
              <w:t xml:space="preserve"> and ED</w:t>
            </w:r>
          </w:p>
        </w:tc>
      </w:tr>
    </w:tbl>
    <w:p w14:paraId="35E43AC7" w14:textId="77777777" w:rsidR="003D3464" w:rsidRDefault="003D3464" w:rsidP="003D3464"/>
    <w:p w14:paraId="0FAFC421" w14:textId="77777777" w:rsidR="003D3464" w:rsidRDefault="003D3464" w:rsidP="003D3464">
      <w:pPr>
        <w:spacing w:line="259" w:lineRule="auto"/>
        <w:jc w:val="left"/>
        <w:rPr>
          <w:rFonts w:asciiTheme="majorHAnsi" w:eastAsiaTheme="majorEastAsia" w:hAnsiTheme="majorHAnsi" w:cstheme="majorBidi"/>
          <w:b/>
          <w:sz w:val="26"/>
          <w:szCs w:val="26"/>
        </w:rPr>
      </w:pPr>
    </w:p>
    <w:p w14:paraId="6809C215" w14:textId="77777777" w:rsidR="004160AB" w:rsidRDefault="004160AB">
      <w:pPr>
        <w:spacing w:line="259" w:lineRule="auto"/>
        <w:jc w:val="left"/>
        <w:rPr>
          <w:rFonts w:asciiTheme="majorHAnsi" w:eastAsiaTheme="majorEastAsia" w:hAnsiTheme="majorHAnsi" w:cstheme="majorBidi"/>
          <w:b/>
          <w:sz w:val="26"/>
          <w:szCs w:val="26"/>
        </w:rPr>
      </w:pPr>
      <w:r>
        <w:br w:type="page"/>
      </w:r>
    </w:p>
    <w:p w14:paraId="5F6444DA" w14:textId="694DC84B" w:rsidR="002E1969" w:rsidRDefault="003D3464" w:rsidP="002E1969">
      <w:pPr>
        <w:pStyle w:val="Heading2"/>
      </w:pPr>
      <w:bookmarkStart w:id="4" w:name="_Toc65760832"/>
      <w:r>
        <w:t>TABLE S3</w:t>
      </w:r>
      <w:r w:rsidR="002E1969">
        <w:t xml:space="preserve"> – Heterogeneity and model estimate measures for different domains</w:t>
      </w:r>
      <w:r w:rsidR="00454066">
        <w:t xml:space="preserve"> of eating disorder</w:t>
      </w:r>
      <w:bookmarkEnd w:id="4"/>
    </w:p>
    <w:tbl>
      <w:tblPr>
        <w:tblStyle w:val="TableGrid"/>
        <w:tblW w:w="9242" w:type="dxa"/>
        <w:jc w:val="center"/>
        <w:tblLayout w:type="fixed"/>
        <w:tblLook w:val="04A0" w:firstRow="1" w:lastRow="0" w:firstColumn="1" w:lastColumn="0" w:noHBand="0" w:noVBand="1"/>
      </w:tblPr>
      <w:tblGrid>
        <w:gridCol w:w="1743"/>
        <w:gridCol w:w="946"/>
        <w:gridCol w:w="1105"/>
        <w:gridCol w:w="971"/>
        <w:gridCol w:w="886"/>
        <w:gridCol w:w="1261"/>
        <w:gridCol w:w="1560"/>
        <w:gridCol w:w="770"/>
      </w:tblGrid>
      <w:tr w:rsidR="002E1969" w14:paraId="0A2F2FA6" w14:textId="77777777" w:rsidTr="004D3EDD">
        <w:trPr>
          <w:jc w:val="center"/>
        </w:trPr>
        <w:tc>
          <w:tcPr>
            <w:tcW w:w="1743" w:type="dxa"/>
            <w:shd w:val="clear" w:color="auto" w:fill="E7E6E6" w:themeFill="background2"/>
          </w:tcPr>
          <w:p w14:paraId="24B258CE" w14:textId="77777777" w:rsidR="002E1969" w:rsidRPr="00A036B2" w:rsidRDefault="002E1969" w:rsidP="000E1816">
            <w:pPr>
              <w:spacing w:line="240" w:lineRule="auto"/>
              <w:rPr>
                <w:b/>
                <w:sz w:val="20"/>
                <w:szCs w:val="20"/>
              </w:rPr>
            </w:pPr>
            <w:r w:rsidRPr="00A036B2">
              <w:rPr>
                <w:b/>
                <w:sz w:val="20"/>
                <w:szCs w:val="20"/>
              </w:rPr>
              <w:t>Domain</w:t>
            </w:r>
          </w:p>
        </w:tc>
        <w:tc>
          <w:tcPr>
            <w:tcW w:w="946" w:type="dxa"/>
            <w:shd w:val="clear" w:color="auto" w:fill="E7E6E6" w:themeFill="background2"/>
          </w:tcPr>
          <w:p w14:paraId="6905A91B" w14:textId="77777777" w:rsidR="002E1969" w:rsidRPr="00A036B2" w:rsidRDefault="002E1969" w:rsidP="000E1816">
            <w:pPr>
              <w:spacing w:line="240" w:lineRule="auto"/>
              <w:jc w:val="center"/>
              <w:rPr>
                <w:b/>
                <w:sz w:val="20"/>
                <w:szCs w:val="20"/>
              </w:rPr>
            </w:pPr>
            <w:r w:rsidRPr="00A036B2">
              <w:rPr>
                <w:b/>
                <w:sz w:val="20"/>
                <w:szCs w:val="20"/>
              </w:rPr>
              <w:t>N studies</w:t>
            </w:r>
          </w:p>
        </w:tc>
        <w:tc>
          <w:tcPr>
            <w:tcW w:w="1105" w:type="dxa"/>
            <w:shd w:val="clear" w:color="auto" w:fill="E7E6E6" w:themeFill="background2"/>
          </w:tcPr>
          <w:p w14:paraId="19355B96" w14:textId="77777777" w:rsidR="002E1969" w:rsidRPr="00A036B2" w:rsidRDefault="002E1969" w:rsidP="000E1816">
            <w:pPr>
              <w:spacing w:line="240" w:lineRule="auto"/>
              <w:jc w:val="center"/>
              <w:rPr>
                <w:b/>
                <w:sz w:val="20"/>
                <w:szCs w:val="20"/>
              </w:rPr>
            </w:pPr>
            <w:r w:rsidRPr="00A036B2">
              <w:rPr>
                <w:b/>
                <w:sz w:val="20"/>
                <w:szCs w:val="20"/>
              </w:rPr>
              <w:t>tau^2 (se)</w:t>
            </w:r>
          </w:p>
        </w:tc>
        <w:tc>
          <w:tcPr>
            <w:tcW w:w="971" w:type="dxa"/>
            <w:shd w:val="clear" w:color="auto" w:fill="E7E6E6" w:themeFill="background2"/>
          </w:tcPr>
          <w:p w14:paraId="2F0736C0" w14:textId="77777777" w:rsidR="002E1969" w:rsidRPr="00A036B2" w:rsidRDefault="002E1969" w:rsidP="000E1816">
            <w:pPr>
              <w:spacing w:line="240" w:lineRule="auto"/>
              <w:jc w:val="center"/>
              <w:rPr>
                <w:b/>
                <w:sz w:val="20"/>
                <w:szCs w:val="20"/>
              </w:rPr>
            </w:pPr>
            <w:r w:rsidRPr="00A036B2">
              <w:rPr>
                <w:b/>
                <w:sz w:val="20"/>
                <w:szCs w:val="20"/>
              </w:rPr>
              <w:t>I^2</w:t>
            </w:r>
          </w:p>
        </w:tc>
        <w:tc>
          <w:tcPr>
            <w:tcW w:w="886" w:type="dxa"/>
            <w:shd w:val="clear" w:color="auto" w:fill="E7E6E6" w:themeFill="background2"/>
          </w:tcPr>
          <w:p w14:paraId="42CC3280" w14:textId="77777777" w:rsidR="002E1969" w:rsidRPr="00A036B2" w:rsidRDefault="002E1969" w:rsidP="000E1816">
            <w:pPr>
              <w:spacing w:line="240" w:lineRule="auto"/>
              <w:jc w:val="center"/>
              <w:rPr>
                <w:b/>
                <w:sz w:val="20"/>
                <w:szCs w:val="20"/>
              </w:rPr>
            </w:pPr>
            <w:r w:rsidRPr="00A036B2">
              <w:rPr>
                <w:b/>
                <w:sz w:val="20"/>
                <w:szCs w:val="20"/>
              </w:rPr>
              <w:t>H^2</w:t>
            </w:r>
          </w:p>
        </w:tc>
        <w:tc>
          <w:tcPr>
            <w:tcW w:w="1261" w:type="dxa"/>
            <w:shd w:val="clear" w:color="auto" w:fill="E7E6E6" w:themeFill="background2"/>
          </w:tcPr>
          <w:p w14:paraId="2EBA2EAB" w14:textId="77777777" w:rsidR="002E1969" w:rsidRPr="00A036B2" w:rsidRDefault="002E1969" w:rsidP="000E1816">
            <w:pPr>
              <w:spacing w:line="240" w:lineRule="auto"/>
              <w:jc w:val="center"/>
              <w:rPr>
                <w:b/>
                <w:sz w:val="20"/>
                <w:szCs w:val="20"/>
              </w:rPr>
            </w:pPr>
            <w:r w:rsidRPr="00A036B2">
              <w:rPr>
                <w:b/>
                <w:sz w:val="20"/>
                <w:szCs w:val="20"/>
              </w:rPr>
              <w:t xml:space="preserve">Q-test </w:t>
            </w:r>
          </w:p>
          <w:p w14:paraId="379D2B9D" w14:textId="77777777" w:rsidR="002E1969" w:rsidRPr="00A036B2" w:rsidRDefault="002E1969" w:rsidP="000E1816">
            <w:pPr>
              <w:spacing w:line="240" w:lineRule="auto"/>
              <w:jc w:val="center"/>
              <w:rPr>
                <w:b/>
                <w:sz w:val="20"/>
                <w:szCs w:val="20"/>
              </w:rPr>
            </w:pPr>
            <w:r w:rsidRPr="00A036B2">
              <w:rPr>
                <w:b/>
                <w:sz w:val="20"/>
                <w:szCs w:val="20"/>
              </w:rPr>
              <w:t>(p value)</w:t>
            </w:r>
            <w:r w:rsidRPr="00A036B2">
              <w:rPr>
                <w:rFonts w:cstheme="minorHAnsi"/>
                <w:sz w:val="20"/>
                <w:szCs w:val="20"/>
              </w:rPr>
              <w:t xml:space="preserve"> †</w:t>
            </w:r>
          </w:p>
        </w:tc>
        <w:tc>
          <w:tcPr>
            <w:tcW w:w="1560" w:type="dxa"/>
            <w:shd w:val="clear" w:color="auto" w:fill="E7E6E6" w:themeFill="background2"/>
          </w:tcPr>
          <w:p w14:paraId="239F098B" w14:textId="77777777" w:rsidR="002E1969" w:rsidRPr="00A036B2" w:rsidRDefault="002E1969" w:rsidP="000E1816">
            <w:pPr>
              <w:spacing w:line="240" w:lineRule="auto"/>
              <w:jc w:val="center"/>
              <w:rPr>
                <w:b/>
                <w:sz w:val="20"/>
                <w:szCs w:val="20"/>
              </w:rPr>
            </w:pPr>
            <w:r w:rsidRPr="00A036B2">
              <w:rPr>
                <w:b/>
                <w:sz w:val="20"/>
                <w:szCs w:val="20"/>
              </w:rPr>
              <w:t>Model Estimate (se)</w:t>
            </w:r>
          </w:p>
        </w:tc>
        <w:tc>
          <w:tcPr>
            <w:tcW w:w="770" w:type="dxa"/>
            <w:shd w:val="clear" w:color="auto" w:fill="E7E6E6" w:themeFill="background2"/>
          </w:tcPr>
          <w:p w14:paraId="273DD55E" w14:textId="77777777" w:rsidR="002E1969" w:rsidRPr="00A036B2" w:rsidRDefault="002E1969" w:rsidP="000E1816">
            <w:pPr>
              <w:spacing w:line="240" w:lineRule="auto"/>
              <w:jc w:val="center"/>
              <w:rPr>
                <w:b/>
                <w:sz w:val="20"/>
                <w:szCs w:val="20"/>
              </w:rPr>
            </w:pPr>
            <w:r w:rsidRPr="00A036B2">
              <w:rPr>
                <w:b/>
                <w:sz w:val="20"/>
                <w:szCs w:val="20"/>
              </w:rPr>
              <w:t>sig.</w:t>
            </w:r>
          </w:p>
        </w:tc>
      </w:tr>
      <w:tr w:rsidR="002E1969" w14:paraId="2E885574" w14:textId="77777777" w:rsidTr="004D3EDD">
        <w:trPr>
          <w:jc w:val="center"/>
        </w:trPr>
        <w:tc>
          <w:tcPr>
            <w:tcW w:w="1743" w:type="dxa"/>
            <w:shd w:val="clear" w:color="auto" w:fill="F2F2F2" w:themeFill="background1" w:themeFillShade="F2"/>
          </w:tcPr>
          <w:p w14:paraId="4F43A522" w14:textId="3F499854" w:rsidR="002E1969" w:rsidRPr="00A036B2" w:rsidRDefault="00F64B6A" w:rsidP="000E1816">
            <w:pPr>
              <w:rPr>
                <w:b/>
                <w:sz w:val="20"/>
                <w:szCs w:val="20"/>
              </w:rPr>
            </w:pPr>
            <w:r>
              <w:rPr>
                <w:b/>
                <w:sz w:val="20"/>
                <w:szCs w:val="20"/>
              </w:rPr>
              <w:t>At-risk eating disorders</w:t>
            </w:r>
          </w:p>
        </w:tc>
        <w:tc>
          <w:tcPr>
            <w:tcW w:w="946" w:type="dxa"/>
          </w:tcPr>
          <w:p w14:paraId="7122DB2C" w14:textId="36D82AC8" w:rsidR="002E1969" w:rsidRPr="00A036B2" w:rsidRDefault="004D3EDD" w:rsidP="00851869">
            <w:pPr>
              <w:jc w:val="center"/>
              <w:rPr>
                <w:sz w:val="20"/>
                <w:szCs w:val="20"/>
              </w:rPr>
            </w:pPr>
            <w:r>
              <w:rPr>
                <w:sz w:val="20"/>
                <w:szCs w:val="20"/>
              </w:rPr>
              <w:t>1</w:t>
            </w:r>
            <w:r w:rsidR="00851869">
              <w:rPr>
                <w:sz w:val="20"/>
                <w:szCs w:val="20"/>
              </w:rPr>
              <w:t>6</w:t>
            </w:r>
          </w:p>
        </w:tc>
        <w:tc>
          <w:tcPr>
            <w:tcW w:w="1105" w:type="dxa"/>
          </w:tcPr>
          <w:p w14:paraId="613F0E4F" w14:textId="37D6F9CB" w:rsidR="002E1969" w:rsidRPr="00A036B2" w:rsidRDefault="00851869" w:rsidP="000E1816">
            <w:pPr>
              <w:jc w:val="center"/>
              <w:rPr>
                <w:sz w:val="20"/>
                <w:szCs w:val="20"/>
              </w:rPr>
            </w:pPr>
            <w:r w:rsidRPr="00851869">
              <w:rPr>
                <w:sz w:val="20"/>
                <w:szCs w:val="20"/>
              </w:rPr>
              <w:t>0.0216 (SE = 0.0086)</w:t>
            </w:r>
          </w:p>
        </w:tc>
        <w:tc>
          <w:tcPr>
            <w:tcW w:w="971" w:type="dxa"/>
          </w:tcPr>
          <w:p w14:paraId="4B14D91F" w14:textId="044A413F" w:rsidR="002E1969" w:rsidRPr="00A036B2" w:rsidRDefault="00851869" w:rsidP="000E1816">
            <w:pPr>
              <w:jc w:val="center"/>
              <w:rPr>
                <w:sz w:val="20"/>
                <w:szCs w:val="20"/>
              </w:rPr>
            </w:pPr>
            <w:r w:rsidRPr="00851869">
              <w:rPr>
                <w:sz w:val="20"/>
                <w:szCs w:val="20"/>
              </w:rPr>
              <w:t>93.97%</w:t>
            </w:r>
          </w:p>
        </w:tc>
        <w:tc>
          <w:tcPr>
            <w:tcW w:w="886" w:type="dxa"/>
          </w:tcPr>
          <w:p w14:paraId="79DA4DBB" w14:textId="3533781C" w:rsidR="002E1969" w:rsidRPr="00A036B2" w:rsidRDefault="00851869" w:rsidP="000E1816">
            <w:pPr>
              <w:jc w:val="center"/>
              <w:rPr>
                <w:sz w:val="20"/>
                <w:szCs w:val="20"/>
              </w:rPr>
            </w:pPr>
            <w:r w:rsidRPr="00851869">
              <w:rPr>
                <w:sz w:val="20"/>
                <w:szCs w:val="20"/>
              </w:rPr>
              <w:t>16.59</w:t>
            </w:r>
          </w:p>
        </w:tc>
        <w:tc>
          <w:tcPr>
            <w:tcW w:w="1261" w:type="dxa"/>
          </w:tcPr>
          <w:p w14:paraId="46E4E61C" w14:textId="77777777" w:rsidR="002E1969" w:rsidRPr="00A036B2" w:rsidRDefault="002E1969" w:rsidP="000E1816">
            <w:pPr>
              <w:jc w:val="center"/>
              <w:rPr>
                <w:sz w:val="20"/>
                <w:szCs w:val="20"/>
              </w:rPr>
            </w:pPr>
            <w:r w:rsidRPr="00A036B2">
              <w:rPr>
                <w:sz w:val="20"/>
                <w:szCs w:val="20"/>
              </w:rPr>
              <w:t xml:space="preserve"> &lt; .0001</w:t>
            </w:r>
          </w:p>
        </w:tc>
        <w:tc>
          <w:tcPr>
            <w:tcW w:w="1560" w:type="dxa"/>
          </w:tcPr>
          <w:p w14:paraId="565C9EA8" w14:textId="4E6E24E6" w:rsidR="002E1969" w:rsidRPr="00A036B2" w:rsidRDefault="00851869" w:rsidP="004D3EDD">
            <w:pPr>
              <w:jc w:val="center"/>
              <w:rPr>
                <w:sz w:val="20"/>
                <w:szCs w:val="20"/>
              </w:rPr>
            </w:pPr>
            <w:r>
              <w:rPr>
                <w:sz w:val="20"/>
                <w:szCs w:val="20"/>
              </w:rPr>
              <w:t>0.21</w:t>
            </w:r>
            <w:r w:rsidRPr="00851869">
              <w:rPr>
                <w:sz w:val="20"/>
                <w:szCs w:val="20"/>
              </w:rPr>
              <w:t xml:space="preserve"> </w:t>
            </w:r>
            <w:r w:rsidR="002E1969" w:rsidRPr="00A036B2">
              <w:rPr>
                <w:sz w:val="20"/>
                <w:szCs w:val="20"/>
              </w:rPr>
              <w:t>(0.</w:t>
            </w:r>
            <w:r>
              <w:rPr>
                <w:sz w:val="20"/>
                <w:szCs w:val="20"/>
              </w:rPr>
              <w:t>038</w:t>
            </w:r>
            <w:r w:rsidR="002E1969" w:rsidRPr="00A036B2">
              <w:rPr>
                <w:sz w:val="20"/>
                <w:szCs w:val="20"/>
              </w:rPr>
              <w:t>)</w:t>
            </w:r>
          </w:p>
        </w:tc>
        <w:tc>
          <w:tcPr>
            <w:tcW w:w="770" w:type="dxa"/>
          </w:tcPr>
          <w:p w14:paraId="3A3F6EBF" w14:textId="5F9AB003" w:rsidR="002E1969" w:rsidRPr="00A036B2" w:rsidRDefault="00F64B6A" w:rsidP="000E1816">
            <w:pPr>
              <w:jc w:val="center"/>
              <w:rPr>
                <w:sz w:val="20"/>
                <w:szCs w:val="20"/>
              </w:rPr>
            </w:pPr>
            <w:r>
              <w:rPr>
                <w:sz w:val="20"/>
                <w:szCs w:val="20"/>
              </w:rPr>
              <w:t>*</w:t>
            </w:r>
            <w:r w:rsidR="002E1969" w:rsidRPr="00A036B2">
              <w:rPr>
                <w:sz w:val="20"/>
                <w:szCs w:val="20"/>
              </w:rPr>
              <w:t>**</w:t>
            </w:r>
          </w:p>
        </w:tc>
      </w:tr>
      <w:tr w:rsidR="002E1969" w14:paraId="566A5074" w14:textId="77777777" w:rsidTr="004D3EDD">
        <w:trPr>
          <w:jc w:val="center"/>
        </w:trPr>
        <w:tc>
          <w:tcPr>
            <w:tcW w:w="1743" w:type="dxa"/>
            <w:shd w:val="clear" w:color="auto" w:fill="F2F2F2" w:themeFill="background1" w:themeFillShade="F2"/>
          </w:tcPr>
          <w:p w14:paraId="3F43023B" w14:textId="54B0E16A" w:rsidR="002E1969" w:rsidRPr="00A036B2" w:rsidRDefault="00F64B6A" w:rsidP="00474CDF">
            <w:pPr>
              <w:rPr>
                <w:b/>
                <w:sz w:val="20"/>
                <w:szCs w:val="20"/>
              </w:rPr>
            </w:pPr>
            <w:r>
              <w:rPr>
                <w:b/>
                <w:sz w:val="20"/>
                <w:szCs w:val="20"/>
              </w:rPr>
              <w:t>Body dissatisfaction</w:t>
            </w:r>
            <w:r w:rsidR="003713AD">
              <w:rPr>
                <w:b/>
                <w:sz w:val="20"/>
                <w:szCs w:val="20"/>
              </w:rPr>
              <w:t xml:space="preserve"> (</w:t>
            </w:r>
            <w:r w:rsidR="00474CDF">
              <w:rPr>
                <w:b/>
                <w:sz w:val="20"/>
                <w:szCs w:val="20"/>
              </w:rPr>
              <w:t>all studies</w:t>
            </w:r>
            <w:r w:rsidR="003713AD">
              <w:rPr>
                <w:b/>
                <w:sz w:val="20"/>
                <w:szCs w:val="20"/>
              </w:rPr>
              <w:t>)</w:t>
            </w:r>
          </w:p>
        </w:tc>
        <w:tc>
          <w:tcPr>
            <w:tcW w:w="946" w:type="dxa"/>
          </w:tcPr>
          <w:p w14:paraId="08B96907" w14:textId="012C1CC5" w:rsidR="002E1969" w:rsidRPr="00A036B2" w:rsidRDefault="00BF2FF1" w:rsidP="000E1816">
            <w:pPr>
              <w:jc w:val="center"/>
              <w:rPr>
                <w:sz w:val="20"/>
                <w:szCs w:val="20"/>
              </w:rPr>
            </w:pPr>
            <w:r>
              <w:rPr>
                <w:sz w:val="20"/>
                <w:szCs w:val="20"/>
              </w:rPr>
              <w:t>24</w:t>
            </w:r>
          </w:p>
        </w:tc>
        <w:tc>
          <w:tcPr>
            <w:tcW w:w="1105" w:type="dxa"/>
          </w:tcPr>
          <w:p w14:paraId="4BFEF1FB" w14:textId="55282BFB" w:rsidR="002E1969" w:rsidRPr="00A036B2" w:rsidRDefault="00BF2FF1" w:rsidP="000E1816">
            <w:pPr>
              <w:jc w:val="center"/>
              <w:rPr>
                <w:sz w:val="20"/>
                <w:szCs w:val="20"/>
              </w:rPr>
            </w:pPr>
            <w:r w:rsidRPr="00BF2FF1">
              <w:rPr>
                <w:sz w:val="20"/>
                <w:szCs w:val="20"/>
              </w:rPr>
              <w:t>0.0075 (SE = 0.0030)</w:t>
            </w:r>
          </w:p>
        </w:tc>
        <w:tc>
          <w:tcPr>
            <w:tcW w:w="971" w:type="dxa"/>
          </w:tcPr>
          <w:p w14:paraId="0E960C1E" w14:textId="35BBE913" w:rsidR="002E1969" w:rsidRPr="00A036B2" w:rsidRDefault="00BF2FF1" w:rsidP="000E1816">
            <w:pPr>
              <w:jc w:val="center"/>
              <w:rPr>
                <w:sz w:val="20"/>
                <w:szCs w:val="20"/>
              </w:rPr>
            </w:pPr>
            <w:r w:rsidRPr="00BF2FF1">
              <w:rPr>
                <w:sz w:val="20"/>
                <w:szCs w:val="20"/>
              </w:rPr>
              <w:t>82.14%</w:t>
            </w:r>
          </w:p>
        </w:tc>
        <w:tc>
          <w:tcPr>
            <w:tcW w:w="886" w:type="dxa"/>
          </w:tcPr>
          <w:p w14:paraId="2D5B9DE3" w14:textId="5228E13A" w:rsidR="002E1969" w:rsidRPr="00A036B2" w:rsidRDefault="00BF2FF1" w:rsidP="000E1816">
            <w:pPr>
              <w:jc w:val="center"/>
              <w:rPr>
                <w:sz w:val="20"/>
                <w:szCs w:val="20"/>
              </w:rPr>
            </w:pPr>
            <w:r w:rsidRPr="00BF2FF1">
              <w:rPr>
                <w:sz w:val="20"/>
                <w:szCs w:val="20"/>
              </w:rPr>
              <w:t>5.60</w:t>
            </w:r>
          </w:p>
        </w:tc>
        <w:tc>
          <w:tcPr>
            <w:tcW w:w="1261" w:type="dxa"/>
          </w:tcPr>
          <w:p w14:paraId="2EC4CFC7" w14:textId="7321ED46" w:rsidR="002E1969" w:rsidRPr="00A036B2" w:rsidRDefault="00BF2FF1" w:rsidP="000E1816">
            <w:pPr>
              <w:jc w:val="center"/>
              <w:rPr>
                <w:sz w:val="20"/>
                <w:szCs w:val="20"/>
              </w:rPr>
            </w:pPr>
            <w:r w:rsidRPr="00BF2FF1">
              <w:rPr>
                <w:sz w:val="20"/>
                <w:szCs w:val="20"/>
              </w:rPr>
              <w:t>&lt; .0001</w:t>
            </w:r>
          </w:p>
        </w:tc>
        <w:tc>
          <w:tcPr>
            <w:tcW w:w="1560" w:type="dxa"/>
          </w:tcPr>
          <w:p w14:paraId="4F63D59E" w14:textId="30737DA8" w:rsidR="002E1969" w:rsidRPr="00A036B2" w:rsidRDefault="00BF2FF1" w:rsidP="000E1816">
            <w:pPr>
              <w:jc w:val="center"/>
              <w:rPr>
                <w:sz w:val="20"/>
                <w:szCs w:val="20"/>
              </w:rPr>
            </w:pPr>
            <w:r>
              <w:rPr>
                <w:sz w:val="20"/>
                <w:szCs w:val="20"/>
              </w:rPr>
              <w:t>0.16 (0.02)</w:t>
            </w:r>
          </w:p>
        </w:tc>
        <w:tc>
          <w:tcPr>
            <w:tcW w:w="770" w:type="dxa"/>
          </w:tcPr>
          <w:p w14:paraId="4406DD73" w14:textId="59A86109" w:rsidR="002E1969" w:rsidRPr="00A036B2" w:rsidRDefault="00BF2FF1" w:rsidP="000E1816">
            <w:pPr>
              <w:jc w:val="center"/>
              <w:rPr>
                <w:sz w:val="20"/>
                <w:szCs w:val="20"/>
              </w:rPr>
            </w:pPr>
            <w:r>
              <w:rPr>
                <w:sz w:val="20"/>
                <w:szCs w:val="20"/>
              </w:rPr>
              <w:t>***</w:t>
            </w:r>
          </w:p>
        </w:tc>
      </w:tr>
      <w:tr w:rsidR="00CF6C55" w14:paraId="2766008B" w14:textId="77777777" w:rsidTr="004D3EDD">
        <w:trPr>
          <w:jc w:val="center"/>
        </w:trPr>
        <w:tc>
          <w:tcPr>
            <w:tcW w:w="1743" w:type="dxa"/>
            <w:shd w:val="clear" w:color="auto" w:fill="F2F2F2" w:themeFill="background1" w:themeFillShade="F2"/>
          </w:tcPr>
          <w:p w14:paraId="3A4970CB" w14:textId="031586C7" w:rsidR="00CF6C55" w:rsidRDefault="00CF6C55" w:rsidP="000E1816">
            <w:pPr>
              <w:rPr>
                <w:b/>
                <w:sz w:val="20"/>
                <w:szCs w:val="20"/>
              </w:rPr>
            </w:pPr>
            <w:r>
              <w:rPr>
                <w:b/>
                <w:sz w:val="20"/>
                <w:szCs w:val="20"/>
              </w:rPr>
              <w:t>Body dissatisfaction (males</w:t>
            </w:r>
            <w:r w:rsidR="003713AD">
              <w:rPr>
                <w:b/>
                <w:sz w:val="20"/>
                <w:szCs w:val="20"/>
              </w:rPr>
              <w:t xml:space="preserve"> only</w:t>
            </w:r>
            <w:r>
              <w:rPr>
                <w:b/>
                <w:sz w:val="20"/>
                <w:szCs w:val="20"/>
              </w:rPr>
              <w:t>)</w:t>
            </w:r>
          </w:p>
        </w:tc>
        <w:tc>
          <w:tcPr>
            <w:tcW w:w="946" w:type="dxa"/>
          </w:tcPr>
          <w:p w14:paraId="2E78FD14" w14:textId="2E6EC265" w:rsidR="00CF6C55" w:rsidRPr="00A036B2" w:rsidRDefault="00CF6C55" w:rsidP="000E1816">
            <w:pPr>
              <w:jc w:val="center"/>
              <w:rPr>
                <w:sz w:val="20"/>
                <w:szCs w:val="20"/>
              </w:rPr>
            </w:pPr>
            <w:r>
              <w:rPr>
                <w:sz w:val="20"/>
                <w:szCs w:val="20"/>
              </w:rPr>
              <w:t>4</w:t>
            </w:r>
          </w:p>
        </w:tc>
        <w:tc>
          <w:tcPr>
            <w:tcW w:w="1105" w:type="dxa"/>
          </w:tcPr>
          <w:p w14:paraId="7291C03B" w14:textId="34C5DCDE" w:rsidR="00CF6C55" w:rsidRPr="00A036B2" w:rsidRDefault="00CF6C55" w:rsidP="000E1816">
            <w:pPr>
              <w:jc w:val="center"/>
              <w:rPr>
                <w:sz w:val="20"/>
                <w:szCs w:val="20"/>
              </w:rPr>
            </w:pPr>
            <w:r w:rsidRPr="00CF6C55">
              <w:rPr>
                <w:sz w:val="20"/>
                <w:szCs w:val="20"/>
              </w:rPr>
              <w:t>0.0054 (SE = 0.0073)</w:t>
            </w:r>
          </w:p>
        </w:tc>
        <w:tc>
          <w:tcPr>
            <w:tcW w:w="971" w:type="dxa"/>
          </w:tcPr>
          <w:p w14:paraId="5C887AB6" w14:textId="7B331C0A" w:rsidR="00CF6C55" w:rsidRPr="00A036B2" w:rsidRDefault="00CF6C55" w:rsidP="000E1816">
            <w:pPr>
              <w:jc w:val="center"/>
              <w:rPr>
                <w:sz w:val="20"/>
                <w:szCs w:val="20"/>
              </w:rPr>
            </w:pPr>
            <w:r w:rsidRPr="00CF6C55">
              <w:rPr>
                <w:sz w:val="20"/>
                <w:szCs w:val="20"/>
              </w:rPr>
              <w:t>66.36%</w:t>
            </w:r>
          </w:p>
        </w:tc>
        <w:tc>
          <w:tcPr>
            <w:tcW w:w="886" w:type="dxa"/>
          </w:tcPr>
          <w:p w14:paraId="7AD88BE1" w14:textId="5FCABF0E" w:rsidR="00CF6C55" w:rsidRPr="00A036B2" w:rsidRDefault="00CF6C55" w:rsidP="000E1816">
            <w:pPr>
              <w:jc w:val="center"/>
              <w:rPr>
                <w:sz w:val="20"/>
                <w:szCs w:val="20"/>
              </w:rPr>
            </w:pPr>
            <w:r w:rsidRPr="00CF6C55">
              <w:rPr>
                <w:sz w:val="20"/>
                <w:szCs w:val="20"/>
              </w:rPr>
              <w:t>2.97</w:t>
            </w:r>
          </w:p>
        </w:tc>
        <w:tc>
          <w:tcPr>
            <w:tcW w:w="1261" w:type="dxa"/>
          </w:tcPr>
          <w:p w14:paraId="607B28ED" w14:textId="7B71D7C9" w:rsidR="00CF6C55" w:rsidRPr="00A036B2" w:rsidRDefault="0097141B" w:rsidP="000E1816">
            <w:pPr>
              <w:jc w:val="center"/>
              <w:rPr>
                <w:sz w:val="20"/>
                <w:szCs w:val="20"/>
              </w:rPr>
            </w:pPr>
            <w:r w:rsidRPr="0097141B">
              <w:rPr>
                <w:sz w:val="20"/>
                <w:szCs w:val="20"/>
              </w:rPr>
              <w:t>0.025</w:t>
            </w:r>
          </w:p>
        </w:tc>
        <w:tc>
          <w:tcPr>
            <w:tcW w:w="1560" w:type="dxa"/>
          </w:tcPr>
          <w:p w14:paraId="6FDE0567" w14:textId="273168B9" w:rsidR="00CF6C55" w:rsidRPr="00A036B2" w:rsidRDefault="0097141B" w:rsidP="000E1816">
            <w:pPr>
              <w:jc w:val="center"/>
              <w:rPr>
                <w:sz w:val="20"/>
                <w:szCs w:val="20"/>
              </w:rPr>
            </w:pPr>
            <w:r>
              <w:rPr>
                <w:sz w:val="20"/>
                <w:szCs w:val="20"/>
              </w:rPr>
              <w:t>0.12 (0.047)</w:t>
            </w:r>
          </w:p>
        </w:tc>
        <w:tc>
          <w:tcPr>
            <w:tcW w:w="770" w:type="dxa"/>
          </w:tcPr>
          <w:p w14:paraId="3382438B" w14:textId="2D8B39A1" w:rsidR="00CF6C55" w:rsidRPr="00A036B2" w:rsidRDefault="0097141B" w:rsidP="000E1816">
            <w:pPr>
              <w:jc w:val="center"/>
              <w:rPr>
                <w:sz w:val="20"/>
                <w:szCs w:val="20"/>
              </w:rPr>
            </w:pPr>
            <w:r>
              <w:rPr>
                <w:sz w:val="20"/>
                <w:szCs w:val="20"/>
              </w:rPr>
              <w:t>**</w:t>
            </w:r>
          </w:p>
        </w:tc>
      </w:tr>
      <w:tr w:rsidR="002E1969" w14:paraId="7AED0EC4" w14:textId="77777777" w:rsidTr="004D3EDD">
        <w:trPr>
          <w:jc w:val="center"/>
        </w:trPr>
        <w:tc>
          <w:tcPr>
            <w:tcW w:w="1743" w:type="dxa"/>
            <w:shd w:val="clear" w:color="auto" w:fill="F2F2F2" w:themeFill="background1" w:themeFillShade="F2"/>
          </w:tcPr>
          <w:p w14:paraId="479D5D83" w14:textId="25E4B4A8" w:rsidR="002E1969" w:rsidRPr="00A036B2" w:rsidRDefault="00F64B6A" w:rsidP="000E1816">
            <w:pPr>
              <w:rPr>
                <w:b/>
                <w:sz w:val="20"/>
                <w:szCs w:val="20"/>
              </w:rPr>
            </w:pPr>
            <w:r>
              <w:rPr>
                <w:b/>
                <w:sz w:val="20"/>
                <w:szCs w:val="20"/>
              </w:rPr>
              <w:t>Drive for thinness</w:t>
            </w:r>
          </w:p>
        </w:tc>
        <w:tc>
          <w:tcPr>
            <w:tcW w:w="946" w:type="dxa"/>
          </w:tcPr>
          <w:p w14:paraId="7B194F97" w14:textId="569DF128" w:rsidR="002E1969" w:rsidRPr="00A036B2" w:rsidRDefault="00B27C02" w:rsidP="000E1816">
            <w:pPr>
              <w:jc w:val="center"/>
              <w:rPr>
                <w:sz w:val="20"/>
                <w:szCs w:val="20"/>
              </w:rPr>
            </w:pPr>
            <w:r>
              <w:rPr>
                <w:sz w:val="20"/>
                <w:szCs w:val="20"/>
              </w:rPr>
              <w:t>9</w:t>
            </w:r>
          </w:p>
        </w:tc>
        <w:tc>
          <w:tcPr>
            <w:tcW w:w="1105" w:type="dxa"/>
          </w:tcPr>
          <w:p w14:paraId="150F4E5E" w14:textId="7DDF6A50" w:rsidR="002E1969" w:rsidRPr="00A036B2" w:rsidRDefault="00B27C02" w:rsidP="000E1816">
            <w:pPr>
              <w:jc w:val="center"/>
              <w:rPr>
                <w:sz w:val="20"/>
                <w:szCs w:val="20"/>
              </w:rPr>
            </w:pPr>
            <w:r w:rsidRPr="00B27C02">
              <w:rPr>
                <w:sz w:val="20"/>
                <w:szCs w:val="20"/>
              </w:rPr>
              <w:t>0.0077 (SE = 0.0062)</w:t>
            </w:r>
          </w:p>
        </w:tc>
        <w:tc>
          <w:tcPr>
            <w:tcW w:w="971" w:type="dxa"/>
          </w:tcPr>
          <w:p w14:paraId="073E1F07" w14:textId="0D1CFE5E" w:rsidR="002E1969" w:rsidRPr="00A036B2" w:rsidRDefault="00B27C02" w:rsidP="000E1816">
            <w:pPr>
              <w:jc w:val="center"/>
              <w:rPr>
                <w:sz w:val="20"/>
                <w:szCs w:val="20"/>
              </w:rPr>
            </w:pPr>
            <w:r w:rsidRPr="00B27C02">
              <w:rPr>
                <w:sz w:val="20"/>
                <w:szCs w:val="20"/>
              </w:rPr>
              <w:t>68.62%</w:t>
            </w:r>
          </w:p>
        </w:tc>
        <w:tc>
          <w:tcPr>
            <w:tcW w:w="886" w:type="dxa"/>
          </w:tcPr>
          <w:p w14:paraId="75390FD4" w14:textId="6EE7DF1B" w:rsidR="002E1969" w:rsidRPr="00A036B2" w:rsidRDefault="00B27C02" w:rsidP="000E1816">
            <w:pPr>
              <w:jc w:val="center"/>
              <w:rPr>
                <w:sz w:val="20"/>
                <w:szCs w:val="20"/>
              </w:rPr>
            </w:pPr>
            <w:r w:rsidRPr="00B27C02">
              <w:rPr>
                <w:sz w:val="20"/>
                <w:szCs w:val="20"/>
              </w:rPr>
              <w:t>3.19</w:t>
            </w:r>
          </w:p>
        </w:tc>
        <w:tc>
          <w:tcPr>
            <w:tcW w:w="1261" w:type="dxa"/>
          </w:tcPr>
          <w:p w14:paraId="29213260" w14:textId="4193EF3A" w:rsidR="002E1969" w:rsidRPr="00A036B2" w:rsidRDefault="00B27C02" w:rsidP="000E1816">
            <w:pPr>
              <w:jc w:val="center"/>
              <w:rPr>
                <w:sz w:val="20"/>
                <w:szCs w:val="20"/>
              </w:rPr>
            </w:pPr>
            <w:r w:rsidRPr="00B27C02">
              <w:rPr>
                <w:sz w:val="20"/>
                <w:szCs w:val="20"/>
              </w:rPr>
              <w:t>0.012</w:t>
            </w:r>
          </w:p>
        </w:tc>
        <w:tc>
          <w:tcPr>
            <w:tcW w:w="1560" w:type="dxa"/>
          </w:tcPr>
          <w:p w14:paraId="7996582D" w14:textId="21AFF201" w:rsidR="002E1969" w:rsidRPr="00A036B2" w:rsidRDefault="00B27C02" w:rsidP="00B27C02">
            <w:pPr>
              <w:jc w:val="center"/>
              <w:rPr>
                <w:sz w:val="20"/>
                <w:szCs w:val="20"/>
              </w:rPr>
            </w:pPr>
            <w:r>
              <w:rPr>
                <w:sz w:val="20"/>
                <w:szCs w:val="20"/>
              </w:rPr>
              <w:t>0.16</w:t>
            </w:r>
            <w:r w:rsidR="004B5188">
              <w:rPr>
                <w:sz w:val="20"/>
                <w:szCs w:val="20"/>
              </w:rPr>
              <w:t xml:space="preserve"> (0.0</w:t>
            </w:r>
            <w:r>
              <w:rPr>
                <w:sz w:val="20"/>
                <w:szCs w:val="20"/>
              </w:rPr>
              <w:t>3</w:t>
            </w:r>
            <w:r w:rsidR="004B5188">
              <w:rPr>
                <w:sz w:val="20"/>
                <w:szCs w:val="20"/>
              </w:rPr>
              <w:t>7)</w:t>
            </w:r>
          </w:p>
        </w:tc>
        <w:tc>
          <w:tcPr>
            <w:tcW w:w="770" w:type="dxa"/>
          </w:tcPr>
          <w:p w14:paraId="17C1A53F" w14:textId="6ABD03E4" w:rsidR="002E1969" w:rsidRPr="00A036B2" w:rsidRDefault="004B5188" w:rsidP="000E1816">
            <w:pPr>
              <w:jc w:val="center"/>
              <w:rPr>
                <w:sz w:val="20"/>
                <w:szCs w:val="20"/>
              </w:rPr>
            </w:pPr>
            <w:r>
              <w:rPr>
                <w:sz w:val="20"/>
                <w:szCs w:val="20"/>
              </w:rPr>
              <w:t>***</w:t>
            </w:r>
          </w:p>
        </w:tc>
      </w:tr>
      <w:tr w:rsidR="002E1969" w14:paraId="5BF5CB66" w14:textId="77777777" w:rsidTr="004D3EDD">
        <w:trPr>
          <w:jc w:val="center"/>
        </w:trPr>
        <w:tc>
          <w:tcPr>
            <w:tcW w:w="1743" w:type="dxa"/>
            <w:shd w:val="clear" w:color="auto" w:fill="F2F2F2" w:themeFill="background1" w:themeFillShade="F2"/>
          </w:tcPr>
          <w:p w14:paraId="735C6DD6" w14:textId="51F3658D" w:rsidR="002E1969" w:rsidRPr="00A036B2" w:rsidRDefault="00F64B6A" w:rsidP="000E1816">
            <w:pPr>
              <w:rPr>
                <w:b/>
                <w:sz w:val="20"/>
                <w:szCs w:val="20"/>
              </w:rPr>
            </w:pPr>
            <w:r>
              <w:rPr>
                <w:b/>
                <w:sz w:val="20"/>
                <w:szCs w:val="20"/>
              </w:rPr>
              <w:t>Dietary restraint</w:t>
            </w:r>
          </w:p>
        </w:tc>
        <w:tc>
          <w:tcPr>
            <w:tcW w:w="946" w:type="dxa"/>
          </w:tcPr>
          <w:p w14:paraId="3BEE95AA" w14:textId="1F924BB1" w:rsidR="002E1969" w:rsidRPr="00A036B2" w:rsidRDefault="00454066" w:rsidP="000E1816">
            <w:pPr>
              <w:jc w:val="center"/>
              <w:rPr>
                <w:sz w:val="20"/>
                <w:szCs w:val="20"/>
              </w:rPr>
            </w:pPr>
            <w:r>
              <w:rPr>
                <w:sz w:val="20"/>
                <w:szCs w:val="20"/>
              </w:rPr>
              <w:t>6</w:t>
            </w:r>
          </w:p>
        </w:tc>
        <w:tc>
          <w:tcPr>
            <w:tcW w:w="1105" w:type="dxa"/>
          </w:tcPr>
          <w:p w14:paraId="4AF07C64" w14:textId="1EF33516" w:rsidR="002E1969" w:rsidRPr="00A036B2" w:rsidRDefault="009F5DC7" w:rsidP="0049395B">
            <w:pPr>
              <w:jc w:val="center"/>
              <w:rPr>
                <w:sz w:val="20"/>
                <w:szCs w:val="20"/>
              </w:rPr>
            </w:pPr>
            <w:r w:rsidRPr="009F5DC7">
              <w:rPr>
                <w:sz w:val="20"/>
                <w:szCs w:val="20"/>
              </w:rPr>
              <w:t>0.0040 (SE = 0.0044)</w:t>
            </w:r>
          </w:p>
        </w:tc>
        <w:tc>
          <w:tcPr>
            <w:tcW w:w="971" w:type="dxa"/>
          </w:tcPr>
          <w:p w14:paraId="06E0D5CF" w14:textId="4A02D3D8" w:rsidR="002E1969" w:rsidRPr="00A036B2" w:rsidRDefault="009F5DC7" w:rsidP="000E1816">
            <w:pPr>
              <w:jc w:val="center"/>
              <w:rPr>
                <w:sz w:val="20"/>
                <w:szCs w:val="20"/>
              </w:rPr>
            </w:pPr>
            <w:r w:rsidRPr="009F5DC7">
              <w:rPr>
                <w:sz w:val="20"/>
                <w:szCs w:val="20"/>
              </w:rPr>
              <w:t>54.92%</w:t>
            </w:r>
          </w:p>
        </w:tc>
        <w:tc>
          <w:tcPr>
            <w:tcW w:w="886" w:type="dxa"/>
          </w:tcPr>
          <w:p w14:paraId="7A7712A1" w14:textId="7877A021" w:rsidR="002E1969" w:rsidRPr="00A036B2" w:rsidRDefault="009F5DC7" w:rsidP="000E1816">
            <w:pPr>
              <w:jc w:val="center"/>
              <w:rPr>
                <w:sz w:val="20"/>
                <w:szCs w:val="20"/>
              </w:rPr>
            </w:pPr>
            <w:r w:rsidRPr="009F5DC7">
              <w:rPr>
                <w:sz w:val="20"/>
                <w:szCs w:val="20"/>
              </w:rPr>
              <w:t>2.22</w:t>
            </w:r>
          </w:p>
        </w:tc>
        <w:tc>
          <w:tcPr>
            <w:tcW w:w="1261" w:type="dxa"/>
          </w:tcPr>
          <w:p w14:paraId="45129FAD" w14:textId="3F39EC93" w:rsidR="002E1969" w:rsidRPr="00A036B2" w:rsidRDefault="009F5DC7" w:rsidP="000E1816">
            <w:pPr>
              <w:jc w:val="center"/>
              <w:rPr>
                <w:sz w:val="20"/>
                <w:szCs w:val="20"/>
              </w:rPr>
            </w:pPr>
            <w:r w:rsidRPr="009F5DC7">
              <w:rPr>
                <w:sz w:val="20"/>
                <w:szCs w:val="20"/>
              </w:rPr>
              <w:t>0.0375</w:t>
            </w:r>
          </w:p>
        </w:tc>
        <w:tc>
          <w:tcPr>
            <w:tcW w:w="1560" w:type="dxa"/>
          </w:tcPr>
          <w:p w14:paraId="76848CFB" w14:textId="217EF272" w:rsidR="002E1969" w:rsidRPr="00A036B2" w:rsidRDefault="009F5DC7" w:rsidP="0049395B">
            <w:pPr>
              <w:jc w:val="center"/>
              <w:rPr>
                <w:sz w:val="20"/>
                <w:szCs w:val="20"/>
              </w:rPr>
            </w:pPr>
            <w:r>
              <w:rPr>
                <w:sz w:val="20"/>
                <w:szCs w:val="20"/>
              </w:rPr>
              <w:t>0.18 (0.033)</w:t>
            </w:r>
          </w:p>
        </w:tc>
        <w:tc>
          <w:tcPr>
            <w:tcW w:w="770" w:type="dxa"/>
          </w:tcPr>
          <w:p w14:paraId="562170EB" w14:textId="1E27C2B4" w:rsidR="002E1969" w:rsidRPr="00A036B2" w:rsidRDefault="009F5DC7" w:rsidP="000E1816">
            <w:pPr>
              <w:jc w:val="center"/>
              <w:rPr>
                <w:sz w:val="20"/>
                <w:szCs w:val="20"/>
              </w:rPr>
            </w:pPr>
            <w:r>
              <w:rPr>
                <w:sz w:val="20"/>
                <w:szCs w:val="20"/>
              </w:rPr>
              <w:t>***</w:t>
            </w:r>
          </w:p>
        </w:tc>
      </w:tr>
    </w:tbl>
    <w:p w14:paraId="2F5BB712" w14:textId="77777777" w:rsidR="00EC410D" w:rsidRDefault="00EC410D" w:rsidP="002E1969">
      <w:pPr>
        <w:rPr>
          <w:b/>
        </w:rPr>
      </w:pPr>
    </w:p>
    <w:p w14:paraId="6C8B0534" w14:textId="77777777" w:rsidR="002E1969" w:rsidRDefault="006D6F15" w:rsidP="002E1969">
      <w:r>
        <w:rPr>
          <w:b/>
        </w:rPr>
        <w:t xml:space="preserve">Legend: </w:t>
      </w:r>
      <w:r w:rsidR="002E1969" w:rsidRPr="006D6F15">
        <w:rPr>
          <w:b/>
        </w:rPr>
        <w:t>tau^2:</w:t>
      </w:r>
      <w:r w:rsidR="002E1969">
        <w:t xml:space="preserve"> </w:t>
      </w:r>
      <w:r w:rsidR="002E1969" w:rsidRPr="00804C31">
        <w:t>estimated amount of total heterogeneity</w:t>
      </w:r>
      <w:r w:rsidR="002E1969">
        <w:t xml:space="preserve">; </w:t>
      </w:r>
      <w:r w:rsidR="002E1969" w:rsidRPr="006D6F15">
        <w:rPr>
          <w:b/>
        </w:rPr>
        <w:t>I^2:</w:t>
      </w:r>
      <w:r w:rsidR="002E1969" w:rsidRPr="00804C31">
        <w:t xml:space="preserve"> (total het</w:t>
      </w:r>
      <w:r w:rsidR="002E1969">
        <w:t xml:space="preserve">erogeneity / total variability); </w:t>
      </w:r>
      <w:r w:rsidR="002E1969" w:rsidRPr="006D6F15">
        <w:rPr>
          <w:b/>
        </w:rPr>
        <w:t>H^2:</w:t>
      </w:r>
      <w:r w:rsidR="002E1969" w:rsidRPr="00804C31">
        <w:t xml:space="preserve"> (total varia</w:t>
      </w:r>
      <w:r w:rsidR="002E1969">
        <w:t xml:space="preserve">bility / sampling variability); </w:t>
      </w:r>
      <w:r w:rsidR="002E1969" w:rsidRPr="006D6F15">
        <w:rPr>
          <w:b/>
        </w:rPr>
        <w:t>Q-test:</w:t>
      </w:r>
      <w:r w:rsidR="002E1969">
        <w:t xml:space="preserve"> </w:t>
      </w:r>
      <w:r w:rsidR="002E1969" w:rsidRPr="00804C31">
        <w:t>Test for Heterogeneity</w:t>
      </w:r>
      <w:r w:rsidR="002E1969">
        <w:t xml:space="preserve">; meta-analysis was done using random-effects model using REML. </w:t>
      </w:r>
      <w:r w:rsidR="002E1969" w:rsidRPr="006D6F15">
        <w:rPr>
          <w:b/>
        </w:rPr>
        <w:t>REML:</w:t>
      </w:r>
      <w:r w:rsidR="002E1969">
        <w:t xml:space="preserve"> Restricted maximum-likelihood estimator</w:t>
      </w:r>
    </w:p>
    <w:p w14:paraId="510A462A" w14:textId="56ED4E1E" w:rsidR="00B27C02" w:rsidRDefault="00CB212E" w:rsidP="00B27C02">
      <w:pPr>
        <w:pStyle w:val="Heading2"/>
      </w:pPr>
      <w:r>
        <w:br w:type="page"/>
      </w:r>
      <w:bookmarkStart w:id="5" w:name="_Toc65760833"/>
      <w:r w:rsidR="003D3464">
        <w:t>TABLE S4</w:t>
      </w:r>
      <w:r w:rsidR="00B27C02">
        <w:t xml:space="preserve"> – Heterogeneity and model estimate measures for different domains without exclusion of influential cases</w:t>
      </w:r>
      <w:bookmarkEnd w:id="5"/>
    </w:p>
    <w:tbl>
      <w:tblPr>
        <w:tblStyle w:val="TableGrid"/>
        <w:tblW w:w="9242" w:type="dxa"/>
        <w:jc w:val="center"/>
        <w:tblLayout w:type="fixed"/>
        <w:tblLook w:val="04A0" w:firstRow="1" w:lastRow="0" w:firstColumn="1" w:lastColumn="0" w:noHBand="0" w:noVBand="1"/>
      </w:tblPr>
      <w:tblGrid>
        <w:gridCol w:w="1743"/>
        <w:gridCol w:w="946"/>
        <w:gridCol w:w="1105"/>
        <w:gridCol w:w="971"/>
        <w:gridCol w:w="886"/>
        <w:gridCol w:w="1261"/>
        <w:gridCol w:w="1560"/>
        <w:gridCol w:w="770"/>
      </w:tblGrid>
      <w:tr w:rsidR="00B27C02" w14:paraId="5B35986C" w14:textId="77777777" w:rsidTr="006244B4">
        <w:trPr>
          <w:jc w:val="center"/>
        </w:trPr>
        <w:tc>
          <w:tcPr>
            <w:tcW w:w="1743" w:type="dxa"/>
            <w:shd w:val="clear" w:color="auto" w:fill="E7E6E6" w:themeFill="background2"/>
          </w:tcPr>
          <w:p w14:paraId="12329F2A" w14:textId="77777777" w:rsidR="00B27C02" w:rsidRPr="00A036B2" w:rsidRDefault="00B27C02" w:rsidP="006244B4">
            <w:pPr>
              <w:spacing w:line="240" w:lineRule="auto"/>
              <w:rPr>
                <w:b/>
                <w:sz w:val="20"/>
                <w:szCs w:val="20"/>
              </w:rPr>
            </w:pPr>
            <w:r w:rsidRPr="00A036B2">
              <w:rPr>
                <w:b/>
                <w:sz w:val="20"/>
                <w:szCs w:val="20"/>
              </w:rPr>
              <w:t>Domain</w:t>
            </w:r>
          </w:p>
        </w:tc>
        <w:tc>
          <w:tcPr>
            <w:tcW w:w="946" w:type="dxa"/>
            <w:shd w:val="clear" w:color="auto" w:fill="E7E6E6" w:themeFill="background2"/>
          </w:tcPr>
          <w:p w14:paraId="3B10C2EF" w14:textId="77777777" w:rsidR="00B27C02" w:rsidRPr="00A036B2" w:rsidRDefault="00B27C02" w:rsidP="006244B4">
            <w:pPr>
              <w:spacing w:line="240" w:lineRule="auto"/>
              <w:jc w:val="center"/>
              <w:rPr>
                <w:b/>
                <w:sz w:val="20"/>
                <w:szCs w:val="20"/>
              </w:rPr>
            </w:pPr>
            <w:r w:rsidRPr="00A036B2">
              <w:rPr>
                <w:b/>
                <w:sz w:val="20"/>
                <w:szCs w:val="20"/>
              </w:rPr>
              <w:t>N studies</w:t>
            </w:r>
          </w:p>
        </w:tc>
        <w:tc>
          <w:tcPr>
            <w:tcW w:w="1105" w:type="dxa"/>
            <w:shd w:val="clear" w:color="auto" w:fill="E7E6E6" w:themeFill="background2"/>
          </w:tcPr>
          <w:p w14:paraId="0D1318E7" w14:textId="77777777" w:rsidR="00B27C02" w:rsidRPr="00A036B2" w:rsidRDefault="00B27C02" w:rsidP="006244B4">
            <w:pPr>
              <w:spacing w:line="240" w:lineRule="auto"/>
              <w:jc w:val="center"/>
              <w:rPr>
                <w:b/>
                <w:sz w:val="20"/>
                <w:szCs w:val="20"/>
              </w:rPr>
            </w:pPr>
            <w:r w:rsidRPr="00A036B2">
              <w:rPr>
                <w:b/>
                <w:sz w:val="20"/>
                <w:szCs w:val="20"/>
              </w:rPr>
              <w:t>tau^2 (se)</w:t>
            </w:r>
          </w:p>
        </w:tc>
        <w:tc>
          <w:tcPr>
            <w:tcW w:w="971" w:type="dxa"/>
            <w:shd w:val="clear" w:color="auto" w:fill="E7E6E6" w:themeFill="background2"/>
          </w:tcPr>
          <w:p w14:paraId="30AF13BC" w14:textId="77777777" w:rsidR="00B27C02" w:rsidRPr="00A036B2" w:rsidRDefault="00B27C02" w:rsidP="006244B4">
            <w:pPr>
              <w:spacing w:line="240" w:lineRule="auto"/>
              <w:jc w:val="center"/>
              <w:rPr>
                <w:b/>
                <w:sz w:val="20"/>
                <w:szCs w:val="20"/>
              </w:rPr>
            </w:pPr>
            <w:r w:rsidRPr="00A036B2">
              <w:rPr>
                <w:b/>
                <w:sz w:val="20"/>
                <w:szCs w:val="20"/>
              </w:rPr>
              <w:t>I^2</w:t>
            </w:r>
          </w:p>
        </w:tc>
        <w:tc>
          <w:tcPr>
            <w:tcW w:w="886" w:type="dxa"/>
            <w:shd w:val="clear" w:color="auto" w:fill="E7E6E6" w:themeFill="background2"/>
          </w:tcPr>
          <w:p w14:paraId="4794E784" w14:textId="77777777" w:rsidR="00B27C02" w:rsidRPr="00A036B2" w:rsidRDefault="00B27C02" w:rsidP="006244B4">
            <w:pPr>
              <w:spacing w:line="240" w:lineRule="auto"/>
              <w:jc w:val="center"/>
              <w:rPr>
                <w:b/>
                <w:sz w:val="20"/>
                <w:szCs w:val="20"/>
              </w:rPr>
            </w:pPr>
            <w:r w:rsidRPr="00A036B2">
              <w:rPr>
                <w:b/>
                <w:sz w:val="20"/>
                <w:szCs w:val="20"/>
              </w:rPr>
              <w:t>H^2</w:t>
            </w:r>
          </w:p>
        </w:tc>
        <w:tc>
          <w:tcPr>
            <w:tcW w:w="1261" w:type="dxa"/>
            <w:shd w:val="clear" w:color="auto" w:fill="E7E6E6" w:themeFill="background2"/>
          </w:tcPr>
          <w:p w14:paraId="36829316" w14:textId="77777777" w:rsidR="00B27C02" w:rsidRPr="00A036B2" w:rsidRDefault="00B27C02" w:rsidP="006244B4">
            <w:pPr>
              <w:spacing w:line="240" w:lineRule="auto"/>
              <w:jc w:val="center"/>
              <w:rPr>
                <w:b/>
                <w:sz w:val="20"/>
                <w:szCs w:val="20"/>
              </w:rPr>
            </w:pPr>
            <w:r w:rsidRPr="00A036B2">
              <w:rPr>
                <w:b/>
                <w:sz w:val="20"/>
                <w:szCs w:val="20"/>
              </w:rPr>
              <w:t xml:space="preserve">Q-test </w:t>
            </w:r>
          </w:p>
          <w:p w14:paraId="4A518E8E" w14:textId="77777777" w:rsidR="00B27C02" w:rsidRPr="00A036B2" w:rsidRDefault="00B27C02" w:rsidP="006244B4">
            <w:pPr>
              <w:spacing w:line="240" w:lineRule="auto"/>
              <w:jc w:val="center"/>
              <w:rPr>
                <w:b/>
                <w:sz w:val="20"/>
                <w:szCs w:val="20"/>
              </w:rPr>
            </w:pPr>
            <w:r w:rsidRPr="00A036B2">
              <w:rPr>
                <w:b/>
                <w:sz w:val="20"/>
                <w:szCs w:val="20"/>
              </w:rPr>
              <w:t>(p value)</w:t>
            </w:r>
            <w:r w:rsidRPr="00A036B2">
              <w:rPr>
                <w:rFonts w:cstheme="minorHAnsi"/>
                <w:sz w:val="20"/>
                <w:szCs w:val="20"/>
              </w:rPr>
              <w:t xml:space="preserve"> †</w:t>
            </w:r>
          </w:p>
        </w:tc>
        <w:tc>
          <w:tcPr>
            <w:tcW w:w="1560" w:type="dxa"/>
            <w:shd w:val="clear" w:color="auto" w:fill="E7E6E6" w:themeFill="background2"/>
          </w:tcPr>
          <w:p w14:paraId="35D6B614" w14:textId="77777777" w:rsidR="00B27C02" w:rsidRPr="00A036B2" w:rsidRDefault="00B27C02" w:rsidP="006244B4">
            <w:pPr>
              <w:spacing w:line="240" w:lineRule="auto"/>
              <w:jc w:val="center"/>
              <w:rPr>
                <w:b/>
                <w:sz w:val="20"/>
                <w:szCs w:val="20"/>
              </w:rPr>
            </w:pPr>
            <w:r w:rsidRPr="00A036B2">
              <w:rPr>
                <w:b/>
                <w:sz w:val="20"/>
                <w:szCs w:val="20"/>
              </w:rPr>
              <w:t>Model Estimate (se)</w:t>
            </w:r>
          </w:p>
        </w:tc>
        <w:tc>
          <w:tcPr>
            <w:tcW w:w="770" w:type="dxa"/>
            <w:shd w:val="clear" w:color="auto" w:fill="E7E6E6" w:themeFill="background2"/>
          </w:tcPr>
          <w:p w14:paraId="0913E49A" w14:textId="77777777" w:rsidR="00B27C02" w:rsidRPr="00A036B2" w:rsidRDefault="00B27C02" w:rsidP="006244B4">
            <w:pPr>
              <w:spacing w:line="240" w:lineRule="auto"/>
              <w:jc w:val="center"/>
              <w:rPr>
                <w:b/>
                <w:sz w:val="20"/>
                <w:szCs w:val="20"/>
              </w:rPr>
            </w:pPr>
            <w:r w:rsidRPr="00A036B2">
              <w:rPr>
                <w:b/>
                <w:sz w:val="20"/>
                <w:szCs w:val="20"/>
              </w:rPr>
              <w:t>sig.</w:t>
            </w:r>
          </w:p>
        </w:tc>
      </w:tr>
      <w:tr w:rsidR="00B27C02" w14:paraId="2A25CF49" w14:textId="77777777" w:rsidTr="006244B4">
        <w:trPr>
          <w:jc w:val="center"/>
        </w:trPr>
        <w:tc>
          <w:tcPr>
            <w:tcW w:w="1743" w:type="dxa"/>
            <w:shd w:val="clear" w:color="auto" w:fill="F2F2F2" w:themeFill="background1" w:themeFillShade="F2"/>
          </w:tcPr>
          <w:p w14:paraId="32255515" w14:textId="77777777" w:rsidR="00B27C02" w:rsidRPr="00A036B2" w:rsidRDefault="00B27C02" w:rsidP="006244B4">
            <w:pPr>
              <w:rPr>
                <w:b/>
                <w:sz w:val="20"/>
                <w:szCs w:val="20"/>
              </w:rPr>
            </w:pPr>
            <w:r>
              <w:rPr>
                <w:b/>
                <w:sz w:val="20"/>
                <w:szCs w:val="20"/>
              </w:rPr>
              <w:t>At-risk eating disorders</w:t>
            </w:r>
          </w:p>
        </w:tc>
        <w:tc>
          <w:tcPr>
            <w:tcW w:w="946" w:type="dxa"/>
          </w:tcPr>
          <w:p w14:paraId="5D3DC50B" w14:textId="0A7800C9" w:rsidR="00B27C02" w:rsidRPr="00B27C02" w:rsidRDefault="00454066" w:rsidP="006244B4">
            <w:pPr>
              <w:jc w:val="center"/>
              <w:rPr>
                <w:sz w:val="20"/>
                <w:szCs w:val="20"/>
                <w:highlight w:val="yellow"/>
              </w:rPr>
            </w:pPr>
            <w:r w:rsidRPr="00454066">
              <w:rPr>
                <w:sz w:val="20"/>
                <w:szCs w:val="20"/>
              </w:rPr>
              <w:t>17</w:t>
            </w:r>
          </w:p>
        </w:tc>
        <w:tc>
          <w:tcPr>
            <w:tcW w:w="1105" w:type="dxa"/>
          </w:tcPr>
          <w:p w14:paraId="25BD1C9A" w14:textId="4245CE49" w:rsidR="00B27C02" w:rsidRPr="00B27C02" w:rsidRDefault="00454066" w:rsidP="006244B4">
            <w:pPr>
              <w:jc w:val="center"/>
              <w:rPr>
                <w:sz w:val="20"/>
                <w:szCs w:val="20"/>
                <w:highlight w:val="yellow"/>
              </w:rPr>
            </w:pPr>
            <w:r w:rsidRPr="00454066">
              <w:rPr>
                <w:sz w:val="20"/>
                <w:szCs w:val="20"/>
              </w:rPr>
              <w:t>0.0558 (SE = 0.0202)</w:t>
            </w:r>
          </w:p>
        </w:tc>
        <w:tc>
          <w:tcPr>
            <w:tcW w:w="971" w:type="dxa"/>
          </w:tcPr>
          <w:p w14:paraId="62FEFF1C" w14:textId="56EA6FD7" w:rsidR="00B27C02" w:rsidRPr="00B27C02" w:rsidRDefault="00454066" w:rsidP="006244B4">
            <w:pPr>
              <w:jc w:val="center"/>
              <w:rPr>
                <w:sz w:val="20"/>
                <w:szCs w:val="20"/>
                <w:highlight w:val="yellow"/>
              </w:rPr>
            </w:pPr>
            <w:r w:rsidRPr="00454066">
              <w:rPr>
                <w:sz w:val="20"/>
                <w:szCs w:val="20"/>
              </w:rPr>
              <w:t>97.50%</w:t>
            </w:r>
          </w:p>
        </w:tc>
        <w:tc>
          <w:tcPr>
            <w:tcW w:w="886" w:type="dxa"/>
          </w:tcPr>
          <w:p w14:paraId="6B8DB3BB" w14:textId="2E414488" w:rsidR="00B27C02" w:rsidRPr="00B27C02" w:rsidRDefault="00454066" w:rsidP="006244B4">
            <w:pPr>
              <w:jc w:val="center"/>
              <w:rPr>
                <w:sz w:val="20"/>
                <w:szCs w:val="20"/>
                <w:highlight w:val="yellow"/>
              </w:rPr>
            </w:pPr>
            <w:r w:rsidRPr="00454066">
              <w:rPr>
                <w:sz w:val="20"/>
                <w:szCs w:val="20"/>
              </w:rPr>
              <w:t>40.04</w:t>
            </w:r>
          </w:p>
        </w:tc>
        <w:tc>
          <w:tcPr>
            <w:tcW w:w="1261" w:type="dxa"/>
          </w:tcPr>
          <w:p w14:paraId="3634EF9D" w14:textId="6BA9BE76" w:rsidR="00B27C02" w:rsidRPr="00B27C02" w:rsidRDefault="00454066" w:rsidP="006244B4">
            <w:pPr>
              <w:jc w:val="center"/>
              <w:rPr>
                <w:sz w:val="20"/>
                <w:szCs w:val="20"/>
                <w:highlight w:val="yellow"/>
              </w:rPr>
            </w:pPr>
            <w:r w:rsidRPr="00BF2FF1">
              <w:rPr>
                <w:sz w:val="20"/>
                <w:szCs w:val="20"/>
              </w:rPr>
              <w:t>&lt; .0001</w:t>
            </w:r>
          </w:p>
        </w:tc>
        <w:tc>
          <w:tcPr>
            <w:tcW w:w="1560" w:type="dxa"/>
          </w:tcPr>
          <w:p w14:paraId="27D93C6B" w14:textId="003A3EEC" w:rsidR="00B27C02" w:rsidRPr="00B27C02" w:rsidRDefault="00454066" w:rsidP="006244B4">
            <w:pPr>
              <w:jc w:val="center"/>
              <w:rPr>
                <w:sz w:val="20"/>
                <w:szCs w:val="20"/>
                <w:highlight w:val="yellow"/>
              </w:rPr>
            </w:pPr>
            <w:r w:rsidRPr="00454066">
              <w:rPr>
                <w:sz w:val="20"/>
                <w:szCs w:val="20"/>
              </w:rPr>
              <w:t>0.26</w:t>
            </w:r>
            <w:r>
              <w:rPr>
                <w:sz w:val="20"/>
                <w:szCs w:val="20"/>
              </w:rPr>
              <w:t xml:space="preserve"> (0.05)</w:t>
            </w:r>
          </w:p>
        </w:tc>
        <w:tc>
          <w:tcPr>
            <w:tcW w:w="770" w:type="dxa"/>
          </w:tcPr>
          <w:p w14:paraId="53EF9B4E" w14:textId="77777777" w:rsidR="00B27C02" w:rsidRPr="00A036B2" w:rsidRDefault="00B27C02" w:rsidP="006244B4">
            <w:pPr>
              <w:jc w:val="center"/>
              <w:rPr>
                <w:sz w:val="20"/>
                <w:szCs w:val="20"/>
              </w:rPr>
            </w:pPr>
            <w:r>
              <w:rPr>
                <w:sz w:val="20"/>
                <w:szCs w:val="20"/>
              </w:rPr>
              <w:t>*</w:t>
            </w:r>
            <w:r w:rsidRPr="00A036B2">
              <w:rPr>
                <w:sz w:val="20"/>
                <w:szCs w:val="20"/>
              </w:rPr>
              <w:t>**</w:t>
            </w:r>
          </w:p>
        </w:tc>
      </w:tr>
      <w:tr w:rsidR="00B27C02" w14:paraId="79E5A8E4" w14:textId="77777777" w:rsidTr="006244B4">
        <w:trPr>
          <w:jc w:val="center"/>
        </w:trPr>
        <w:tc>
          <w:tcPr>
            <w:tcW w:w="1743" w:type="dxa"/>
            <w:shd w:val="clear" w:color="auto" w:fill="F2F2F2" w:themeFill="background1" w:themeFillShade="F2"/>
          </w:tcPr>
          <w:p w14:paraId="078DF618" w14:textId="77777777" w:rsidR="00B27C02" w:rsidRPr="00A036B2" w:rsidRDefault="00B27C02" w:rsidP="006244B4">
            <w:pPr>
              <w:rPr>
                <w:b/>
                <w:sz w:val="20"/>
                <w:szCs w:val="20"/>
              </w:rPr>
            </w:pPr>
            <w:r>
              <w:rPr>
                <w:b/>
                <w:sz w:val="20"/>
                <w:szCs w:val="20"/>
              </w:rPr>
              <w:t>Body dissatisfaction (mixed)</w:t>
            </w:r>
          </w:p>
        </w:tc>
        <w:tc>
          <w:tcPr>
            <w:tcW w:w="946" w:type="dxa"/>
          </w:tcPr>
          <w:p w14:paraId="6C26B0A3" w14:textId="77777777" w:rsidR="00B27C02" w:rsidRPr="00A036B2" w:rsidRDefault="00B27C02" w:rsidP="006244B4">
            <w:pPr>
              <w:jc w:val="center"/>
              <w:rPr>
                <w:sz w:val="20"/>
                <w:szCs w:val="20"/>
              </w:rPr>
            </w:pPr>
            <w:r>
              <w:rPr>
                <w:sz w:val="20"/>
                <w:szCs w:val="20"/>
              </w:rPr>
              <w:t>24</w:t>
            </w:r>
          </w:p>
        </w:tc>
        <w:tc>
          <w:tcPr>
            <w:tcW w:w="1105" w:type="dxa"/>
          </w:tcPr>
          <w:p w14:paraId="235346B7" w14:textId="77777777" w:rsidR="00B27C02" w:rsidRPr="00A036B2" w:rsidRDefault="00B27C02" w:rsidP="006244B4">
            <w:pPr>
              <w:jc w:val="center"/>
              <w:rPr>
                <w:sz w:val="20"/>
                <w:szCs w:val="20"/>
              </w:rPr>
            </w:pPr>
            <w:r w:rsidRPr="00BF2FF1">
              <w:rPr>
                <w:sz w:val="20"/>
                <w:szCs w:val="20"/>
              </w:rPr>
              <w:t>0.0075 (SE = 0.0030)</w:t>
            </w:r>
          </w:p>
        </w:tc>
        <w:tc>
          <w:tcPr>
            <w:tcW w:w="971" w:type="dxa"/>
          </w:tcPr>
          <w:p w14:paraId="4CCCAABA" w14:textId="77777777" w:rsidR="00B27C02" w:rsidRPr="00A036B2" w:rsidRDefault="00B27C02" w:rsidP="006244B4">
            <w:pPr>
              <w:jc w:val="center"/>
              <w:rPr>
                <w:sz w:val="20"/>
                <w:szCs w:val="20"/>
              </w:rPr>
            </w:pPr>
            <w:r w:rsidRPr="00BF2FF1">
              <w:rPr>
                <w:sz w:val="20"/>
                <w:szCs w:val="20"/>
              </w:rPr>
              <w:t>82.14%</w:t>
            </w:r>
          </w:p>
        </w:tc>
        <w:tc>
          <w:tcPr>
            <w:tcW w:w="886" w:type="dxa"/>
          </w:tcPr>
          <w:p w14:paraId="62BE9003" w14:textId="77777777" w:rsidR="00B27C02" w:rsidRPr="00A036B2" w:rsidRDefault="00B27C02" w:rsidP="006244B4">
            <w:pPr>
              <w:jc w:val="center"/>
              <w:rPr>
                <w:sz w:val="20"/>
                <w:szCs w:val="20"/>
              </w:rPr>
            </w:pPr>
            <w:r w:rsidRPr="00BF2FF1">
              <w:rPr>
                <w:sz w:val="20"/>
                <w:szCs w:val="20"/>
              </w:rPr>
              <w:t>5.60</w:t>
            </w:r>
          </w:p>
        </w:tc>
        <w:tc>
          <w:tcPr>
            <w:tcW w:w="1261" w:type="dxa"/>
          </w:tcPr>
          <w:p w14:paraId="43A7B940" w14:textId="77777777" w:rsidR="00B27C02" w:rsidRPr="00A036B2" w:rsidRDefault="00B27C02" w:rsidP="006244B4">
            <w:pPr>
              <w:jc w:val="center"/>
              <w:rPr>
                <w:sz w:val="20"/>
                <w:szCs w:val="20"/>
              </w:rPr>
            </w:pPr>
            <w:r w:rsidRPr="00BF2FF1">
              <w:rPr>
                <w:sz w:val="20"/>
                <w:szCs w:val="20"/>
              </w:rPr>
              <w:t>&lt; .0001</w:t>
            </w:r>
          </w:p>
        </w:tc>
        <w:tc>
          <w:tcPr>
            <w:tcW w:w="1560" w:type="dxa"/>
          </w:tcPr>
          <w:p w14:paraId="147AB740" w14:textId="77777777" w:rsidR="00B27C02" w:rsidRPr="00A036B2" w:rsidRDefault="00B27C02" w:rsidP="006244B4">
            <w:pPr>
              <w:jc w:val="center"/>
              <w:rPr>
                <w:sz w:val="20"/>
                <w:szCs w:val="20"/>
              </w:rPr>
            </w:pPr>
            <w:r>
              <w:rPr>
                <w:sz w:val="20"/>
                <w:szCs w:val="20"/>
              </w:rPr>
              <w:t>0.16 (0.02)</w:t>
            </w:r>
          </w:p>
        </w:tc>
        <w:tc>
          <w:tcPr>
            <w:tcW w:w="770" w:type="dxa"/>
          </w:tcPr>
          <w:p w14:paraId="42D4D469" w14:textId="77777777" w:rsidR="00B27C02" w:rsidRPr="00A036B2" w:rsidRDefault="00B27C02" w:rsidP="006244B4">
            <w:pPr>
              <w:jc w:val="center"/>
              <w:rPr>
                <w:sz w:val="20"/>
                <w:szCs w:val="20"/>
              </w:rPr>
            </w:pPr>
            <w:r>
              <w:rPr>
                <w:sz w:val="20"/>
                <w:szCs w:val="20"/>
              </w:rPr>
              <w:t>***</w:t>
            </w:r>
          </w:p>
        </w:tc>
      </w:tr>
      <w:tr w:rsidR="00B27C02" w14:paraId="66C8D49C" w14:textId="77777777" w:rsidTr="006244B4">
        <w:trPr>
          <w:jc w:val="center"/>
        </w:trPr>
        <w:tc>
          <w:tcPr>
            <w:tcW w:w="1743" w:type="dxa"/>
            <w:shd w:val="clear" w:color="auto" w:fill="F2F2F2" w:themeFill="background1" w:themeFillShade="F2"/>
          </w:tcPr>
          <w:p w14:paraId="7A8D307B" w14:textId="77777777" w:rsidR="00B27C02" w:rsidRDefault="00B27C02" w:rsidP="006244B4">
            <w:pPr>
              <w:rPr>
                <w:b/>
                <w:sz w:val="20"/>
                <w:szCs w:val="20"/>
              </w:rPr>
            </w:pPr>
            <w:r>
              <w:rPr>
                <w:b/>
                <w:sz w:val="20"/>
                <w:szCs w:val="20"/>
              </w:rPr>
              <w:t>Body dissatisfaction (males only)</w:t>
            </w:r>
          </w:p>
        </w:tc>
        <w:tc>
          <w:tcPr>
            <w:tcW w:w="946" w:type="dxa"/>
          </w:tcPr>
          <w:p w14:paraId="1589D00E" w14:textId="77777777" w:rsidR="00B27C02" w:rsidRPr="00A036B2" w:rsidRDefault="00B27C02" w:rsidP="006244B4">
            <w:pPr>
              <w:jc w:val="center"/>
              <w:rPr>
                <w:sz w:val="20"/>
                <w:szCs w:val="20"/>
              </w:rPr>
            </w:pPr>
            <w:r>
              <w:rPr>
                <w:sz w:val="20"/>
                <w:szCs w:val="20"/>
              </w:rPr>
              <w:t>4</w:t>
            </w:r>
          </w:p>
        </w:tc>
        <w:tc>
          <w:tcPr>
            <w:tcW w:w="1105" w:type="dxa"/>
          </w:tcPr>
          <w:p w14:paraId="62FF55D1" w14:textId="77777777" w:rsidR="00B27C02" w:rsidRPr="00A036B2" w:rsidRDefault="00B27C02" w:rsidP="006244B4">
            <w:pPr>
              <w:jc w:val="center"/>
              <w:rPr>
                <w:sz w:val="20"/>
                <w:szCs w:val="20"/>
              </w:rPr>
            </w:pPr>
            <w:r w:rsidRPr="00CF6C55">
              <w:rPr>
                <w:sz w:val="20"/>
                <w:szCs w:val="20"/>
              </w:rPr>
              <w:t>0.0054 (SE = 0.0073)</w:t>
            </w:r>
          </w:p>
        </w:tc>
        <w:tc>
          <w:tcPr>
            <w:tcW w:w="971" w:type="dxa"/>
          </w:tcPr>
          <w:p w14:paraId="788C1D9F" w14:textId="77777777" w:rsidR="00B27C02" w:rsidRPr="00A036B2" w:rsidRDefault="00B27C02" w:rsidP="006244B4">
            <w:pPr>
              <w:jc w:val="center"/>
              <w:rPr>
                <w:sz w:val="20"/>
                <w:szCs w:val="20"/>
              </w:rPr>
            </w:pPr>
            <w:r w:rsidRPr="00CF6C55">
              <w:rPr>
                <w:sz w:val="20"/>
                <w:szCs w:val="20"/>
              </w:rPr>
              <w:t>66.36%</w:t>
            </w:r>
          </w:p>
        </w:tc>
        <w:tc>
          <w:tcPr>
            <w:tcW w:w="886" w:type="dxa"/>
          </w:tcPr>
          <w:p w14:paraId="32594FC7" w14:textId="77777777" w:rsidR="00B27C02" w:rsidRPr="00A036B2" w:rsidRDefault="00B27C02" w:rsidP="006244B4">
            <w:pPr>
              <w:jc w:val="center"/>
              <w:rPr>
                <w:sz w:val="20"/>
                <w:szCs w:val="20"/>
              </w:rPr>
            </w:pPr>
            <w:r w:rsidRPr="00CF6C55">
              <w:rPr>
                <w:sz w:val="20"/>
                <w:szCs w:val="20"/>
              </w:rPr>
              <w:t>2.97</w:t>
            </w:r>
          </w:p>
        </w:tc>
        <w:tc>
          <w:tcPr>
            <w:tcW w:w="1261" w:type="dxa"/>
          </w:tcPr>
          <w:p w14:paraId="2756583E" w14:textId="77777777" w:rsidR="00B27C02" w:rsidRPr="00A036B2" w:rsidRDefault="00B27C02" w:rsidP="006244B4">
            <w:pPr>
              <w:jc w:val="center"/>
              <w:rPr>
                <w:sz w:val="20"/>
                <w:szCs w:val="20"/>
              </w:rPr>
            </w:pPr>
            <w:r w:rsidRPr="0097141B">
              <w:rPr>
                <w:sz w:val="20"/>
                <w:szCs w:val="20"/>
              </w:rPr>
              <w:t>0.025</w:t>
            </w:r>
          </w:p>
        </w:tc>
        <w:tc>
          <w:tcPr>
            <w:tcW w:w="1560" w:type="dxa"/>
          </w:tcPr>
          <w:p w14:paraId="3683F8EC" w14:textId="77777777" w:rsidR="00B27C02" w:rsidRPr="00A036B2" w:rsidRDefault="00B27C02" w:rsidP="006244B4">
            <w:pPr>
              <w:jc w:val="center"/>
              <w:rPr>
                <w:sz w:val="20"/>
                <w:szCs w:val="20"/>
              </w:rPr>
            </w:pPr>
            <w:r>
              <w:rPr>
                <w:sz w:val="20"/>
                <w:szCs w:val="20"/>
              </w:rPr>
              <w:t>0.12 (0.047)</w:t>
            </w:r>
          </w:p>
        </w:tc>
        <w:tc>
          <w:tcPr>
            <w:tcW w:w="770" w:type="dxa"/>
          </w:tcPr>
          <w:p w14:paraId="7FF14AA0" w14:textId="77777777" w:rsidR="00B27C02" w:rsidRPr="00A036B2" w:rsidRDefault="00B27C02" w:rsidP="006244B4">
            <w:pPr>
              <w:jc w:val="center"/>
              <w:rPr>
                <w:sz w:val="20"/>
                <w:szCs w:val="20"/>
              </w:rPr>
            </w:pPr>
            <w:r>
              <w:rPr>
                <w:sz w:val="20"/>
                <w:szCs w:val="20"/>
              </w:rPr>
              <w:t>**</w:t>
            </w:r>
          </w:p>
        </w:tc>
      </w:tr>
      <w:tr w:rsidR="00B27C02" w14:paraId="6D379EFF" w14:textId="77777777" w:rsidTr="006244B4">
        <w:trPr>
          <w:jc w:val="center"/>
        </w:trPr>
        <w:tc>
          <w:tcPr>
            <w:tcW w:w="1743" w:type="dxa"/>
            <w:shd w:val="clear" w:color="auto" w:fill="F2F2F2" w:themeFill="background1" w:themeFillShade="F2"/>
          </w:tcPr>
          <w:p w14:paraId="41914182" w14:textId="77777777" w:rsidR="00B27C02" w:rsidRPr="00A036B2" w:rsidRDefault="00B27C02" w:rsidP="006244B4">
            <w:pPr>
              <w:rPr>
                <w:b/>
                <w:sz w:val="20"/>
                <w:szCs w:val="20"/>
              </w:rPr>
            </w:pPr>
            <w:r>
              <w:rPr>
                <w:b/>
                <w:sz w:val="20"/>
                <w:szCs w:val="20"/>
              </w:rPr>
              <w:t>Drive for thinness</w:t>
            </w:r>
          </w:p>
        </w:tc>
        <w:tc>
          <w:tcPr>
            <w:tcW w:w="946" w:type="dxa"/>
          </w:tcPr>
          <w:p w14:paraId="7C8AF416" w14:textId="77777777" w:rsidR="00B27C02" w:rsidRPr="00A036B2" w:rsidRDefault="00B27C02" w:rsidP="006244B4">
            <w:pPr>
              <w:jc w:val="center"/>
              <w:rPr>
                <w:sz w:val="20"/>
                <w:szCs w:val="20"/>
              </w:rPr>
            </w:pPr>
            <w:r>
              <w:rPr>
                <w:sz w:val="20"/>
                <w:szCs w:val="20"/>
              </w:rPr>
              <w:t>10</w:t>
            </w:r>
          </w:p>
        </w:tc>
        <w:tc>
          <w:tcPr>
            <w:tcW w:w="1105" w:type="dxa"/>
          </w:tcPr>
          <w:p w14:paraId="79C2E45A" w14:textId="77777777" w:rsidR="00B27C02" w:rsidRPr="00A036B2" w:rsidRDefault="00B27C02" w:rsidP="006244B4">
            <w:pPr>
              <w:jc w:val="center"/>
              <w:rPr>
                <w:sz w:val="20"/>
                <w:szCs w:val="20"/>
              </w:rPr>
            </w:pPr>
            <w:r w:rsidRPr="004B5188">
              <w:rPr>
                <w:sz w:val="20"/>
                <w:szCs w:val="20"/>
              </w:rPr>
              <w:t>0.0275 (SE = 0.0153)</w:t>
            </w:r>
          </w:p>
        </w:tc>
        <w:tc>
          <w:tcPr>
            <w:tcW w:w="971" w:type="dxa"/>
          </w:tcPr>
          <w:p w14:paraId="44BF5458" w14:textId="77777777" w:rsidR="00B27C02" w:rsidRPr="00A036B2" w:rsidRDefault="00B27C02" w:rsidP="006244B4">
            <w:pPr>
              <w:jc w:val="center"/>
              <w:rPr>
                <w:sz w:val="20"/>
                <w:szCs w:val="20"/>
              </w:rPr>
            </w:pPr>
            <w:r w:rsidRPr="004B5188">
              <w:rPr>
                <w:sz w:val="20"/>
                <w:szCs w:val="20"/>
              </w:rPr>
              <w:t>89.56%</w:t>
            </w:r>
          </w:p>
        </w:tc>
        <w:tc>
          <w:tcPr>
            <w:tcW w:w="886" w:type="dxa"/>
          </w:tcPr>
          <w:p w14:paraId="7B139359" w14:textId="77777777" w:rsidR="00B27C02" w:rsidRPr="00A036B2" w:rsidRDefault="00B27C02" w:rsidP="006244B4">
            <w:pPr>
              <w:jc w:val="center"/>
              <w:rPr>
                <w:sz w:val="20"/>
                <w:szCs w:val="20"/>
              </w:rPr>
            </w:pPr>
            <w:r w:rsidRPr="004B5188">
              <w:rPr>
                <w:sz w:val="20"/>
                <w:szCs w:val="20"/>
              </w:rPr>
              <w:t>9.58</w:t>
            </w:r>
          </w:p>
        </w:tc>
        <w:tc>
          <w:tcPr>
            <w:tcW w:w="1261" w:type="dxa"/>
          </w:tcPr>
          <w:p w14:paraId="3908C64D" w14:textId="77777777" w:rsidR="00B27C02" w:rsidRPr="00A036B2" w:rsidRDefault="00B27C02" w:rsidP="006244B4">
            <w:pPr>
              <w:jc w:val="center"/>
              <w:rPr>
                <w:sz w:val="20"/>
                <w:szCs w:val="20"/>
              </w:rPr>
            </w:pPr>
            <w:r>
              <w:rPr>
                <w:sz w:val="20"/>
                <w:szCs w:val="20"/>
              </w:rPr>
              <w:t>&lt; .0001</w:t>
            </w:r>
          </w:p>
        </w:tc>
        <w:tc>
          <w:tcPr>
            <w:tcW w:w="1560" w:type="dxa"/>
          </w:tcPr>
          <w:p w14:paraId="20AC5350" w14:textId="77777777" w:rsidR="00B27C02" w:rsidRPr="00A036B2" w:rsidRDefault="00B27C02" w:rsidP="006244B4">
            <w:pPr>
              <w:jc w:val="center"/>
              <w:rPr>
                <w:sz w:val="20"/>
                <w:szCs w:val="20"/>
              </w:rPr>
            </w:pPr>
            <w:r>
              <w:rPr>
                <w:sz w:val="20"/>
                <w:szCs w:val="20"/>
              </w:rPr>
              <w:t>0.20 (0.057)</w:t>
            </w:r>
          </w:p>
        </w:tc>
        <w:tc>
          <w:tcPr>
            <w:tcW w:w="770" w:type="dxa"/>
          </w:tcPr>
          <w:p w14:paraId="0E04E7A7" w14:textId="77777777" w:rsidR="00B27C02" w:rsidRPr="00A036B2" w:rsidRDefault="00B27C02" w:rsidP="006244B4">
            <w:pPr>
              <w:jc w:val="center"/>
              <w:rPr>
                <w:sz w:val="20"/>
                <w:szCs w:val="20"/>
              </w:rPr>
            </w:pPr>
            <w:r>
              <w:rPr>
                <w:sz w:val="20"/>
                <w:szCs w:val="20"/>
              </w:rPr>
              <w:t>***</w:t>
            </w:r>
          </w:p>
        </w:tc>
      </w:tr>
      <w:tr w:rsidR="00454066" w14:paraId="414770D5" w14:textId="77777777" w:rsidTr="006244B4">
        <w:trPr>
          <w:jc w:val="center"/>
        </w:trPr>
        <w:tc>
          <w:tcPr>
            <w:tcW w:w="1743" w:type="dxa"/>
            <w:shd w:val="clear" w:color="auto" w:fill="F2F2F2" w:themeFill="background1" w:themeFillShade="F2"/>
          </w:tcPr>
          <w:p w14:paraId="09DB98B9" w14:textId="77777777" w:rsidR="00454066" w:rsidRPr="00A036B2" w:rsidRDefault="00454066" w:rsidP="00454066">
            <w:pPr>
              <w:rPr>
                <w:b/>
                <w:sz w:val="20"/>
                <w:szCs w:val="20"/>
              </w:rPr>
            </w:pPr>
            <w:r>
              <w:rPr>
                <w:b/>
                <w:sz w:val="20"/>
                <w:szCs w:val="20"/>
              </w:rPr>
              <w:t>Dietary restraint</w:t>
            </w:r>
          </w:p>
        </w:tc>
        <w:tc>
          <w:tcPr>
            <w:tcW w:w="946" w:type="dxa"/>
          </w:tcPr>
          <w:p w14:paraId="487E9CE4" w14:textId="1257EF3D" w:rsidR="00454066" w:rsidRPr="00A036B2" w:rsidRDefault="00454066" w:rsidP="00454066">
            <w:pPr>
              <w:jc w:val="center"/>
              <w:rPr>
                <w:sz w:val="20"/>
                <w:szCs w:val="20"/>
              </w:rPr>
            </w:pPr>
            <w:r>
              <w:rPr>
                <w:sz w:val="20"/>
                <w:szCs w:val="20"/>
              </w:rPr>
              <w:t>6</w:t>
            </w:r>
          </w:p>
        </w:tc>
        <w:tc>
          <w:tcPr>
            <w:tcW w:w="1105" w:type="dxa"/>
          </w:tcPr>
          <w:p w14:paraId="3C55ACB2" w14:textId="5281A35E" w:rsidR="00454066" w:rsidRPr="00A036B2" w:rsidRDefault="00454066" w:rsidP="00454066">
            <w:pPr>
              <w:jc w:val="center"/>
              <w:rPr>
                <w:sz w:val="20"/>
                <w:szCs w:val="20"/>
              </w:rPr>
            </w:pPr>
            <w:r w:rsidRPr="009F5DC7">
              <w:rPr>
                <w:sz w:val="20"/>
                <w:szCs w:val="20"/>
              </w:rPr>
              <w:t>0.0040 (SE = 0.0044)</w:t>
            </w:r>
          </w:p>
        </w:tc>
        <w:tc>
          <w:tcPr>
            <w:tcW w:w="971" w:type="dxa"/>
          </w:tcPr>
          <w:p w14:paraId="3DCF08A6" w14:textId="52652D6E" w:rsidR="00454066" w:rsidRPr="00A036B2" w:rsidRDefault="00454066" w:rsidP="00454066">
            <w:pPr>
              <w:jc w:val="center"/>
              <w:rPr>
                <w:sz w:val="20"/>
                <w:szCs w:val="20"/>
              </w:rPr>
            </w:pPr>
            <w:r w:rsidRPr="009F5DC7">
              <w:rPr>
                <w:sz w:val="20"/>
                <w:szCs w:val="20"/>
              </w:rPr>
              <w:t>54.92%</w:t>
            </w:r>
          </w:p>
        </w:tc>
        <w:tc>
          <w:tcPr>
            <w:tcW w:w="886" w:type="dxa"/>
          </w:tcPr>
          <w:p w14:paraId="4A8B95EE" w14:textId="0E8CBE77" w:rsidR="00454066" w:rsidRPr="00A036B2" w:rsidRDefault="00454066" w:rsidP="00454066">
            <w:pPr>
              <w:jc w:val="center"/>
              <w:rPr>
                <w:sz w:val="20"/>
                <w:szCs w:val="20"/>
              </w:rPr>
            </w:pPr>
            <w:r w:rsidRPr="009F5DC7">
              <w:rPr>
                <w:sz w:val="20"/>
                <w:szCs w:val="20"/>
              </w:rPr>
              <w:t>2.22</w:t>
            </w:r>
          </w:p>
        </w:tc>
        <w:tc>
          <w:tcPr>
            <w:tcW w:w="1261" w:type="dxa"/>
          </w:tcPr>
          <w:p w14:paraId="6803AC31" w14:textId="4873851D" w:rsidR="00454066" w:rsidRPr="00A036B2" w:rsidRDefault="00454066" w:rsidP="00454066">
            <w:pPr>
              <w:jc w:val="center"/>
              <w:rPr>
                <w:sz w:val="20"/>
                <w:szCs w:val="20"/>
              </w:rPr>
            </w:pPr>
            <w:r w:rsidRPr="009F5DC7">
              <w:rPr>
                <w:sz w:val="20"/>
                <w:szCs w:val="20"/>
              </w:rPr>
              <w:t>0.0375</w:t>
            </w:r>
          </w:p>
        </w:tc>
        <w:tc>
          <w:tcPr>
            <w:tcW w:w="1560" w:type="dxa"/>
          </w:tcPr>
          <w:p w14:paraId="6FF1C0BE" w14:textId="12C697FC" w:rsidR="00454066" w:rsidRPr="00A036B2" w:rsidRDefault="00454066" w:rsidP="00454066">
            <w:pPr>
              <w:jc w:val="center"/>
              <w:rPr>
                <w:sz w:val="20"/>
                <w:szCs w:val="20"/>
              </w:rPr>
            </w:pPr>
            <w:r>
              <w:rPr>
                <w:sz w:val="20"/>
                <w:szCs w:val="20"/>
              </w:rPr>
              <w:t>0.18 (0.033)</w:t>
            </w:r>
          </w:p>
        </w:tc>
        <w:tc>
          <w:tcPr>
            <w:tcW w:w="770" w:type="dxa"/>
          </w:tcPr>
          <w:p w14:paraId="287C3D46" w14:textId="67C147FB" w:rsidR="00454066" w:rsidRPr="00A036B2" w:rsidRDefault="00454066" w:rsidP="00454066">
            <w:pPr>
              <w:jc w:val="center"/>
              <w:rPr>
                <w:sz w:val="20"/>
                <w:szCs w:val="20"/>
              </w:rPr>
            </w:pPr>
            <w:r>
              <w:rPr>
                <w:sz w:val="20"/>
                <w:szCs w:val="20"/>
              </w:rPr>
              <w:t>***</w:t>
            </w:r>
          </w:p>
        </w:tc>
      </w:tr>
    </w:tbl>
    <w:p w14:paraId="6916D031" w14:textId="77777777" w:rsidR="00B27C02" w:rsidRDefault="00B27C02" w:rsidP="00B27C02">
      <w:pPr>
        <w:rPr>
          <w:b/>
        </w:rPr>
      </w:pPr>
    </w:p>
    <w:p w14:paraId="2B3DE1C9" w14:textId="77777777" w:rsidR="00B27C02" w:rsidRDefault="00B27C02" w:rsidP="00B27C02">
      <w:r>
        <w:rPr>
          <w:b/>
        </w:rPr>
        <w:t xml:space="preserve">Legend: </w:t>
      </w:r>
      <w:r w:rsidRPr="006D6F15">
        <w:rPr>
          <w:b/>
        </w:rPr>
        <w:t>tau^2:</w:t>
      </w:r>
      <w:r>
        <w:t xml:space="preserve"> </w:t>
      </w:r>
      <w:r w:rsidRPr="00804C31">
        <w:t>estimated amount of total heterogeneity</w:t>
      </w:r>
      <w:r>
        <w:t xml:space="preserve">; </w:t>
      </w:r>
      <w:r w:rsidRPr="006D6F15">
        <w:rPr>
          <w:b/>
        </w:rPr>
        <w:t>I^2:</w:t>
      </w:r>
      <w:r w:rsidRPr="00804C31">
        <w:t xml:space="preserve"> (total het</w:t>
      </w:r>
      <w:r>
        <w:t xml:space="preserve">erogeneity / total variability); </w:t>
      </w:r>
      <w:r w:rsidRPr="006D6F15">
        <w:rPr>
          <w:b/>
        </w:rPr>
        <w:t>H^2:</w:t>
      </w:r>
      <w:r w:rsidRPr="00804C31">
        <w:t xml:space="preserve"> (total varia</w:t>
      </w:r>
      <w:r>
        <w:t xml:space="preserve">bility / sampling variability); </w:t>
      </w:r>
      <w:r w:rsidRPr="006D6F15">
        <w:rPr>
          <w:b/>
        </w:rPr>
        <w:t>Q-test:</w:t>
      </w:r>
      <w:r>
        <w:t xml:space="preserve"> </w:t>
      </w:r>
      <w:r w:rsidRPr="00804C31">
        <w:t>Test for Heterogeneity</w:t>
      </w:r>
      <w:r>
        <w:t xml:space="preserve">; meta-analysis was done using random-effects model using REML. </w:t>
      </w:r>
      <w:r w:rsidRPr="006D6F15">
        <w:rPr>
          <w:b/>
        </w:rPr>
        <w:t>REML:</w:t>
      </w:r>
      <w:r>
        <w:t xml:space="preserve"> Restricted maximum-likelihood estimator</w:t>
      </w:r>
    </w:p>
    <w:p w14:paraId="087AFADA" w14:textId="77777777" w:rsidR="0089571F" w:rsidRDefault="0089571F" w:rsidP="00B27C02"/>
    <w:p w14:paraId="0BB28646" w14:textId="26372C14" w:rsidR="00232E11" w:rsidRDefault="00CD528D" w:rsidP="0089571F">
      <w:pPr>
        <w:pStyle w:val="Heading3"/>
        <w:rPr>
          <w:rFonts w:cstheme="majorHAnsi"/>
        </w:rPr>
      </w:pPr>
      <w:bookmarkStart w:id="6" w:name="_Toc65760834"/>
      <w:r>
        <w:rPr>
          <w:rFonts w:cstheme="majorHAnsi"/>
        </w:rPr>
        <w:t>Figure</w:t>
      </w:r>
      <w:r w:rsidR="00232E11">
        <w:rPr>
          <w:rFonts w:cstheme="majorHAnsi"/>
        </w:rPr>
        <w:t xml:space="preserve"> </w:t>
      </w:r>
      <w:r w:rsidR="002F1E4B">
        <w:rPr>
          <w:rFonts w:cstheme="majorHAnsi"/>
        </w:rPr>
        <w:t>S2</w:t>
      </w:r>
      <w:r w:rsidR="00232E11">
        <w:rPr>
          <w:rFonts w:cstheme="majorHAnsi"/>
        </w:rPr>
        <w:t xml:space="preserve"> </w:t>
      </w:r>
      <w:r>
        <w:rPr>
          <w:rFonts w:cstheme="majorHAnsi"/>
        </w:rPr>
        <w:t>–</w:t>
      </w:r>
      <w:r w:rsidR="00232E11">
        <w:rPr>
          <w:rFonts w:cstheme="majorHAnsi"/>
        </w:rPr>
        <w:t xml:space="preserve"> </w:t>
      </w:r>
      <w:r>
        <w:rPr>
          <w:rFonts w:cstheme="majorHAnsi"/>
        </w:rPr>
        <w:t xml:space="preserve">At-risk-eating-disorders: </w:t>
      </w:r>
      <w:r w:rsidR="00232E11">
        <w:rPr>
          <w:rFonts w:cstheme="majorHAnsi"/>
        </w:rPr>
        <w:t>Influence plots describing the influential effects of studies (pre-exclusion)</w:t>
      </w:r>
      <w:bookmarkEnd w:id="6"/>
    </w:p>
    <w:p w14:paraId="5AA9F262" w14:textId="2422215F" w:rsidR="00232E11" w:rsidRDefault="00232E11" w:rsidP="00232E11">
      <w:r>
        <w:rPr>
          <w:noProof/>
          <w:lang w:eastAsia="en-GB"/>
        </w:rPr>
        <w:drawing>
          <wp:inline distT="0" distB="0" distL="0" distR="0" wp14:anchorId="1259D856" wp14:editId="2E381D9E">
            <wp:extent cx="4682668" cy="3009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ed influential case Celik cooks d.tiff"/>
                    <pic:cNvPicPr/>
                  </pic:nvPicPr>
                  <pic:blipFill>
                    <a:blip r:embed="rId8">
                      <a:extLst>
                        <a:ext uri="{28A0092B-C50C-407E-A947-70E740481C1C}">
                          <a14:useLocalDpi xmlns:a14="http://schemas.microsoft.com/office/drawing/2010/main" val="0"/>
                        </a:ext>
                      </a:extLst>
                    </a:blip>
                    <a:stretch>
                      <a:fillRect/>
                    </a:stretch>
                  </pic:blipFill>
                  <pic:spPr>
                    <a:xfrm>
                      <a:off x="0" y="0"/>
                      <a:ext cx="4687846" cy="3013228"/>
                    </a:xfrm>
                    <a:prstGeom prst="rect">
                      <a:avLst/>
                    </a:prstGeom>
                  </pic:spPr>
                </pic:pic>
              </a:graphicData>
            </a:graphic>
          </wp:inline>
        </w:drawing>
      </w:r>
      <w:r>
        <w:rPr>
          <w:noProof/>
          <w:lang w:eastAsia="en-GB"/>
        </w:rPr>
        <w:drawing>
          <wp:inline distT="0" distB="0" distL="0" distR="0" wp14:anchorId="4C670723" wp14:editId="51789862">
            <wp:extent cx="5067951"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ed_influential case Celik.tiff"/>
                    <pic:cNvPicPr/>
                  </pic:nvPicPr>
                  <pic:blipFill>
                    <a:blip r:embed="rId9">
                      <a:extLst>
                        <a:ext uri="{28A0092B-C50C-407E-A947-70E740481C1C}">
                          <a14:useLocalDpi xmlns:a14="http://schemas.microsoft.com/office/drawing/2010/main" val="0"/>
                        </a:ext>
                      </a:extLst>
                    </a:blip>
                    <a:stretch>
                      <a:fillRect/>
                    </a:stretch>
                  </pic:blipFill>
                  <pic:spPr>
                    <a:xfrm>
                      <a:off x="0" y="0"/>
                      <a:ext cx="5073163" cy="3260900"/>
                    </a:xfrm>
                    <a:prstGeom prst="rect">
                      <a:avLst/>
                    </a:prstGeom>
                  </pic:spPr>
                </pic:pic>
              </a:graphicData>
            </a:graphic>
          </wp:inline>
        </w:drawing>
      </w:r>
    </w:p>
    <w:p w14:paraId="79B1A383" w14:textId="2E67EE2F" w:rsidR="00232E11" w:rsidRPr="00232E11" w:rsidRDefault="00232E11" w:rsidP="00232E11">
      <w:r w:rsidRPr="00232E11">
        <w:rPr>
          <w:b/>
        </w:rPr>
        <w:t>Legend –</w:t>
      </w:r>
      <w:r>
        <w:t xml:space="preserve"> At-risk eating disorders: Outlier and influential studies diagnostics. Study ID=4 </w:t>
      </w:r>
      <w:proofErr w:type="spellStart"/>
      <w:r>
        <w:t>Celik</w:t>
      </w:r>
      <w:proofErr w:type="spellEnd"/>
      <w:r>
        <w:t xml:space="preserve"> et al. </w:t>
      </w:r>
      <w:r>
        <w:fldChar w:fldCharType="begin" w:fldLock="1"/>
      </w:r>
      <w:r>
        <w:instrText>ADDIN CSL_CITATION {"citationItems":[{"id":"ITEM-1","itemData":{"DOI":"10.1007/s40519-014-0150-3","ISSN":"15901262","abstract":"Aims: The aim of this study was to investigate the relationship between problematic internet use and eating attitudes in a group of university students. Methods: The study sample consisted of 314 students attending programs at the faculties of education, medicine and communications at the Karadeniz Technical University in Turkey. One hundred forty-seven (46.8 %) were male and 167 (53.2 %) female. The Problematic Internet Use Scale was used to measure problematic internet use levels among university students and the Eating Attitudes Test to determine anorexia nervosa symptoms. Additionally, a Personal Data Form was used to determine age, gender, faculty attended and computer ownership. Data were analyzed on SPSS 15.00. Pearson’s product moments correlation coefficient, multiple linear regression analysis, the independent t test and one-way ANOVA were used for data analysis. Results: The research findings showed that 46.8 % of students were female and 53.2 % male. Mean age was 20.65 (SD 1.42). Analysis showed a significant positive correlation between problematic internet use and eating attitudes (r = 0.77, p &lt; 0.01). Problematic internet use was found to be a significant predictor of eating attitudes. The results also showed a significant difference in problematic internet use with regard to program variables [F(2,311) = 102.79]. There were no significant differences in problematic internet use in terms of gender or computer ownership. Conclusions: The results of this study indicate that problematic internet use is significantly correlated with eating disorders, that problematic internet use does not vary on the basis of gender or computer ownership and that variations arise in problematic internet use depending on the faculty attended.","author":[{"dropping-particle":"","family":"Çelik","given":"Çiğdem Berber","non-dropping-particle":"","parse-names":false,"suffix":""},{"dropping-particle":"","family":"Odacı","given":"Hatice","non-dropping-particle":"","parse-names":false,"suffix":""},{"dropping-particle":"","family":"Bayraktar","given":"Nihal","non-dropping-particle":"","parse-names":false,"suffix":""}],"container-title":"Eating and Weight Disorders","id":"ITEM-1","issue":"2","issued":{"date-parts":[["2015","6","12"]]},"page":"167-172","publisher":"Springer International Publishing","title":"Is problematic internet use an indicator of eating disorders among Turkish university students?","type":"article-journal","volume":"20"},"uris":["http://www.mendeley.com/documents/?uuid=f02bc385-7b16-37ed-9593-9ce70a87327b"]}],"mendeley":{"formattedCitation":"(Çelik et al., 2015)","plainTextFormattedCitation":"(Çelik et al., 2015)","previouslyFormattedCitation":"(Çelik et al., 2015)"},"properties":{"noteIndex":0},"schema":"https://github.com/citation-style-language/schema/raw/master/csl-citation.json"}</w:instrText>
      </w:r>
      <w:r>
        <w:fldChar w:fldCharType="separate"/>
      </w:r>
      <w:r w:rsidRPr="00232E11">
        <w:rPr>
          <w:noProof/>
        </w:rPr>
        <w:t>(Çelik et al., 2015)</w:t>
      </w:r>
      <w:r>
        <w:fldChar w:fldCharType="end"/>
      </w:r>
    </w:p>
    <w:p w14:paraId="0A31CED7" w14:textId="77777777" w:rsidR="00232E11" w:rsidRDefault="00232E11">
      <w:pPr>
        <w:spacing w:line="259" w:lineRule="auto"/>
        <w:jc w:val="left"/>
        <w:rPr>
          <w:rFonts w:asciiTheme="majorHAnsi" w:eastAsiaTheme="majorEastAsia" w:hAnsiTheme="majorHAnsi" w:cstheme="majorHAnsi"/>
          <w:b/>
          <w:i/>
          <w:sz w:val="24"/>
          <w:szCs w:val="24"/>
        </w:rPr>
      </w:pPr>
      <w:r>
        <w:rPr>
          <w:rFonts w:cstheme="majorHAnsi"/>
        </w:rPr>
        <w:br w:type="page"/>
      </w:r>
    </w:p>
    <w:p w14:paraId="33D8D104" w14:textId="4D491AF7" w:rsidR="00232E11" w:rsidRDefault="00CD528D" w:rsidP="00232E11">
      <w:pPr>
        <w:pStyle w:val="Heading3"/>
        <w:rPr>
          <w:rFonts w:cstheme="majorHAnsi"/>
        </w:rPr>
      </w:pPr>
      <w:bookmarkStart w:id="7" w:name="_Toc65760835"/>
      <w:r>
        <w:rPr>
          <w:rFonts w:cstheme="majorHAnsi"/>
        </w:rPr>
        <w:t xml:space="preserve">Figure </w:t>
      </w:r>
      <w:r w:rsidR="002F1E4B">
        <w:rPr>
          <w:rFonts w:cstheme="majorHAnsi"/>
        </w:rPr>
        <w:t>S3</w:t>
      </w:r>
      <w:r w:rsidR="00232E11">
        <w:rPr>
          <w:rFonts w:cstheme="majorHAnsi"/>
        </w:rPr>
        <w:t xml:space="preserve"> </w:t>
      </w:r>
      <w:r>
        <w:rPr>
          <w:rFonts w:cstheme="majorHAnsi"/>
        </w:rPr>
        <w:t>–</w:t>
      </w:r>
      <w:r w:rsidR="00232E11">
        <w:rPr>
          <w:rFonts w:cstheme="majorHAnsi"/>
        </w:rPr>
        <w:t xml:space="preserve"> </w:t>
      </w:r>
      <w:r>
        <w:rPr>
          <w:rFonts w:cstheme="majorHAnsi"/>
        </w:rPr>
        <w:t xml:space="preserve">Drive-for-thinness: </w:t>
      </w:r>
      <w:r w:rsidR="00232E11">
        <w:rPr>
          <w:rFonts w:cstheme="majorHAnsi"/>
        </w:rPr>
        <w:t>Influence plots describing the influential effects of studies (pre-exclusion)</w:t>
      </w:r>
      <w:bookmarkEnd w:id="7"/>
    </w:p>
    <w:p w14:paraId="1FD76829" w14:textId="6E6CDB02" w:rsidR="00232E11" w:rsidRDefault="00232E11" w:rsidP="00232E11">
      <w:r>
        <w:rPr>
          <w:noProof/>
          <w:lang w:eastAsia="en-GB"/>
        </w:rPr>
        <w:drawing>
          <wp:inline distT="0" distB="0" distL="0" distR="0" wp14:anchorId="611ADFAC" wp14:editId="5F03C4BD">
            <wp:extent cx="4919765" cy="316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luence_dt.tiff"/>
                    <pic:cNvPicPr/>
                  </pic:nvPicPr>
                  <pic:blipFill>
                    <a:blip r:embed="rId10">
                      <a:extLst>
                        <a:ext uri="{28A0092B-C50C-407E-A947-70E740481C1C}">
                          <a14:useLocalDpi xmlns:a14="http://schemas.microsoft.com/office/drawing/2010/main" val="0"/>
                        </a:ext>
                      </a:extLst>
                    </a:blip>
                    <a:stretch>
                      <a:fillRect/>
                    </a:stretch>
                  </pic:blipFill>
                  <pic:spPr>
                    <a:xfrm>
                      <a:off x="0" y="0"/>
                      <a:ext cx="4927662" cy="3167376"/>
                    </a:xfrm>
                    <a:prstGeom prst="rect">
                      <a:avLst/>
                    </a:prstGeom>
                  </pic:spPr>
                </pic:pic>
              </a:graphicData>
            </a:graphic>
          </wp:inline>
        </w:drawing>
      </w:r>
      <w:r>
        <w:rPr>
          <w:noProof/>
          <w:lang w:eastAsia="en-GB"/>
        </w:rPr>
        <w:drawing>
          <wp:inline distT="0" distB="0" distL="0" distR="0" wp14:anchorId="629ADC4D" wp14:editId="0C13302F">
            <wp:extent cx="4712305" cy="302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ujat_dt.tiff"/>
                    <pic:cNvPicPr/>
                  </pic:nvPicPr>
                  <pic:blipFill>
                    <a:blip r:embed="rId11">
                      <a:extLst>
                        <a:ext uri="{28A0092B-C50C-407E-A947-70E740481C1C}">
                          <a14:useLocalDpi xmlns:a14="http://schemas.microsoft.com/office/drawing/2010/main" val="0"/>
                        </a:ext>
                      </a:extLst>
                    </a:blip>
                    <a:stretch>
                      <a:fillRect/>
                    </a:stretch>
                  </pic:blipFill>
                  <pic:spPr>
                    <a:xfrm>
                      <a:off x="0" y="0"/>
                      <a:ext cx="4728406" cy="3039299"/>
                    </a:xfrm>
                    <a:prstGeom prst="rect">
                      <a:avLst/>
                    </a:prstGeom>
                  </pic:spPr>
                </pic:pic>
              </a:graphicData>
            </a:graphic>
          </wp:inline>
        </w:drawing>
      </w:r>
    </w:p>
    <w:p w14:paraId="0CC33982" w14:textId="3E9FB6E1" w:rsidR="00232E11" w:rsidRPr="00232E11" w:rsidRDefault="00232E11" w:rsidP="00232E11">
      <w:pPr>
        <w:rPr>
          <w:rFonts w:cstheme="majorHAnsi"/>
        </w:rPr>
      </w:pPr>
      <w:r w:rsidRPr="00232E11">
        <w:rPr>
          <w:b/>
        </w:rPr>
        <w:t>Legend –</w:t>
      </w:r>
      <w:r>
        <w:t xml:space="preserve"> Drive for Thinness</w:t>
      </w:r>
      <w:r w:rsidRPr="00232E11">
        <w:t xml:space="preserve">: Outlier and influential studies diagnostics. Study </w:t>
      </w:r>
      <w:r>
        <w:t>ID=5</w:t>
      </w:r>
      <w:r w:rsidRPr="00232E11">
        <w:t xml:space="preserve"> </w:t>
      </w:r>
      <w:proofErr w:type="spellStart"/>
      <w:r>
        <w:t>Kvardova</w:t>
      </w:r>
      <w:proofErr w:type="spellEnd"/>
      <w:r w:rsidRPr="00232E11">
        <w:t xml:space="preserve"> et al</w:t>
      </w:r>
      <w:r>
        <w:t xml:space="preserve">. </w:t>
      </w:r>
      <w:r>
        <w:fldChar w:fldCharType="begin" w:fldLock="1"/>
      </w:r>
      <w:r w:rsidR="00C44DD7">
        <w:instrText>ADDIN CSL_CITATION {"citationItems":[{"id":"ITEM-1","itemData":{"DOI":"10.3390/ijerph17072416","ISSN":"16604601","PMID":"32252325","abstract":"One of the debates about media usage is the potential harmful effect that it has on body image and related eating disturbances because of its representations of the “ideal body”. This study focuses on the drive for thinness among the visitors of various health-oriented websites and online platforms because neither has yet been sufficiently studied in this context. Specifically, this study aims to bring more insight to the risk factors which can increase the drive for thinness in the users of these websites. We tested the presumption that web content internalization is a key factor in this process, and we considered the effects of selected individual factors, specifically the perceived online social support and neuroticism. We utilized survey data from 445 Czech women (aged 18– 29, M = 23.5, SD = 3.1) who visited nutrition, weight loss, and exercise websites. The results showed a positive indirect link between both perceived online social support and neuroticism to the drive for thinness via web content internalization. The results are discussed with regard to the dual role of online support as both risk and protective factor. Moreover, we consider the practical implications for eating behavior and weight-related problems with regard to prevention and intervention.","author":[{"dropping-particle":"","family":"Kvardova","given":"Nikol","non-dropping-particle":"","parse-names":false,"suffix":""},{"dropping-particle":"","family":"Machackova","given":"Hana","non-dropping-particle":"","parse-names":false,"suffix":""},{"dropping-particle":"","family":"Smahel","given":"David","non-dropping-particle":"","parse-names":false,"suffix":""}],"container-title":"International Journal of Environmental Research and Public Health","id":"ITEM-1","issue":"7","issued":{"date-parts":[["2020","4","1"]]},"publisher":"MDPI AG","title":"The direct and indirect effects of online social support, neuroticism, and web content internalization on the drive for thinness among women visiting health-oriented websites","type":"article-journal","volume":"17"},"uris":["http://www.mendeley.com/documents/?uuid=d91db141-8e52-3268-8a33-5895af1c7dd4"]}],"mendeley":{"formattedCitation":"(Kvardova et al., 2020)","plainTextFormattedCitation":"(Kvardova et al., 2020)","previouslyFormattedCitation":"(Kvardova et al., 2020)"},"properties":{"noteIndex":0},"schema":"https://github.com/citation-style-language/schema/raw/master/csl-citation.json"}</w:instrText>
      </w:r>
      <w:r>
        <w:fldChar w:fldCharType="separate"/>
      </w:r>
      <w:r w:rsidRPr="00232E11">
        <w:rPr>
          <w:noProof/>
        </w:rPr>
        <w:t>(Kvardova et al., 2020)</w:t>
      </w:r>
      <w:r>
        <w:fldChar w:fldCharType="end"/>
      </w:r>
      <w:r>
        <w:t>.</w:t>
      </w:r>
      <w:r w:rsidR="000008FF">
        <w:t xml:space="preserve"> </w:t>
      </w:r>
      <w:r w:rsidRPr="00232E11">
        <w:rPr>
          <w:rFonts w:cstheme="majorHAnsi"/>
        </w:rPr>
        <w:t xml:space="preserve"> </w:t>
      </w:r>
    </w:p>
    <w:p w14:paraId="5ECB0E27" w14:textId="77777777" w:rsidR="00232E11" w:rsidRDefault="00232E11">
      <w:pPr>
        <w:spacing w:line="259" w:lineRule="auto"/>
        <w:jc w:val="left"/>
        <w:rPr>
          <w:rFonts w:asciiTheme="majorHAnsi" w:eastAsiaTheme="majorEastAsia" w:hAnsiTheme="majorHAnsi" w:cstheme="majorHAnsi"/>
          <w:b/>
          <w:i/>
          <w:sz w:val="24"/>
          <w:szCs w:val="24"/>
        </w:rPr>
      </w:pPr>
      <w:r w:rsidRPr="00232E11">
        <w:rPr>
          <w:rFonts w:cstheme="majorHAnsi"/>
        </w:rPr>
        <w:br w:type="page"/>
      </w:r>
    </w:p>
    <w:p w14:paraId="71209761" w14:textId="605CF4AE" w:rsidR="00A535DB" w:rsidRDefault="00A535DB" w:rsidP="008F5895">
      <w:pPr>
        <w:pStyle w:val="Heading2"/>
      </w:pPr>
      <w:bookmarkStart w:id="8" w:name="_Toc65760836"/>
      <w:r>
        <w:rPr>
          <w:rFonts w:cstheme="majorHAnsi"/>
        </w:rPr>
        <w:t>∫</w:t>
      </w:r>
      <w:r>
        <w:t xml:space="preserve"> - S1 Metrics of Problematic usage of the internet</w:t>
      </w:r>
      <w:bookmarkEnd w:id="8"/>
    </w:p>
    <w:p w14:paraId="0A5C48CC" w14:textId="77777777" w:rsidR="00A535DB" w:rsidRDefault="00A535DB" w:rsidP="00A535DB">
      <w:pPr>
        <w:rPr>
          <w:rFonts w:cs="Calibri"/>
        </w:rPr>
      </w:pPr>
      <w:r>
        <w:t>T</w:t>
      </w:r>
      <w:r w:rsidRPr="007B0814">
        <w:t>he</w:t>
      </w:r>
      <w:r w:rsidRPr="007B0814">
        <w:rPr>
          <w:szCs w:val="24"/>
        </w:rPr>
        <w:t xml:space="preserve"> </w:t>
      </w:r>
      <w:r w:rsidRPr="007B0814">
        <w:t>Internet Addiction Test (IAT)</w:t>
      </w:r>
      <w:r>
        <w:t xml:space="preserve"> </w:t>
      </w:r>
      <w:r>
        <w:fldChar w:fldCharType="begin" w:fldLock="1"/>
      </w:r>
      <w:r>
        <w:instrText>ADDIN CSL_CITATION {"citationItems":[{"id":"ITEM-1","itemData":{"DOI":"doi:10.1089/cpb.1998.1.237.","ISBN":"1094-9313","ISSN":"1094-9313","abstract":"Anecdotal reports indicated that some on-line users were becoming addicted to the Internet in much that same way that others became addicted to drugs or alcohol which resulted in academic, social, and occupational impairment. However, research among sociologists, psychologists, or psychiatrists has not formally identified addictive use of the Internet as a problematic behavior. This study investigated the existence of Internet addiction and the extent of problems caused by such potential misuse. This study utilized an adapted version of the criteria for pathological gambling defined by the DSM-IV (APA, 1994). On the basis of this criteria, case studies of 396 dependent Internet users (Dependents) and a control group of 100 non-dependent Internet users (Non-Dependents) were classified. Qualitative analyses suggests significant behavioral and functional usage differences between the two groups. Clinical and social implications of pathological Internet use and future directions for research are discussed.","author":[{"dropping-particle":"","family":"Young","given":"Kimberly S","non-dropping-particle":"","parse-names":false,"suffix":""}],"container-title":"Published in CyberPsychology and Behavior","id":"ITEM-1","issue":"3","issued":{"date-parts":[["1998"]]},"page":"237-244","title":"Internet Addiction : The Emergence of a New Clinical Disorder","type":"article-journal","volume":"1"},"uris":["http://www.mendeley.com/documents/?uuid=9643e83a-b1ed-4e64-850c-b8595b3c71a7"]}],"mendeley":{"formattedCitation":"(Young, 1998)","plainTextFormattedCitation":"(Young, 1998)","previouslyFormattedCitation":"(Young, 1998)"},"properties":{"noteIndex":0},"schema":"https://github.com/citation-style-language/schema/raw/master/csl-citation.json"}</w:instrText>
      </w:r>
      <w:r>
        <w:fldChar w:fldCharType="separate"/>
      </w:r>
      <w:r w:rsidRPr="004139F1">
        <w:rPr>
          <w:noProof/>
        </w:rPr>
        <w:t>(Young, 1998)</w:t>
      </w:r>
      <w:r>
        <w:fldChar w:fldCharType="end"/>
      </w:r>
      <w:r>
        <w:rPr>
          <w:rFonts w:cs="Calibri"/>
        </w:rPr>
        <w:t xml:space="preserve"> provides a measure of maladaptive internet use</w:t>
      </w:r>
      <w:r w:rsidRPr="000E424C">
        <w:rPr>
          <w:rFonts w:cs="Calibri"/>
        </w:rPr>
        <w:t xml:space="preserve"> compris</w:t>
      </w:r>
      <w:r>
        <w:rPr>
          <w:rFonts w:cs="Calibri"/>
        </w:rPr>
        <w:t>ing</w:t>
      </w:r>
      <w:r w:rsidRPr="000E424C">
        <w:rPr>
          <w:rFonts w:cs="Calibri"/>
        </w:rPr>
        <w:t xml:space="preserve"> 20 questions examining </w:t>
      </w:r>
      <w:r>
        <w:rPr>
          <w:rFonts w:cs="Calibri"/>
        </w:rPr>
        <w:t xml:space="preserve">multiple </w:t>
      </w:r>
      <w:r w:rsidRPr="000E424C">
        <w:rPr>
          <w:rFonts w:cs="Calibri"/>
        </w:rPr>
        <w:t>facets of P</w:t>
      </w:r>
      <w:r>
        <w:rPr>
          <w:rFonts w:cs="Calibri"/>
        </w:rPr>
        <w:t xml:space="preserve">UI, whereas a more modern 18-item instrument, the </w:t>
      </w:r>
      <w:r w:rsidRPr="003D3464">
        <w:rPr>
          <w:rFonts w:cs="Calibri"/>
        </w:rPr>
        <w:t xml:space="preserve">Problematic Internet Use Questionnaire </w:t>
      </w:r>
      <w:r>
        <w:rPr>
          <w:rFonts w:cs="Calibri"/>
        </w:rPr>
        <w:t xml:space="preserve">(PIUQ), has been demonstrated to have excellent psychometric properties and factorial structure </w:t>
      </w:r>
      <w:r>
        <w:rPr>
          <w:rFonts w:cs="Calibri"/>
        </w:rPr>
        <w:fldChar w:fldCharType="begin" w:fldLock="1"/>
      </w:r>
      <w:r>
        <w:rPr>
          <w:rFonts w:cs="Calibri"/>
        </w:rPr>
        <w:instrText>ADDIN CSL_CITATION {"citationItems":[{"id":"ITEM-1","itemData":{"DOI":"10.3758/BRM.40.2.563","ISSN":"1554351X","PMID":"18522068","abstract":"Despite the fact that more and more clinical case studies and research reports have been published on the increasing problem of Internet addiction, no generally accepted standardized tool is available to measure problematic Internet use or Internet addiction. The aim of our study was to create such a questionnaire. On the basis of earlier studies and our previous experience with Young's (1998a) Internet Addiction Test, initially, we created a 30-item questionnaire, which was assessed together with other questions regarding participants' Internet use. Data were collected online from 1,037 persons (54.1 % of them male; mean age, 23.3 years; SD, 9.1 ). As a result of reliability analysis and factor analysis, we reduced the number of items to 18 and created the Problematic Internet Use Questionnaire (PIUQ) containing three subscales: obsession, neglect, and control disorder. Cronbach's α of the PIUQ is .87 (Cronbach's α of the subscales is .85, .74, and .76, respectively). The test-retest correlation of the PIUQ is .90. The PIUQ proved to be a reliable measurement for assessing the extent of problems caused by the \"misuse\" of the Internet; however, further analysis is needed. Copyright 2008 Psychonomic Society, Inc.","author":[{"dropping-particle":"","family":"Demetrovics","given":"Zsolt","non-dropping-particle":"","parse-names":false,"suffix":""},{"dropping-particle":"","family":"Szeredi","given":"Beatrix","non-dropping-particle":"","parse-names":false,"suffix":""},{"dropping-particle":"","family":"Rózsa","given":"Sándor","non-dropping-particle":"","parse-names":false,"suffix":""}],"container-title":"Behavior Research Methods","id":"ITEM-1","issue":"2","issued":{"date-parts":[["2008","5"]]},"page":"563-574","publisher":"Behav Res Methods","title":"The three-factor model of Internet addiction: The development of the Problematic Internet Use Questionnaire","type":"article-journal","volume":"40"},"uris":["http://www.mendeley.com/documents/?uuid=08d06641-d383-3074-9ba6-47b75e1d0117"]}],"mendeley":{"formattedCitation":"(Demetrovics et al., 2008)","plainTextFormattedCitation":"(Demetrovics et al., 2008)","previouslyFormattedCitation":"(Demetrovics et al., 2008)"},"properties":{"noteIndex":0},"schema":"https://github.com/citation-style-language/schema/raw/master/csl-citation.json"}</w:instrText>
      </w:r>
      <w:r>
        <w:rPr>
          <w:rFonts w:cs="Calibri"/>
        </w:rPr>
        <w:fldChar w:fldCharType="separate"/>
      </w:r>
      <w:r w:rsidRPr="004139F1">
        <w:rPr>
          <w:rFonts w:cs="Calibri"/>
          <w:noProof/>
        </w:rPr>
        <w:t>(Demetrovics et al., 2008)</w:t>
      </w:r>
      <w:r>
        <w:rPr>
          <w:rFonts w:cs="Calibri"/>
        </w:rPr>
        <w:fldChar w:fldCharType="end"/>
      </w:r>
      <w:r>
        <w:rPr>
          <w:rFonts w:cs="Calibri"/>
        </w:rPr>
        <w:t xml:space="preserve">. The Compulsive Internet Use Scale is a short, psychometrically sound questionnaire of problematic internet use comprising 14-Likert-type-items </w:t>
      </w:r>
      <w:r>
        <w:rPr>
          <w:rFonts w:cs="Calibri"/>
        </w:rPr>
        <w:fldChar w:fldCharType="begin" w:fldLock="1"/>
      </w:r>
      <w:r>
        <w:rPr>
          <w:rFonts w:cs="Calibri"/>
        </w:rPr>
        <w:instrText>ADDIN CSL_CITATION {"citationItems":[{"id":"ITEM-1","itemData":{"DOI":"10.1089/cpb.2008.0181","ISSN":"10949313","abstract":"The present study aimed to develop a short, easily administered, psychometrically sound, and valid instrument to assess the severity of compulsive Internet use. A set of criteria was determined based on the addiction literature. Next, the internal consistency and convergent validity were determined, and the set was tested as a one-factor solution in two representative samples of heavy Internet users (n = 447 and n = 229) and in one large convenience sample of regular Internet users (n = 16,925). In these three studies, respondents were asked about their online behavior and about problems related to Internet use. In the first study, the Online Cognition Scale (OCS) was included to determine concurrent validity. The newly developed Compulsive Internet Use Scale (CIUS) contains 14 items ratable on a 5-point Likert scale. The instrument showed good factorial stability across time and across different samples and subsamples. The internal consistency is high, and high correlations with concurrent and criterion variables demonstrate good validity. © 2009 Mary Ann Liebert, Inc.","author":[{"dropping-particle":"","family":"Meerkerk","given":"G. J.","non-dropping-particle":"","parse-names":false,"suffix":""},{"dropping-particle":"","family":"Eijnden","given":"R. J.J.M.","non-dropping-particle":"Van Den","parse-names":false,"suffix":""},{"dropping-particle":"","family":"Vermulst","given":"A. A.","non-dropping-particle":"","parse-names":false,"suffix":""},{"dropping-particle":"","family":"Garretsen","given":"H. F.L.","non-dropping-particle":"","parse-names":false,"suffix":""}],"container-title":"Cyberpsychology and Behavior","id":"ITEM-1","issue":"1","issued":{"date-parts":[["2009","2","1"]]},"page":"1-6","publisher":"Mary Ann Liebert Inc.","title":"The Compulsive Internet Use Scale (CIUS): Some psychometric properties","type":"article-journal","volume":"12"},"uris":["http://www.mendeley.com/documents/?uuid=a3659318-bf5f-33df-8c4d-47b2005954c4"]}],"mendeley":{"formattedCitation":"(Meerkerk et al., 2009)","plainTextFormattedCitation":"(Meerkerk et al., 2009)","previouslyFormattedCitation":"(Meerkerk et al., 2009)"},"properties":{"noteIndex":0},"schema":"https://github.com/citation-style-language/schema/raw/master/csl-citation.json"}</w:instrText>
      </w:r>
      <w:r>
        <w:rPr>
          <w:rFonts w:cs="Calibri"/>
        </w:rPr>
        <w:fldChar w:fldCharType="separate"/>
      </w:r>
      <w:r w:rsidRPr="004139F1">
        <w:rPr>
          <w:rFonts w:cs="Calibri"/>
          <w:noProof/>
        </w:rPr>
        <w:t>(Meerkerk et al., 2009)</w:t>
      </w:r>
      <w:r>
        <w:rPr>
          <w:rFonts w:cs="Calibri"/>
        </w:rPr>
        <w:fldChar w:fldCharType="end"/>
      </w:r>
      <w:r>
        <w:rPr>
          <w:rFonts w:cs="Calibri"/>
        </w:rPr>
        <w:t xml:space="preserve">. The Chinese Internet Addiction Scale is a widely used instrument in Internet Addiction research with good </w:t>
      </w:r>
      <w:r w:rsidRPr="00A722B2">
        <w:rPr>
          <w:rFonts w:cs="Calibri"/>
        </w:rPr>
        <w:t>test-retest reliability and internal consistency</w:t>
      </w:r>
      <w:r>
        <w:rPr>
          <w:rFonts w:cs="Calibri"/>
        </w:rPr>
        <w:t xml:space="preserve"> </w:t>
      </w:r>
      <w:r>
        <w:rPr>
          <w:rFonts w:cs="Calibri"/>
        </w:rPr>
        <w:fldChar w:fldCharType="begin" w:fldLock="1"/>
      </w:r>
      <w:r>
        <w:rPr>
          <w:rFonts w:cs="Calibri"/>
        </w:rPr>
        <w:instrText>ADDIN CSL_CITATION {"citationItems":[{"id":"ITEM-1","itemData":{"author":[{"dropping-particle":"","family":"Chen","given":"Sue-Huei","non-dropping-particle":"","parse-names":false,"suffix":""},{"dropping-particle":"","family":"Weng","given":"Li-Jen","non-dropping-particle":"","parse-names":false,"suffix":""},{"dropping-particle":"","family":"Su","given":"Yi-Jen","non-dropping-particle":"","parse-names":false,"suffix":""},{"dropping-particle":"","family":"Wu","given":"Ho-Mao","non-dropping-particle":"","parse-names":false,"suffix":""},{"dropping-particle":"","family":"Yang","given":"Pin-Feng","non-dropping-particle":"","parse-names":false,"suffix":""}],"container-title":"Chinese Journal of Psychology","id":"ITEM-1","issue":"3","issued":{"date-parts":[["2003"]]},"page":"279–294","title":"Development of a Chinese Internet Addiction Scale and Its Psychometric Study","type":"article-journal","volume":"45"},"uris":["http://www.mendeley.com/documents/?uuid=2490c7cf-2904-376a-a2c6-b5f9048b9e57"]}],"mendeley":{"formattedCitation":"(Chen et al., 2003)","plainTextFormattedCitation":"(Chen et al., 2003)","previouslyFormattedCitation":"(Chen et al., 2003)"},"properties":{"noteIndex":0},"schema":"https://github.com/citation-style-language/schema/raw/master/csl-citation.json"}</w:instrText>
      </w:r>
      <w:r>
        <w:rPr>
          <w:rFonts w:cs="Calibri"/>
        </w:rPr>
        <w:fldChar w:fldCharType="separate"/>
      </w:r>
      <w:r w:rsidRPr="004139F1">
        <w:rPr>
          <w:rFonts w:cs="Calibri"/>
          <w:noProof/>
        </w:rPr>
        <w:t>(Chen et al., 2003)</w:t>
      </w:r>
      <w:r>
        <w:rPr>
          <w:rFonts w:cs="Calibri"/>
        </w:rPr>
        <w:fldChar w:fldCharType="end"/>
      </w:r>
      <w:r>
        <w:rPr>
          <w:rFonts w:cs="Calibri"/>
        </w:rPr>
        <w:t xml:space="preserve">. Despite the existence of standardized instruments with good psychometric properties, many studies utilized ad-hoc and application or site specific instruments to ascertain the degree or severity of the online usage </w:t>
      </w:r>
      <w:proofErr w:type="spellStart"/>
      <w:r>
        <w:rPr>
          <w:rFonts w:cs="Calibri"/>
        </w:rPr>
        <w:t>behavior</w:t>
      </w:r>
      <w:proofErr w:type="spellEnd"/>
      <w:r>
        <w:rPr>
          <w:rFonts w:cs="Calibri"/>
        </w:rPr>
        <w:t xml:space="preserve">. For example, many studies used metrics ascertaining duration of use (time spent on Facebook, Instagram, Snapchat, Tumblr, appearance-focused internet gaming) or extend of specific </w:t>
      </w:r>
      <w:proofErr w:type="spellStart"/>
      <w:r>
        <w:rPr>
          <w:rFonts w:cs="Calibri"/>
        </w:rPr>
        <w:t>behavior</w:t>
      </w:r>
      <w:proofErr w:type="spellEnd"/>
      <w:r>
        <w:rPr>
          <w:rFonts w:cs="Calibri"/>
        </w:rPr>
        <w:t xml:space="preserve"> (number of friends, number of posts, number of accounts, visits per day), or ascertaining </w:t>
      </w:r>
      <w:proofErr w:type="spellStart"/>
      <w:r>
        <w:rPr>
          <w:rFonts w:cs="Calibri"/>
        </w:rPr>
        <w:t>behavior</w:t>
      </w:r>
      <w:proofErr w:type="spellEnd"/>
      <w:r>
        <w:rPr>
          <w:rFonts w:cs="Calibri"/>
        </w:rPr>
        <w:t xml:space="preserve"> that is deemed maladaptive (e.g. </w:t>
      </w:r>
      <w:r w:rsidRPr="000C1996">
        <w:rPr>
          <w:rFonts w:cs="Calibri"/>
        </w:rPr>
        <w:t>seek</w:t>
      </w:r>
      <w:r>
        <w:rPr>
          <w:rFonts w:cs="Calibri"/>
        </w:rPr>
        <w:t>ing</w:t>
      </w:r>
      <w:r w:rsidRPr="000C1996">
        <w:rPr>
          <w:rFonts w:cs="Calibri"/>
        </w:rPr>
        <w:t xml:space="preserve"> negative social evaluations and/or engage</w:t>
      </w:r>
      <w:r>
        <w:rPr>
          <w:rFonts w:cs="Calibri"/>
        </w:rPr>
        <w:t>ment</w:t>
      </w:r>
      <w:r w:rsidRPr="000C1996">
        <w:rPr>
          <w:rFonts w:cs="Calibri"/>
        </w:rPr>
        <w:t xml:space="preserve"> in</w:t>
      </w:r>
      <w:r>
        <w:rPr>
          <w:rFonts w:cs="Calibri"/>
        </w:rPr>
        <w:t xml:space="preserve"> social comparisons)</w:t>
      </w:r>
      <w:r>
        <w:rPr>
          <w:rFonts w:cs="Calibri"/>
        </w:rPr>
        <w:fldChar w:fldCharType="begin" w:fldLock="1"/>
      </w:r>
      <w:r>
        <w:rPr>
          <w:rFonts w:cs="Calibri"/>
        </w:rPr>
        <w:instrText>ADDIN CSL_CITATION {"citationItems":[{"id":"ITEM-1","itemData":{"DOI":"10.1016/j.jad.2013.01.032","ISSN":"01650327","abstract":"Background: The current study examined the effects of online social evaluations and comparisons on body dissatisfaction and bulimic symptoms. Methods: We tested the effects of maladaptive Facebook usage (defined as the tendency to seek negative social evaluations and/or engage in social comparisons via Facebook) on body dissatisfaction and bulimic symptoms in a sample of 232 college females followed for approximately 4 weeks. Results: Results provided evidence that maladaptive Facebook usage significantly predicted increases in bulimic symptoms and episodes of over-eating approximately four weeks later. Body dissatisfaction was found to fully mediate the relationship between maladaptive Facebook usage and increases in over-eating episodes, whereas body dissatisfaction partially mediated the relationship between maladaptive Facebook usage and increases in bulimic symptoms more broadly. Limitations: Limitations include the use of a novel measure of maladaptive Facebook usage due to the absence of an existing measure and a non-clinical sample. Conclusions: The results of this study suggest that reducing maladaptive Facebook usage may be a fruitful target for interventions aimed at reducing body dissatisfaction and symptoms of eating pathology. © 2013 Elsevier B.V.","author":[{"dropping-particle":"","family":"Smith","given":"April R.","non-dropping-particle":"","parse-names":false,"suffix":""},{"dropping-particle":"","family":"Hames","given":"Jennifer L.","non-dropping-particle":"","parse-names":false,"suffix":""},{"dropping-particle":"","family":"Joiner","given":"Thomas E.","non-dropping-particle":"","parse-names":false,"suffix":""}],"container-title":"Journal of Affective Disorders","id":"ITEM-1","issue":"1-3","issued":{"date-parts":[["2013","7"]]},"page":"235-240","publisher":"J Affect Disord","title":"Status Update: Maladaptive Facebook usage predicts increases in body dissatisfaction and bulimic symptoms","type":"article-journal","volume":"149"},"uris":["http://www.mendeley.com/documents/?uuid=b4ee98f3-dee0-3b29-b35f-0e6c881ee1f5"]}],"mendeley":{"formattedCitation":"(Smith et al., 2013)","plainTextFormattedCitation":"(Smith et al., 2013)","previouslyFormattedCitation":"(Smith et al., 2013)"},"properties":{"noteIndex":0},"schema":"https://github.com/citation-style-language/schema/raw/master/csl-citation.json"}</w:instrText>
      </w:r>
      <w:r>
        <w:rPr>
          <w:rFonts w:cs="Calibri"/>
        </w:rPr>
        <w:fldChar w:fldCharType="separate"/>
      </w:r>
      <w:r w:rsidRPr="004139F1">
        <w:rPr>
          <w:rFonts w:cs="Calibri"/>
          <w:noProof/>
        </w:rPr>
        <w:t>(Smith et al., 2013)</w:t>
      </w:r>
      <w:r>
        <w:rPr>
          <w:rFonts w:cs="Calibri"/>
        </w:rPr>
        <w:fldChar w:fldCharType="end"/>
      </w:r>
      <w:r>
        <w:rPr>
          <w:rFonts w:cs="Calibri"/>
        </w:rPr>
        <w:t>. Other SNS based measures included the Facebook Questionnaire (FBQ;</w:t>
      </w:r>
      <w:r>
        <w:rPr>
          <w:rFonts w:cs="Calibri"/>
        </w:rPr>
        <w:fldChar w:fldCharType="begin" w:fldLock="1"/>
      </w:r>
      <w:r>
        <w:rPr>
          <w:rFonts w:cs="Calibri"/>
        </w:rPr>
        <w:instrText>ADDIN CSL_CITATION {"citationItems":[{"id":"ITEM-1","itemData":{"DOI":"10.1089/cyber.2013.0305","ISSN":"21522715","PMID":"24237288","abstract":"The present study examined the relationship between body image and adolescent girls' activity on the social networking site (SNS) Facebook (FB). Research has shown that elevated Internet \"appearance exposure\" is positively correlated with increased body image disturbance among adolescent girls, and there is a particularly strong association with FB use. The present study sought to replicate and extend upon these findings by identifying the specific FB features that correlate with body image disturbance in adolescent girls. A total of 103 middle and high school females completed questionnaire measures of total FB use, specific FB feature use, weight dissatisfaction, drive for thinness, thin ideal internalization, appearance comparison, and self-objectification. An appearance exposure score was calculated based on subjects' use of FB photo applications relative to total FB use. Elevated appearance exposure, but not overall FB usage, was significantly correlated with weight dissatisfaction, drive for thinness, thin ideal internalization, and self-objectification. Implications for eating disorder prevention programs and best practices in researching SNSs are discussed. © Mary Ann Liebert, Inc.","author":[{"dropping-particle":"","family":"Meier","given":"Evelyn P.","non-dropping-particle":"","parse-names":false,"suffix":""},{"dropping-particle":"","family":"Gray","given":"James","non-dropping-particle":"","parse-names":false,"suffix":""}],"container-title":"Cyberpsychology, Behavior, and Social Networking","id":"ITEM-1","issue":"4","issued":{"date-parts":[["2014","4","1"]]},"page":"199-206","publisher":" Mary Ann Liebert, Inc.  140 Huguenot Street, 3rd Floor New Rochelle, NY 10801 USA  ","title":"Facebook photo activity associated with body image disturbance in adolescent girls","type":"article-journal","volume":"17"},"uris":["http://www.mendeley.com/documents/?uuid=a1253132-b11d-30f7-a64f-04a562681164"]}],"mendeley":{"formattedCitation":"(Meier and Gray, 2014)","plainTextFormattedCitation":"(Meier and Gray, 2014)","previouslyFormattedCitation":"(Meier and Gray, 2014)"},"properties":{"noteIndex":0},"schema":"https://github.com/citation-style-language/schema/raw/master/csl-citation.json"}</w:instrText>
      </w:r>
      <w:r>
        <w:rPr>
          <w:rFonts w:cs="Calibri"/>
        </w:rPr>
        <w:fldChar w:fldCharType="separate"/>
      </w:r>
      <w:r w:rsidRPr="00991E40">
        <w:rPr>
          <w:rFonts w:cs="Calibri"/>
          <w:noProof/>
        </w:rPr>
        <w:t>(Meier and Gray, 2014)</w:t>
      </w:r>
      <w:r>
        <w:rPr>
          <w:rFonts w:cs="Calibri"/>
        </w:rPr>
        <w:fldChar w:fldCharType="end"/>
      </w:r>
      <w:r>
        <w:rPr>
          <w:rFonts w:cs="Calibri"/>
        </w:rPr>
        <w:t xml:space="preserve">, </w:t>
      </w:r>
      <w:r w:rsidRPr="00554698">
        <w:rPr>
          <w:rFonts w:cs="Calibri"/>
        </w:rPr>
        <w:t>Social</w:t>
      </w:r>
      <w:r>
        <w:rPr>
          <w:rFonts w:cs="Calibri"/>
        </w:rPr>
        <w:t xml:space="preserve"> </w:t>
      </w:r>
      <w:r w:rsidRPr="00554698">
        <w:rPr>
          <w:rFonts w:cs="Calibri"/>
        </w:rPr>
        <w:t>Networks Addiction Questionnaire (SNSA)</w:t>
      </w:r>
      <w:r>
        <w:rPr>
          <w:rFonts w:cs="Calibri"/>
        </w:rPr>
        <w:t xml:space="preserve"> </w:t>
      </w:r>
      <w:r>
        <w:rPr>
          <w:rFonts w:cs="Calibri"/>
        </w:rPr>
        <w:fldChar w:fldCharType="begin" w:fldLock="1"/>
      </w:r>
      <w:r>
        <w:rPr>
          <w:rFonts w:cs="Calibri"/>
        </w:rPr>
        <w:instrText>ADDIN CSL_CITATION {"citationItems":[{"id":"ITEM-1","itemData":{"author":[{"dropping-particle":"","family":"P.","given":"Pichot","non-dropping-particle":"","parse-names":false,"suffix":""},{"dropping-particle":"","family":"J.J.L.","given":"Aliño","non-dropping-particle":"","parse-names":false,"suffix":""},{"dropping-particle":"","family":"M.V.","given":"Miyar","non-dropping-particle":"","parse-names":false,"suffix":""}],"id":"ITEM-1","issued":{"date-parts":[["2001"]]},"publisher":"Masson","publisher-place":"Barcelona, Spain","title":"Manual Diagnóstico y Estadístico de los Trastornos Mentales: DSM-IV.","type":"book"},"uris":["http://www.mendeley.com/documents/?uuid=c3938aa8-06e1-445c-8d53-afe3c26e6eb6"]}],"mendeley":{"formattedCitation":"(P. et al., 2001)","plainTextFormattedCitation":"(P. et al., 2001)","previouslyFormattedCitation":"(P. et al., 2001)"},"properties":{"noteIndex":0},"schema":"https://github.com/citation-style-language/schema/raw/master/csl-citation.json"}</w:instrText>
      </w:r>
      <w:r>
        <w:rPr>
          <w:rFonts w:cs="Calibri"/>
        </w:rPr>
        <w:fldChar w:fldCharType="separate"/>
      </w:r>
      <w:r w:rsidRPr="00991E40">
        <w:rPr>
          <w:rFonts w:cs="Calibri"/>
          <w:noProof/>
        </w:rPr>
        <w:t>(P. et al., 2001)</w:t>
      </w:r>
      <w:r>
        <w:rPr>
          <w:rFonts w:cs="Calibri"/>
        </w:rPr>
        <w:fldChar w:fldCharType="end"/>
      </w:r>
      <w:r>
        <w:rPr>
          <w:rFonts w:cs="Calibri"/>
        </w:rPr>
        <w:t xml:space="preserve">, the </w:t>
      </w:r>
      <w:r w:rsidRPr="00554698">
        <w:rPr>
          <w:rFonts w:cs="Calibri"/>
        </w:rPr>
        <w:t>Multidimensional Scale of Facebook Use (MSFU;</w:t>
      </w:r>
      <w:r>
        <w:rPr>
          <w:rFonts w:cs="Calibri"/>
        </w:rPr>
        <w:t xml:space="preserve"> </w:t>
      </w:r>
      <w:r>
        <w:rPr>
          <w:rFonts w:cs="Calibri"/>
        </w:rPr>
        <w:fldChar w:fldCharType="begin" w:fldLock="1"/>
      </w:r>
      <w:r>
        <w:rPr>
          <w:rFonts w:cs="Calibri"/>
        </w:rPr>
        <w:instrText>ADDIN CSL_CITATION {"citationItems":[{"id":"ITEM-1","itemData":{"DOI":"10.1177/0894439314567449","ISSN":"0894-4393","abstract":"This study aims to provide a deeper understanding of the relationships between different types of Facebook use, perceived online social support, and boys’ and girls’ depressed mood. To address this aim, this study (N = 910) developed a comprehensive model that (1) differs between specific types of Facebook use, (2) examines the mediating role of perceived online social support, and (3) takes adolescent users’ gender into account. Structural equation modeling showed that the harmful impact of Facebook use exclusively occurs among girls who passively use Facebook and among boys who actively use Facebook in a public setting. Girls, however, who actively use Facebook, either in a public setting or in a private setting and subsequently perceive online social support, benefit from actively using Facebook, as perceived online social support negatively predicted girls’ depressed mood. The discussion focuses on the explanation and understanding of these findings, key limitations, and directions for future research.","author":[{"dropping-particle":"","family":"Frison","given":"Eline","non-dropping-particle":"","parse-names":false,"suffix":""},{"dropping-particle":"","family":"Eggermont","given":"Steven","non-dropping-particle":"","parse-names":false,"suffix":""}],"container-title":"Social Science Computer Review","id":"ITEM-1","issue":"2","issued":{"date-parts":[["2016","4","21"]]},"page":"153-171","publisher":"SAGE Publications Inc.","title":"Exploring the Relationships Between Different Types of Facebook Use, Perceived Online Social Support, and Adolescents’ Depressed Mood","type":"article-journal","volume":"34"},"uris":["http://www.mendeley.com/documents/?uuid=1de6d866-d889-3cca-8b7e-26476f2c24f3"]}],"mendeley":{"formattedCitation":"(Frison and Eggermont, 2016)","plainTextFormattedCitation":"(Frison and Eggermont, 2016)","previouslyFormattedCitation":"(Frison and Eggermont, 2016)"},"properties":{"noteIndex":0},"schema":"https://github.com/citation-style-language/schema/raw/master/csl-citation.json"}</w:instrText>
      </w:r>
      <w:r>
        <w:rPr>
          <w:rFonts w:cs="Calibri"/>
        </w:rPr>
        <w:fldChar w:fldCharType="separate"/>
      </w:r>
      <w:r w:rsidRPr="00991E40">
        <w:rPr>
          <w:rFonts w:cs="Calibri"/>
          <w:noProof/>
        </w:rPr>
        <w:t>(Frison and Eggermont, 2016)</w:t>
      </w:r>
      <w:r>
        <w:rPr>
          <w:rFonts w:cs="Calibri"/>
        </w:rPr>
        <w:fldChar w:fldCharType="end"/>
      </w:r>
      <w:r w:rsidRPr="00554698">
        <w:rPr>
          <w:rFonts w:cs="Calibri"/>
        </w:rPr>
        <w:t>)</w:t>
      </w:r>
      <w:r>
        <w:rPr>
          <w:rFonts w:cs="Calibri"/>
        </w:rPr>
        <w:t xml:space="preserve">, Social network usage and appearance comparisons </w:t>
      </w:r>
      <w:r>
        <w:rPr>
          <w:rFonts w:cs="Calibri"/>
        </w:rPr>
        <w:fldChar w:fldCharType="begin" w:fldLock="1"/>
      </w:r>
      <w:r>
        <w:rPr>
          <w:rFonts w:cs="Calibri"/>
        </w:rPr>
        <w:instrText>ADDIN CSL_CITATION {"citationItems":[{"id":"ITEM-1","itemData":{"DOI":"10.1016/j.bodyim.2014.10.004","ISSN":"17401445","abstract":"Use of social media, such as Facebook, is pervasive among young women. Body dissatisfaction is also highly prevalent in this demographic. The present study examined the relationship between Facebook usage and body image concerns among female university students (N= 227), and tested whether appearance comparisons on Facebook in general, or comparisons to specific female target groups (family members, close friends, distant peers [women one may know but do not regularly socialize with], celebrities) mediated this relationship. Results showed a positive relationship between Facebook usage and body image concerns, which was mediated by appearance comparisons in general, frequency of comparisons to close friends and distant peers, and by upward comparisons (judging one's own appearance to be worse) to distant peers and celebrities. Thus, young women who spend more time on Facebook may feel more concerned about their body because they compare their appearance to others (especially to peers) on Facebook.","author":[{"dropping-particle":"","family":"Fardouly","given":"Jasmine","non-dropping-particle":"","parse-names":false,"suffix":""},{"dropping-particle":"","family":"Vartanian","given":"Lenny R.","non-dropping-particle":"","parse-names":false,"suffix":""}],"container-title":"Body Image","id":"ITEM-1","issue":"1","issued":{"date-parts":[["2015"]]},"page":"82-88","publisher":"Elsevier Ltd","title":"Negative comparisons about one's appearance mediate the relationship between Facebook usage and body image concerns","type":"article-journal","volume":"12"},"uris":["http://www.mendeley.com/documents/?uuid=6e4cecf4-c0af-36bf-8d1f-2a96ad14cf82"]}],"mendeley":{"formattedCitation":"(Fardouly and Vartanian, 2015)","plainTextFormattedCitation":"(Fardouly and Vartanian, 2015)","previouslyFormattedCitation":"(Fardouly and Vartanian, 2015)"},"properties":{"noteIndex":0},"schema":"https://github.com/citation-style-language/schema/raw/master/csl-citation.json"}</w:instrText>
      </w:r>
      <w:r>
        <w:rPr>
          <w:rFonts w:cs="Calibri"/>
        </w:rPr>
        <w:fldChar w:fldCharType="separate"/>
      </w:r>
      <w:r w:rsidRPr="00991E40">
        <w:rPr>
          <w:rFonts w:cs="Calibri"/>
          <w:noProof/>
        </w:rPr>
        <w:t>(Fardouly and Vartanian, 2015)</w:t>
      </w:r>
      <w:r>
        <w:rPr>
          <w:rFonts w:cs="Calibri"/>
        </w:rPr>
        <w:fldChar w:fldCharType="end"/>
      </w:r>
      <w:r w:rsidRPr="00991E40">
        <w:rPr>
          <w:rFonts w:cs="Calibri"/>
        </w:rPr>
        <w:t>.</w:t>
      </w:r>
    </w:p>
    <w:p w14:paraId="2D3504FF" w14:textId="198DF733" w:rsidR="0089571F" w:rsidRDefault="0089571F" w:rsidP="008F5895">
      <w:pPr>
        <w:pStyle w:val="Heading2"/>
      </w:pPr>
      <w:bookmarkStart w:id="9" w:name="_Toc65760837"/>
      <w:r>
        <w:rPr>
          <w:rFonts w:cstheme="majorHAnsi"/>
        </w:rPr>
        <w:t>∫</w:t>
      </w:r>
      <w:r>
        <w:t xml:space="preserve"> - S</w:t>
      </w:r>
      <w:r w:rsidR="00A535DB">
        <w:t>2</w:t>
      </w:r>
      <w:r>
        <w:t xml:space="preserve"> Metrics of eating disorders</w:t>
      </w:r>
      <w:bookmarkEnd w:id="9"/>
    </w:p>
    <w:p w14:paraId="660D8260" w14:textId="230D341A" w:rsidR="0089571F" w:rsidRDefault="00A535DB" w:rsidP="008F5895">
      <w:pPr>
        <w:pStyle w:val="Heading3"/>
      </w:pPr>
      <w:bookmarkStart w:id="10" w:name="_Toc65760838"/>
      <w:r>
        <w:t>S2</w:t>
      </w:r>
      <w:r w:rsidR="0089571F">
        <w:t>.1 Eating Attitudes Test</w:t>
      </w:r>
      <w:bookmarkEnd w:id="10"/>
    </w:p>
    <w:p w14:paraId="2F4F919D" w14:textId="77777777" w:rsidR="0089571F" w:rsidRDefault="0089571F" w:rsidP="0089571F">
      <w:r>
        <w:t>T</w:t>
      </w:r>
      <w:r w:rsidRPr="00B54F2A">
        <w:t>he Eating Attitudes Test</w:t>
      </w:r>
      <w:r>
        <w:t xml:space="preserve"> (EAT-40 &amp; </w:t>
      </w:r>
      <w:r w:rsidRPr="00B54F2A">
        <w:t>EAT-26</w:t>
      </w:r>
      <w:r>
        <w:t xml:space="preserve">) </w:t>
      </w:r>
      <w:r>
        <w:fldChar w:fldCharType="begin" w:fldLock="1"/>
      </w:r>
      <w:r>
        <w:instrText>ADDIN CSL_CITATION {"citationItems":[{"id":"ITEM-1","itemData":{"DOI":"10.1017/S0033291700049163","ISSN":"14698978","abstract":"Psychometric and clinical correlates of the Eating Attitudes Test (EAT) are described for a large sample of female anorexia nervosa (N = 160) and female comparison (N = 140) subjects. An abbreviated 26-item version of the EAT (EAT-26) is proposed, based on a factor analysis of the original scale (EAT-40). The EAT-26 is highly correlated with the EAT-40 (r = 0.98) and the three factors form subscales which are meaningfully related to bulimia, weight, body-image variables and psychological symptoms. Whereas there are no differences between bulimic and restricter anorexia nervosa patients on the total EAT-26 and EAT-40 scores, these groups do indicate’ significant differences on EAT-26 factors. Norms for the anorexia nervosa and female comparison subjects are presented for the EAT-26, EAT-40 and the EAT-26 factors. It is concluded that the EAT-26 is a reliable, valid and economical instrument which may be useful as an objective measure of the symptoms of anorexia nervosa. © 1982, Cambridge University Press. All rights reserved.","author":[{"dropping-particle":"","family":"Garner","given":"David M.","non-dropping-particle":"","parse-names":false,"suffix":""},{"dropping-particle":"","family":"Bohr","given":"Yvonne","non-dropping-particle":"","parse-names":false,"suffix":""},{"dropping-particle":"","family":"Garfinkel","given":"Paul E.","non-dropping-particle":"","parse-names":false,"suffix":""}],"container-title":"Psychological Medicine","id":"ITEM-1","issue":"4","issued":{"date-parts":[["1982"]]},"page":"871-878","publisher":"Psychol Med","title":"The Eating Attitudes Test: Psychometric Features and Clinical Correlates","type":"article-journal","volume":"12"},"uris":["http://www.mendeley.com/documents/?uuid=f7e277ea-e4a0-346f-89bc-c0fc9c60a2b9"]}],"mendeley":{"formattedCitation":"(Garner et al., 1982)","plainTextFormattedCitation":"(Garner et al., 1982)","previouslyFormattedCitation":"(Garner et al., 1982)"},"properties":{"noteIndex":0},"schema":"https://github.com/citation-style-language/schema/raw/master/csl-citation.json"}</w:instrText>
      </w:r>
      <w:r>
        <w:fldChar w:fldCharType="separate"/>
      </w:r>
      <w:r w:rsidRPr="004139F1">
        <w:rPr>
          <w:noProof/>
        </w:rPr>
        <w:t>(Garner et al., 1982)</w:t>
      </w:r>
      <w:r>
        <w:fldChar w:fldCharType="end"/>
      </w:r>
      <w:r w:rsidRPr="00B54F2A">
        <w:t xml:space="preserve"> is a reliable, valid and economical instrument useful as an objective measure of the symptoms of anorexia nervosa</w:t>
      </w:r>
      <w:r>
        <w:t>. The global score cut-off of 20 or above has been used to described disordered eating; the more stringent cut-off of 30 and above has been used as well, as it correlates highly with clinical eating disorder diagnoses.</w:t>
      </w:r>
    </w:p>
    <w:p w14:paraId="1A920DBA" w14:textId="796C25AD" w:rsidR="0089571F" w:rsidRDefault="0089571F" w:rsidP="008F5895">
      <w:pPr>
        <w:pStyle w:val="Heading3"/>
        <w:rPr>
          <w:shd w:val="clear" w:color="auto" w:fill="FFFFFF"/>
        </w:rPr>
      </w:pPr>
      <w:bookmarkStart w:id="11" w:name="_Toc65760839"/>
      <w:r>
        <w:rPr>
          <w:shd w:val="clear" w:color="auto" w:fill="FFFFFF"/>
        </w:rPr>
        <w:t>S</w:t>
      </w:r>
      <w:r w:rsidR="00A535DB">
        <w:rPr>
          <w:shd w:val="clear" w:color="auto" w:fill="FFFFFF"/>
        </w:rPr>
        <w:t>2</w:t>
      </w:r>
      <w:r>
        <w:rPr>
          <w:shd w:val="clear" w:color="auto" w:fill="FFFFFF"/>
        </w:rPr>
        <w:t>.2 Eating Disorder Inventory</w:t>
      </w:r>
      <w:bookmarkEnd w:id="11"/>
    </w:p>
    <w:p w14:paraId="70255C4E" w14:textId="77777777" w:rsidR="0089571F" w:rsidRDefault="0089571F" w:rsidP="0089571F">
      <w:r>
        <w:t xml:space="preserve">The Eating Disorder Inventory (EDI) </w:t>
      </w:r>
      <w:r>
        <w:fldChar w:fldCharType="begin" w:fldLock="1"/>
      </w:r>
      <w:r>
        <w:instrText>ADDIN CSL_CITATION {"citationItems":[{"id":"ITEM-1","itemData":{"DOI":"10.1002/1098-108X(198321)2:2&lt;15::AID-EAT2260020203&gt;3.0.CO;2-6","ISSN":"1098-108X","author":[{"dropping-particle":"","family":"Garner","given":"David M.","non-dropping-particle":"","parse-names":false,"suffix":""},{"dropping-particle":"","family":"Olmstead","given":"Marion P.","non-dropping-particle":"","parse-names":false,"suffix":""},{"dropping-particle":"","family":"Polivy","given":"Janet","non-dropping-particle":"","parse-names":false,"suffix":""}],"container-title":"International Journal of Eating Disorders","id":"ITEM-1","issue":"2","issued":{"date-parts":[["1983","3","1"]]},"page":"15-34","publisher":"John Wiley &amp; Sons, Ltd","title":"Development and validation of a multidimensional eating disorder inventory for anorexia nervosa and bulimia","type":"article-journal","volume":"2"},"uris":["http://www.mendeley.com/documents/?uuid=fae5d9ea-21b7-3738-bd6f-8d0e9d72745b"]}],"mendeley":{"formattedCitation":"(Garner et al., 1983)","plainTextFormattedCitation":"(Garner et al., 1983)","previouslyFormattedCitation":"(Garner et al., 1983)"},"properties":{"noteIndex":0},"schema":"https://github.com/citation-style-language/schema/raw/master/csl-citation.json"}</w:instrText>
      </w:r>
      <w:r>
        <w:fldChar w:fldCharType="separate"/>
      </w:r>
      <w:r w:rsidRPr="004139F1">
        <w:rPr>
          <w:noProof/>
        </w:rPr>
        <w:t>(Garner et al., 1983)</w:t>
      </w:r>
      <w:r>
        <w:fldChar w:fldCharType="end"/>
      </w:r>
      <w:r>
        <w:t xml:space="preserve"> </w:t>
      </w:r>
      <w:r w:rsidRPr="00B54F2A">
        <w:t>is a self-report questionnaire used to assess the presence of eating disorders</w:t>
      </w:r>
      <w:r>
        <w:t xml:space="preserve">. The latest version (EDI-3) comprises nine psychological subscales for eating disorders and yields six composite scores. It includes subscales for </w:t>
      </w:r>
      <w:r w:rsidRPr="009E26D1">
        <w:t>Drive for Thinness</w:t>
      </w:r>
      <w:r>
        <w:t xml:space="preserve"> (EDI-DT)</w:t>
      </w:r>
      <w:r w:rsidRPr="009E26D1">
        <w:t>, Bulimia</w:t>
      </w:r>
      <w:r>
        <w:t xml:space="preserve"> (EDI-B) and</w:t>
      </w:r>
      <w:r w:rsidRPr="009E26D1">
        <w:t xml:space="preserve"> Body Dissatisfaction</w:t>
      </w:r>
      <w:r>
        <w:t xml:space="preserve"> (EDI-BD). </w:t>
      </w:r>
    </w:p>
    <w:p w14:paraId="6452FDF7" w14:textId="0744AE5A" w:rsidR="0089571F" w:rsidRDefault="00A535DB" w:rsidP="008F5895">
      <w:pPr>
        <w:pStyle w:val="Heading3"/>
      </w:pPr>
      <w:bookmarkStart w:id="12" w:name="_Toc65760840"/>
      <w:r>
        <w:t>S2</w:t>
      </w:r>
      <w:r w:rsidR="0089571F">
        <w:t>.3 SCOFF Questionnaire</w:t>
      </w:r>
      <w:bookmarkEnd w:id="12"/>
    </w:p>
    <w:p w14:paraId="5EE5E0A5" w14:textId="34F34B46" w:rsidR="0089571F" w:rsidRDefault="0089571F" w:rsidP="0089571F">
      <w:r>
        <w:t xml:space="preserve">The </w:t>
      </w:r>
      <w:r w:rsidRPr="009E26D1">
        <w:t xml:space="preserve">SCOFF Eating Disorder Questionnaire </w:t>
      </w:r>
      <w:r>
        <w:fldChar w:fldCharType="begin" w:fldLock="1"/>
      </w:r>
      <w:r>
        <w:instrText>ADDIN CSL_CITATION {"citationItems":[{"id":"ITEM-1","itemData":{"DOI":"10.1136/bmj.325.7367.755","ISSN":"09598146","PMID":"12364305","author":[{"dropping-particle":"","family":"Luck","given":"Amy J.","non-dropping-particle":"","parse-names":false,"suffix":""},{"dropping-particle":"","family":"Morgan","given":"John F.","non-dropping-particle":"","parse-names":false,"suffix":""},{"dropping-particle":"","family":"Reid","given":"Fiona","non-dropping-particle":"","parse-names":false,"suffix":""},{"dropping-particle":"","family":"O'Brien","given":"Aileen","non-dropping-particle":"","parse-names":false,"suffix":""},{"dropping-particle":"","family":"Brunton","given":"Joan","non-dropping-particle":"","parse-names":false,"suffix":""},{"dropping-particle":"","family":"Price","given":"Clare","non-dropping-particle":"","parse-names":false,"suffix":""},{"dropping-particle":"","family":"Perry","given":"Lin","non-dropping-particle":"","parse-names":false,"suffix":""},{"dropping-particle":"","family":"Lacey","given":"J. Hubert","non-dropping-particle":"","parse-names":false,"suffix":""}],"container-title":"British Medical Journal","id":"ITEM-1","issue":"7367","issued":{"date-parts":[["2002","10","5"]]},"page":"755-756","title":"The SCOFF questionnaire and clinical interview for eating disorders in general practice: Comparative study","type":"article-journal","volume":"325"},"uris":["http://www.mendeley.com/documents/?uuid=383f9dfa-fd3a-39d7-8958-c712ce1b46b1"]}],"mendeley":{"formattedCitation":"(Luck et al., 2002)","plainTextFormattedCitation":"(Luck et al., 2002)","previouslyFormattedCitation":"(Luck et al., 2002)"},"properties":{"noteIndex":0},"schema":"https://github.com/citation-style-language/schema/raw/master/csl-citation.json"}</w:instrText>
      </w:r>
      <w:r>
        <w:fldChar w:fldCharType="separate"/>
      </w:r>
      <w:r w:rsidRPr="004139F1">
        <w:rPr>
          <w:noProof/>
        </w:rPr>
        <w:t>(Luck et al., 2002)</w:t>
      </w:r>
      <w:r>
        <w:fldChar w:fldCharType="end"/>
      </w:r>
      <w:r w:rsidRPr="009E26D1">
        <w:t xml:space="preserve"> is a validated screening tool for detection of eating disorders, specifically either anorexia nervosa or bulimia nervosa. A score of 2 and above indicates high likelihood of </w:t>
      </w:r>
      <w:r>
        <w:t>anorexia nervosa or bulimia nervosa.</w:t>
      </w:r>
    </w:p>
    <w:p w14:paraId="33E7F3B5" w14:textId="145B3DAA" w:rsidR="0089571F" w:rsidRDefault="00A535DB" w:rsidP="008F5895">
      <w:pPr>
        <w:pStyle w:val="Heading3"/>
      </w:pPr>
      <w:bookmarkStart w:id="13" w:name="_Toc65760841"/>
      <w:r>
        <w:t>S2</w:t>
      </w:r>
      <w:r w:rsidR="0089571F">
        <w:t xml:space="preserve">.4 </w:t>
      </w:r>
      <w:r w:rsidR="0089571F" w:rsidRPr="00C765F1">
        <w:t xml:space="preserve">Eating Disorder </w:t>
      </w:r>
      <w:r w:rsidR="00E32818">
        <w:t>E</w:t>
      </w:r>
      <w:r w:rsidR="0089571F" w:rsidRPr="00C765F1">
        <w:t xml:space="preserve">xamination </w:t>
      </w:r>
      <w:r w:rsidR="00E32818">
        <w:t>Q</w:t>
      </w:r>
      <w:r w:rsidR="0089571F" w:rsidRPr="00C765F1">
        <w:t>uestionnaire</w:t>
      </w:r>
      <w:bookmarkEnd w:id="13"/>
      <w:r w:rsidR="0089571F" w:rsidRPr="00C765F1">
        <w:t xml:space="preserve"> </w:t>
      </w:r>
    </w:p>
    <w:p w14:paraId="647D3175" w14:textId="77777777" w:rsidR="0089571F" w:rsidRDefault="0089571F" w:rsidP="0089571F">
      <w:r>
        <w:t xml:space="preserve">The </w:t>
      </w:r>
      <w:r w:rsidRPr="00C765F1">
        <w:t xml:space="preserve">Eating Disorder </w:t>
      </w:r>
      <w:r>
        <w:t>E</w:t>
      </w:r>
      <w:r w:rsidRPr="00C765F1">
        <w:t xml:space="preserve">xamination </w:t>
      </w:r>
      <w:r>
        <w:t>Q</w:t>
      </w:r>
      <w:r w:rsidRPr="00C765F1">
        <w:t xml:space="preserve">uestionnaire </w:t>
      </w:r>
      <w:r>
        <w:t xml:space="preserve">EDE-Q </w:t>
      </w:r>
      <w:r>
        <w:fldChar w:fldCharType="begin" w:fldLock="1"/>
      </w:r>
      <w:r>
        <w:instrText>ADDIN CSL_CITATION {"citationItems":[{"id":"ITEM-1","itemData":{"author":[{"dropping-particle":"","family":"Fairburn","given":"CG","non-dropping-particle":"","parse-names":false,"suffix":""},{"dropping-particle":"","family":"Beglin","given":"SJ","non-dropping-particle":"","parse-names":false,"suffix":""}],"container-title":"International Journal of Eating Disorders","id":"ITEM-1","issue":"4","issued":{"date-parts":[["1994"]]},"page":"363‐370","title":"Assessment of eating disorders: interview or self-report questionnaire?","type":"article-journal","volume":"16"},"uris":["http://www.mendeley.com/documents/?uuid=9877d309-fa7b-4109-997d-8d5397fa4da4"]}],"mendeley":{"formattedCitation":"(Fairburn and Beglin, 1994)","plainTextFormattedCitation":"(Fairburn and Beglin, 1994)","previouslyFormattedCitation":"(Fairburn and Beglin, 1994)"},"properties":{"noteIndex":0},"schema":"https://github.com/citation-style-language/schema/raw/master/csl-citation.json"}</w:instrText>
      </w:r>
      <w:r>
        <w:fldChar w:fldCharType="separate"/>
      </w:r>
      <w:r w:rsidRPr="004139F1">
        <w:rPr>
          <w:noProof/>
        </w:rPr>
        <w:t>(Fairburn and Beglin, 1994)</w:t>
      </w:r>
      <w:r>
        <w:fldChar w:fldCharType="end"/>
      </w:r>
      <w:r>
        <w:t xml:space="preserve"> </w:t>
      </w:r>
      <w:r w:rsidRPr="00C765F1">
        <w:t xml:space="preserve">is widely </w:t>
      </w:r>
      <w:r>
        <w:t xml:space="preserve">used </w:t>
      </w:r>
      <w:r w:rsidRPr="00C765F1">
        <w:t>measure of eating disorder psychopathology</w:t>
      </w:r>
      <w:r>
        <w:t>; i</w:t>
      </w:r>
      <w:r w:rsidRPr="00C765F1">
        <w:t xml:space="preserve">t </w:t>
      </w:r>
      <w:r>
        <w:t>assesses</w:t>
      </w:r>
      <w:r w:rsidRPr="00C765F1">
        <w:t xml:space="preserve"> the range and severity of eating disorder features.</w:t>
      </w:r>
      <w:r>
        <w:t xml:space="preserve"> The EDE-Q has four subscales: a) Restraint b) Eating </w:t>
      </w:r>
      <w:r w:rsidRPr="00C765F1">
        <w:t>Con</w:t>
      </w:r>
      <w:r>
        <w:t xml:space="preserve">cern, c) </w:t>
      </w:r>
      <w:r w:rsidRPr="00C765F1">
        <w:t>Weight</w:t>
      </w:r>
      <w:r>
        <w:t xml:space="preserve"> </w:t>
      </w:r>
      <w:r w:rsidRPr="00C765F1">
        <w:t>Concern</w:t>
      </w:r>
      <w:r>
        <w:t xml:space="preserve">, d) </w:t>
      </w:r>
      <w:r w:rsidRPr="00C765F1">
        <w:t>Shape</w:t>
      </w:r>
      <w:r>
        <w:t xml:space="preserve"> </w:t>
      </w:r>
      <w:r w:rsidRPr="00C765F1">
        <w:t>Concern</w:t>
      </w:r>
      <w:r>
        <w:t xml:space="preserve"> and a </w:t>
      </w:r>
      <w:r w:rsidRPr="00C765F1">
        <w:t>Global</w:t>
      </w:r>
      <w:r>
        <w:t xml:space="preserve"> </w:t>
      </w:r>
      <w:r w:rsidRPr="00C765F1">
        <w:t>Score</w:t>
      </w:r>
      <w:r>
        <w:t xml:space="preserve">. </w:t>
      </w:r>
    </w:p>
    <w:p w14:paraId="31DF3304" w14:textId="7F987315" w:rsidR="0089571F" w:rsidRDefault="00A535DB" w:rsidP="008F5895">
      <w:pPr>
        <w:pStyle w:val="Heading3"/>
      </w:pPr>
      <w:bookmarkStart w:id="14" w:name="_Toc65760842"/>
      <w:r>
        <w:t>S2</w:t>
      </w:r>
      <w:r w:rsidR="0089571F">
        <w:t>.5 Body dissatisfaction</w:t>
      </w:r>
      <w:bookmarkEnd w:id="14"/>
    </w:p>
    <w:p w14:paraId="5AB4EE4D" w14:textId="1EB0FE05" w:rsidR="0089571F" w:rsidRDefault="0089571F" w:rsidP="0089571F">
      <w:r w:rsidRPr="00197FE8">
        <w:t>Body Image Avoidance Questionnaire (BIAQ)</w:t>
      </w:r>
      <w:r>
        <w:t xml:space="preserve"> </w:t>
      </w:r>
      <w:r>
        <w:fldChar w:fldCharType="begin" w:fldLock="1"/>
      </w:r>
      <w:r>
        <w:instrText>ADDIN CSL_CITATION {"citationItems":[{"id":"ITEM-1","itemData":{"author":[{"dropping-particle":"","family":"Rosen","given":"James C.","non-dropping-particle":"","parse-names":false,"suffix":""},{"dropping-particle":"","family":"Srebnik","given":"Debra","non-dropping-particle":"","parse-names":false,"suffix":""},{"dropping-particle":"","family":"Saltzberg","given":"Elayne","non-dropping-particle":"","parse-names":false,"suffix":""},{"dropping-particle":"","family":"Wendt","given":"Sally","non-dropping-particle":"","parse-names":false,"suffix":""}],"container-title":"Psychological Assessment","id":"ITEM-1","issue":"1","issued":{"date-parts":[["1991"]]},"page":"32-37","title":"Development of a body image avoidance questionnaire.","type":"article-journal","volume":"3"},"uris":["http://www.mendeley.com/documents/?uuid=85eae070-a1d8-491e-8f94-4945743443d6"]}],"mendeley":{"formattedCitation":"(Rosen et al., 1991)","plainTextFormattedCitation":"(Rosen et al., 1991)","previouslyFormattedCitation":"(Rosen et al., 1991)"},"properties":{"noteIndex":0},"schema":"https://github.com/citation-style-language/schema/raw/master/csl-citation.json"}</w:instrText>
      </w:r>
      <w:r>
        <w:fldChar w:fldCharType="separate"/>
      </w:r>
      <w:r w:rsidRPr="004139F1">
        <w:rPr>
          <w:noProof/>
        </w:rPr>
        <w:t>(Rosen et al., 1991)</w:t>
      </w:r>
      <w:r>
        <w:fldChar w:fldCharType="end"/>
      </w:r>
      <w:r>
        <w:t xml:space="preserve"> is a </w:t>
      </w:r>
      <w:r w:rsidRPr="00E832A5">
        <w:t xml:space="preserve">s a self-report measure of </w:t>
      </w:r>
      <w:proofErr w:type="spellStart"/>
      <w:r w:rsidRPr="00E832A5">
        <w:t>behavioral</w:t>
      </w:r>
      <w:proofErr w:type="spellEnd"/>
      <w:r w:rsidRPr="00E832A5">
        <w:t xml:space="preserve"> avoidance of experiences that could increase body image-related distress or dissatisfaction.</w:t>
      </w:r>
      <w:r>
        <w:t xml:space="preserve"> </w:t>
      </w:r>
      <w:r w:rsidRPr="00197FE8">
        <w:t>The Body Shape Questionnaire (BSQ) is a self-report questionnaire that was developed to measure concerns about body shape</w:t>
      </w:r>
      <w:r>
        <w:t xml:space="preserve"> </w:t>
      </w:r>
      <w:r>
        <w:fldChar w:fldCharType="begin" w:fldLock="1"/>
      </w:r>
      <w:r>
        <w:instrText>ADDIN CSL_CITATION {"citationItems":[{"id":"ITEM-1","itemData":{"DOI":"10.1002/1098-108X(198707)6:4&lt;485::AID-EAT2260060405&gt;3.0.CO;2-O","ISSN":"1098-108X","author":[{"dropping-particle":"","family":"Cooper","given":"Peter J.","non-dropping-particle":"","parse-names":false,"suffix":""},{"dropping-particle":"","family":"Taylor","given":"Melanie J.","non-dropping-particle":"","parse-names":false,"suffix":""},{"dropping-particle":"","family":"Cooper","given":"Zafra","non-dropping-particle":"","parse-names":false,"suffix":""},{"dropping-particle":"","family":"Fairbum","given":"Christopher G.","non-dropping-particle":"","parse-names":false,"suffix":""}],"container-title":"International Journal of Eating Disorders","id":"ITEM-1","issue":"4","issued":{"date-parts":[["1987","7","1"]]},"page":"485-494","publisher":"John Wiley &amp; Sons, Ltd","title":"The development and validation of the body shape questionnaire","type":"article-journal","volume":"6"},"uris":["http://www.mendeley.com/documents/?uuid=73549785-ae4f-3379-b551-094153ff769b"]}],"mendeley":{"formattedCitation":"(Cooper et al., 1987)","plainTextFormattedCitation":"(Cooper et al., 1987)","previouslyFormattedCitation":"(Cooper et al., 1987)"},"properties":{"noteIndex":0},"schema":"https://github.com/citation-style-language/schema/raw/master/csl-citation.json"}</w:instrText>
      </w:r>
      <w:r>
        <w:fldChar w:fldCharType="separate"/>
      </w:r>
      <w:r w:rsidRPr="004139F1">
        <w:rPr>
          <w:noProof/>
        </w:rPr>
        <w:t>(Cooper et al., 1987)</w:t>
      </w:r>
      <w:r>
        <w:fldChar w:fldCharType="end"/>
      </w:r>
      <w:r w:rsidRPr="00197FE8">
        <w:t>.</w:t>
      </w:r>
      <w:r>
        <w:t xml:space="preserve"> </w:t>
      </w:r>
      <w:r w:rsidRPr="00301313">
        <w:t>The body dissatisfaction subscale of the Body Attitude</w:t>
      </w:r>
      <w:r w:rsidR="00952651">
        <w:t>s</w:t>
      </w:r>
      <w:r w:rsidRPr="00301313">
        <w:t xml:space="preserve"> Test</w:t>
      </w:r>
      <w:r>
        <w:t xml:space="preserve"> </w:t>
      </w:r>
      <w:r w:rsidRPr="00301313">
        <w:t xml:space="preserve">(BAT; Probst et al. 1995) </w:t>
      </w:r>
      <w:r>
        <w:t>is a</w:t>
      </w:r>
      <w:r w:rsidRPr="00301313">
        <w:t xml:space="preserve"> measure body dissatisfaction</w:t>
      </w:r>
      <w:r>
        <w:t xml:space="preserve"> </w:t>
      </w:r>
      <w:r>
        <w:fldChar w:fldCharType="begin" w:fldLock="1"/>
      </w:r>
      <w:r>
        <w:instrText>ADDIN CSL_CITATION {"citationItems":[{"id":"ITEM-1","itemData":{"DOI":"10.1080/10640269508249156","ISSN":"1532530X","abstract":"The Body Attitude Test (BAT) is a new self-report questionnaire developed for female patients suffering from eating disorders. Its psychometric characteristics have been tested in a large number of patients and control subjects (eating disorders, Weight Watchers, and normal subjects). Repeated analyses yielded a stable four factor structure: Negative appreciation of body size, lack of familiarity with one’s own body, general body dissatisfaction, and a rest factor. Repeated tests in different subgroups have shown the BA T to be reliable and valid, as well as easy and practical (only 20 items). © 1995 Taylor &amp; Francis Group, LLC.","author":[{"dropping-particle":"","family":"Probst","given":"Michel","non-dropping-particle":"","parse-names":false,"suffix":""},{"dropping-particle":"","family":"Vandereycken","given":"Walter","non-dropping-particle":"","parse-names":false,"suffix":""},{"dropping-particle":"Van","family":"Coppenolle","given":"Herman","non-dropping-particle":"","parse-names":false,"suffix":""},{"dropping-particle":"","family":"Vanderlinden","given":"Johan","non-dropping-particle":"","parse-names":false,"suffix":""}],"container-title":"Eating Disorders","id":"ITEM-1","issue":"2","issued":{"date-parts":[["1995"]]},"page":"133-144","title":"The body attitude test for patients with an eating disorder: Psychometric characteristics of a new questionnaire","type":"article-journal","volume":"3"},"uris":["http://www.mendeley.com/documents/?uuid=18b30c7f-9ed3-3f7d-9370-5faad9ad436e"]}],"mendeley":{"formattedCitation":"(Probst et al., 1995)","plainTextFormattedCitation":"(Probst et al., 1995)","previouslyFormattedCitation":"(Probst et al., 1995)"},"properties":{"noteIndex":0},"schema":"https://github.com/citation-style-language/schema/raw/master/csl-citation.json"}</w:instrText>
      </w:r>
      <w:r>
        <w:fldChar w:fldCharType="separate"/>
      </w:r>
      <w:r w:rsidRPr="004139F1">
        <w:rPr>
          <w:noProof/>
        </w:rPr>
        <w:t>(Probst et al., 1995)</w:t>
      </w:r>
      <w:r>
        <w:fldChar w:fldCharType="end"/>
      </w:r>
      <w:r w:rsidRPr="00301313">
        <w:t>.</w:t>
      </w:r>
      <w:r>
        <w:t xml:space="preserve"> The </w:t>
      </w:r>
      <w:r w:rsidRPr="00E832A5">
        <w:t>Body Image States Scale</w:t>
      </w:r>
      <w:r>
        <w:t xml:space="preserve"> (BISS) is a six-item scale of body image evaluation </w:t>
      </w:r>
      <w:r>
        <w:fldChar w:fldCharType="begin" w:fldLock="1"/>
      </w:r>
      <w:r>
        <w:instrText>ADDIN CSL_CITATION {"citationItems":[{"id":"ITEM-1","itemData":{"DOI":"10.1080/10640260290081678","ISSN":"10640266","abstract":"The need exists for a psychometrically sound measure of individuals’ evaluative/affective body image states. In the present investigation with 174 college students, the six-item Body Image States Scale (BISS) was developed and found to be acceptably internally consistent and moderately stable. Evincing its convergent validity, the BISS was appropriately correlated with various trait measures of body image. It was sensitive to reactions in positive versus negative situational contexts. Sex differences reflected those expected from the literature. Construct validity was confirmed by an experiment on persons’ differential reactivity to appearance-related information as a function of level of dysfunctional body-image investment. The BISS is a unique and much-needed measure with potential utility in both research and clinical work. © 2002 Brunner/Routledge.","author":[{"dropping-particle":"","family":"Cash","given":"Thomas F.","non-dropping-particle":"","parse-names":false,"suffix":""},{"dropping-particle":"","family":"Fleming","given":"Emily C.","non-dropping-particle":"","parse-names":false,"suffix":""},{"dropping-particle":"","family":"Alindogan","given":"Jenny","non-dropping-particle":"","parse-names":false,"suffix":""},{"dropping-particle":"","family":"Steadman","given":"Laura","non-dropping-particle":"","parse-names":false,"suffix":""},{"dropping-particle":"","family":"Whitehead","given":"Abigail","non-dropping-particle":"","parse-names":false,"suffix":""}],"container-title":"Eating Disorders","id":"ITEM-1","issue":"2","issued":{"date-parts":[["2002"]]},"page":"103-113","title":"Beyond body image as a trait: The development and validation of the body image states scale","type":"article-journal","volume":"10"},"uris":["http://www.mendeley.com/documents/?uuid=de3916ad-ef7d-3994-bc82-4040e1986104"]}],"mendeley":{"formattedCitation":"(Cash et al., 2002)","plainTextFormattedCitation":"(Cash et al., 2002)","previouslyFormattedCitation":"(Cash et al., 2002)"},"properties":{"noteIndex":0},"schema":"https://github.com/citation-style-language/schema/raw/master/csl-citation.json"}</w:instrText>
      </w:r>
      <w:r>
        <w:fldChar w:fldCharType="separate"/>
      </w:r>
      <w:r w:rsidRPr="004139F1">
        <w:rPr>
          <w:noProof/>
        </w:rPr>
        <w:t>(Cash et al., 2002)</w:t>
      </w:r>
      <w:r>
        <w:fldChar w:fldCharType="end"/>
      </w:r>
      <w:r>
        <w:t xml:space="preserve">. </w:t>
      </w:r>
      <w:r w:rsidRPr="00E832A5">
        <w:t xml:space="preserve"> </w:t>
      </w:r>
      <w:r>
        <w:t xml:space="preserve">The </w:t>
      </w:r>
      <w:r w:rsidRPr="002840AB">
        <w:t>Contour Drawing Rating Scale (CDRS)</w:t>
      </w:r>
      <w:r>
        <w:t xml:space="preserve"> difference score is aimed to ascertain the difference between perceived and desired body shape </w:t>
      </w:r>
      <w:r>
        <w:fldChar w:fldCharType="begin" w:fldLock="1"/>
      </w:r>
      <w:r>
        <w:instrText>ADDIN CSL_CITATION {"citationItems":[{"id":"ITEM-1","itemData":{"DOI":"10.1207/s15327752jpa6402_6","ISSN":"15327752","abstract":"This investigation reports the development and validation of a new and improved body-image assessment tool, the Contour Drawing Rating Scale, consisting of nine male and nine female contour drawings. The drawings were designed with detailed features, are of precisely graduated sizes, and are easily split at the waist for accurate upper and lower body comparisons. Initial evidence of the scale's reliability and validity supports its use as a measure of body-size perception. © 1995, Taylor &amp; Francis Group, LLC. All rights reserved.","author":[{"dropping-particle":"","family":"Thompson","given":"Marjorie A.","non-dropping-particle":"","parse-names":false,"suffix":""},{"dropping-particle":"","family":"Gray","given":"James J.","non-dropping-particle":"","parse-names":false,"suffix":""}],"container-title":"Journal of Personality Assessment","id":"ITEM-1","issue":"2","issued":{"date-parts":[["1995"]]},"page":"258-269","title":"Development and Validation of a New Body-Image Assessment Scale","type":"article-journal","volume":"64"},"uris":["http://www.mendeley.com/documents/?uuid=25e89721-b7d9-358b-beba-d63fcaf8453f"]}],"mendeley":{"formattedCitation":"(Thompson and Gray, 1995)","plainTextFormattedCitation":"(Thompson and Gray, 1995)","previouslyFormattedCitation":"(Thompson and Gray, 1995)"},"properties":{"noteIndex":0},"schema":"https://github.com/citation-style-language/schema/raw/master/csl-citation.json"}</w:instrText>
      </w:r>
      <w:r>
        <w:fldChar w:fldCharType="separate"/>
      </w:r>
      <w:r w:rsidRPr="004139F1">
        <w:rPr>
          <w:noProof/>
        </w:rPr>
        <w:t>(Thompson and Gray, 1995)</w:t>
      </w:r>
      <w:r>
        <w:fldChar w:fldCharType="end"/>
      </w:r>
      <w:r>
        <w:t>.</w:t>
      </w:r>
      <w:r w:rsidRPr="00301313">
        <w:t xml:space="preserve"> </w:t>
      </w:r>
      <w:r>
        <w:t xml:space="preserve">Other studies used manifest scales specifically made for the purposes of their study e.g. the body dissatisfaction scale for the </w:t>
      </w:r>
      <w:r w:rsidRPr="004B69AC">
        <w:t>New</w:t>
      </w:r>
      <w:r>
        <w:t xml:space="preserve"> </w:t>
      </w:r>
      <w:r w:rsidRPr="004B69AC">
        <w:t>Zealand Attitudes and Values Study</w:t>
      </w:r>
      <w:r>
        <w:t xml:space="preserve"> (</w:t>
      </w:r>
      <w:r w:rsidRPr="004B69AC">
        <w:t>NZAVS</w:t>
      </w:r>
      <w:r>
        <w:t>)</w:t>
      </w:r>
      <w:r w:rsidRPr="004B69AC">
        <w:t xml:space="preserve"> questionnaire battery</w:t>
      </w:r>
      <w:r>
        <w:t xml:space="preserve"> </w:t>
      </w:r>
      <w:r>
        <w:fldChar w:fldCharType="begin" w:fldLock="1"/>
      </w:r>
      <w:r>
        <w:instrText>ADDIN CSL_CITATION {"citationItems":[{"id":"ITEM-1","itemData":{"DOI":"10.1007/s11199-015-0517-6","ISSN":"15732762","abstract":"Growing media consumption and emerging forms of social media such as Facebook allow for unprecedented appearance-based social comparison with peers, family, and the wider media. We hypothesise that, for adult men and women, body dissatisfaction is related to peer-based media just as it is to traditional media forms. We expect that middle-aged women in particular are a vulnerable population, due to increasing pressure to conform to youthful beauty standards. In a national sample of New Zealand adults collected in 2012 (N = 11,017), we test the cross-sectional links between being a Facebook user and body satisfaction for men and women across age cohorts. Using a Bayesian regression model testing curvilinear effects of age, we show that having and using a Facebook profile is associated with poorer body satisfaction for both men and women, and across all ages. For women who use Facebook, a U-shaped curvilinear relationship was found between age and body satisfaction; thus the gap between non-users and users in body satisfaction was exacerbated among middle-aged women. A possible cohort effect also indicated that young women tend to be lower in body satisfaction overall. These findings add to the extant literature by suggesting that new media exposure may be associated with lower body satisfaction for some populations more than others, and emphasise the importance of examining body satisfaction in older populations.","author":[{"dropping-particle":"","family":"Stronge","given":"Samantha","non-dropping-particle":"","parse-names":false,"suffix":""},{"dropping-particle":"","family":"Greaves","given":"Lara M.","non-dropping-particle":"","parse-names":false,"suffix":""},{"dropping-particle":"","family":"Milojev","given":"Petar","non-dropping-particle":"","parse-names":false,"suffix":""},{"dropping-particle":"","family":"West-Newman","given":"Tim","non-dropping-particle":"","parse-names":false,"suffix":""},{"dropping-particle":"","family":"Barlow","given":"Fiona Kate","non-dropping-particle":"","parse-names":false,"suffix":""},{"dropping-particle":"","family":"Sibley","given":"Chris G.","non-dropping-particle":"","parse-names":false,"suffix":""}],"container-title":"Sex Roles","id":"ITEM-1","issue":"5-6","issued":{"date-parts":[["2015","9","22"]]},"page":"200-213","publisher":"Springer New York LLC","title":"Facebook is Linked to Body Dissatisfaction: Comparing Users and Non-Users","type":"article-journal","volume":"73"},"uris":["http://www.mendeley.com/documents/?uuid=3835291d-1427-3e46-b715-fe688797d45e"]}],"mendeley":{"formattedCitation":"(Stronge et al., 2015)","plainTextFormattedCitation":"(Stronge et al., 2015)","previouslyFormattedCitation":"(Stronge et al., 2015)"},"properties":{"noteIndex":0},"schema":"https://github.com/citation-style-language/schema/raw/master/csl-citation.json"}</w:instrText>
      </w:r>
      <w:r>
        <w:fldChar w:fldCharType="separate"/>
      </w:r>
      <w:r w:rsidRPr="004139F1">
        <w:rPr>
          <w:noProof/>
        </w:rPr>
        <w:t>(Stronge et al., 2015)</w:t>
      </w:r>
      <w:r>
        <w:fldChar w:fldCharType="end"/>
      </w:r>
      <w:r w:rsidRPr="004B69AC">
        <w:t>.</w:t>
      </w:r>
    </w:p>
    <w:p w14:paraId="6A26F59C" w14:textId="5E8EB436" w:rsidR="0089571F" w:rsidRDefault="00A535DB" w:rsidP="008F5895">
      <w:pPr>
        <w:pStyle w:val="Heading3"/>
      </w:pPr>
      <w:bookmarkStart w:id="15" w:name="_Toc65760843"/>
      <w:r>
        <w:t>S2</w:t>
      </w:r>
      <w:r w:rsidR="0089571F">
        <w:t xml:space="preserve">.6 Dietary </w:t>
      </w:r>
      <w:r w:rsidR="0089571F" w:rsidRPr="00EF7095">
        <w:t>restrai</w:t>
      </w:r>
      <w:r w:rsidR="0089571F" w:rsidRPr="00EF7095">
        <w:rPr>
          <w:rStyle w:val="Heading4Char"/>
          <w:i/>
        </w:rPr>
        <w:t>n</w:t>
      </w:r>
      <w:r w:rsidR="0089571F" w:rsidRPr="00EF7095">
        <w:t>t</w:t>
      </w:r>
      <w:bookmarkEnd w:id="15"/>
    </w:p>
    <w:p w14:paraId="73A94240" w14:textId="44F663BC" w:rsidR="0089571F" w:rsidRDefault="0089571F" w:rsidP="0089571F">
      <w:r>
        <w:t xml:space="preserve">The </w:t>
      </w:r>
      <w:r w:rsidRPr="00EF7095">
        <w:t xml:space="preserve">Dutch Eating </w:t>
      </w:r>
      <w:proofErr w:type="spellStart"/>
      <w:r w:rsidRPr="00EF7095">
        <w:t>Behavior</w:t>
      </w:r>
      <w:proofErr w:type="spellEnd"/>
      <w:r w:rsidRPr="00EF7095">
        <w:t xml:space="preserve"> Questionnaire</w:t>
      </w:r>
      <w:r w:rsidR="00391728">
        <w:t xml:space="preserve"> (DEBQ)</w:t>
      </w:r>
      <w:r w:rsidRPr="00EF7095">
        <w:t xml:space="preserve"> </w:t>
      </w:r>
      <w:r>
        <w:fldChar w:fldCharType="begin" w:fldLock="1"/>
      </w:r>
      <w:r>
        <w:instrText>ADDIN CSL_CITATION {"citationItems":[{"id":"ITEM-1","itemData":{"DOI":"10.1002/1098-108X(198602)5:2&lt;295::AID-EAT2260050209&gt;3.0.CO;2-T","ISSN":"1098-108X","author":[{"dropping-particle":"van","family":"Strien","given":"Tatjana","non-dropping-particle":"","parse-names":false,"suffix":""},{"dropping-particle":"","family":"Frijters","given":"Jan E. R.","non-dropping-particle":"","parse-names":false,"suffix":""},{"dropping-particle":"","family":"Bergers","given":"Gerard P. A.","non-dropping-particle":"","parse-names":false,"suffix":""},{"dropping-particle":"","family":"Defares","given":"Peter B.","non-dropping-particle":"","parse-names":false,"suffix":""}],"container-title":"International Journal of Eating Disorders","id":"ITEM-1","issue":"2","issued":{"date-parts":[["1986","2","1"]]},"page":"295-315","publisher":"John Wiley &amp; Sons, Ltd","title":"The Dutch Eating Behavior Questionnaire (DEBQ) for assessment of restrained, emotional, and external eating behavior","type":"article-journal","volume":"5"},"uris":["http://www.mendeley.com/documents/?uuid=7d099f71-4c58-3d56-9a48-82c048889d7c"]}],"mendeley":{"formattedCitation":"(Strien et al., 1986)","plainTextFormattedCitation":"(Strien et al., 1986)","previouslyFormattedCitation":"(Strien et al., 1986)"},"properties":{"noteIndex":0},"schema":"https://github.com/citation-style-language/schema/raw/master/csl-citation.json"}</w:instrText>
      </w:r>
      <w:r>
        <w:fldChar w:fldCharType="separate"/>
      </w:r>
      <w:r w:rsidRPr="004139F1">
        <w:rPr>
          <w:noProof/>
        </w:rPr>
        <w:t>(Strien et al., 1986)</w:t>
      </w:r>
      <w:r>
        <w:fldChar w:fldCharType="end"/>
      </w:r>
      <w:r>
        <w:t xml:space="preserve"> has</w:t>
      </w:r>
      <w:r w:rsidRPr="00EF7095">
        <w:t xml:space="preserve"> high internal consistency and factorial validity</w:t>
      </w:r>
      <w:r>
        <w:t xml:space="preserve"> as well as</w:t>
      </w:r>
      <w:r w:rsidRPr="00EF7095">
        <w:t xml:space="preserve"> external validity</w:t>
      </w:r>
      <w:r w:rsidR="00391728">
        <w:t xml:space="preserve"> </w:t>
      </w:r>
      <w:r w:rsidR="00391728" w:rsidRPr="00391728">
        <w:t>and contain</w:t>
      </w:r>
      <w:r w:rsidR="00391728">
        <w:t>s a 10-item restraint subscale</w:t>
      </w:r>
      <w:r>
        <w:t xml:space="preserve"> (DEBQ-R). Studies have used DEBQ-R or EDE-Q restraint subscale.  </w:t>
      </w:r>
    </w:p>
    <w:p w14:paraId="3B5CFC63" w14:textId="794B3AAD" w:rsidR="00B95E71" w:rsidRDefault="00B95E71">
      <w:pPr>
        <w:spacing w:line="259" w:lineRule="auto"/>
        <w:jc w:val="left"/>
      </w:pPr>
      <w:r>
        <w:br w:type="page"/>
      </w:r>
    </w:p>
    <w:p w14:paraId="4B9F6355" w14:textId="79DBF555" w:rsidR="00B95E71" w:rsidRDefault="00B95E71" w:rsidP="00B95E71">
      <w:pPr>
        <w:pStyle w:val="Heading2"/>
      </w:pPr>
      <w:bookmarkStart w:id="16" w:name="_Toc65760844"/>
      <w:r>
        <w:t xml:space="preserve">Figure </w:t>
      </w:r>
      <w:r w:rsidR="0079101C">
        <w:t>S4</w:t>
      </w:r>
      <w:bookmarkEnd w:id="16"/>
    </w:p>
    <w:p w14:paraId="45CC31A9" w14:textId="3C5E8149" w:rsidR="00B95E71" w:rsidRPr="00B95E71" w:rsidRDefault="00B95E71" w:rsidP="00B95E71">
      <w:r>
        <w:rPr>
          <w:noProof/>
        </w:rPr>
        <w:drawing>
          <wp:inline distT="0" distB="0" distL="0" distR="0" wp14:anchorId="109290E2" wp14:editId="789AF1E4">
            <wp:extent cx="9777730" cy="5499735"/>
            <wp:effectExtent l="0" t="0" r="0" b="571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p>
    <w:p w14:paraId="3CB28374" w14:textId="77777777" w:rsidR="00B95E71" w:rsidRDefault="00B95E71" w:rsidP="00B95E71">
      <w:r w:rsidRPr="0065187E">
        <w:rPr>
          <w:b/>
          <w:i/>
        </w:rPr>
        <w:t>Legend:</w:t>
      </w:r>
      <w:r w:rsidRPr="0065187E">
        <w:t xml:space="preserve"> </w:t>
      </w:r>
      <w:r>
        <w:t>Global map of studies included in the systematic review, indicating the facet of Problematic internet use examined and the size of the study. Geolocation was identified either by the indicated base of where the study took place or alternatively the affiliated address of the first author. Geolocation in areas with high density of studies has been inaccurate on purpose to allow better representation of study density. Studies examining two facets of internet use equally are presented for each facet separately (twice). Hawaii is presented in a separate box together with the Americas.</w:t>
      </w:r>
    </w:p>
    <w:p w14:paraId="56170172" w14:textId="77777777" w:rsidR="00B95E71" w:rsidRDefault="00B95E71" w:rsidP="0089571F"/>
    <w:p w14:paraId="2CC6A357" w14:textId="77777777" w:rsidR="002848BB" w:rsidRDefault="002848BB" w:rsidP="002848BB">
      <w:pPr>
        <w:pStyle w:val="Heading2"/>
      </w:pPr>
      <w:bookmarkStart w:id="17" w:name="_Toc65760845"/>
      <w:r>
        <w:t>References</w:t>
      </w:r>
      <w:bookmarkEnd w:id="17"/>
    </w:p>
    <w:p w14:paraId="0335ABAD" w14:textId="5A42418B" w:rsidR="00F61831" w:rsidRPr="00F61831" w:rsidRDefault="002848BB" w:rsidP="00F61831">
      <w:pPr>
        <w:widowControl w:val="0"/>
        <w:autoSpaceDE w:val="0"/>
        <w:autoSpaceDN w:val="0"/>
        <w:adjustRightInd w:val="0"/>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F61831" w:rsidRPr="00F61831">
        <w:rPr>
          <w:rFonts w:ascii="Calibri" w:hAnsi="Calibri" w:cs="Calibri"/>
          <w:noProof/>
          <w:szCs w:val="24"/>
        </w:rPr>
        <w:t>Ahadzadeh, A.S., Pahlevan Sharif, S., Ong, F.S., 2017. Self-schema and self-discrepancy mediate the influence of Instagram usage on body image satisfaction among youth. Comput. Human Behav. 68, 8–16. https://doi.org/10.1016/j.chb.2016.11.011</w:t>
      </w:r>
    </w:p>
    <w:p w14:paraId="3D07BA14"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Almenara, C.A., Machackova, H., Smahel, D., 2019. Sociodemographic, Attitudinal, and Behavioral Correlates of Using Nutrition, Weight Loss, and Fitness Websites: An Online Survey. J. Med. Internet Res. 21, e10189. https://doi.org/10.2196/10189</w:t>
      </w:r>
    </w:p>
    <w:p w14:paraId="6C7A6DE0"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Alpaslan, A.H., Koçak, U., Avci, K., Uzel Taş, H., 2015. The association between internet addiction and disordered eating attitudes among Turkish high school students. Eat. Weight Disord. 20, 441–448. https://doi.org/10.1007/s40519-015-0197-9</w:t>
      </w:r>
    </w:p>
    <w:p w14:paraId="2FD62EB3"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Aparicio-Martinez, Perea-Moreno, Martinez-Jimenez, Redel-Macías, Pagliari, Vaquero-Abellan, 2019. Social Media, Thin-Ideal, Body Dissatisfaction and Disordered Eating Attitudes: An Exploratory Analysis. Int. J. Environ. Res. Public Health 16, 4177. https://doi.org/10.3390/ijerph16214177</w:t>
      </w:r>
    </w:p>
    <w:p w14:paraId="46CA5A79"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Bair, C.E., Kelly, N.R., Serdar, K.L., Mazzeo, S.E., 2012. Does the Internet function like magazines? An exploration of image-focused media, eating pathology, and body dissatisfaction. Eat. Behav. 13, 398–401. https://doi.org/10.1016/j.eatbeh.2012.06.003</w:t>
      </w:r>
    </w:p>
    <w:p w14:paraId="5BFDBECE"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Bennett, B.L., Whisenhunt, B.L., Hudson, D.L., Wagner, A.F., Latner, J.D., Stefano, E.C., Beauchamp, M.T., 2019. Examining the impact of social media on mood and body dissatisfaction using ecological momentary assessment. J. Am. Coll. Heal. https://doi.org/10.1080/07448481.2019.1583236</w:t>
      </w:r>
    </w:p>
    <w:p w14:paraId="308DBF6D"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Brown, Z., Tiggemann, M., 2016. Attractive celebrity and peer images on Instagram: Effect on women’s mood and body image. Body Image 19, 37–43. https://doi.org/10.1016/j.bodyim.2016.08.007</w:t>
      </w:r>
    </w:p>
    <w:p w14:paraId="48F5833A"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Butkowski, C.P., Dixon, T.L., Weeks, K., 2019. Body Surveillance on Instagram: Examining the Role of Selfie Feedback Investment in Young Adult Women’s Body Image Concerns. Sex Roles 81, 385–397. https://doi.org/10.1007/s11199-018-0993-6</w:t>
      </w:r>
    </w:p>
    <w:p w14:paraId="0DB81E9E"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Canan, F., Yildirim, O., Ustunel, T.Y., Sinani, G., Kaleli, A.H., Gunes, C., Ataoglu, A., 2014. The Relationship Between Internet Addiction and Body Mass Index in Turkish Adolescents 1 17, 40–45. https://doi.org/10.1089/cyber.2012.0733</w:t>
      </w:r>
    </w:p>
    <w:p w14:paraId="6B7B3F01"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Cañon Buitrago, S.C., Castaño Castrillón, J.J., Hoyos Monroy, D.C., Jaramillo Hernández, J.C., Leal Ríos, D.R., Rincón Viveros, R., Sánchez Preciado, E.A., Urueña Calderón, L.S., 2016. Uso de internet y su relación con la salud en estudiantes universitarios de la ciudad de Manizales (Caldas-Colombia), 2015-2016. Arch. Med. 16, 312–325. https://doi.org/10.30554/archmed.16.2.1735.2016</w:t>
      </w:r>
    </w:p>
    <w:p w14:paraId="722CFEA0"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Carrotte, E.R., Vella, A.M., Lim, M.S.C., 2015. Predictors of “Liking” Three Types of Health and Fitness-Related Content on Social Media: A Cross-Sectional Study. J. Med. Internet Res. 17, e205. https://doi.org/10.2196/jmir.4803</w:t>
      </w:r>
    </w:p>
    <w:p w14:paraId="4331244E"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Carter, A., Forrest, J.I., Kaida, A., 2017. Association between internet use and body dissatisfaction among young females: Cross-sectional analysis of the canadian community health survey. J. Med. Internet Res. https://doi.org/10.2196/jmir.5636</w:t>
      </w:r>
    </w:p>
    <w:p w14:paraId="4F4A98A1"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Cash, T.F., Fleming, E.C., Alindogan, J., Steadman, L., Whitehead, A., 2002. Beyond body image as a trait: The development and validation of the body image states scale. Eat. Disord. 10, 103–113. https://doi.org/10.1080/10640260290081678</w:t>
      </w:r>
    </w:p>
    <w:p w14:paraId="7BCE3F96"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Çelik, Ç.B., Odacı, H., Bayraktar, N., 2015. Is problematic internet use an indicator of eating disorders among Turkish university students? Eat. Weight Disord. 20, 167–172. https://doi.org/10.1007/s40519-014-0150-3</w:t>
      </w:r>
    </w:p>
    <w:p w14:paraId="326A5B4C"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Chen, S.-H., Weng, L.-J., Su, Y.-J., Wu, H.-M., Yang, P.-F., 2003. Development of a Chinese Internet Addiction Scale and Its Psychometric Study. Chinese J. Psychol. 45, 279–294.</w:t>
      </w:r>
    </w:p>
    <w:p w14:paraId="353D4B8D"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Cohen, R., Blaszczynski, A., 2015. Comparative effects of Facebook and conventional media on body image dissatisfaction. J. Eat. Disord. 3. https://doi.org/10.1186/s40337-015-0061-3</w:t>
      </w:r>
    </w:p>
    <w:p w14:paraId="0B882B01"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Cohen, R., Newton-John, T., Slater, A., 2017. The relationship between Facebook and Instagram appearance-focused activities and body image concerns in young women. Body Image 23, 183–187. https://doi.org/10.1016/j.bodyim.2017.10.002</w:t>
      </w:r>
    </w:p>
    <w:p w14:paraId="01E6837C"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Cooper, P.J., Taylor, M.J., Cooper, Z., Fairbum, C.G., 1987. The development and validation of the body shape questionnaire. Int. J. Eat. Disord. 6, 485–494. https://doi.org/10.1002/1098-108X(198707)6:4&lt;485::AID-EAT2260060405&gt;3.0.CO;2-O</w:t>
      </w:r>
    </w:p>
    <w:p w14:paraId="034ECF6B"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de Vries, D.A., Peter, J., de Graaf, H., Nikken, P., 2016. Adolescents’ Social Network Site Use, Peer Appearance-Related Feedback, and Body Dissatisfaction: Testing a Mediation Model. J. Youth Adolesc. 45, 211–224. https://doi.org/10.1007/s10964-015-0266-4</w:t>
      </w:r>
    </w:p>
    <w:p w14:paraId="0177E52A"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de Vries, D.A., Vossen, H.G.M., van der Kolk – van der Boom, P., 2019. Social Media and Body Dissatisfaction: Investigating the Attenuating Role of Positive Parent–Adolescent Relationships. J. Youth Adolesc. 48, 527–536. https://doi.org/10.1007/s10964-018-0956-9</w:t>
      </w:r>
    </w:p>
    <w:p w14:paraId="6F9F2397"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Demetrovics, Z., Szeredi, B., Rózsa, S., 2008. The three-factor model of Internet addiction: The development of the Problematic Internet Use Questionnaire. Behav. Res. Methods 40, 563–574. https://doi.org/10.3758/BRM.40.2.563</w:t>
      </w:r>
    </w:p>
    <w:p w14:paraId="472537EE"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Eckler, P., Kalyango, Y., Paasch, E., 2017. Facebook use and negative body image among U.S. college women. Women Heal. 57, 249–267. https://doi.org/10.1080/03630242.2016.1159268</w:t>
      </w:r>
    </w:p>
    <w:p w14:paraId="79DF7628"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Embacher Martin, K., McGloin, R., Atkin, D., 2018. Body dissatisfaction, neuroticism, and female sex as predictors of calorie-tracking app use amongst college students. J. Am. Coll. Heal. 66, 608–616. https://doi.org/10.1080/07448481.2018.1431905</w:t>
      </w:r>
    </w:p>
    <w:p w14:paraId="0CC4CE6D"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Fairburn, C., Beglin, S., 1994. Assessment of eating disorders: interview or self-report questionnaire? Int. J. Eat. Disord. 16, 363‐370.</w:t>
      </w:r>
    </w:p>
    <w:p w14:paraId="752FE2AB"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Fardouly, J., Diedrichs, P.C., Vartanian, L.R., Halliwell, E., 2015. Social comparisons on social media: The impact of Facebook on young women’s body image concerns and mood. Body Image 13, 38–45. https://doi.org/10.1016/j.bodyim.2014.12.002</w:t>
      </w:r>
    </w:p>
    <w:p w14:paraId="4917A75E"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Fardouly, J., Vartanian, L.R., 2015. Negative comparisons about one’s appearance mediate the relationship between Facebook usage and body image concerns. Body Image 12, 82–88. https://doi.org/10.1016/j.bodyim.2014.10.004</w:t>
      </w:r>
    </w:p>
    <w:p w14:paraId="2B7C94B2"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Ferguson, C.J., Muñoz, M.E., Garza, A., Galindo, M., 2014. Concurrent and Prospective Analyses of Peer, Television and Social Media Influences on Body Dissatisfaction, Eating Disorder Symptoms and Life Satisfaction in Adolescent Girls. J. Youth Adolesc. 43, 1–14. https://doi.org/10.1007/s10964-012-9898-9</w:t>
      </w:r>
    </w:p>
    <w:p w14:paraId="65613872"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Fernández-villa, T., Ojeda, J.A., Gómez, A.A., María, J., Carral, C., Delgado-rodríguez, M., García-martín, M., Jiménez-mejías, E., Llorca, J., Molina, A.J., 2015. Problematic Internet Use in University Students: associated factors and differences of gender 27, 265–275.</w:t>
      </w:r>
    </w:p>
    <w:p w14:paraId="5DBF47B3"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Frison, E., Eggermont, S., 2016. Exploring the Relationships Between Different Types of Facebook Use, Perceived Online Social Support, and Adolescents’ Depressed Mood. Soc. Sci. Comput. Rev. 34, 153–171. https://doi.org/10.1177/0894439314567449</w:t>
      </w:r>
    </w:p>
    <w:p w14:paraId="0E2E9983"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Garner, D.M., Bohr, Y., Garfinkel, P.E., 1982. The Eating Attitudes Test: Psychometric Features and Clinical Correlates. Psychol. Med. 12, 871–878. https://doi.org/10.1017/S0033291700049163</w:t>
      </w:r>
    </w:p>
    <w:p w14:paraId="2CC3F741"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Garner, D.M., Olmstead, M.P., Polivy, J., 1983. Development and validation of a multidimensional eating disorder inventory for anorexia nervosa and bulimia. Int. J. Eat. Disord. 2, 15–34. https://doi.org/10.1002/1098-108X(198321)2:2&lt;15::AID-EAT2260020203&gt;3.0.CO;2-6</w:t>
      </w:r>
    </w:p>
    <w:p w14:paraId="74F14915"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Griffiths, S., Castle, D., Cunningham, M., Murray, S.B., Bastian, B., Barlow, F.K., 2018a. How does exposure to thinspiration and fitspiration relate to symptom severity among individuals with eating disorders? Evaluation of a proposed model. Body Image 27, 187–195. https://doi.org/10.1016/j.bodyim.2018.10.002</w:t>
      </w:r>
    </w:p>
    <w:p w14:paraId="678DADFA"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Griffiths, S., Murray, S.B., Krug, I., McLean, S.A., 2018b. The Contribution of Social Media to Body Dissatisfaction, Eating Disorder Symptoms, and Anabolic Steroid Use Among Sexual Minority Men. Cyberpsychology, Behav. Soc. Netw. 21, 149–156. https://doi.org/10.1089/cyber.2017.0375</w:t>
      </w:r>
    </w:p>
    <w:p w14:paraId="415839B2"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Hendrickse, J., Arpan, L.M., Clayton, R.B., Ridgway, J.L., 2017. Instagram and college women’s body image: Investigating the roles of appearance-related comparisons and intrasexual competition. Comput. Human Behav. 74, 92–100. https://doi.org/10.1016/j.chb.2017.04.027</w:t>
      </w:r>
    </w:p>
    <w:p w14:paraId="70AA2E63"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Holland, G., Tiggemann, M., 2017. “Strong beats skinny every time”: Disordered eating and compulsive exercise in women who post fitspiration on Instagram. Int. J. Eat. Disord. 50, 76–79. https://doi.org/10.1002/eat.22559</w:t>
      </w:r>
    </w:p>
    <w:p w14:paraId="4BC28C2B"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Hsieh, K.Y., Hsiao, R.C., Yang, Y.H., Liu, T.L., Yen, C.F., 2018. Predictive effects of sex, age, depression, and problematic behaviors on the incidence and remission of internet addiction in college students: A prospective study. Int. J. Environ. Res. Public Health 15. https://doi.org/10.3390/ijerph15122861</w:t>
      </w:r>
    </w:p>
    <w:p w14:paraId="01881F5F"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Hummel, A.C., Smith, A.R., 2015. Ask and you shall receive: Desire and receipt of feedback via Facebook predicts disordered eating concerns. Int. J. Eat. Disord. 48, 436–442. https://doi.org/10.1002/eat.22336</w:t>
      </w:r>
    </w:p>
    <w:p w14:paraId="5E283981"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Ivezaj, V., Potenza, M.N., Grilo, C.M., White, M.A., 2017. An exploratory examination of At-Risk/Problematic Internet Use and disordered eating in adults. Addict. Behav. 64, 301–307. https://doi.org/10.1016/j.addbeh.2015.11.015</w:t>
      </w:r>
    </w:p>
    <w:p w14:paraId="4832FA55"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Kamal, Nashwa Nabil, Kamal, Nashaat Nabil, 2018. Determinants of problematic internet use and its association with disordered eating attitudes among minia university students. Int. J. Prev. Med. 9. https://doi.org/10.4103/ijpvm.IJPVM_489_17</w:t>
      </w:r>
    </w:p>
    <w:p w14:paraId="66BA6678"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Kelly, Y., Zilanawala, A., Booker, C., Sacker, A., 2018. Social Media Use and Adolescent Mental Health: Findings From the UK Millennium Cohort Study. EClinicalMedicine 6, 59–68. https://doi.org/10.1016/j.eclinm.2018.12.005</w:t>
      </w:r>
    </w:p>
    <w:p w14:paraId="17F9F066"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Kim, J.W., Chock, T.M., 2015. Body image 2.0: Associations between social grooming on Facebook and body image concerns. Comput. Human Behav. 48, 331–339. https://doi.org/10.1016/j.chb.2015.01.009</w:t>
      </w:r>
    </w:p>
    <w:p w14:paraId="6A88349F"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Kvardova, N., Machackova, H., Smahel, D., 2020. The direct and indirect effects of online social support, neuroticism, and web content internalization on the drive for thinness among women visiting health-oriented websites. Int. J. Environ. Res. Public Health 17. https://doi.org/10.3390/ijerph17072416</w:t>
      </w:r>
    </w:p>
    <w:p w14:paraId="0657A11D"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Lee, H.R., Lee, H.E., Choi, J., Kim, J.H., Han, H.L., 2014. Social media use, body image, and psychological well-being: A cross-cultural comparison of korea and the united states. J. Health Commun. 19, 1343–1358. https://doi.org/10.1080/10810730.2014.904022</w:t>
      </w:r>
    </w:p>
    <w:p w14:paraId="6ACC97D8"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Levinson, C.A., Fewell, L., Brosof, L.C., 2017. My Fitness Pal calorie tracker usage in the eating disorders. Eat. Behav. 27, 14–16. https://doi.org/10.1016/j.eatbeh.2017.08.003</w:t>
      </w:r>
    </w:p>
    <w:p w14:paraId="45EA3028"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Linardon, J., Messer, M., 2019. My fitness pal usage in men: Associations with eating disorder symptoms and psychosocial impairment. Eat. Behav. 33, 13–17. https://doi.org/10.1016/j.eatbeh.2019.02.003</w:t>
      </w:r>
    </w:p>
    <w:p w14:paraId="44463D95"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Lonergan, A.R., Bussey, K., Mond, J., Brown, O., Giffiths, S., Muray, S.B., Mitchison, D., 2019. Me, my selfie, and I: The relationship between editing and posting selfies and body dissatisfaction in men and women. Body Image 28, 39–43. https://doi.org/10.1016/j.bodyim.2018.12.001</w:t>
      </w:r>
    </w:p>
    <w:p w14:paraId="55B548CE"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Luck, A.J., Morgan, J.F., Reid, F., O’Brien, A., Brunton, J., Price, C., Perry, L., Lacey, J.H., 2002. The SCOFF questionnaire and clinical interview for eating disorders in general practice: Comparative study. Br. Med. J. 325, 755–756. https://doi.org/10.1136/bmj.325.7367.755</w:t>
      </w:r>
    </w:p>
    <w:p w14:paraId="26B6F236"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Mabe, A.G., Forney, K.J., Keel, P.K., 2014. Do you “like” my photo? Facebook use maintains eating disorder risk. Int. J. Eat. Disord. 47, 516–523. https://doi.org/10.1002/eat.22254</w:t>
      </w:r>
    </w:p>
    <w:p w14:paraId="5376C042"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Manago, A.M., Monique Ward, L., Lemm, K.M., Reed, L., Seabrook, R., 2015. Facebook involvement, objectified body consciousness, body shame, and sexual assertiveness in college women and men. Sex Roles 72, 1–14. https://doi.org/10.1007/s11199-014-0441-1</w:t>
      </w:r>
    </w:p>
    <w:p w14:paraId="0DBA7820"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Marco, J.H., Tormo-Irun, M.P., Galán-Escalante, A., Gonzalez-García, C., 2018. Is Cybervictimization Associated with Body Dissatisfaction, Depression, and Eating Disorder Psychopathology? Cyberpsychology, Behav. Soc. Netw. 21, 611–617. https://doi.org/10.1089/cyber.2018.0217</w:t>
      </w:r>
    </w:p>
    <w:p w14:paraId="459F166D"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Martínez-González, L., Villa, T.F., De La Torre, A.J.M., Pérez, C.A., Cavanillas, A.B., Álvarez, R.C., Campos, R.M., Sánchez, V.M., 2014. Prevalencia de trastornos de la conducta alimentaria en universitarios españoles y factores asociados: Proyecto uniHcos. Nutr. Hosp. 30, 927–934. https://doi.org/10.3305/nh.2014.30.4.7689</w:t>
      </w:r>
    </w:p>
    <w:p w14:paraId="032C3349"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McLean, S.A., Paxton, S.J., Wertheim, E.H., Masters, J., 2015. Photoshopping the selfie: Self photo editing and photo investment are associated with body dissatisfaction in adolescent girls. Int. J. Eat. Disord. 48, 1132–1140. https://doi.org/10.1002/eat.22449</w:t>
      </w:r>
    </w:p>
    <w:p w14:paraId="51B82945"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Meerkerk, G.J., Van Den Eijnden, R.J.J.M., Vermulst, A.A., Garretsen, H.F.L., 2009. The Compulsive Internet Use Scale (CIUS): Some psychometric properties. Cyberpsychology Behav. 12, 1–6. https://doi.org/10.1089/cpb.2008.0181</w:t>
      </w:r>
    </w:p>
    <w:p w14:paraId="21142D4A"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Meier, E.P., Gray, J., 2014. Facebook photo activity associated with body image disturbance in adolescent girls. Cyberpsychology, Behav. Soc. Netw. 17, 199–206. https://doi.org/10.1089/cyber.2013.0305</w:t>
      </w:r>
    </w:p>
    <w:p w14:paraId="1E1A259C"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Melioli, T., Rodgers, R.F., Rodrigues, M., Chabrol, H., 2015. The role of body image in the relationship between internet use and bulimic symptoms: Three theoretical frameworks. Cyberpsychology, Behav. Soc. Netw. 18, 682–686. https://doi.org/10.1089/cyber.2015.0154</w:t>
      </w:r>
    </w:p>
    <w:p w14:paraId="6C218E36"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Niu, G., Sun, L., Liu, Q., Chai, H., Sun, X., Zhou, Z., 2020. Selfie-Posting and Young Adult Women’s Restrained Eating: The Role of Commentary on Appearance and Self-Objectification. Sex Roles 82, 232–240. https://doi.org/10.1007/s11199-019-01045-9</w:t>
      </w:r>
    </w:p>
    <w:p w14:paraId="5E59A4D4"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Olenik-Shemesh, D., Heiman, T., 2017. Cyberbullying Victimization in Adolescents as Related to Body Esteem, Social Support, and Social Self-Efficacy. J. Genet. Psychol. 178, 28–43. https://doi.org/10.1080/00221325.2016.1195331</w:t>
      </w:r>
    </w:p>
    <w:p w14:paraId="3015328E"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P., P., J.J.L., A., M.V., M., 2001. Manual Diagnóstico y Estadístico de los Trastornos Mentales: DSM-IV. Masson, Barcelona, Spain.</w:t>
      </w:r>
    </w:p>
    <w:p w14:paraId="38414DC0"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Park, S., Lee, Y., 2017. Associations of body weight perception and weight control behaviors with problematic internet use among Korean adolescents. Psychiatry Res. 251, 275–280. https://doi.org/10.1016/j.psychres.2017.01.095</w:t>
      </w:r>
    </w:p>
    <w:p w14:paraId="3C508243"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Pistella, J., Ioverno, S., Russell, S.T., 2019. The role of peer victimization, sexual identity, and gender on unhealthy weight control behaviors in a representative sample of Texas youth. Int. J. Eat. Disord. 52, 597–601. https://doi.org/10.1002/eat.23055</w:t>
      </w:r>
    </w:p>
    <w:p w14:paraId="77A21110"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Prichard, I., Kavanagh, E., Mulgrew, K.E., Lim, M.S.C., Tiggemann, M., 2020. The effect of Instagram #fitspiration images on young women’s mood, body image, and exercise behaviour. Body Image 33, 1–6. https://doi.org/10.1016/j.bodyim.2020.02.002</w:t>
      </w:r>
    </w:p>
    <w:p w14:paraId="1F759304"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Probst, M., Vandereycken, W., Coppenolle, H. Van, Vanderlinden, J., 1995. The body attitude test for patients with an eating disorder: Psychometric characteristics of a new questionnaire. Eat. Disord. 3, 133–144. https://doi.org/10.1080/10640269508249156</w:t>
      </w:r>
    </w:p>
    <w:p w14:paraId="7C95D232"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Quesnel, D.A., Cook, B., Murray, K., Zamudio, J., 2018. Inspiration or Thinspiration: the Association Among Problematic Internet Use, Exercise Dependence, and Eating Disorder Risk. Int. J. Ment. Health Addict. 16, 1113–1124. https://doi.org/10.1007/s11469-017-9834-z</w:t>
      </w:r>
    </w:p>
    <w:p w14:paraId="1AADCEE3"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Quintana, D.S., 2015. From pre-registration to publication: A non-technical primer for conducting a meta-analysis to synthesize correlational data. Front. Psychol. https://doi.org/10.3389/fpsyg.2015.01549</w:t>
      </w:r>
    </w:p>
    <w:p w14:paraId="18E6A4B9"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Rodgers, R.F., Campagna, J., Attawala, R., Richard, C., Kakfa, C., Rizzo, C., 2019. In the eye of the swiper: a preliminary analysis of the relationship between dating app use and dimensions of body image. Eat. Weight Disord. 1–5. https://doi.org/10.1007/s40519-019-00754-0</w:t>
      </w:r>
    </w:p>
    <w:p w14:paraId="634A00E8"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Rodgers, R.F., Melioli, T., Laconi, S., Bui, E., Chabrol, H., 2013. Internet addiction symptoms, disordered eating, and body image avoidance. Cyberpsychology, Behav. Soc. Netw. 16, 56–60. https://doi.org/10.1089/cyber.2012.1570</w:t>
      </w:r>
    </w:p>
    <w:p w14:paraId="2911AADC"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Rodgers, R.F., Skowron, S., Chabrol, H., 2012. Disordered Eating and Group Membership Among Members of a Pro-anorexic Online Community. Eur. Eat. Disord. Rev. 20, 9–12. https://doi.org/10.1002/erv.1096</w:t>
      </w:r>
    </w:p>
    <w:p w14:paraId="25D486F3"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Rodgers, R.F., Slater, A., Gordon, C.S., McLean, S.A., Jarman, H.K., Paxton, S.J., 2020. A Biopsychosocial Model of Social Media Use and Body Image Concerns, Disordered Eating, and Muscle-Building Behaviors among Adolescent Girls and Boys. J. Youth Adolesc. 49, 399–409. https://doi.org/10.1007/s10964-019-01190-0</w:t>
      </w:r>
    </w:p>
    <w:p w14:paraId="6549E7A0"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Rosen, J.C., Srebnik, D., Saltzberg, E., Wendt, S., 1991. Development of a body image avoidance questionnaire. Psychol. Assess. 3, 32–37.</w:t>
      </w:r>
    </w:p>
    <w:p w14:paraId="5F47CCAD"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Sidani, J.E., Shensa, A., Hoffman, B., Hanmer, J., Primack, B.A., 2016. The Association between Social Media Use and Eating Concerns among US Young Adults. J. Acad. Nutr. Diet. 116, 1465–1472. https://doi.org/10.1016/j.jand.2016.03.021</w:t>
      </w:r>
    </w:p>
    <w:p w14:paraId="6083E3BC"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Simpson, C.C., Mazzeo, S.E., 2017. Calorie counting and fitness tracking technology: Associations with eating disorder symptomatology. Eat. Behav. 26, 89–92. https://doi.org/10.1016/j.eatbeh.2017.02.002</w:t>
      </w:r>
    </w:p>
    <w:p w14:paraId="3EC489CD"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Slater, A., Cole, N., Fardouly, J., 2019. The effect of exposure to parodies of thin-ideal images on young women’s body image and mood. Body Image 29, 82–89. https://doi.org/10.1016/j.bodyim.2019.03.001</w:t>
      </w:r>
    </w:p>
    <w:p w14:paraId="14E74389"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Slater, A., Halliwell, E., Jarman, H., Gaskin, E., 2017. More than Just Child’s Play?: An Experimental Investigation of the Impact of an Appearance-Focused Internet Game on Body Image and Career Aspirations of Young Girls. J. Youth Adolesc. 46, 2047–2059. https://doi.org/10.1007/s10964-017-0659-7</w:t>
      </w:r>
    </w:p>
    <w:p w14:paraId="07168BE1"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Smith, A.R., Hames, J.L., Joiner, T.E., 2013. Status Update: Maladaptive Facebook usage predicts increases in body dissatisfaction and bulimic symptoms. J. Affect. Disord. 149, 235–240. https://doi.org/10.1016/j.jad.2013.01.032</w:t>
      </w:r>
    </w:p>
    <w:p w14:paraId="0700F78E"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Strien, T. van, Frijters, J.E.R., Bergers, G.P.A., Defares, P.B., 1986. The Dutch Eating Behavior Questionnaire (DEBQ) for assessment of restrained, emotional, and external eating behavior. Int. J. Eat. Disord. 5, 295–315. https://doi.org/10.1002/1098-108X(198602)5:2&lt;295::AID-EAT2260050209&gt;3.0.CO;2-T</w:t>
      </w:r>
    </w:p>
    <w:p w14:paraId="4B25BAA2"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Stronge, S., Greaves, L.M., Milojev, P., West-Newman, T., Barlow, F.K., Sibley, C.G., 2015. Facebook is Linked to Body Dissatisfaction: Comparing Users and Non-Users. Sex Roles 73, 200–213. https://doi.org/10.1007/s11199-015-0517-6</w:t>
      </w:r>
    </w:p>
    <w:p w14:paraId="0175AD99"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Sugimoto, N., Nishida, A., Ando, S., Usami, S., Toriyama, R., Morimoto, Y., Koike, S., Yamasaki, S., Kanata, S., Fujikawa, S., Furukawa, T.A., Sasaki, T., Hiraiwa-Hasegawa, M., Kasai, K., 2020. Use of social networking sites and desire for slimness among 10-year-old girls and boys: A population-based birth cohort study. Int. J. Eat. Disord. 53, 288–295. https://doi.org/10.1002/eat.23202</w:t>
      </w:r>
    </w:p>
    <w:p w14:paraId="1A918AC5"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Tao, Z., 2013. The relationship between Internet addiction and bulimia in a sample of Chinese college students: Depression as partial mediator between Internet addiction and bulimia. Eat. Weight Disord. 18, 233–243. https://doi.org/10.1007/s40519-013-0025-z</w:t>
      </w:r>
    </w:p>
    <w:p w14:paraId="5C856648"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Tao, Z.L., Liu, Y., 2009. Is there a relationship between Internet dependence and eating disorders? A comparison study of Internet dependents and non-Internet dependents. Eat. Weight Disord. 14, e77–e83. https://doi.org/10.1007/BF03327803</w:t>
      </w:r>
    </w:p>
    <w:p w14:paraId="04B1BEC6"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Terhoeven, V., Nikendei, C., Bärnighausen, T., Bountogo, M., Friederich, H., Ouermi, L., Sié, A., Harling, G., 2020. Eating disorders, body image and media exposure among adolescent girls in rural Burkina Faso. Trop. Med. Int. Heal. 25, 132–141. https://doi.org/10.1111/tmi.13340</w:t>
      </w:r>
    </w:p>
    <w:p w14:paraId="31F06F39"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Theis, F., Wolf, M., Fiedler, P., Backenstrass, M., Kordy, H., 2012. Essstörungen im Internet: Eine experimentelle Studie zu den Auswirkungen von Pro-Essstörungs- und Selbsthilfewebsites. Psychother. Psychosom. Med. Psychol. 62, 58–65. https://doi.org/10.1055/s-0031-1301336</w:t>
      </w:r>
    </w:p>
    <w:p w14:paraId="6FE7A782"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Thompson, M.A., Gray, J.J., 1995. Development and Validation of a New Body-Image Assessment Scale. J. Pers. Assess. 64, 258–269. https://doi.org/10.1207/s15327752jpa6402_6</w:t>
      </w:r>
    </w:p>
    <w:p w14:paraId="25122335"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Tiggemann, M., Anderberg, I., Brown, Z., 2020. Uploading your best self: Selfie editing and body dissatisfaction. Body Image 33, 175–182. https://doi.org/10.1016/j.bodyim.2020.03.002</w:t>
      </w:r>
    </w:p>
    <w:p w14:paraId="43DD8132"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Tiggemann, M., Miller, J., 2010. The internet and adolescent girls’ weight satisfaction and drive for thinness. Sex Roles 63, 79–90. https://doi.org/10.1007/s11199-010-9789-z</w:t>
      </w:r>
    </w:p>
    <w:p w14:paraId="23B225F2"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Tiggemann, M., Slater, A., 2017. Facebook and body image concern in adolescent girls: A prospective study. Int. J. Eat. Disord. 50, 80–83. https://doi.org/10.1002/eat.22640</w:t>
      </w:r>
    </w:p>
    <w:p w14:paraId="04667309"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Tiggemann, M., Zaccardo, M., 2015. “Exercise to be fit, not skinny”: The effect of fitspiration imagery on women’s body image. Body Image 15, 61–67. https://doi.org/10.1016/j.bodyim.2015.06.003</w:t>
      </w:r>
    </w:p>
    <w:p w14:paraId="6957C3A2"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Tran, A., Suharlim, C., Mattie, H., Davison, K., Agénor, M., Austin, S.B., 2019. Dating app use and unhealthy weight control behaviors among a sample of U.S. adults: A cross-sectional study. J. Eat. Disord. 7, 16. https://doi.org/10.1186/s40337-019-0244-4</w:t>
      </w:r>
    </w:p>
    <w:p w14:paraId="66F913DD"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Veldhuis, J., Alleva, J.M., Bij de Vaate, A.J.D., Keijer, M., Konijn, E.A., 2018. Me, My Selfie, and I: The Relations Between Selfie Behaviors, Body Image, Self-Objectification, and Self- Esteem in Young Women. Psychol. Pop. Media Cult. https://doi.org/10.1037/ppm0000206</w:t>
      </w:r>
    </w:p>
    <w:p w14:paraId="7C7BE258"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Verbist, I.L., Condon, L., 2019. Disordered eating behaviours, body image and social networking in a type 1 diabetes population. J. Health Psychol. https://doi.org/10.1177/1359105319888262</w:t>
      </w:r>
    </w:p>
    <w:p w14:paraId="37A73ABD"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Wagner, C., Aguirre, E., Sumner, E.M., 2016. The relationship between Instagram selfies and body image in young adult women. First Monday 21. https://doi.org/10.5210/fm.v21i9.6390</w:t>
      </w:r>
    </w:p>
    <w:p w14:paraId="25852660"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Walker, M., Thornton, L., De Choudhury, M., Teevan, J., Bulik, C.M., Levinson, C.A., Zerwas, S., 2015. Facebook Use and Disordered Eating in College-Aged Women. J. Adolesc. Heal. 57, 157–163. https://doi.org/10.1016/j.jadohealth.2015.04.026</w:t>
      </w:r>
    </w:p>
    <w:p w14:paraId="001DEFD2"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Wick, M.R., Keel, P.K., 2020. Posting edited photos of the self: Increasing eating disorder risk or harmless behavior? Int. J. Eat. Disord. eat.23263. https://doi.org/10.1002/eat.23263</w:t>
      </w:r>
    </w:p>
    <w:p w14:paraId="1785EE95"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Wilksch, S.M., O’Shea, A., Ho, P., Byrne, S., Wade, T.D., 2020. The relationship between social media use and disordered eating in young adolescents. Int. J. Eat. Disord. 53, 96–106. https://doi.org/10.1002/eat.23198</w:t>
      </w:r>
    </w:p>
    <w:p w14:paraId="081E92D1"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Xiaojing, A., 2017. Social networking site uses, internalization, body surveillance, social comparison and body dissatisfaction of males and females in mainland China. Asian J. Commun. 27, 616–630. https://doi.org/10.1080/01292986.2017.1365914</w:t>
      </w:r>
    </w:p>
    <w:p w14:paraId="17F2FEC0" w14:textId="77777777" w:rsidR="00F61831" w:rsidRPr="00F61831" w:rsidRDefault="00F61831" w:rsidP="00F61831">
      <w:pPr>
        <w:widowControl w:val="0"/>
        <w:autoSpaceDE w:val="0"/>
        <w:autoSpaceDN w:val="0"/>
        <w:adjustRightInd w:val="0"/>
        <w:ind w:left="480" w:hanging="480"/>
        <w:rPr>
          <w:rFonts w:ascii="Calibri" w:hAnsi="Calibri" w:cs="Calibri"/>
          <w:noProof/>
          <w:szCs w:val="24"/>
        </w:rPr>
      </w:pPr>
      <w:r w:rsidRPr="00F61831">
        <w:rPr>
          <w:rFonts w:ascii="Calibri" w:hAnsi="Calibri" w:cs="Calibri"/>
          <w:noProof/>
          <w:szCs w:val="24"/>
        </w:rPr>
        <w:t>Young, K.S., 1998. Internet Addiction : The Emergence of a New Clinical Disorder. Publ. CyberPsychology Behav. 1, 237–244. https://doi.org/doi:10.1089/cpb.1998.1.237.</w:t>
      </w:r>
    </w:p>
    <w:p w14:paraId="6023D8D5" w14:textId="77777777" w:rsidR="00F61831" w:rsidRPr="00F61831" w:rsidRDefault="00F61831" w:rsidP="00F61831">
      <w:pPr>
        <w:widowControl w:val="0"/>
        <w:autoSpaceDE w:val="0"/>
        <w:autoSpaceDN w:val="0"/>
        <w:adjustRightInd w:val="0"/>
        <w:ind w:left="480" w:hanging="480"/>
        <w:rPr>
          <w:rFonts w:ascii="Calibri" w:hAnsi="Calibri" w:cs="Calibri"/>
          <w:noProof/>
        </w:rPr>
      </w:pPr>
      <w:r w:rsidRPr="00F61831">
        <w:rPr>
          <w:rFonts w:ascii="Calibri" w:hAnsi="Calibri" w:cs="Calibri"/>
          <w:noProof/>
          <w:szCs w:val="24"/>
        </w:rPr>
        <w:t>Zeeni, N., Doumit, R., Abi Kharma, J., Sanchez-Ruiz, M.J., 2018. Media, Technology Use, and Attitudes: Associations With Physical and Mental Well-Being in Youth With Implications for Evidence-Based Practice. Worldviews Evidence-Based Nurs. 15, 304–312. https://doi.org/10.1111/wvn.12298</w:t>
      </w:r>
    </w:p>
    <w:p w14:paraId="1E379FEC" w14:textId="77777777" w:rsidR="002848BB" w:rsidRPr="002848BB" w:rsidRDefault="002848BB" w:rsidP="002848BB">
      <w:r>
        <w:fldChar w:fldCharType="end"/>
      </w:r>
    </w:p>
    <w:p w14:paraId="56FEE4B1" w14:textId="77777777" w:rsidR="00EC410D" w:rsidRDefault="00EC410D" w:rsidP="00143CCA">
      <w:pPr>
        <w:pStyle w:val="Heading2"/>
      </w:pPr>
      <w:r>
        <w:br w:type="page"/>
      </w:r>
    </w:p>
    <w:p w14:paraId="0B9850D7" w14:textId="77777777" w:rsidR="00143CCA" w:rsidRDefault="00143CCA" w:rsidP="00143CCA">
      <w:pPr>
        <w:pStyle w:val="Heading2"/>
      </w:pPr>
      <w:bookmarkStart w:id="18" w:name="_Toc65760846"/>
      <w:r>
        <w:t>R code used in the analysis</w:t>
      </w:r>
      <w:bookmarkEnd w:id="18"/>
    </w:p>
    <w:p w14:paraId="6D620937" w14:textId="77777777" w:rsidR="00143CCA" w:rsidRDefault="00143CCA" w:rsidP="00143CCA">
      <w:pPr>
        <w:spacing w:line="240" w:lineRule="auto"/>
      </w:pPr>
      <w:r>
        <w:t># Use the following the command to load the data. Only sample of code is presented here, repeated sequences of code are omitted.</w:t>
      </w:r>
    </w:p>
    <w:p w14:paraId="563FCDE9" w14:textId="3CA5A194" w:rsidR="00454066" w:rsidRDefault="00454066" w:rsidP="00454066">
      <w:pPr>
        <w:spacing w:line="240" w:lineRule="auto"/>
      </w:pPr>
      <w:r>
        <w:t xml:space="preserve"># For the analyses described in Quintana 2015 </w:t>
      </w:r>
      <w:r>
        <w:fldChar w:fldCharType="begin" w:fldLock="1"/>
      </w:r>
      <w:r w:rsidR="0089571F">
        <w:instrText>ADDIN CSL_CITATION {"citationItems":[{"id":"ITEM-1","itemData":{"DOI":"10.3389/fpsyg.2015.01549","ISSN":"16641078","abstract":"Meta-analysis synthesizes a body of research investigating a common research question. Outcomes from meta-analyses provide a more objective and transparent summary of a research area than traditional narrative reviews. Moreover, they are often used to support research grant applications, guide clinical practice, and direct health policy. The aim of this article is to provide a practical and non-technical guide for psychological scientists that outlines the steps involved in planning and performing a meta-analysis of correlational datasets. I provide a supplementary R script to demonstrate each analytical step described in the paper, which is readily adaptable for researchers to use for their analyses. While the worked example is the analysis of a correlational dataset, the general meta-analytic process described in this paper is applicable for all types of effect sizes. I also emphasize the importance of meta-analysis protocols and pre-registration to improve transparency and help avoid unintended duplication. An improved understanding this tool will not only help scientists to conduct their own meta-analyses but also improve their evaluation of published meta-analyses.","author":[{"dropping-particle":"","family":"Quintana","given":"Daniel S.","non-dropping-particle":"","parse-names":false,"suffix":""}],"container-title":"Frontiers in Psychology","id":"ITEM-1","issue":"OCT","issued":{"date-parts":[["2015"]]},"publisher":"Frontiers Media S.A.","title":"From pre-registration to publication: A non-technical primer for conducting a meta-analysis to synthesize correlational data","type":"article","volume":"6"},"uris":["http://www.mendeley.com/documents/?uuid=c1f8156d-1909-3729-97b2-e88e4e900f0a"]}],"mendeley":{"formattedCitation":"(Quintana, 2015)","plainTextFormattedCitation":"(Quintana, 2015)","previouslyFormattedCitation":"(Quintana, 2015)"},"properties":{"noteIndex":0},"schema":"https://github.com/citation-style-language/schema/raw/master/csl-citation.json"}</w:instrText>
      </w:r>
      <w:r>
        <w:fldChar w:fldCharType="separate"/>
      </w:r>
      <w:r w:rsidRPr="00454066">
        <w:rPr>
          <w:noProof/>
        </w:rPr>
        <w:t>(Quintana, 2015)</w:t>
      </w:r>
      <w:r>
        <w:fldChar w:fldCharType="end"/>
      </w:r>
      <w:r>
        <w:t xml:space="preserve">, the data is included with the </w:t>
      </w:r>
      <w:proofErr w:type="spellStart"/>
      <w:r>
        <w:t>metafor</w:t>
      </w:r>
      <w:proofErr w:type="spellEnd"/>
      <w:r>
        <w:t xml:space="preserve"> package. Use the following the command to load the data. You are creating a new object called "</w:t>
      </w:r>
      <w:proofErr w:type="spellStart"/>
      <w:r>
        <w:t>dat</w:t>
      </w:r>
      <w:proofErr w:type="spellEnd"/>
      <w:r>
        <w:t xml:space="preserve">" </w:t>
      </w:r>
    </w:p>
    <w:p w14:paraId="59A07D18" w14:textId="339F60F2" w:rsidR="00454066" w:rsidRDefault="00454066" w:rsidP="00454066">
      <w:pPr>
        <w:spacing w:line="240" w:lineRule="auto"/>
      </w:pPr>
      <w:r>
        <w:t xml:space="preserve">df &lt;- read.csv("~/XYZ/meta_data.csv", head = TRUE, </w:t>
      </w:r>
      <w:proofErr w:type="spellStart"/>
      <w:r>
        <w:t>stringsAsFactors</w:t>
      </w:r>
      <w:proofErr w:type="spellEnd"/>
      <w:r>
        <w:t xml:space="preserve"> = FALSE); df &lt;- </w:t>
      </w:r>
      <w:proofErr w:type="spellStart"/>
      <w:r>
        <w:t>data.table</w:t>
      </w:r>
      <w:proofErr w:type="spellEnd"/>
      <w:r>
        <w:t>(df)</w:t>
      </w:r>
    </w:p>
    <w:p w14:paraId="024F6C39" w14:textId="1A1C517E" w:rsidR="00454066" w:rsidRDefault="00454066" w:rsidP="00454066">
      <w:pPr>
        <w:spacing w:line="240" w:lineRule="auto"/>
      </w:pPr>
      <w:r>
        <w:t>df &lt;- df %&gt;% filter(</w:t>
      </w:r>
      <w:proofErr w:type="spellStart"/>
      <w:r>
        <w:t>Analysis.method</w:t>
      </w:r>
      <w:proofErr w:type="spellEnd"/>
      <w:r>
        <w:t xml:space="preserve"> == "Pearson"); str(df)</w:t>
      </w:r>
    </w:p>
    <w:p w14:paraId="3BF78A11" w14:textId="77777777" w:rsidR="00454066" w:rsidRDefault="00454066" w:rsidP="00454066">
      <w:pPr>
        <w:spacing w:line="240" w:lineRule="auto"/>
      </w:pPr>
      <w:r>
        <w:t xml:space="preserve">#df &lt;- mutate(df, </w:t>
      </w:r>
      <w:proofErr w:type="spellStart"/>
      <w:r>
        <w:t>study_id</w:t>
      </w:r>
      <w:proofErr w:type="spellEnd"/>
      <w:r>
        <w:t xml:space="preserve"> = 1:92) # This adds a study id column </w:t>
      </w:r>
    </w:p>
    <w:p w14:paraId="22789355" w14:textId="77777777" w:rsidR="00454066" w:rsidRDefault="00454066" w:rsidP="00454066">
      <w:pPr>
        <w:spacing w:line="240" w:lineRule="auto"/>
      </w:pPr>
      <w:proofErr w:type="spellStart"/>
      <w:r>
        <w:t>df_r_ared</w:t>
      </w:r>
      <w:proofErr w:type="spellEnd"/>
      <w:r>
        <w:t xml:space="preserve"> &lt;- df %&gt;% </w:t>
      </w:r>
      <w:proofErr w:type="spellStart"/>
      <w:r>
        <w:t>dplyr</w:t>
      </w:r>
      <w:proofErr w:type="spellEnd"/>
      <w:r>
        <w:t xml:space="preserve">::select(id, </w:t>
      </w:r>
      <w:proofErr w:type="spellStart"/>
      <w:r>
        <w:t>author,Year</w:t>
      </w:r>
      <w:proofErr w:type="spellEnd"/>
      <w:r>
        <w:t>, n ,</w:t>
      </w:r>
      <w:proofErr w:type="spellStart"/>
      <w:r>
        <w:t>PUI_facet</w:t>
      </w:r>
      <w:proofErr w:type="spellEnd"/>
      <w:r>
        <w:t xml:space="preserve">, </w:t>
      </w:r>
      <w:proofErr w:type="spellStart"/>
      <w:r>
        <w:t>r_ared</w:t>
      </w:r>
      <w:proofErr w:type="spellEnd"/>
      <w:r>
        <w:t>) %&gt;%</w:t>
      </w:r>
    </w:p>
    <w:p w14:paraId="00D939CE" w14:textId="00B29504" w:rsidR="00454066" w:rsidRDefault="00454066" w:rsidP="00454066">
      <w:pPr>
        <w:spacing w:line="240" w:lineRule="auto"/>
      </w:pPr>
      <w:r>
        <w:t xml:space="preserve">  filter(</w:t>
      </w:r>
      <w:proofErr w:type="spellStart"/>
      <w:r>
        <w:t>complete.cases</w:t>
      </w:r>
      <w:proofErr w:type="spellEnd"/>
      <w:r>
        <w:t xml:space="preserve">(.))# %&gt;% </w:t>
      </w:r>
      <w:proofErr w:type="spellStart"/>
      <w:r>
        <w:t>df_r_ared$r_ared</w:t>
      </w:r>
      <w:proofErr w:type="spellEnd"/>
      <w:r>
        <w:t xml:space="preserve"> &lt;- </w:t>
      </w:r>
      <w:proofErr w:type="spellStart"/>
      <w:r>
        <w:t>as.numeric</w:t>
      </w:r>
      <w:proofErr w:type="spellEnd"/>
      <w:r>
        <w:t>(</w:t>
      </w:r>
      <w:proofErr w:type="spellStart"/>
      <w:r>
        <w:t>df_r_ared$r_ared</w:t>
      </w:r>
      <w:proofErr w:type="spellEnd"/>
      <w:r>
        <w:t>)</w:t>
      </w:r>
    </w:p>
    <w:p w14:paraId="288B4EBB" w14:textId="77777777" w:rsidR="00454066" w:rsidRDefault="00454066" w:rsidP="00454066">
      <w:pPr>
        <w:spacing w:line="240" w:lineRule="auto"/>
      </w:pPr>
    </w:p>
    <w:p w14:paraId="03582CF0" w14:textId="77777777" w:rsidR="00454066" w:rsidRDefault="00454066" w:rsidP="00454066">
      <w:pPr>
        <w:spacing w:line="240" w:lineRule="auto"/>
      </w:pPr>
      <w:proofErr w:type="spellStart"/>
      <w:r>
        <w:t>df_r_bd</w:t>
      </w:r>
      <w:proofErr w:type="spellEnd"/>
      <w:r>
        <w:t xml:space="preserve"> &lt;- df %&gt;% </w:t>
      </w:r>
      <w:proofErr w:type="spellStart"/>
      <w:r>
        <w:t>dplyr</w:t>
      </w:r>
      <w:proofErr w:type="spellEnd"/>
      <w:r>
        <w:t xml:space="preserve">::select(id, </w:t>
      </w:r>
      <w:proofErr w:type="spellStart"/>
      <w:r>
        <w:t>author,Year</w:t>
      </w:r>
      <w:proofErr w:type="spellEnd"/>
      <w:r>
        <w:t>, n ,</w:t>
      </w:r>
      <w:proofErr w:type="spellStart"/>
      <w:r>
        <w:t>PUI_facet</w:t>
      </w:r>
      <w:proofErr w:type="spellEnd"/>
      <w:r>
        <w:t xml:space="preserve">, gender, </w:t>
      </w:r>
      <w:proofErr w:type="spellStart"/>
      <w:r>
        <w:t>r_bd</w:t>
      </w:r>
      <w:proofErr w:type="spellEnd"/>
      <w:r>
        <w:t>) %&gt;%</w:t>
      </w:r>
    </w:p>
    <w:p w14:paraId="05267ECD" w14:textId="295F2125" w:rsidR="00454066" w:rsidRDefault="00454066" w:rsidP="00454066">
      <w:pPr>
        <w:spacing w:line="240" w:lineRule="auto"/>
      </w:pPr>
      <w:r>
        <w:t xml:space="preserve">                filter(</w:t>
      </w:r>
      <w:proofErr w:type="spellStart"/>
      <w:r>
        <w:t>complete.cases</w:t>
      </w:r>
      <w:proofErr w:type="spellEnd"/>
      <w:r>
        <w:t xml:space="preserve">(.))# %&gt;% </w:t>
      </w:r>
      <w:proofErr w:type="spellStart"/>
      <w:r>
        <w:t>df_r_bd$r_bd</w:t>
      </w:r>
      <w:proofErr w:type="spellEnd"/>
      <w:r>
        <w:t xml:space="preserve"> &lt;- </w:t>
      </w:r>
      <w:proofErr w:type="spellStart"/>
      <w:r>
        <w:t>as.numeric</w:t>
      </w:r>
      <w:proofErr w:type="spellEnd"/>
      <w:r>
        <w:t>(</w:t>
      </w:r>
      <w:proofErr w:type="spellStart"/>
      <w:r>
        <w:t>df_r_bd$r_bd</w:t>
      </w:r>
      <w:proofErr w:type="spellEnd"/>
      <w:r>
        <w:t>)</w:t>
      </w:r>
    </w:p>
    <w:p w14:paraId="30DB20DE" w14:textId="77777777" w:rsidR="00454066" w:rsidRDefault="00454066" w:rsidP="00454066">
      <w:pPr>
        <w:spacing w:line="240" w:lineRule="auto"/>
      </w:pPr>
      <w:proofErr w:type="spellStart"/>
      <w:r>
        <w:t>df_r_dt</w:t>
      </w:r>
      <w:proofErr w:type="spellEnd"/>
      <w:r>
        <w:t xml:space="preserve"> &lt;- df %&gt;% </w:t>
      </w:r>
      <w:proofErr w:type="spellStart"/>
      <w:r>
        <w:t>dplyr</w:t>
      </w:r>
      <w:proofErr w:type="spellEnd"/>
      <w:r>
        <w:t xml:space="preserve">::select(id, </w:t>
      </w:r>
      <w:proofErr w:type="spellStart"/>
      <w:r>
        <w:t>author,Year</w:t>
      </w:r>
      <w:proofErr w:type="spellEnd"/>
      <w:r>
        <w:t>, n ,</w:t>
      </w:r>
      <w:proofErr w:type="spellStart"/>
      <w:r>
        <w:t>PUI_facet</w:t>
      </w:r>
      <w:proofErr w:type="spellEnd"/>
      <w:r>
        <w:t xml:space="preserve">, </w:t>
      </w:r>
      <w:proofErr w:type="spellStart"/>
      <w:r>
        <w:t>r_dt</w:t>
      </w:r>
      <w:proofErr w:type="spellEnd"/>
      <w:r>
        <w:t>) %&gt;%</w:t>
      </w:r>
    </w:p>
    <w:p w14:paraId="5265DC98" w14:textId="67CE9E54" w:rsidR="00454066" w:rsidRDefault="00454066" w:rsidP="00454066">
      <w:pPr>
        <w:spacing w:line="240" w:lineRule="auto"/>
      </w:pPr>
      <w:r>
        <w:t xml:space="preserve">  filter(</w:t>
      </w:r>
      <w:proofErr w:type="spellStart"/>
      <w:r>
        <w:t>complete.cases</w:t>
      </w:r>
      <w:proofErr w:type="spellEnd"/>
      <w:r>
        <w:t xml:space="preserve">(.))# %&gt;% </w:t>
      </w:r>
      <w:proofErr w:type="spellStart"/>
      <w:r>
        <w:t>df_r_dt$r_dt</w:t>
      </w:r>
      <w:proofErr w:type="spellEnd"/>
      <w:r>
        <w:t xml:space="preserve"> &lt;- </w:t>
      </w:r>
      <w:proofErr w:type="spellStart"/>
      <w:r>
        <w:t>as.numeric</w:t>
      </w:r>
      <w:proofErr w:type="spellEnd"/>
      <w:r>
        <w:t>(</w:t>
      </w:r>
      <w:proofErr w:type="spellStart"/>
      <w:r>
        <w:t>df_r_dt$r_dt</w:t>
      </w:r>
      <w:proofErr w:type="spellEnd"/>
      <w:r>
        <w:t>)</w:t>
      </w:r>
    </w:p>
    <w:p w14:paraId="4D010AF4" w14:textId="77777777" w:rsidR="00454066" w:rsidRDefault="00454066" w:rsidP="00454066">
      <w:pPr>
        <w:spacing w:line="240" w:lineRule="auto"/>
      </w:pPr>
      <w:proofErr w:type="spellStart"/>
      <w:r>
        <w:t>df_r_bn</w:t>
      </w:r>
      <w:proofErr w:type="spellEnd"/>
      <w:r>
        <w:t xml:space="preserve"> &lt;- df %&gt;% </w:t>
      </w:r>
      <w:proofErr w:type="spellStart"/>
      <w:r>
        <w:t>dplyr</w:t>
      </w:r>
      <w:proofErr w:type="spellEnd"/>
      <w:r>
        <w:t xml:space="preserve">::select(id, </w:t>
      </w:r>
      <w:proofErr w:type="spellStart"/>
      <w:r>
        <w:t>author,Year</w:t>
      </w:r>
      <w:proofErr w:type="spellEnd"/>
      <w:r>
        <w:t>, n ,</w:t>
      </w:r>
      <w:proofErr w:type="spellStart"/>
      <w:r>
        <w:t>PUI_facet</w:t>
      </w:r>
      <w:proofErr w:type="spellEnd"/>
      <w:r>
        <w:t xml:space="preserve">, </w:t>
      </w:r>
      <w:proofErr w:type="spellStart"/>
      <w:r>
        <w:t>r_bn</w:t>
      </w:r>
      <w:proofErr w:type="spellEnd"/>
      <w:r>
        <w:t>) %&gt;%</w:t>
      </w:r>
    </w:p>
    <w:p w14:paraId="029435C4" w14:textId="597D29F4" w:rsidR="00454066" w:rsidRDefault="00454066" w:rsidP="00454066">
      <w:pPr>
        <w:spacing w:line="240" w:lineRule="auto"/>
      </w:pPr>
      <w:r>
        <w:t xml:space="preserve">  filter(</w:t>
      </w:r>
      <w:proofErr w:type="spellStart"/>
      <w:r>
        <w:t>complete.cases</w:t>
      </w:r>
      <w:proofErr w:type="spellEnd"/>
      <w:r>
        <w:t xml:space="preserve">(.))# %&gt;% </w:t>
      </w:r>
      <w:proofErr w:type="spellStart"/>
      <w:r>
        <w:t>df_r_bn$r_bn</w:t>
      </w:r>
      <w:proofErr w:type="spellEnd"/>
      <w:r>
        <w:t xml:space="preserve"> &lt;- </w:t>
      </w:r>
      <w:proofErr w:type="spellStart"/>
      <w:r>
        <w:t>as.numeric</w:t>
      </w:r>
      <w:proofErr w:type="spellEnd"/>
      <w:r>
        <w:t>(</w:t>
      </w:r>
      <w:proofErr w:type="spellStart"/>
      <w:r>
        <w:t>df_r_bn$r_bn</w:t>
      </w:r>
      <w:proofErr w:type="spellEnd"/>
      <w:r>
        <w:t>)</w:t>
      </w:r>
    </w:p>
    <w:p w14:paraId="31C88C59" w14:textId="77777777" w:rsidR="00454066" w:rsidRDefault="00454066" w:rsidP="00454066">
      <w:pPr>
        <w:spacing w:line="240" w:lineRule="auto"/>
      </w:pPr>
      <w:proofErr w:type="spellStart"/>
      <w:r>
        <w:t>df_r_re</w:t>
      </w:r>
      <w:proofErr w:type="spellEnd"/>
      <w:r>
        <w:t xml:space="preserve"> &lt;- df %&gt;% </w:t>
      </w:r>
      <w:proofErr w:type="spellStart"/>
      <w:r>
        <w:t>dplyr</w:t>
      </w:r>
      <w:proofErr w:type="spellEnd"/>
      <w:r>
        <w:t xml:space="preserve">::select(id, </w:t>
      </w:r>
      <w:proofErr w:type="spellStart"/>
      <w:r>
        <w:t>author,Year</w:t>
      </w:r>
      <w:proofErr w:type="spellEnd"/>
      <w:r>
        <w:t>, n ,</w:t>
      </w:r>
      <w:proofErr w:type="spellStart"/>
      <w:r>
        <w:t>PUI_facet</w:t>
      </w:r>
      <w:proofErr w:type="spellEnd"/>
      <w:r>
        <w:t xml:space="preserve">, </w:t>
      </w:r>
      <w:proofErr w:type="spellStart"/>
      <w:r>
        <w:t>r_re</w:t>
      </w:r>
      <w:proofErr w:type="spellEnd"/>
      <w:r>
        <w:t>) %&gt;%</w:t>
      </w:r>
    </w:p>
    <w:p w14:paraId="6DF3476D" w14:textId="18DAA51E" w:rsidR="00454066" w:rsidRDefault="00454066" w:rsidP="00454066">
      <w:pPr>
        <w:spacing w:line="240" w:lineRule="auto"/>
      </w:pPr>
      <w:r>
        <w:t xml:space="preserve">  filter(</w:t>
      </w:r>
      <w:proofErr w:type="spellStart"/>
      <w:r>
        <w:t>complete.cases</w:t>
      </w:r>
      <w:proofErr w:type="spellEnd"/>
      <w:r>
        <w:t xml:space="preserve">(.))# %&gt;% </w:t>
      </w:r>
      <w:proofErr w:type="spellStart"/>
      <w:r>
        <w:t>df_r_re$r_re</w:t>
      </w:r>
      <w:proofErr w:type="spellEnd"/>
      <w:r>
        <w:t xml:space="preserve"> &lt;- </w:t>
      </w:r>
      <w:proofErr w:type="spellStart"/>
      <w:r>
        <w:t>as.numeric</w:t>
      </w:r>
      <w:proofErr w:type="spellEnd"/>
      <w:r>
        <w:t>(</w:t>
      </w:r>
      <w:proofErr w:type="spellStart"/>
      <w:r>
        <w:t>df_r_re$r_re</w:t>
      </w:r>
      <w:proofErr w:type="spellEnd"/>
      <w:r>
        <w:t>)</w:t>
      </w:r>
    </w:p>
    <w:p w14:paraId="33785CEB" w14:textId="77777777" w:rsidR="00454066" w:rsidRDefault="00454066" w:rsidP="00454066">
      <w:pPr>
        <w:spacing w:line="240" w:lineRule="auto"/>
      </w:pPr>
    </w:p>
    <w:p w14:paraId="2B916190" w14:textId="77777777" w:rsidR="00454066" w:rsidRDefault="00454066" w:rsidP="00454066">
      <w:pPr>
        <w:spacing w:line="240" w:lineRule="auto"/>
      </w:pPr>
      <w:r>
        <w:t># The first step is to transform r to Z and calculate the corresponding sample variances.</w:t>
      </w:r>
    </w:p>
    <w:p w14:paraId="653CEC27" w14:textId="566CE408" w:rsidR="00454066" w:rsidRDefault="00454066" w:rsidP="00454066">
      <w:pPr>
        <w:spacing w:line="240" w:lineRule="auto"/>
      </w:pPr>
      <w:r>
        <w:t xml:space="preserve">#to exclude influential run this; if not </w:t>
      </w:r>
      <w:proofErr w:type="spellStart"/>
      <w:r>
        <w:t>ru</w:t>
      </w:r>
      <w:proofErr w:type="spellEnd"/>
      <w:r>
        <w:t xml:space="preserve"> </w:t>
      </w:r>
      <w:proofErr w:type="spellStart"/>
      <w:r>
        <w:t>witout</w:t>
      </w:r>
      <w:proofErr w:type="spellEnd"/>
      <w:r>
        <w:t xml:space="preserve"> : </w:t>
      </w:r>
      <w:proofErr w:type="spellStart"/>
      <w:r>
        <w:t>df_r_ared</w:t>
      </w:r>
      <w:proofErr w:type="spellEnd"/>
      <w:r>
        <w:t xml:space="preserve"> &lt;- </w:t>
      </w:r>
      <w:proofErr w:type="spellStart"/>
      <w:r>
        <w:t>df_r_ared</w:t>
      </w:r>
      <w:proofErr w:type="spellEnd"/>
      <w:r>
        <w:t xml:space="preserve"> %&gt;% filter(id != "8"); </w:t>
      </w:r>
      <w:proofErr w:type="spellStart"/>
      <w:r>
        <w:t>dat</w:t>
      </w:r>
      <w:proofErr w:type="spellEnd"/>
      <w:r>
        <w:t xml:space="preserve"> &lt;- </w:t>
      </w:r>
      <w:proofErr w:type="spellStart"/>
      <w:r>
        <w:t>escalc</w:t>
      </w:r>
      <w:proofErr w:type="spellEnd"/>
      <w:r>
        <w:t xml:space="preserve">(measure="ZCOR", </w:t>
      </w:r>
      <w:proofErr w:type="spellStart"/>
      <w:r>
        <w:t>ri</w:t>
      </w:r>
      <w:proofErr w:type="spellEnd"/>
      <w:r>
        <w:t>=</w:t>
      </w:r>
      <w:proofErr w:type="spellStart"/>
      <w:r>
        <w:t>r_ared</w:t>
      </w:r>
      <w:proofErr w:type="spellEnd"/>
      <w:r>
        <w:t xml:space="preserve">, </w:t>
      </w:r>
      <w:proofErr w:type="spellStart"/>
      <w:r>
        <w:t>ni</w:t>
      </w:r>
      <w:proofErr w:type="spellEnd"/>
      <w:r>
        <w:t>=n, data=</w:t>
      </w:r>
      <w:proofErr w:type="spellStart"/>
      <w:r>
        <w:t>df_r_ared</w:t>
      </w:r>
      <w:proofErr w:type="spellEnd"/>
      <w:r>
        <w:t xml:space="preserve">, slab=paste(author, Year, </w:t>
      </w:r>
      <w:proofErr w:type="spellStart"/>
      <w:r>
        <w:t>sep</w:t>
      </w:r>
      <w:proofErr w:type="spellEnd"/>
      <w:r>
        <w:t xml:space="preserve">=",    ")) ; res &lt;- </w:t>
      </w:r>
      <w:proofErr w:type="spellStart"/>
      <w:r>
        <w:t>rma</w:t>
      </w:r>
      <w:proofErr w:type="spellEnd"/>
      <w:r>
        <w:t>(</w:t>
      </w:r>
      <w:proofErr w:type="spellStart"/>
      <w:r>
        <w:t>yi</w:t>
      </w:r>
      <w:proofErr w:type="spellEnd"/>
      <w:r>
        <w:t>, vi, data=</w:t>
      </w:r>
      <w:proofErr w:type="spellStart"/>
      <w:r>
        <w:t>dat</w:t>
      </w:r>
      <w:proofErr w:type="spellEnd"/>
      <w:r>
        <w:t xml:space="preserve">) ; res; predict(res, digits=3, </w:t>
      </w:r>
      <w:proofErr w:type="spellStart"/>
      <w:r>
        <w:t>transf</w:t>
      </w:r>
      <w:proofErr w:type="spellEnd"/>
      <w:r>
        <w:t>=</w:t>
      </w:r>
      <w:proofErr w:type="spellStart"/>
      <w:r>
        <w:t>transf.ztor</w:t>
      </w:r>
      <w:proofErr w:type="spellEnd"/>
      <w:r>
        <w:t xml:space="preserve">); </w:t>
      </w:r>
      <w:proofErr w:type="spellStart"/>
      <w:r>
        <w:t>confint</w:t>
      </w:r>
      <w:proofErr w:type="spellEnd"/>
      <w:r>
        <w:t xml:space="preserve">(res)  </w:t>
      </w:r>
    </w:p>
    <w:p w14:paraId="6D3C9185" w14:textId="77777777" w:rsidR="00454066" w:rsidRDefault="00454066" w:rsidP="00454066">
      <w:pPr>
        <w:spacing w:line="240" w:lineRule="auto"/>
      </w:pPr>
    </w:p>
    <w:p w14:paraId="47A79719" w14:textId="77777777" w:rsidR="00454066" w:rsidRDefault="00454066" w:rsidP="00454066">
      <w:pPr>
        <w:spacing w:line="240" w:lineRule="auto"/>
      </w:pPr>
    </w:p>
    <w:p w14:paraId="035C769F" w14:textId="77777777" w:rsidR="00454066" w:rsidRDefault="00454066" w:rsidP="00454066">
      <w:pPr>
        <w:spacing w:line="240" w:lineRule="auto"/>
      </w:pPr>
      <w:proofErr w:type="spellStart"/>
      <w:r>
        <w:t>b_res</w:t>
      </w:r>
      <w:proofErr w:type="spellEnd"/>
      <w:r>
        <w:t xml:space="preserve"> &lt;- </w:t>
      </w:r>
      <w:proofErr w:type="spellStart"/>
      <w:r>
        <w:t>rma</w:t>
      </w:r>
      <w:proofErr w:type="spellEnd"/>
      <w:r>
        <w:t>(</w:t>
      </w:r>
      <w:proofErr w:type="spellStart"/>
      <w:r>
        <w:t>yi</w:t>
      </w:r>
      <w:proofErr w:type="spellEnd"/>
      <w:r>
        <w:t>, vi, data=</w:t>
      </w:r>
      <w:proofErr w:type="spellStart"/>
      <w:r>
        <w:t>dat</w:t>
      </w:r>
      <w:proofErr w:type="spellEnd"/>
      <w:r>
        <w:t xml:space="preserve">, slab=id)  # New meta-analysis with study ID identifier  </w:t>
      </w:r>
    </w:p>
    <w:p w14:paraId="43DDFF1F" w14:textId="1B6AA94F" w:rsidR="00454066" w:rsidRDefault="00454066" w:rsidP="00454066">
      <w:pPr>
        <w:spacing w:line="240" w:lineRule="auto"/>
      </w:pPr>
      <w:r>
        <w:t xml:space="preserve"># The next command will plot a </w:t>
      </w:r>
      <w:proofErr w:type="spellStart"/>
      <w:r>
        <w:t>Baujat</w:t>
      </w:r>
      <w:proofErr w:type="spellEnd"/>
      <w:r>
        <w:t xml:space="preserve"> plot.</w:t>
      </w:r>
      <w:r w:rsidR="004A29E8">
        <w:t xml:space="preserve">; </w:t>
      </w:r>
      <w:proofErr w:type="spellStart"/>
      <w:r>
        <w:t>baujat</w:t>
      </w:r>
      <w:proofErr w:type="spellEnd"/>
      <w:r>
        <w:t>(</w:t>
      </w:r>
      <w:proofErr w:type="spellStart"/>
      <w:r>
        <w:t>b_res</w:t>
      </w:r>
      <w:proofErr w:type="spellEnd"/>
      <w:r>
        <w:t>)</w:t>
      </w:r>
    </w:p>
    <w:p w14:paraId="787FD4FE" w14:textId="0BBA44B2" w:rsidR="00454066" w:rsidRDefault="00454066" w:rsidP="00454066">
      <w:pPr>
        <w:spacing w:line="240" w:lineRule="auto"/>
      </w:pPr>
      <w:r>
        <w:t xml:space="preserve"># Studies that fall to the top right quadrant of the </w:t>
      </w:r>
      <w:proofErr w:type="spellStart"/>
      <w:r>
        <w:t>Baujat</w:t>
      </w:r>
      <w:proofErr w:type="spellEnd"/>
      <w:r>
        <w:t xml:space="preserve"> plot contribute most to both these factors. Looking at the Molloy et al., 2014 data set reveals that 3 studies that contribute to both of these factors. A closer look the characteristics of these studies may reveal moderating variables that may contribute to heterogeneity</w:t>
      </w:r>
    </w:p>
    <w:p w14:paraId="3A23D01A" w14:textId="44BD6A24" w:rsidR="00454066" w:rsidRDefault="00454066" w:rsidP="00454066">
      <w:pPr>
        <w:spacing w:line="240" w:lineRule="auto"/>
      </w:pPr>
      <w:r>
        <w:t># A set of diagnostics are also available to identify potential outliers and influential cases.</w:t>
      </w:r>
    </w:p>
    <w:p w14:paraId="784A9E21" w14:textId="5C753A0E" w:rsidR="00454066" w:rsidRDefault="00454066" w:rsidP="00454066">
      <w:pPr>
        <w:spacing w:line="240" w:lineRule="auto"/>
      </w:pPr>
      <w:r>
        <w:t>inf &lt;- influence(res); print(inf); plot(inf)</w:t>
      </w:r>
      <w:r w:rsidR="004A29E8">
        <w:t xml:space="preserve"> </w:t>
      </w:r>
      <w:r>
        <w:t xml:space="preserve"># The plot visualizes the printed dataset. As there are no studies are marked with an asterisk in the printed dataset, none of the studies fulfilled the criteria as an influential study. # Now we visualize the meta-analysis with a forest plot. </w:t>
      </w:r>
    </w:p>
    <w:p w14:paraId="71892129" w14:textId="18411137" w:rsidR="00454066" w:rsidRDefault="00454066" w:rsidP="00454066">
      <w:pPr>
        <w:spacing w:line="240" w:lineRule="auto"/>
      </w:pPr>
      <w:r>
        <w:t xml:space="preserve">forest(res, </w:t>
      </w:r>
      <w:proofErr w:type="spellStart"/>
      <w:r>
        <w:t>xlim</w:t>
      </w:r>
      <w:proofErr w:type="spellEnd"/>
      <w:r>
        <w:t xml:space="preserve">=c(-1.6,1.6), </w:t>
      </w:r>
      <w:proofErr w:type="spellStart"/>
      <w:r>
        <w:t>atransf</w:t>
      </w:r>
      <w:proofErr w:type="spellEnd"/>
      <w:r>
        <w:t>=</w:t>
      </w:r>
      <w:proofErr w:type="spellStart"/>
      <w:r>
        <w:t>transf.ztor</w:t>
      </w:r>
      <w:proofErr w:type="spellEnd"/>
      <w:r>
        <w:t>,       at=</w:t>
      </w:r>
      <w:proofErr w:type="spellStart"/>
      <w:r>
        <w:t>transf.rtoz</w:t>
      </w:r>
      <w:proofErr w:type="spellEnd"/>
      <w:r>
        <w:t xml:space="preserve">(c(-.4,-.2,0,.2,.4,.6)), digits=c(2,1), </w:t>
      </w:r>
      <w:proofErr w:type="spellStart"/>
      <w:r>
        <w:t>cex</w:t>
      </w:r>
      <w:proofErr w:type="spellEnd"/>
      <w:r>
        <w:t>=.8)</w:t>
      </w:r>
    </w:p>
    <w:p w14:paraId="6EF8F45A" w14:textId="78C46D11" w:rsidR="00143CCA" w:rsidRDefault="00454066" w:rsidP="00454066">
      <w:pPr>
        <w:spacing w:line="240" w:lineRule="auto"/>
      </w:pPr>
      <w:r>
        <w:t xml:space="preserve">text(-1.6, 18.5, "Author(s), Year", </w:t>
      </w:r>
      <w:proofErr w:type="spellStart"/>
      <w:r>
        <w:t>pos</w:t>
      </w:r>
      <w:proofErr w:type="spellEnd"/>
      <w:r>
        <w:t xml:space="preserve">=4, </w:t>
      </w:r>
      <w:proofErr w:type="spellStart"/>
      <w:r>
        <w:t>cex</w:t>
      </w:r>
      <w:proofErr w:type="spellEnd"/>
      <w:r>
        <w:t>=.9)</w:t>
      </w:r>
      <w:r w:rsidR="004A29E8">
        <w:t xml:space="preserve">; </w:t>
      </w:r>
      <w:r>
        <w:t xml:space="preserve">text(-0.3, 18.5, "At-risk-eating-disorders", </w:t>
      </w:r>
      <w:proofErr w:type="spellStart"/>
      <w:r>
        <w:t>pos</w:t>
      </w:r>
      <w:proofErr w:type="spellEnd"/>
      <w:r>
        <w:t xml:space="preserve">=4, </w:t>
      </w:r>
      <w:proofErr w:type="spellStart"/>
      <w:r>
        <w:t>cex</w:t>
      </w:r>
      <w:proofErr w:type="spellEnd"/>
      <w:r>
        <w:t>=.9)</w:t>
      </w:r>
      <w:r w:rsidR="004A29E8">
        <w:t xml:space="preserve">; </w:t>
      </w:r>
      <w:r>
        <w:t xml:space="preserve">text( 1.6, 18.5, "Effect size [95% CI]", </w:t>
      </w:r>
      <w:proofErr w:type="spellStart"/>
      <w:r>
        <w:t>pos</w:t>
      </w:r>
      <w:proofErr w:type="spellEnd"/>
      <w:r>
        <w:t xml:space="preserve">=2, </w:t>
      </w:r>
      <w:proofErr w:type="spellStart"/>
      <w:r>
        <w:t>cex</w:t>
      </w:r>
      <w:proofErr w:type="spellEnd"/>
      <w:r>
        <w:t>=.9)</w:t>
      </w:r>
      <w:r w:rsidR="00143CCA">
        <w:t>#repeat code for different domains</w:t>
      </w:r>
    </w:p>
    <w:p w14:paraId="58F4EA34" w14:textId="69557F4F" w:rsidR="00143CCA" w:rsidRDefault="00454066" w:rsidP="00454066">
      <w:r>
        <w:t>#moderator analysis</w:t>
      </w:r>
      <w:r w:rsidR="004A29E8">
        <w:t xml:space="preserve">; </w:t>
      </w:r>
      <w:r w:rsidR="00143CCA">
        <w:t xml:space="preserve">df &lt;- df %&gt;% select(ID, paper, </w:t>
      </w:r>
      <w:proofErr w:type="spellStart"/>
      <w:r w:rsidR="00143CCA">
        <w:t>Age:Geographical</w:t>
      </w:r>
      <w:proofErr w:type="spellEnd"/>
      <w:r w:rsidR="00143CCA">
        <w:t xml:space="preserve">, </w:t>
      </w:r>
      <w:proofErr w:type="spellStart"/>
      <w:r w:rsidR="00143CCA">
        <w:t>Co.morbidities:control.N</w:t>
      </w:r>
      <w:proofErr w:type="spellEnd"/>
      <w:r w:rsidR="00143CCA">
        <w:t>) # This brings the study id column to the front</w:t>
      </w:r>
    </w:p>
    <w:p w14:paraId="46C9B557" w14:textId="77777777" w:rsidR="00143CCA" w:rsidRDefault="00143CCA" w:rsidP="00143CCA">
      <w:pPr>
        <w:spacing w:line="240" w:lineRule="auto"/>
      </w:pPr>
      <w:proofErr w:type="spellStart"/>
      <w:r>
        <w:t>df$Age</w:t>
      </w:r>
      <w:proofErr w:type="spellEnd"/>
      <w:r>
        <w:t xml:space="preserve"> &lt;- </w:t>
      </w:r>
      <w:proofErr w:type="spellStart"/>
      <w:r>
        <w:t>as.factor</w:t>
      </w:r>
      <w:proofErr w:type="spellEnd"/>
      <w:r>
        <w:t>(</w:t>
      </w:r>
      <w:proofErr w:type="spellStart"/>
      <w:r>
        <w:t>df$Age</w:t>
      </w:r>
      <w:proofErr w:type="spellEnd"/>
      <w:r>
        <w:t xml:space="preserve">); </w:t>
      </w:r>
      <w:proofErr w:type="spellStart"/>
      <w:r>
        <w:t>df$Co.morbidities</w:t>
      </w:r>
      <w:proofErr w:type="spellEnd"/>
      <w:r>
        <w:t xml:space="preserve"> &lt;- </w:t>
      </w:r>
      <w:proofErr w:type="spellStart"/>
      <w:r>
        <w:t>as.factor</w:t>
      </w:r>
      <w:proofErr w:type="spellEnd"/>
      <w:r>
        <w:t>(</w:t>
      </w:r>
      <w:proofErr w:type="spellStart"/>
      <w:r>
        <w:t>df$Co.morbidities</w:t>
      </w:r>
      <w:proofErr w:type="spellEnd"/>
      <w:r>
        <w:t>)</w:t>
      </w:r>
    </w:p>
    <w:p w14:paraId="56682D60" w14:textId="77777777" w:rsidR="00143CCA" w:rsidRDefault="00143CCA" w:rsidP="00143CCA">
      <w:pPr>
        <w:spacing w:line="240" w:lineRule="auto"/>
      </w:pPr>
      <w:proofErr w:type="spellStart"/>
      <w:r>
        <w:t>dfm_Stroop</w:t>
      </w:r>
      <w:proofErr w:type="spellEnd"/>
      <w:r>
        <w:t xml:space="preserve"> &lt;- df %&gt;% filter(Task == "Stroop") %&gt;%</w:t>
      </w:r>
    </w:p>
    <w:p w14:paraId="566EB752" w14:textId="14286266" w:rsidR="00143CCA" w:rsidRDefault="00143CCA" w:rsidP="00143CCA">
      <w:pPr>
        <w:spacing w:line="240" w:lineRule="auto"/>
      </w:pPr>
      <w:r>
        <w:t xml:space="preserve">  </w:t>
      </w:r>
      <w:proofErr w:type="spellStart"/>
      <w:r>
        <w:t>dplyr</w:t>
      </w:r>
      <w:proofErr w:type="spellEnd"/>
      <w:r>
        <w:t>::select(</w:t>
      </w:r>
      <w:proofErr w:type="spellStart"/>
      <w:r>
        <w:t>ID:control.N</w:t>
      </w:r>
      <w:proofErr w:type="spellEnd"/>
      <w:r>
        <w:t>) %&gt;%</w:t>
      </w:r>
      <w:r w:rsidR="004A29E8">
        <w:t xml:space="preserve"> </w:t>
      </w:r>
      <w:r>
        <w:t xml:space="preserve">  filter(</w:t>
      </w:r>
      <w:proofErr w:type="spellStart"/>
      <w:r>
        <w:t>complete.cases</w:t>
      </w:r>
      <w:proofErr w:type="spellEnd"/>
      <w:r>
        <w:t>(.))</w:t>
      </w:r>
    </w:p>
    <w:p w14:paraId="707B9B07" w14:textId="77777777" w:rsidR="00143CCA" w:rsidRDefault="00143CCA" w:rsidP="00143CCA">
      <w:pPr>
        <w:spacing w:line="240" w:lineRule="auto"/>
      </w:pPr>
      <w:proofErr w:type="spellStart"/>
      <w:r>
        <w:t>res.modage</w:t>
      </w:r>
      <w:proofErr w:type="spellEnd"/>
      <w:r>
        <w:t xml:space="preserve"> &lt;- </w:t>
      </w:r>
      <w:proofErr w:type="spellStart"/>
      <w:r>
        <w:t>rma</w:t>
      </w:r>
      <w:proofErr w:type="spellEnd"/>
      <w:r>
        <w:t>(</w:t>
      </w:r>
      <w:proofErr w:type="spellStart"/>
      <w:r>
        <w:t>yi</w:t>
      </w:r>
      <w:proofErr w:type="spellEnd"/>
      <w:r>
        <w:t>, vi, mods = ~ Age, data=</w:t>
      </w:r>
      <w:proofErr w:type="spellStart"/>
      <w:r>
        <w:t>dfm_Stroop</w:t>
      </w:r>
      <w:proofErr w:type="spellEnd"/>
      <w:r>
        <w:t>) ;</w:t>
      </w:r>
      <w:proofErr w:type="spellStart"/>
      <w:r>
        <w:t>res.modage</w:t>
      </w:r>
      <w:proofErr w:type="spellEnd"/>
      <w:r>
        <w:t xml:space="preserve"> </w:t>
      </w:r>
    </w:p>
    <w:p w14:paraId="50F75E5E" w14:textId="77777777" w:rsidR="00143CCA" w:rsidRDefault="00143CCA" w:rsidP="00143CCA">
      <w:pPr>
        <w:spacing w:line="240" w:lineRule="auto"/>
      </w:pPr>
      <w:proofErr w:type="spellStart"/>
      <w:r>
        <w:t>res.modgender</w:t>
      </w:r>
      <w:proofErr w:type="spellEnd"/>
      <w:r>
        <w:t xml:space="preserve"> &lt;- </w:t>
      </w:r>
      <w:proofErr w:type="spellStart"/>
      <w:r>
        <w:t>rma</w:t>
      </w:r>
      <w:proofErr w:type="spellEnd"/>
      <w:r>
        <w:t>(</w:t>
      </w:r>
      <w:proofErr w:type="spellStart"/>
      <w:r>
        <w:t>yi</w:t>
      </w:r>
      <w:proofErr w:type="spellEnd"/>
      <w:r>
        <w:t>, vi, mods = ~ Gender, data=</w:t>
      </w:r>
      <w:proofErr w:type="spellStart"/>
      <w:r>
        <w:t>dfm_Stroop</w:t>
      </w:r>
      <w:proofErr w:type="spellEnd"/>
      <w:r>
        <w:t>) ;</w:t>
      </w:r>
      <w:proofErr w:type="spellStart"/>
      <w:r>
        <w:t>res.modgender</w:t>
      </w:r>
      <w:proofErr w:type="spellEnd"/>
      <w:r>
        <w:t xml:space="preserve"> </w:t>
      </w:r>
    </w:p>
    <w:p w14:paraId="3CEC1BAF" w14:textId="77777777" w:rsidR="00143CCA" w:rsidRDefault="00143CCA" w:rsidP="00143CCA">
      <w:pPr>
        <w:spacing w:line="240" w:lineRule="auto"/>
      </w:pPr>
      <w:proofErr w:type="spellStart"/>
      <w:r>
        <w:t>res.modgeo</w:t>
      </w:r>
      <w:proofErr w:type="spellEnd"/>
      <w:r>
        <w:t xml:space="preserve"> &lt;- </w:t>
      </w:r>
      <w:proofErr w:type="spellStart"/>
      <w:r>
        <w:t>rma</w:t>
      </w:r>
      <w:proofErr w:type="spellEnd"/>
      <w:r>
        <w:t>(</w:t>
      </w:r>
      <w:proofErr w:type="spellStart"/>
      <w:r>
        <w:t>yi</w:t>
      </w:r>
      <w:proofErr w:type="spellEnd"/>
      <w:r>
        <w:t>, vi, mods = ~ Geographical, data=</w:t>
      </w:r>
      <w:proofErr w:type="spellStart"/>
      <w:r>
        <w:t>dfm_Stroop</w:t>
      </w:r>
      <w:proofErr w:type="spellEnd"/>
      <w:r>
        <w:t>) ;</w:t>
      </w:r>
      <w:proofErr w:type="spellStart"/>
      <w:r>
        <w:t>res.modgeo</w:t>
      </w:r>
      <w:proofErr w:type="spellEnd"/>
      <w:r>
        <w:t xml:space="preserve"> </w:t>
      </w:r>
    </w:p>
    <w:p w14:paraId="48EED2C1" w14:textId="77777777" w:rsidR="00143CCA" w:rsidRDefault="00143CCA" w:rsidP="00143CCA">
      <w:pPr>
        <w:spacing w:line="240" w:lineRule="auto"/>
      </w:pPr>
      <w:proofErr w:type="spellStart"/>
      <w:r>
        <w:t>res.modmorb</w:t>
      </w:r>
      <w:proofErr w:type="spellEnd"/>
      <w:r>
        <w:t xml:space="preserve"> &lt;- </w:t>
      </w:r>
      <w:proofErr w:type="spellStart"/>
      <w:r>
        <w:t>rma</w:t>
      </w:r>
      <w:proofErr w:type="spellEnd"/>
      <w:r>
        <w:t>(</w:t>
      </w:r>
      <w:proofErr w:type="spellStart"/>
      <w:r>
        <w:t>yi</w:t>
      </w:r>
      <w:proofErr w:type="spellEnd"/>
      <w:r>
        <w:t xml:space="preserve">, vi, mods = ~ </w:t>
      </w:r>
      <w:proofErr w:type="spellStart"/>
      <w:r>
        <w:t>Co.morbidities</w:t>
      </w:r>
      <w:proofErr w:type="spellEnd"/>
      <w:r>
        <w:t>, data=</w:t>
      </w:r>
      <w:proofErr w:type="spellStart"/>
      <w:r>
        <w:t>dfm_Stroop</w:t>
      </w:r>
      <w:proofErr w:type="spellEnd"/>
      <w:r>
        <w:t>) ;</w:t>
      </w:r>
      <w:proofErr w:type="spellStart"/>
      <w:r>
        <w:t>res.modmorb</w:t>
      </w:r>
      <w:proofErr w:type="spellEnd"/>
    </w:p>
    <w:p w14:paraId="6C53AD02" w14:textId="282C2236" w:rsidR="004A29E8" w:rsidRDefault="004A29E8" w:rsidP="00143CCA">
      <w:pPr>
        <w:spacing w:line="240" w:lineRule="auto"/>
      </w:pPr>
      <w:r>
        <w:t>(…) #repeat by domain</w:t>
      </w:r>
    </w:p>
    <w:p w14:paraId="6E2620F3" w14:textId="77777777" w:rsidR="00143CCA" w:rsidRDefault="00143CCA">
      <w:pPr>
        <w:spacing w:line="259" w:lineRule="auto"/>
        <w:jc w:val="left"/>
      </w:pPr>
    </w:p>
    <w:sectPr w:rsidR="00143CCA" w:rsidSect="006244B4">
      <w:headerReference w:type="default" r:id="rId1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F222E" w14:textId="77777777" w:rsidR="001D6B8A" w:rsidRDefault="001D6B8A" w:rsidP="00AA5318">
      <w:pPr>
        <w:spacing w:after="0" w:line="240" w:lineRule="auto"/>
      </w:pPr>
      <w:r>
        <w:separator/>
      </w:r>
    </w:p>
  </w:endnote>
  <w:endnote w:type="continuationSeparator" w:id="0">
    <w:p w14:paraId="278FBD85" w14:textId="77777777" w:rsidR="001D6B8A" w:rsidRDefault="001D6B8A" w:rsidP="00AA5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E2298B" w14:textId="77777777" w:rsidR="001D6B8A" w:rsidRDefault="001D6B8A" w:rsidP="00AA5318">
      <w:pPr>
        <w:spacing w:after="0" w:line="240" w:lineRule="auto"/>
      </w:pPr>
      <w:r>
        <w:separator/>
      </w:r>
    </w:p>
  </w:footnote>
  <w:footnote w:type="continuationSeparator" w:id="0">
    <w:p w14:paraId="64378DF2" w14:textId="77777777" w:rsidR="001D6B8A" w:rsidRDefault="001D6B8A" w:rsidP="00AA53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8AE17" w14:textId="7EADD0B7" w:rsidR="00952651" w:rsidRPr="00BE018B" w:rsidRDefault="00952651" w:rsidP="00AA5318">
    <w:pPr>
      <w:pStyle w:val="Heading2"/>
      <w:jc w:val="center"/>
      <w:rPr>
        <w:sz w:val="20"/>
      </w:rPr>
    </w:pPr>
    <w:r>
      <w:rPr>
        <w:sz w:val="20"/>
      </w:rPr>
      <w:t xml:space="preserve">ONLINE SUPPLEMENT - </w:t>
    </w:r>
    <w:r w:rsidRPr="00D5588D">
      <w:rPr>
        <w:sz w:val="20"/>
      </w:rPr>
      <w:t>EATING DISORDERS AND INTERNET: A MULTIFACETED SYSTEMATIC REVIEW</w:t>
    </w:r>
    <w:r>
      <w:rPr>
        <w:sz w:val="20"/>
      </w:rPr>
      <w:t xml:space="preserve"> </w:t>
    </w:r>
    <w:r w:rsidRPr="00BE018B">
      <w:rPr>
        <w:sz w:val="20"/>
      </w:rPr>
      <w:t>A</w:t>
    </w:r>
    <w:r>
      <w:rPr>
        <w:sz w:val="20"/>
      </w:rPr>
      <w:t>ND</w:t>
    </w:r>
    <w:r w:rsidRPr="00BE018B">
      <w:rPr>
        <w:sz w:val="20"/>
      </w:rPr>
      <w:t xml:space="preserve"> META-ANALYSIS</w:t>
    </w:r>
  </w:p>
  <w:p w14:paraId="4CABAA6E" w14:textId="77777777" w:rsidR="00952651" w:rsidRDefault="0095265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318"/>
    <w:rsid w:val="000008FF"/>
    <w:rsid w:val="00020D5E"/>
    <w:rsid w:val="00021672"/>
    <w:rsid w:val="00030922"/>
    <w:rsid w:val="0004158B"/>
    <w:rsid w:val="000419D9"/>
    <w:rsid w:val="00095B79"/>
    <w:rsid w:val="00095C7B"/>
    <w:rsid w:val="000D37A4"/>
    <w:rsid w:val="000E1816"/>
    <w:rsid w:val="000F1D77"/>
    <w:rsid w:val="00101C9E"/>
    <w:rsid w:val="00104E53"/>
    <w:rsid w:val="0012234A"/>
    <w:rsid w:val="00143CCA"/>
    <w:rsid w:val="00165CBD"/>
    <w:rsid w:val="0019723F"/>
    <w:rsid w:val="001B4E01"/>
    <w:rsid w:val="001C00E3"/>
    <w:rsid w:val="001D3D72"/>
    <w:rsid w:val="001D6B8A"/>
    <w:rsid w:val="00210D1E"/>
    <w:rsid w:val="00213D6D"/>
    <w:rsid w:val="00232E11"/>
    <w:rsid w:val="00260964"/>
    <w:rsid w:val="00273DC5"/>
    <w:rsid w:val="00276FC8"/>
    <w:rsid w:val="002848BB"/>
    <w:rsid w:val="00292493"/>
    <w:rsid w:val="002C23C2"/>
    <w:rsid w:val="002D3391"/>
    <w:rsid w:val="002D5BE2"/>
    <w:rsid w:val="002E1969"/>
    <w:rsid w:val="002F1286"/>
    <w:rsid w:val="002F1E4B"/>
    <w:rsid w:val="00305D97"/>
    <w:rsid w:val="00320916"/>
    <w:rsid w:val="00337107"/>
    <w:rsid w:val="00345AB8"/>
    <w:rsid w:val="003713AD"/>
    <w:rsid w:val="00391728"/>
    <w:rsid w:val="003C3010"/>
    <w:rsid w:val="003D3464"/>
    <w:rsid w:val="004078D3"/>
    <w:rsid w:val="00412FEC"/>
    <w:rsid w:val="00415B3C"/>
    <w:rsid w:val="004160AB"/>
    <w:rsid w:val="00454066"/>
    <w:rsid w:val="00465812"/>
    <w:rsid w:val="0046614B"/>
    <w:rsid w:val="00474CDF"/>
    <w:rsid w:val="00480712"/>
    <w:rsid w:val="00481841"/>
    <w:rsid w:val="0049395B"/>
    <w:rsid w:val="004A29E8"/>
    <w:rsid w:val="004A4B75"/>
    <w:rsid w:val="004B18CF"/>
    <w:rsid w:val="004B385A"/>
    <w:rsid w:val="004B5188"/>
    <w:rsid w:val="004D3EDD"/>
    <w:rsid w:val="004D45E8"/>
    <w:rsid w:val="00500CBA"/>
    <w:rsid w:val="005464B5"/>
    <w:rsid w:val="00554698"/>
    <w:rsid w:val="00557234"/>
    <w:rsid w:val="00567873"/>
    <w:rsid w:val="005B0907"/>
    <w:rsid w:val="005B43DA"/>
    <w:rsid w:val="005C11BC"/>
    <w:rsid w:val="005D4516"/>
    <w:rsid w:val="005E35BA"/>
    <w:rsid w:val="006244B4"/>
    <w:rsid w:val="00627C0D"/>
    <w:rsid w:val="006A1C34"/>
    <w:rsid w:val="006A6409"/>
    <w:rsid w:val="006D6F15"/>
    <w:rsid w:val="006E5EF8"/>
    <w:rsid w:val="006E7EE7"/>
    <w:rsid w:val="006F0E9E"/>
    <w:rsid w:val="00700B1B"/>
    <w:rsid w:val="00712C39"/>
    <w:rsid w:val="00735D74"/>
    <w:rsid w:val="00751976"/>
    <w:rsid w:val="00770438"/>
    <w:rsid w:val="0079101C"/>
    <w:rsid w:val="007B5D58"/>
    <w:rsid w:val="007C1295"/>
    <w:rsid w:val="007D408E"/>
    <w:rsid w:val="007E0331"/>
    <w:rsid w:val="007F6ADF"/>
    <w:rsid w:val="00801A11"/>
    <w:rsid w:val="008262FF"/>
    <w:rsid w:val="00851869"/>
    <w:rsid w:val="00865A76"/>
    <w:rsid w:val="0089571F"/>
    <w:rsid w:val="008A66BE"/>
    <w:rsid w:val="008C2128"/>
    <w:rsid w:val="008E6072"/>
    <w:rsid w:val="008F3579"/>
    <w:rsid w:val="008F5895"/>
    <w:rsid w:val="008F637C"/>
    <w:rsid w:val="00902219"/>
    <w:rsid w:val="0090424A"/>
    <w:rsid w:val="0093164E"/>
    <w:rsid w:val="00931B54"/>
    <w:rsid w:val="009418E4"/>
    <w:rsid w:val="00945C11"/>
    <w:rsid w:val="00950B7D"/>
    <w:rsid w:val="00952651"/>
    <w:rsid w:val="00956BE1"/>
    <w:rsid w:val="0097141B"/>
    <w:rsid w:val="00991E40"/>
    <w:rsid w:val="009A7CFE"/>
    <w:rsid w:val="009F1888"/>
    <w:rsid w:val="009F4BCE"/>
    <w:rsid w:val="009F5DC7"/>
    <w:rsid w:val="00A00E5B"/>
    <w:rsid w:val="00A1225C"/>
    <w:rsid w:val="00A33421"/>
    <w:rsid w:val="00A535DB"/>
    <w:rsid w:val="00A756CF"/>
    <w:rsid w:val="00AA5318"/>
    <w:rsid w:val="00AB7EA2"/>
    <w:rsid w:val="00AC0F71"/>
    <w:rsid w:val="00AC5D2A"/>
    <w:rsid w:val="00B0075B"/>
    <w:rsid w:val="00B0569A"/>
    <w:rsid w:val="00B25400"/>
    <w:rsid w:val="00B27C02"/>
    <w:rsid w:val="00B47FC2"/>
    <w:rsid w:val="00B755B9"/>
    <w:rsid w:val="00B810F8"/>
    <w:rsid w:val="00B95E71"/>
    <w:rsid w:val="00B9679E"/>
    <w:rsid w:val="00BC4F66"/>
    <w:rsid w:val="00BD2B09"/>
    <w:rsid w:val="00BD7128"/>
    <w:rsid w:val="00BE6DBD"/>
    <w:rsid w:val="00BF2FF1"/>
    <w:rsid w:val="00C052C1"/>
    <w:rsid w:val="00C07060"/>
    <w:rsid w:val="00C07D7C"/>
    <w:rsid w:val="00C44DD7"/>
    <w:rsid w:val="00C52396"/>
    <w:rsid w:val="00C84D1D"/>
    <w:rsid w:val="00C85B27"/>
    <w:rsid w:val="00CB212E"/>
    <w:rsid w:val="00CD528D"/>
    <w:rsid w:val="00CF6C55"/>
    <w:rsid w:val="00CF7511"/>
    <w:rsid w:val="00D0100C"/>
    <w:rsid w:val="00D01269"/>
    <w:rsid w:val="00D039A7"/>
    <w:rsid w:val="00D34991"/>
    <w:rsid w:val="00D36851"/>
    <w:rsid w:val="00D36AC4"/>
    <w:rsid w:val="00D51E6C"/>
    <w:rsid w:val="00D53E56"/>
    <w:rsid w:val="00D5588D"/>
    <w:rsid w:val="00D667A2"/>
    <w:rsid w:val="00DA7A48"/>
    <w:rsid w:val="00DC544D"/>
    <w:rsid w:val="00DE6033"/>
    <w:rsid w:val="00DF16C3"/>
    <w:rsid w:val="00DF363A"/>
    <w:rsid w:val="00E32818"/>
    <w:rsid w:val="00E53876"/>
    <w:rsid w:val="00E61E74"/>
    <w:rsid w:val="00E70672"/>
    <w:rsid w:val="00E97A73"/>
    <w:rsid w:val="00EC410D"/>
    <w:rsid w:val="00EE6214"/>
    <w:rsid w:val="00EF0275"/>
    <w:rsid w:val="00F02AB1"/>
    <w:rsid w:val="00F0721A"/>
    <w:rsid w:val="00F20DF5"/>
    <w:rsid w:val="00F37CEB"/>
    <w:rsid w:val="00F51926"/>
    <w:rsid w:val="00F61831"/>
    <w:rsid w:val="00F64B6A"/>
    <w:rsid w:val="00FB4F86"/>
    <w:rsid w:val="00FC7D3C"/>
    <w:rsid w:val="00FE07DA"/>
    <w:rsid w:val="00FF21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C7798"/>
  <w15:docId w15:val="{89471326-D7ED-4D04-A720-50A5B91D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7DA"/>
    <w:pPr>
      <w:spacing w:line="480" w:lineRule="auto"/>
      <w:jc w:val="both"/>
    </w:pPr>
  </w:style>
  <w:style w:type="paragraph" w:styleId="Heading1">
    <w:name w:val="heading 1"/>
    <w:basedOn w:val="Normal"/>
    <w:next w:val="Normal"/>
    <w:link w:val="Heading1Char"/>
    <w:uiPriority w:val="9"/>
    <w:qFormat/>
    <w:rsid w:val="00A00E5B"/>
    <w:pPr>
      <w:keepNext/>
      <w:keepLines/>
      <w:spacing w:before="240" w:after="0"/>
      <w:outlineLvl w:val="0"/>
    </w:pPr>
    <w:rPr>
      <w:rFonts w:asciiTheme="majorHAnsi" w:eastAsiaTheme="majorEastAsia" w:hAnsiTheme="majorHAnsi" w:cstheme="majorBidi"/>
      <w:b/>
      <w:color w:val="000000" w:themeColor="text1"/>
      <w:sz w:val="28"/>
      <w:szCs w:val="32"/>
    </w:rPr>
  </w:style>
  <w:style w:type="paragraph" w:styleId="Heading2">
    <w:name w:val="heading 2"/>
    <w:basedOn w:val="Normal"/>
    <w:next w:val="Normal"/>
    <w:link w:val="Heading2Char"/>
    <w:uiPriority w:val="9"/>
    <w:unhideWhenUsed/>
    <w:qFormat/>
    <w:rsid w:val="00AA5318"/>
    <w:pPr>
      <w:keepNext/>
      <w:keepLines/>
      <w:spacing w:before="16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751976"/>
    <w:pPr>
      <w:keepNext/>
      <w:keepLines/>
      <w:spacing w:before="40" w:after="0"/>
      <w:outlineLvl w:val="2"/>
    </w:pPr>
    <w:rPr>
      <w:rFonts w:asciiTheme="majorHAnsi" w:eastAsiaTheme="majorEastAsia" w:hAnsiTheme="majorHAnsi" w:cstheme="majorBidi"/>
      <w:b/>
      <w:i/>
      <w:sz w:val="24"/>
      <w:szCs w:val="24"/>
    </w:rPr>
  </w:style>
  <w:style w:type="paragraph" w:styleId="Heading4">
    <w:name w:val="heading 4"/>
    <w:basedOn w:val="Normal"/>
    <w:next w:val="Normal"/>
    <w:link w:val="Heading4Char"/>
    <w:uiPriority w:val="9"/>
    <w:semiHidden/>
    <w:unhideWhenUsed/>
    <w:qFormat/>
    <w:rsid w:val="0089571F"/>
    <w:pPr>
      <w:keepNext/>
      <w:keepLines/>
      <w:spacing w:before="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53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318"/>
  </w:style>
  <w:style w:type="paragraph" w:styleId="Footer">
    <w:name w:val="footer"/>
    <w:basedOn w:val="Normal"/>
    <w:link w:val="FooterChar"/>
    <w:uiPriority w:val="99"/>
    <w:unhideWhenUsed/>
    <w:rsid w:val="00AA53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318"/>
  </w:style>
  <w:style w:type="character" w:customStyle="1" w:styleId="Heading2Char">
    <w:name w:val="Heading 2 Char"/>
    <w:basedOn w:val="DefaultParagraphFont"/>
    <w:link w:val="Heading2"/>
    <w:uiPriority w:val="9"/>
    <w:rsid w:val="00AA5318"/>
    <w:rPr>
      <w:rFonts w:asciiTheme="majorHAnsi" w:eastAsiaTheme="majorEastAsia" w:hAnsiTheme="majorHAnsi" w:cstheme="majorBidi"/>
      <w:b/>
      <w:sz w:val="26"/>
      <w:szCs w:val="26"/>
    </w:rPr>
  </w:style>
  <w:style w:type="table" w:styleId="TableGrid">
    <w:name w:val="Table Grid"/>
    <w:basedOn w:val="TableNormal"/>
    <w:uiPriority w:val="39"/>
    <w:rsid w:val="00FE0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51976"/>
    <w:rPr>
      <w:rFonts w:asciiTheme="majorHAnsi" w:eastAsiaTheme="majorEastAsia" w:hAnsiTheme="majorHAnsi" w:cstheme="majorBidi"/>
      <w:b/>
      <w:i/>
      <w:sz w:val="24"/>
      <w:szCs w:val="24"/>
    </w:rPr>
  </w:style>
  <w:style w:type="character" w:customStyle="1" w:styleId="Heading1Char">
    <w:name w:val="Heading 1 Char"/>
    <w:basedOn w:val="DefaultParagraphFont"/>
    <w:link w:val="Heading1"/>
    <w:uiPriority w:val="9"/>
    <w:rsid w:val="00A00E5B"/>
    <w:rPr>
      <w:rFonts w:asciiTheme="majorHAnsi" w:eastAsiaTheme="majorEastAsia" w:hAnsiTheme="majorHAnsi" w:cstheme="majorBidi"/>
      <w:b/>
      <w:color w:val="000000" w:themeColor="text1"/>
      <w:sz w:val="28"/>
      <w:szCs w:val="32"/>
    </w:rPr>
  </w:style>
  <w:style w:type="paragraph" w:styleId="BalloonText">
    <w:name w:val="Balloon Text"/>
    <w:basedOn w:val="Normal"/>
    <w:link w:val="BalloonTextChar"/>
    <w:uiPriority w:val="99"/>
    <w:semiHidden/>
    <w:unhideWhenUsed/>
    <w:rsid w:val="00BD2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B09"/>
    <w:rPr>
      <w:rFonts w:ascii="Tahoma" w:hAnsi="Tahoma" w:cs="Tahoma"/>
      <w:sz w:val="16"/>
      <w:szCs w:val="16"/>
    </w:rPr>
  </w:style>
  <w:style w:type="character" w:styleId="CommentReference">
    <w:name w:val="annotation reference"/>
    <w:basedOn w:val="DefaultParagraphFont"/>
    <w:uiPriority w:val="99"/>
    <w:semiHidden/>
    <w:unhideWhenUsed/>
    <w:rsid w:val="00BD2B09"/>
    <w:rPr>
      <w:sz w:val="16"/>
      <w:szCs w:val="16"/>
    </w:rPr>
  </w:style>
  <w:style w:type="paragraph" w:styleId="CommentText">
    <w:name w:val="annotation text"/>
    <w:basedOn w:val="Normal"/>
    <w:link w:val="CommentTextChar"/>
    <w:uiPriority w:val="99"/>
    <w:semiHidden/>
    <w:unhideWhenUsed/>
    <w:rsid w:val="00BD2B09"/>
    <w:pPr>
      <w:spacing w:line="240" w:lineRule="auto"/>
    </w:pPr>
    <w:rPr>
      <w:sz w:val="20"/>
      <w:szCs w:val="20"/>
    </w:rPr>
  </w:style>
  <w:style w:type="character" w:customStyle="1" w:styleId="CommentTextChar">
    <w:name w:val="Comment Text Char"/>
    <w:basedOn w:val="DefaultParagraphFont"/>
    <w:link w:val="CommentText"/>
    <w:uiPriority w:val="99"/>
    <w:semiHidden/>
    <w:rsid w:val="00BD2B09"/>
    <w:rPr>
      <w:sz w:val="20"/>
      <w:szCs w:val="20"/>
    </w:rPr>
  </w:style>
  <w:style w:type="paragraph" w:styleId="CommentSubject">
    <w:name w:val="annotation subject"/>
    <w:basedOn w:val="CommentText"/>
    <w:next w:val="CommentText"/>
    <w:link w:val="CommentSubjectChar"/>
    <w:uiPriority w:val="99"/>
    <w:semiHidden/>
    <w:unhideWhenUsed/>
    <w:rsid w:val="00BD2B09"/>
    <w:rPr>
      <w:b/>
      <w:bCs/>
    </w:rPr>
  </w:style>
  <w:style w:type="character" w:customStyle="1" w:styleId="CommentSubjectChar">
    <w:name w:val="Comment Subject Char"/>
    <w:basedOn w:val="CommentTextChar"/>
    <w:link w:val="CommentSubject"/>
    <w:uiPriority w:val="99"/>
    <w:semiHidden/>
    <w:rsid w:val="00BD2B09"/>
    <w:rPr>
      <w:b/>
      <w:bCs/>
      <w:sz w:val="20"/>
      <w:szCs w:val="20"/>
    </w:rPr>
  </w:style>
  <w:style w:type="character" w:styleId="Hyperlink">
    <w:name w:val="Hyperlink"/>
    <w:basedOn w:val="DefaultParagraphFont"/>
    <w:uiPriority w:val="99"/>
    <w:unhideWhenUsed/>
    <w:rsid w:val="00F37CEB"/>
    <w:rPr>
      <w:color w:val="0563C1" w:themeColor="hyperlink"/>
      <w:u w:val="single"/>
    </w:rPr>
  </w:style>
  <w:style w:type="character" w:customStyle="1" w:styleId="highlight">
    <w:name w:val="highlight"/>
    <w:basedOn w:val="DefaultParagraphFont"/>
    <w:rsid w:val="00F37CEB"/>
  </w:style>
  <w:style w:type="character" w:customStyle="1" w:styleId="ui-ncbitoggler-master-text">
    <w:name w:val="ui-ncbitoggler-master-text"/>
    <w:basedOn w:val="DefaultParagraphFont"/>
    <w:rsid w:val="00F37CEB"/>
  </w:style>
  <w:style w:type="paragraph" w:customStyle="1" w:styleId="Title1">
    <w:name w:val="Title1"/>
    <w:basedOn w:val="Normal"/>
    <w:rsid w:val="00F37CEB"/>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desc">
    <w:name w:val="desc"/>
    <w:basedOn w:val="Normal"/>
    <w:rsid w:val="00F37CEB"/>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details">
    <w:name w:val="details"/>
    <w:basedOn w:val="Normal"/>
    <w:rsid w:val="00F37CEB"/>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jrnl">
    <w:name w:val="jrnl"/>
    <w:basedOn w:val="DefaultParagraphFont"/>
    <w:rsid w:val="00F37CEB"/>
  </w:style>
  <w:style w:type="character" w:customStyle="1" w:styleId="Heading4Char">
    <w:name w:val="Heading 4 Char"/>
    <w:basedOn w:val="DefaultParagraphFont"/>
    <w:link w:val="Heading4"/>
    <w:uiPriority w:val="9"/>
    <w:semiHidden/>
    <w:rsid w:val="0089571F"/>
    <w:rPr>
      <w:rFonts w:asciiTheme="majorHAnsi" w:eastAsiaTheme="majorEastAsia" w:hAnsiTheme="majorHAnsi" w:cstheme="majorBidi"/>
      <w:i/>
      <w:iCs/>
    </w:rPr>
  </w:style>
  <w:style w:type="paragraph" w:styleId="TOCHeading">
    <w:name w:val="TOC Heading"/>
    <w:basedOn w:val="Heading1"/>
    <w:next w:val="Normal"/>
    <w:uiPriority w:val="39"/>
    <w:unhideWhenUsed/>
    <w:qFormat/>
    <w:rsid w:val="008F5895"/>
    <w:pPr>
      <w:spacing w:line="259" w:lineRule="auto"/>
      <w:jc w:val="left"/>
      <w:outlineLvl w:val="9"/>
    </w:pPr>
    <w:rPr>
      <w:b w:val="0"/>
      <w:color w:val="2E74B5" w:themeColor="accent1" w:themeShade="BF"/>
      <w:sz w:val="32"/>
      <w:lang w:val="en-US"/>
    </w:rPr>
  </w:style>
  <w:style w:type="paragraph" w:styleId="TOC2">
    <w:name w:val="toc 2"/>
    <w:basedOn w:val="Normal"/>
    <w:next w:val="Normal"/>
    <w:autoRedefine/>
    <w:uiPriority w:val="39"/>
    <w:unhideWhenUsed/>
    <w:rsid w:val="008F5895"/>
    <w:pPr>
      <w:spacing w:after="100"/>
      <w:ind w:left="220"/>
    </w:pPr>
  </w:style>
  <w:style w:type="paragraph" w:styleId="TOC3">
    <w:name w:val="toc 3"/>
    <w:basedOn w:val="Normal"/>
    <w:next w:val="Normal"/>
    <w:autoRedefine/>
    <w:uiPriority w:val="39"/>
    <w:unhideWhenUsed/>
    <w:rsid w:val="008F589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177058">
      <w:bodyDiv w:val="1"/>
      <w:marLeft w:val="0"/>
      <w:marRight w:val="0"/>
      <w:marTop w:val="0"/>
      <w:marBottom w:val="0"/>
      <w:divBdr>
        <w:top w:val="none" w:sz="0" w:space="0" w:color="auto"/>
        <w:left w:val="none" w:sz="0" w:space="0" w:color="auto"/>
        <w:bottom w:val="none" w:sz="0" w:space="0" w:color="auto"/>
        <w:right w:val="none" w:sz="0" w:space="0" w:color="auto"/>
      </w:divBdr>
    </w:div>
    <w:div w:id="328366042">
      <w:bodyDiv w:val="1"/>
      <w:marLeft w:val="0"/>
      <w:marRight w:val="0"/>
      <w:marTop w:val="0"/>
      <w:marBottom w:val="0"/>
      <w:divBdr>
        <w:top w:val="none" w:sz="0" w:space="0" w:color="auto"/>
        <w:left w:val="none" w:sz="0" w:space="0" w:color="auto"/>
        <w:bottom w:val="none" w:sz="0" w:space="0" w:color="auto"/>
        <w:right w:val="none" w:sz="0" w:space="0" w:color="auto"/>
      </w:divBdr>
    </w:div>
    <w:div w:id="559639044">
      <w:bodyDiv w:val="1"/>
      <w:marLeft w:val="0"/>
      <w:marRight w:val="0"/>
      <w:marTop w:val="0"/>
      <w:marBottom w:val="0"/>
      <w:divBdr>
        <w:top w:val="none" w:sz="0" w:space="0" w:color="auto"/>
        <w:left w:val="none" w:sz="0" w:space="0" w:color="auto"/>
        <w:bottom w:val="none" w:sz="0" w:space="0" w:color="auto"/>
        <w:right w:val="none" w:sz="0" w:space="0" w:color="auto"/>
      </w:divBdr>
    </w:div>
    <w:div w:id="772282784">
      <w:bodyDiv w:val="1"/>
      <w:marLeft w:val="0"/>
      <w:marRight w:val="0"/>
      <w:marTop w:val="0"/>
      <w:marBottom w:val="0"/>
      <w:divBdr>
        <w:top w:val="none" w:sz="0" w:space="0" w:color="auto"/>
        <w:left w:val="none" w:sz="0" w:space="0" w:color="auto"/>
        <w:bottom w:val="none" w:sz="0" w:space="0" w:color="auto"/>
        <w:right w:val="none" w:sz="0" w:space="0" w:color="auto"/>
      </w:divBdr>
    </w:div>
    <w:div w:id="795878302">
      <w:bodyDiv w:val="1"/>
      <w:marLeft w:val="0"/>
      <w:marRight w:val="0"/>
      <w:marTop w:val="0"/>
      <w:marBottom w:val="0"/>
      <w:divBdr>
        <w:top w:val="none" w:sz="0" w:space="0" w:color="auto"/>
        <w:left w:val="none" w:sz="0" w:space="0" w:color="auto"/>
        <w:bottom w:val="none" w:sz="0" w:space="0" w:color="auto"/>
        <w:right w:val="none" w:sz="0" w:space="0" w:color="auto"/>
      </w:divBdr>
    </w:div>
    <w:div w:id="802966418">
      <w:bodyDiv w:val="1"/>
      <w:marLeft w:val="0"/>
      <w:marRight w:val="0"/>
      <w:marTop w:val="0"/>
      <w:marBottom w:val="0"/>
      <w:divBdr>
        <w:top w:val="none" w:sz="0" w:space="0" w:color="auto"/>
        <w:left w:val="none" w:sz="0" w:space="0" w:color="auto"/>
        <w:bottom w:val="none" w:sz="0" w:space="0" w:color="auto"/>
        <w:right w:val="none" w:sz="0" w:space="0" w:color="auto"/>
      </w:divBdr>
    </w:div>
    <w:div w:id="824325485">
      <w:bodyDiv w:val="1"/>
      <w:marLeft w:val="0"/>
      <w:marRight w:val="0"/>
      <w:marTop w:val="0"/>
      <w:marBottom w:val="0"/>
      <w:divBdr>
        <w:top w:val="none" w:sz="0" w:space="0" w:color="auto"/>
        <w:left w:val="none" w:sz="0" w:space="0" w:color="auto"/>
        <w:bottom w:val="none" w:sz="0" w:space="0" w:color="auto"/>
        <w:right w:val="none" w:sz="0" w:space="0" w:color="auto"/>
      </w:divBdr>
    </w:div>
    <w:div w:id="1030230157">
      <w:bodyDiv w:val="1"/>
      <w:marLeft w:val="0"/>
      <w:marRight w:val="0"/>
      <w:marTop w:val="0"/>
      <w:marBottom w:val="0"/>
      <w:divBdr>
        <w:top w:val="none" w:sz="0" w:space="0" w:color="auto"/>
        <w:left w:val="none" w:sz="0" w:space="0" w:color="auto"/>
        <w:bottom w:val="none" w:sz="0" w:space="0" w:color="auto"/>
        <w:right w:val="none" w:sz="0" w:space="0" w:color="auto"/>
      </w:divBdr>
    </w:div>
    <w:div w:id="1143697166">
      <w:bodyDiv w:val="1"/>
      <w:marLeft w:val="0"/>
      <w:marRight w:val="0"/>
      <w:marTop w:val="0"/>
      <w:marBottom w:val="0"/>
      <w:divBdr>
        <w:top w:val="none" w:sz="0" w:space="0" w:color="auto"/>
        <w:left w:val="none" w:sz="0" w:space="0" w:color="auto"/>
        <w:bottom w:val="none" w:sz="0" w:space="0" w:color="auto"/>
        <w:right w:val="none" w:sz="0" w:space="0" w:color="auto"/>
      </w:divBdr>
    </w:div>
    <w:div w:id="1586920407">
      <w:bodyDiv w:val="1"/>
      <w:marLeft w:val="0"/>
      <w:marRight w:val="0"/>
      <w:marTop w:val="0"/>
      <w:marBottom w:val="0"/>
      <w:divBdr>
        <w:top w:val="none" w:sz="0" w:space="0" w:color="auto"/>
        <w:left w:val="none" w:sz="0" w:space="0" w:color="auto"/>
        <w:bottom w:val="none" w:sz="0" w:space="0" w:color="auto"/>
        <w:right w:val="none" w:sz="0" w:space="0" w:color="auto"/>
      </w:divBdr>
    </w:div>
    <w:div w:id="210607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9D0FB-4453-411F-A367-4EABC3AB0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42883</Words>
  <Characters>244438</Characters>
  <Application>Microsoft Office Word</Application>
  <DocSecurity>0</DocSecurity>
  <Lines>2036</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Konstantinos</dc:creator>
  <cp:lastModifiedBy>Mary Houston</cp:lastModifiedBy>
  <cp:revision>2</cp:revision>
  <dcterms:created xsi:type="dcterms:W3CDTF">2021-08-20T08:24:00Z</dcterms:created>
  <dcterms:modified xsi:type="dcterms:W3CDTF">2021-08-20T08:24:00Z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http://www.zotero.org/styles/bmc-medicine</vt:lpwstr>
  </property>
  <property fmtid="{D5CDD505-2E9C-101B-9397-08002B2CF9AE}" pid="7" name="Mendeley Recent Style Name 2_1">
    <vt:lpwstr>BMC Medicine</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http://www.zotero.org/styles/journal-of-psychiatric-research</vt:lpwstr>
  </property>
  <property fmtid="{D5CDD505-2E9C-101B-9397-08002B2CF9AE}" pid="15" name="Mendeley Recent Style Name 6_1">
    <vt:lpwstr>Journal of Psychiatric Research</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http://www.zotero.org/styles/neuroscience-and-biobehavioral-reviews</vt:lpwstr>
  </property>
  <property fmtid="{D5CDD505-2E9C-101B-9397-08002B2CF9AE}" pid="19" name="Mendeley Recent Style Name 8_1">
    <vt:lpwstr>Neuroscience and Biobehavioral Reviews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http://www.zotero.org/styles/neuroscience-and-biobehavioral-reviews</vt:lpwstr>
  </property>
  <property fmtid="{D5CDD505-2E9C-101B-9397-08002B2CF9AE}" pid="23" name="Mendeley Document_1">
    <vt:lpwstr>True</vt:lpwstr>
  </property>
  <property fmtid="{D5CDD505-2E9C-101B-9397-08002B2CF9AE}" pid="24" name="Mendeley Unique User Id_1">
    <vt:lpwstr>4bf0ac94-95b5-3e79-8e5f-84dbafee9691</vt:lpwstr>
  </property>
</Properties>
</file>