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CE107" w14:textId="5C839351" w:rsidR="00ED524E" w:rsidRPr="003F68BC" w:rsidRDefault="00ED524E" w:rsidP="00ED524E">
      <w:pPr>
        <w:spacing w:line="480" w:lineRule="auto"/>
        <w:jc w:val="center"/>
        <w:rPr>
          <w:b/>
          <w:sz w:val="28"/>
          <w:szCs w:val="28"/>
        </w:rPr>
      </w:pPr>
      <w:r w:rsidRPr="003F68BC">
        <w:rPr>
          <w:b/>
          <w:sz w:val="28"/>
          <w:szCs w:val="28"/>
        </w:rPr>
        <w:t xml:space="preserve">Public policy and </w:t>
      </w:r>
      <w:r>
        <w:rPr>
          <w:b/>
          <w:sz w:val="28"/>
          <w:szCs w:val="28"/>
        </w:rPr>
        <w:t xml:space="preserve">projects: </w:t>
      </w:r>
      <w:r w:rsidRPr="003F68BC">
        <w:rPr>
          <w:b/>
          <w:sz w:val="28"/>
          <w:szCs w:val="28"/>
        </w:rPr>
        <w:t xml:space="preserve">the impact of </w:t>
      </w:r>
      <w:r w:rsidRPr="003F68BC">
        <w:rPr>
          <w:b/>
          <w:i/>
          <w:sz w:val="28"/>
          <w:szCs w:val="28"/>
        </w:rPr>
        <w:t>intra</w:t>
      </w:r>
      <w:r w:rsidRPr="003F68BC">
        <w:rPr>
          <w:b/>
          <w:sz w:val="28"/>
          <w:szCs w:val="28"/>
        </w:rPr>
        <w:t xml:space="preserve">-national jurisdictional </w:t>
      </w:r>
      <w:r w:rsidR="0025731E" w:rsidRPr="0025731E">
        <w:rPr>
          <w:b/>
          <w:sz w:val="28"/>
          <w:szCs w:val="28"/>
        </w:rPr>
        <w:t xml:space="preserve">concurrency </w:t>
      </w:r>
      <w:r w:rsidR="00C31C46">
        <w:rPr>
          <w:b/>
          <w:sz w:val="28"/>
          <w:szCs w:val="28"/>
        </w:rPr>
        <w:t>on construction disputes</w:t>
      </w:r>
    </w:p>
    <w:p w14:paraId="3EC1B67D" w14:textId="77777777" w:rsidR="00ED524E" w:rsidRPr="003F68BC" w:rsidRDefault="00ED524E" w:rsidP="00ED524E">
      <w:pPr>
        <w:spacing w:line="480" w:lineRule="auto"/>
        <w:jc w:val="center"/>
        <w:rPr>
          <w:b/>
        </w:rPr>
      </w:pPr>
    </w:p>
    <w:p w14:paraId="2882B772" w14:textId="77777777" w:rsidR="00ED524E" w:rsidRDefault="00ED524E" w:rsidP="00ED524E">
      <w:pPr>
        <w:spacing w:line="480" w:lineRule="auto"/>
        <w:jc w:val="center"/>
        <w:rPr>
          <w:b/>
        </w:rPr>
      </w:pPr>
      <w:r w:rsidRPr="003F68BC">
        <w:rPr>
          <w:b/>
        </w:rPr>
        <w:t>Udechukwu Ojiako</w:t>
      </w:r>
    </w:p>
    <w:p w14:paraId="39C468AE" w14:textId="4EDBE833" w:rsidR="00ED524E" w:rsidRPr="00A146F6" w:rsidRDefault="00CA68E3" w:rsidP="00ED524E">
      <w:pPr>
        <w:spacing w:line="480" w:lineRule="auto"/>
        <w:jc w:val="center"/>
        <w:rPr>
          <w:bCs/>
        </w:rPr>
      </w:pPr>
      <w:hyperlink r:id="rId8" w:history="1">
        <w:r w:rsidRPr="00E455EC">
          <w:rPr>
            <w:rStyle w:val="Hyperlink"/>
            <w:bCs/>
          </w:rPr>
          <w:t>udechukwu.ojiako@outlook.com</w:t>
        </w:r>
      </w:hyperlink>
      <w:r>
        <w:rPr>
          <w:bCs/>
        </w:rPr>
        <w:t xml:space="preserve"> </w:t>
      </w:r>
      <w:bookmarkStart w:id="0" w:name="_GoBack"/>
      <w:bookmarkEnd w:id="0"/>
    </w:p>
    <w:p w14:paraId="3EF0B400" w14:textId="77777777" w:rsidR="00ED524E" w:rsidRPr="003F68BC" w:rsidRDefault="00ED524E" w:rsidP="00ED524E">
      <w:pPr>
        <w:spacing w:line="480" w:lineRule="auto"/>
        <w:jc w:val="center"/>
      </w:pPr>
      <w:r w:rsidRPr="003F68BC">
        <w:t>College of Engineering, University of Sharjah, UAE</w:t>
      </w:r>
    </w:p>
    <w:p w14:paraId="33364735" w14:textId="77777777" w:rsidR="00ED524E" w:rsidRPr="003F68BC" w:rsidRDefault="00ED524E" w:rsidP="00ED524E">
      <w:pPr>
        <w:spacing w:line="480" w:lineRule="auto"/>
        <w:jc w:val="center"/>
      </w:pPr>
      <w:r w:rsidRPr="003F68BC">
        <w:t>Hull University Business School, University of Hull, UK</w:t>
      </w:r>
    </w:p>
    <w:p w14:paraId="4456829D" w14:textId="77777777" w:rsidR="00ED524E" w:rsidRPr="003F68BC" w:rsidRDefault="00ED524E" w:rsidP="00ED524E">
      <w:pPr>
        <w:spacing w:line="480" w:lineRule="auto"/>
        <w:jc w:val="center"/>
      </w:pPr>
      <w:r w:rsidRPr="003F68BC">
        <w:t>UNIZIK Business School, Nnamdi Azikiwe University, Nigeria</w:t>
      </w:r>
    </w:p>
    <w:p w14:paraId="45DD8A04" w14:textId="77777777" w:rsidR="00ED524E" w:rsidRDefault="00ED524E" w:rsidP="00ED524E">
      <w:pPr>
        <w:spacing w:line="480" w:lineRule="auto"/>
        <w:jc w:val="center"/>
        <w:rPr>
          <w:b/>
        </w:rPr>
      </w:pPr>
      <w:r w:rsidRPr="003F68BC">
        <w:rPr>
          <w:b/>
        </w:rPr>
        <w:t>Maxwell Chipulu</w:t>
      </w:r>
    </w:p>
    <w:p w14:paraId="5F049225" w14:textId="77777777" w:rsidR="00ED524E" w:rsidRPr="00A146F6" w:rsidRDefault="00ED524E" w:rsidP="00ED524E">
      <w:pPr>
        <w:spacing w:line="480" w:lineRule="auto"/>
        <w:jc w:val="center"/>
        <w:rPr>
          <w:bCs/>
        </w:rPr>
      </w:pPr>
      <w:r w:rsidRPr="00A146F6">
        <w:rPr>
          <w:bCs/>
        </w:rPr>
        <w:t>m.chipulu@soton.ac.uk</w:t>
      </w:r>
    </w:p>
    <w:p w14:paraId="4D677559" w14:textId="77777777" w:rsidR="00ED524E" w:rsidRPr="003F68BC" w:rsidRDefault="00ED524E" w:rsidP="00ED524E">
      <w:pPr>
        <w:spacing w:line="480" w:lineRule="auto"/>
        <w:jc w:val="center"/>
      </w:pPr>
      <w:r w:rsidRPr="003F68BC">
        <w:t>Southampton Business School, University of Southampton, UK</w:t>
      </w:r>
    </w:p>
    <w:p w14:paraId="150DC45B" w14:textId="77777777" w:rsidR="00ED524E" w:rsidRPr="003F68BC" w:rsidRDefault="00ED524E" w:rsidP="00ED524E">
      <w:pPr>
        <w:spacing w:line="480" w:lineRule="auto"/>
        <w:jc w:val="center"/>
        <w:rPr>
          <w:b/>
        </w:rPr>
      </w:pPr>
      <w:r w:rsidRPr="003F68BC">
        <w:rPr>
          <w:b/>
        </w:rPr>
        <w:t>Alasdair Marshall</w:t>
      </w:r>
    </w:p>
    <w:p w14:paraId="4C32958C" w14:textId="77777777" w:rsidR="00ED524E" w:rsidRDefault="00DF4F38" w:rsidP="00ED524E">
      <w:pPr>
        <w:spacing w:line="480" w:lineRule="auto"/>
        <w:jc w:val="center"/>
      </w:pPr>
      <w:hyperlink r:id="rId9" w:history="1">
        <w:r w:rsidR="00ED524E" w:rsidRPr="001B59F6">
          <w:rPr>
            <w:rStyle w:val="Hyperlink"/>
          </w:rPr>
          <w:t>a.marshall@soton.ac.uk</w:t>
        </w:r>
      </w:hyperlink>
    </w:p>
    <w:p w14:paraId="4BA0086E" w14:textId="77777777" w:rsidR="00ED524E" w:rsidRPr="003F68BC" w:rsidRDefault="00ED524E" w:rsidP="00ED524E">
      <w:pPr>
        <w:spacing w:line="480" w:lineRule="auto"/>
        <w:jc w:val="center"/>
      </w:pPr>
      <w:r w:rsidRPr="003F68BC">
        <w:t xml:space="preserve">Southampton Business School, University of Southampton, UK </w:t>
      </w:r>
    </w:p>
    <w:p w14:paraId="5570455E" w14:textId="77777777" w:rsidR="00ED524E" w:rsidRPr="003F68BC" w:rsidRDefault="00ED524E" w:rsidP="00ED524E">
      <w:pPr>
        <w:spacing w:line="480" w:lineRule="auto"/>
        <w:jc w:val="center"/>
        <w:rPr>
          <w:b/>
        </w:rPr>
      </w:pPr>
      <w:r w:rsidRPr="003F68BC">
        <w:rPr>
          <w:b/>
        </w:rPr>
        <w:t>Hamdi Bashir</w:t>
      </w:r>
    </w:p>
    <w:p w14:paraId="4F220615" w14:textId="77777777" w:rsidR="00ED524E" w:rsidRDefault="00DF4F38" w:rsidP="00ED524E">
      <w:pPr>
        <w:spacing w:line="480" w:lineRule="auto"/>
        <w:jc w:val="center"/>
      </w:pPr>
      <w:hyperlink r:id="rId10" w:history="1">
        <w:r w:rsidR="00ED524E" w:rsidRPr="001B59F6">
          <w:rPr>
            <w:rStyle w:val="Hyperlink"/>
          </w:rPr>
          <w:t>hbashir@sharjah.ac.ae</w:t>
        </w:r>
      </w:hyperlink>
    </w:p>
    <w:p w14:paraId="675032C9" w14:textId="77777777" w:rsidR="00ED524E" w:rsidRPr="003F68BC" w:rsidRDefault="00ED524E" w:rsidP="00ED524E">
      <w:pPr>
        <w:spacing w:line="480" w:lineRule="auto"/>
        <w:jc w:val="center"/>
      </w:pPr>
      <w:r w:rsidRPr="003F68BC">
        <w:t>College of Engineering, University of Sharjah, UAE</w:t>
      </w:r>
    </w:p>
    <w:p w14:paraId="0AB93D16" w14:textId="77777777" w:rsidR="00ED524E" w:rsidRPr="003F68BC" w:rsidRDefault="00ED524E" w:rsidP="00ED524E">
      <w:pPr>
        <w:spacing w:line="480" w:lineRule="auto"/>
        <w:jc w:val="both"/>
      </w:pPr>
    </w:p>
    <w:p w14:paraId="048AB70F" w14:textId="6720982A" w:rsidR="00301CF1" w:rsidRDefault="00943397" w:rsidP="00F02CA5">
      <w:pPr>
        <w:spacing w:line="480" w:lineRule="auto"/>
        <w:jc w:val="both"/>
      </w:pPr>
      <w:r w:rsidRPr="0090618D">
        <w:t>W</w:t>
      </w:r>
      <w:r w:rsidR="00ED524E" w:rsidRPr="0090618D">
        <w:t xml:space="preserve">ithout conclusive settlement of disputes, </w:t>
      </w:r>
      <w:r w:rsidR="00D12840">
        <w:t>uses of</w:t>
      </w:r>
      <w:r w:rsidR="00ED524E" w:rsidRPr="0090618D">
        <w:t xml:space="preserve"> public sector infrastructure </w:t>
      </w:r>
      <w:r w:rsidR="00ED524E" w:rsidRPr="002D23B0">
        <w:t xml:space="preserve">projects as </w:t>
      </w:r>
      <w:r w:rsidR="00D12840">
        <w:t>public policy</w:t>
      </w:r>
      <w:r w:rsidR="00ED524E" w:rsidRPr="002D23B0">
        <w:t xml:space="preserve"> </w:t>
      </w:r>
      <w:r w:rsidR="00ED524E" w:rsidRPr="00D74F6B">
        <w:t>instrument</w:t>
      </w:r>
      <w:r w:rsidR="00D12840">
        <w:t>s might risk impeachment</w:t>
      </w:r>
      <w:r w:rsidR="00ED524E" w:rsidRPr="00D74F6B">
        <w:t xml:space="preserve">. </w:t>
      </w:r>
      <w:r w:rsidR="00F02CA5" w:rsidRPr="00910E28">
        <w:t xml:space="preserve">With this in mind, </w:t>
      </w:r>
      <w:r w:rsidR="00F02CA5" w:rsidRPr="00916C66">
        <w:t xml:space="preserve">we set out in this study to </w:t>
      </w:r>
      <w:r w:rsidR="00F02CA5" w:rsidRPr="0073366F">
        <w:t xml:space="preserve">explore how public </w:t>
      </w:r>
      <w:r w:rsidR="00F02CA5" w:rsidRPr="009F4823">
        <w:t>policy impacts upon the finality of dispute resolution</w:t>
      </w:r>
      <w:r w:rsidR="002E03A2">
        <w:t>s</w:t>
      </w:r>
      <w:r w:rsidR="00F02CA5" w:rsidRPr="009F4823">
        <w:t xml:space="preserve"> conducted within public</w:t>
      </w:r>
      <w:r w:rsidR="00F02CA5" w:rsidRPr="00B25CDA">
        <w:t xml:space="preserve"> sector infras</w:t>
      </w:r>
      <w:r w:rsidR="00F02CA5" w:rsidRPr="000B3963">
        <w:t>tructure project space</w:t>
      </w:r>
      <w:r w:rsidR="002E03A2">
        <w:t>s</w:t>
      </w:r>
      <w:r w:rsidR="00F02CA5" w:rsidRPr="000B3963">
        <w:t xml:space="preserve">. </w:t>
      </w:r>
      <w:r w:rsidRPr="00C62788">
        <w:t>W</w:t>
      </w:r>
      <w:r w:rsidR="00F02CA5" w:rsidRPr="00C62788">
        <w:t xml:space="preserve">e </w:t>
      </w:r>
      <w:r w:rsidR="00ED524E" w:rsidRPr="00C62788">
        <w:t xml:space="preserve">use empirical data obtained from opinion coding of 220 decided </w:t>
      </w:r>
      <w:r w:rsidR="00ED524E" w:rsidRPr="0090618D">
        <w:t>disputes conducted in the United Arab Emirates between 1992 and 2018</w:t>
      </w:r>
      <w:r w:rsidR="00301CF1" w:rsidRPr="0090618D">
        <w:t xml:space="preserve">. Findings suggest </w:t>
      </w:r>
      <w:r w:rsidR="00301CF1" w:rsidRPr="0090618D">
        <w:lastRenderedPageBreak/>
        <w:t xml:space="preserve">differences in attitude among the courts in the United Arab Emirates in the interpretation and application of public policy as a basis for nullifying arbitral awards. This finding </w:t>
      </w:r>
      <w:r w:rsidR="0090618D" w:rsidRPr="0090618D">
        <w:t>suggests</w:t>
      </w:r>
      <w:r w:rsidR="00301CF1" w:rsidRPr="0090618D">
        <w:t xml:space="preserve"> that the existence of </w:t>
      </w:r>
      <w:r w:rsidR="0090618D" w:rsidRPr="0090618D">
        <w:t xml:space="preserve">a series of parallel courts, a mixed legal jurisdiction and </w:t>
      </w:r>
      <w:r w:rsidR="00301CF1" w:rsidRPr="0090618D">
        <w:t xml:space="preserve">multiple and concurrent </w:t>
      </w:r>
      <w:r w:rsidR="00301CF1" w:rsidRPr="0090618D">
        <w:rPr>
          <w:i/>
          <w:iCs/>
        </w:rPr>
        <w:t>intra</w:t>
      </w:r>
      <w:r w:rsidR="00301CF1" w:rsidRPr="0090618D">
        <w:t>-national laws</w:t>
      </w:r>
      <w:r w:rsidR="002E03A2">
        <w:t>,</w:t>
      </w:r>
      <w:r w:rsidR="00301CF1" w:rsidRPr="0090618D">
        <w:t xml:space="preserve"> </w:t>
      </w:r>
      <w:r w:rsidR="0090618D" w:rsidRPr="0090618D">
        <w:t xml:space="preserve">combined </w:t>
      </w:r>
      <w:r w:rsidR="0090618D" w:rsidRPr="002D23B0">
        <w:t>wi</w:t>
      </w:r>
      <w:r w:rsidR="0090618D" w:rsidRPr="00D74F6B">
        <w:t xml:space="preserve">th </w:t>
      </w:r>
      <w:r w:rsidR="0090618D" w:rsidRPr="00910E28">
        <w:t xml:space="preserve">the </w:t>
      </w:r>
      <w:r w:rsidR="00301CF1" w:rsidRPr="00114D5F">
        <w:t xml:space="preserve">intractable nature of public policy, </w:t>
      </w:r>
      <w:r w:rsidR="00301CF1" w:rsidRPr="00916C66">
        <w:t>ca</w:t>
      </w:r>
      <w:r w:rsidR="00301CF1" w:rsidRPr="0073366F">
        <w:t>n s</w:t>
      </w:r>
      <w:r w:rsidR="00301CF1" w:rsidRPr="00D90A2E">
        <w:t>i</w:t>
      </w:r>
      <w:r w:rsidR="00301CF1" w:rsidRPr="009F4823">
        <w:t>gni</w:t>
      </w:r>
      <w:r w:rsidR="00301CF1" w:rsidRPr="00B25CDA">
        <w:t>f</w:t>
      </w:r>
      <w:r w:rsidR="00301CF1" w:rsidRPr="000B3963">
        <w:t>i</w:t>
      </w:r>
      <w:r w:rsidR="00301CF1" w:rsidRPr="00C62788">
        <w:t>cantly i</w:t>
      </w:r>
      <w:r w:rsidR="00301CF1" w:rsidRPr="00900A6E">
        <w:t>mpa</w:t>
      </w:r>
      <w:r w:rsidR="00301CF1" w:rsidRPr="00E2316D">
        <w:t>c</w:t>
      </w:r>
      <w:r w:rsidR="00301CF1" w:rsidRPr="0090618D">
        <w:t xml:space="preserve">t upon the </w:t>
      </w:r>
      <w:r w:rsidR="00ED524E" w:rsidRPr="0090618D">
        <w:t xml:space="preserve">conclusive settlement of public sector infrastructure </w:t>
      </w:r>
      <w:r w:rsidR="00301CF1" w:rsidRPr="0090618D">
        <w:t xml:space="preserve">project </w:t>
      </w:r>
      <w:r w:rsidR="00ED524E" w:rsidRPr="0090618D">
        <w:t>disputes</w:t>
      </w:r>
      <w:r w:rsidR="00301CF1" w:rsidRPr="0090618D">
        <w:t>.</w:t>
      </w:r>
    </w:p>
    <w:p w14:paraId="02561D58" w14:textId="77777777" w:rsidR="00ED524E" w:rsidRPr="003F68BC" w:rsidRDefault="00ED524E" w:rsidP="00ED524E">
      <w:pPr>
        <w:spacing w:line="480" w:lineRule="auto"/>
        <w:jc w:val="both"/>
      </w:pPr>
      <w:r w:rsidRPr="003F68BC">
        <w:rPr>
          <w:b/>
          <w:i/>
        </w:rPr>
        <w:t>Keywords</w:t>
      </w:r>
      <w:r w:rsidRPr="003F68BC">
        <w:t>: Public policy, Infrastructure projects; Legal perspectives; Arbitration; jurisdictional concurrency</w:t>
      </w:r>
    </w:p>
    <w:p w14:paraId="3CB070F1" w14:textId="77777777" w:rsidR="00ED524E" w:rsidRPr="003F68BC" w:rsidRDefault="00ED524E" w:rsidP="00ED524E">
      <w:pPr>
        <w:spacing w:line="480" w:lineRule="auto"/>
        <w:jc w:val="both"/>
      </w:pPr>
    </w:p>
    <w:p w14:paraId="57E99B54" w14:textId="77777777" w:rsidR="00ED524E" w:rsidRPr="003F68BC" w:rsidRDefault="00ED524E" w:rsidP="00ED524E">
      <w:pPr>
        <w:pStyle w:val="Heading1"/>
        <w:spacing w:before="0" w:after="0" w:line="480" w:lineRule="auto"/>
        <w:rPr>
          <w:rFonts w:ascii="Times New Roman" w:hAnsi="Times New Roman" w:cs="Times New Roman"/>
          <w:sz w:val="24"/>
          <w:szCs w:val="24"/>
        </w:rPr>
      </w:pPr>
      <w:r w:rsidRPr="003F68BC">
        <w:rPr>
          <w:rFonts w:ascii="Times New Roman" w:hAnsi="Times New Roman" w:cs="Times New Roman"/>
          <w:sz w:val="24"/>
          <w:szCs w:val="24"/>
        </w:rPr>
        <w:t>1. Introduction</w:t>
      </w:r>
    </w:p>
    <w:p w14:paraId="37F8C4D3" w14:textId="77777777" w:rsidR="00ED524E" w:rsidRPr="003F68BC" w:rsidRDefault="00ED524E" w:rsidP="00ED524E">
      <w:pPr>
        <w:spacing w:line="480" w:lineRule="auto"/>
        <w:jc w:val="both"/>
        <w:rPr>
          <w:i/>
        </w:rPr>
      </w:pPr>
      <w:r w:rsidRPr="003F68BC">
        <w:rPr>
          <w:i/>
        </w:rPr>
        <w:t>1.1 Bechtel</w:t>
      </w:r>
    </w:p>
    <w:p w14:paraId="5DA3AE4A" w14:textId="1170FB68" w:rsidR="00ED524E" w:rsidRPr="003F68BC" w:rsidRDefault="00ED524E" w:rsidP="004A08A1">
      <w:pPr>
        <w:spacing w:line="480" w:lineRule="auto"/>
        <w:jc w:val="both"/>
      </w:pPr>
      <w:r w:rsidRPr="003F68BC">
        <w:t>The public policy exception is a legal doctrine which national courts (</w:t>
      </w:r>
      <w:r w:rsidR="00A72AA9">
        <w:t>drawing</w:t>
      </w:r>
      <w:r w:rsidRPr="003F68BC">
        <w:t xml:space="preserve"> on their inherent oversight and supervisory powers) may</w:t>
      </w:r>
      <w:r w:rsidR="00A72AA9">
        <w:t>,</w:t>
      </w:r>
      <w:r w:rsidRPr="003F68BC">
        <w:t xml:space="preserve"> depending on legislative provisions, choose to</w:t>
      </w:r>
      <w:r w:rsidR="009A6E60">
        <w:t>:</w:t>
      </w:r>
      <w:r w:rsidRPr="003F68BC">
        <w:t xml:space="preserve"> (i) decline to enforce (ii) annul (that is</w:t>
      </w:r>
      <w:r w:rsidR="00A72AA9">
        <w:t>,</w:t>
      </w:r>
      <w:r w:rsidRPr="003F68BC">
        <w:t xml:space="preserve"> cancel) or (iii) set aside (replace)</w:t>
      </w:r>
      <w:r w:rsidR="009A6E60">
        <w:t>,</w:t>
      </w:r>
      <w:r w:rsidRPr="003F68BC">
        <w:t xml:space="preserve"> either the entirety or parts of an arbitral award that violates </w:t>
      </w:r>
      <w:r w:rsidR="009A6E60">
        <w:t xml:space="preserve">either </w:t>
      </w:r>
      <w:r w:rsidRPr="003F68BC">
        <w:t>societal norms</w:t>
      </w:r>
      <w:r w:rsidR="009A6E60">
        <w:t xml:space="preserve"> or</w:t>
      </w:r>
      <w:r w:rsidRPr="003F68BC">
        <w:t xml:space="preserve"> notions of justice</w:t>
      </w:r>
      <w:r w:rsidR="009A6E60">
        <w:t>,</w:t>
      </w:r>
      <w:r w:rsidRPr="003F68BC">
        <w:t xml:space="preserve"> or</w:t>
      </w:r>
      <w:r w:rsidR="009A6E60">
        <w:t xml:space="preserve"> indeed of</w:t>
      </w:r>
      <w:r w:rsidRPr="003F68BC">
        <w:t xml:space="preserve"> public morality. </w:t>
      </w:r>
      <w:r w:rsidR="009A6E60">
        <w:t>In summary, then, t</w:t>
      </w:r>
      <w:r w:rsidRPr="003F68BC">
        <w:t>he public policy exception exists to pre-empt “…</w:t>
      </w:r>
      <w:r w:rsidRPr="003F68BC">
        <w:rPr>
          <w:i/>
        </w:rPr>
        <w:t>a general mischief to the public</w:t>
      </w:r>
      <w:r w:rsidRPr="003F68BC">
        <w:t xml:space="preserve">” (Knight, 1922, p. 208). </w:t>
      </w:r>
    </w:p>
    <w:p w14:paraId="33DECADC" w14:textId="37530CBB" w:rsidR="003E3B11" w:rsidRDefault="003E3B11" w:rsidP="003E3B11">
      <w:pPr>
        <w:spacing w:line="480" w:lineRule="auto"/>
        <w:ind w:firstLine="720"/>
        <w:jc w:val="both"/>
      </w:pPr>
      <w:r>
        <w:t>In the United Arab Emirates (‘UAE’), one of the first reported cases where t</w:t>
      </w:r>
      <w:r w:rsidRPr="003F68BC">
        <w:t>he p</w:t>
      </w:r>
      <w:r>
        <w:t xml:space="preserve">ublic policy exception played a significant </w:t>
      </w:r>
      <w:r w:rsidR="00356876">
        <w:t xml:space="preserve">determining </w:t>
      </w:r>
      <w:r>
        <w:t xml:space="preserve">role was </w:t>
      </w:r>
      <w:r w:rsidRPr="003E3B11">
        <w:rPr>
          <w:i/>
          <w:iCs/>
        </w:rPr>
        <w:t>Bechtel</w:t>
      </w:r>
      <w:r w:rsidRPr="003F68BC">
        <w:rPr>
          <w:rStyle w:val="FootnoteReference"/>
        </w:rPr>
        <w:footnoteReference w:id="1"/>
      </w:r>
      <w:r>
        <w:t>. More specifically, o</w:t>
      </w:r>
      <w:r w:rsidRPr="003F68BC">
        <w:t xml:space="preserve">n 15 May 2005, citing the ‘public policy exception’, the Dubai Court of Cassation ratified the nullification of an arbitration award of approximately US$25.4 million obtained by International Bechtel Company Limited (‘Bechtel’) in its dispute with the Department of Civil Aviation of the Government (‘the DCA’) of the </w:t>
      </w:r>
      <w:r w:rsidRPr="003F68BC">
        <w:rPr>
          <w:i/>
        </w:rPr>
        <w:t>Emirate</w:t>
      </w:r>
      <w:r w:rsidRPr="003F68BC">
        <w:t xml:space="preserve"> of Dubai (‘Dubai’). </w:t>
      </w:r>
    </w:p>
    <w:p w14:paraId="6B622C57" w14:textId="1851CB62" w:rsidR="00ED524E" w:rsidRPr="003F68BC" w:rsidRDefault="00ED524E" w:rsidP="00ED524E">
      <w:pPr>
        <w:spacing w:line="480" w:lineRule="auto"/>
        <w:ind w:firstLine="720"/>
        <w:jc w:val="both"/>
      </w:pPr>
      <w:r w:rsidRPr="003F68BC">
        <w:lastRenderedPageBreak/>
        <w:t xml:space="preserve">The </w:t>
      </w:r>
      <w:r w:rsidR="00356876">
        <w:t xml:space="preserve">2002 </w:t>
      </w:r>
      <w:r w:rsidRPr="003F68BC">
        <w:t>Bechtel award</w:t>
      </w:r>
      <w:r w:rsidR="00356876">
        <w:t xml:space="preserve"> </w:t>
      </w:r>
      <w:r w:rsidRPr="003F68BC">
        <w:t xml:space="preserve">had been made by a sole arbitrator jointly appointed by both Bechtel and the DCA following a dispute which had arisen in 1999. The dispute involved a contract for project management professional services for a major </w:t>
      </w:r>
      <w:r w:rsidR="00A41A3D">
        <w:t xml:space="preserve">Dubai </w:t>
      </w:r>
      <w:r w:rsidRPr="003F68BC">
        <w:t>theme park development with surrounding</w:t>
      </w:r>
      <w:r w:rsidRPr="003F68BC" w:rsidDel="006A1D95">
        <w:t xml:space="preserve"> </w:t>
      </w:r>
      <w:r w:rsidRPr="003F68BC">
        <w:t>commercial and residential units. By ratifying the nullification of the arbitration award by both the Dubai Court of First Instance</w:t>
      </w:r>
      <w:r w:rsidRPr="003F68BC">
        <w:rPr>
          <w:rStyle w:val="FootnoteReference"/>
        </w:rPr>
        <w:footnoteReference w:id="2"/>
      </w:r>
      <w:r w:rsidRPr="003F68BC">
        <w:t xml:space="preserve"> and the Dubai Court of Appeal</w:t>
      </w:r>
      <w:r w:rsidR="005203F4">
        <w:t xml:space="preserve">, the </w:t>
      </w:r>
      <w:r w:rsidR="00B34644" w:rsidRPr="00B34644">
        <w:t>Dubai Court of Cassation</w:t>
      </w:r>
      <w:r w:rsidR="00B34644" w:rsidRPr="003F68BC">
        <w:rPr>
          <w:rStyle w:val="FootnoteReference"/>
        </w:rPr>
        <w:footnoteReference w:id="3"/>
      </w:r>
      <w:r w:rsidR="00B34644">
        <w:t xml:space="preserve"> </w:t>
      </w:r>
      <w:r w:rsidRPr="003F68BC">
        <w:t xml:space="preserve">on face value had approved interference with a private contract. While </w:t>
      </w:r>
      <w:r w:rsidR="005203F4">
        <w:t xml:space="preserve">recognising this to be </w:t>
      </w:r>
      <w:r w:rsidRPr="003F68BC">
        <w:t>an interesting area of study,</w:t>
      </w:r>
      <w:r w:rsidR="005203F4">
        <w:t xml:space="preserve"> we focused our study instead</w:t>
      </w:r>
      <w:r w:rsidRPr="003F68BC">
        <w:t xml:space="preserve"> </w:t>
      </w:r>
      <w:r w:rsidR="005203F4">
        <w:t xml:space="preserve">on </w:t>
      </w:r>
      <w:r w:rsidRPr="003F68BC">
        <w:t xml:space="preserve">how the intractable nature of public policy had set the scene for the Bechtel judgement to be representative of the existence of </w:t>
      </w:r>
      <w:r w:rsidRPr="003F68BC">
        <w:rPr>
          <w:i/>
        </w:rPr>
        <w:t>intra</w:t>
      </w:r>
      <w:r w:rsidRPr="003F68BC">
        <w:t xml:space="preserve">-national jurisdictional concurrency. What then becomes of interest is a need to understand the likely impact of such concurrency upon the finality of arbitration conducted within the public sector infrastructure project space. </w:t>
      </w:r>
    </w:p>
    <w:p w14:paraId="304BEF2E" w14:textId="2DD8BD62" w:rsidR="00ED524E" w:rsidRPr="003F68BC" w:rsidRDefault="00ED524E" w:rsidP="00ED524E">
      <w:pPr>
        <w:spacing w:line="480" w:lineRule="auto"/>
        <w:ind w:firstLine="720"/>
        <w:jc w:val="both"/>
      </w:pPr>
      <w:r w:rsidRPr="003F68BC">
        <w:t xml:space="preserve">In the public sector infrastructure project space, the law performs </w:t>
      </w:r>
      <w:r>
        <w:t>both</w:t>
      </w:r>
      <w:r w:rsidRPr="003F68BC">
        <w:t xml:space="preserve"> instrumental </w:t>
      </w:r>
      <w:r>
        <w:t>and</w:t>
      </w:r>
      <w:r w:rsidRPr="003F68BC">
        <w:t xml:space="preserve"> social function</w:t>
      </w:r>
      <w:r w:rsidR="00AE62BD">
        <w:t>s</w:t>
      </w:r>
      <w:r w:rsidRPr="003F68BC">
        <w:t xml:space="preserve">. As relates to its instrumental function, the law provides enabling frameworks </w:t>
      </w:r>
      <w:r w:rsidR="00AE62BD">
        <w:t>for</w:t>
      </w:r>
      <w:r w:rsidRPr="003F68BC">
        <w:t xml:space="preserve"> policy implementation and delivery (Ojiako, 2019a, b). On the other hand, the social function of the law (in the context of public sector infrastructure projects) is </w:t>
      </w:r>
      <w:r w:rsidR="00047E6C">
        <w:t>to regulate and enforce</w:t>
      </w:r>
      <w:r w:rsidRPr="003F68BC">
        <w:t xml:space="preserve"> contractual relationships (</w:t>
      </w:r>
      <w:proofErr w:type="spellStart"/>
      <w:r w:rsidRPr="003F68BC">
        <w:t>McBarnet</w:t>
      </w:r>
      <w:proofErr w:type="spellEnd"/>
      <w:r w:rsidRPr="003F68BC">
        <w:t xml:space="preserve">, 1988). However, </w:t>
      </w:r>
      <w:r>
        <w:t xml:space="preserve">due to a </w:t>
      </w:r>
      <w:r w:rsidRPr="003F68BC">
        <w:t>lack of uniformity in terms of how legal principles are construed and enforced</w:t>
      </w:r>
      <w:r>
        <w:t xml:space="preserve"> in different jurisdictions, </w:t>
      </w:r>
      <w:r w:rsidRPr="003F68BC">
        <w:t xml:space="preserve">the existence of such </w:t>
      </w:r>
      <w:r w:rsidRPr="003F68BC">
        <w:rPr>
          <w:i/>
        </w:rPr>
        <w:t>intra</w:t>
      </w:r>
      <w:r w:rsidRPr="003F68BC">
        <w:t xml:space="preserve">-national jurisdictional concurrency may </w:t>
      </w:r>
      <w:r w:rsidR="00047E6C">
        <w:t>reduce certainty over</w:t>
      </w:r>
      <w:r w:rsidRPr="003F68BC">
        <w:t xml:space="preserve"> project stakeholder/contractual legal rights and obligations</w:t>
      </w:r>
      <w:r>
        <w:t xml:space="preserve">. </w:t>
      </w:r>
      <w:r w:rsidR="00047E6C">
        <w:t>This becomes problematic in view of the fact that c</w:t>
      </w:r>
      <w:r w:rsidRPr="003F68BC">
        <w:t>ertainty of the law is an essential element of the legal perspective of public policy.</w:t>
      </w:r>
    </w:p>
    <w:p w14:paraId="6C238F00" w14:textId="77777777" w:rsidR="00ED524E" w:rsidRPr="003F68BC" w:rsidRDefault="00ED524E" w:rsidP="00ED524E">
      <w:pPr>
        <w:spacing w:line="480" w:lineRule="auto"/>
        <w:jc w:val="both"/>
      </w:pPr>
    </w:p>
    <w:p w14:paraId="2B31E44B" w14:textId="77777777" w:rsidR="00ED524E" w:rsidRPr="003F68BC" w:rsidRDefault="00ED524E" w:rsidP="00ED524E">
      <w:pPr>
        <w:spacing w:line="480" w:lineRule="auto"/>
        <w:jc w:val="both"/>
        <w:rPr>
          <w:i/>
          <w:iCs/>
        </w:rPr>
      </w:pPr>
      <w:r w:rsidRPr="003F68BC">
        <w:rPr>
          <w:i/>
          <w:iCs/>
        </w:rPr>
        <w:lastRenderedPageBreak/>
        <w:t>1.2 Aim</w:t>
      </w:r>
    </w:p>
    <w:p w14:paraId="340FDD4D" w14:textId="60722ECB" w:rsidR="00ED524E" w:rsidRPr="003F68BC" w:rsidRDefault="00ED524E" w:rsidP="00ED524E">
      <w:pPr>
        <w:spacing w:line="480" w:lineRule="auto"/>
        <w:jc w:val="both"/>
      </w:pPr>
      <w:r w:rsidRPr="003F68BC">
        <w:t xml:space="preserve">The main purpose of our study is therefore to draw upon the legal perspective of public policy to explore the ‘authoritative context’ (which we identify as public policy and jurisdictional concurrency) that impacts upon the finality of dispute resolution conducted within the public sector infrastructure project space. In the process, we seek to lift the </w:t>
      </w:r>
      <w:r w:rsidRPr="003F68BC">
        <w:rPr>
          <w:i/>
        </w:rPr>
        <w:t>‘veil of ignorance’</w:t>
      </w:r>
      <w:r w:rsidRPr="003F68BC">
        <w:t xml:space="preserve"> (Marshall and Ojiako, 2013) that may exist among project management scholars and practitioners unfamiliar with the intimate connection</w:t>
      </w:r>
      <w:r w:rsidR="00047E6C">
        <w:t>s</w:t>
      </w:r>
      <w:r w:rsidRPr="003F68BC">
        <w:t xml:space="preserve"> between (i) the notion of public policy, (ii) the finality principle in arbitration and (iii) jurisdictional concurrency.  </w:t>
      </w:r>
      <w:r>
        <w:t>J</w:t>
      </w:r>
      <w:r w:rsidRPr="003F68BC">
        <w:t xml:space="preserve">urisdictional concurrency arises when </w:t>
      </w:r>
      <w:r w:rsidRPr="003F68BC">
        <w:rPr>
          <w:rFonts w:eastAsia="Calibri"/>
          <w:lang w:val="en-US"/>
        </w:rPr>
        <w:t xml:space="preserve">a legal entity is </w:t>
      </w:r>
      <w:r w:rsidRPr="003F68BC">
        <w:rPr>
          <w:i/>
        </w:rPr>
        <w:t>simultaneously</w:t>
      </w:r>
      <w:r w:rsidRPr="003F68BC">
        <w:t xml:space="preserve"> subject to different laws. </w:t>
      </w:r>
    </w:p>
    <w:p w14:paraId="699FE2C3" w14:textId="0CF6AF95" w:rsidR="00D96A24" w:rsidRPr="003F68BC" w:rsidRDefault="00D96A24" w:rsidP="008B7258">
      <w:pPr>
        <w:spacing w:line="480" w:lineRule="auto"/>
        <w:ind w:firstLine="720"/>
        <w:jc w:val="both"/>
      </w:pPr>
      <w:r w:rsidRPr="003F68BC">
        <w:t xml:space="preserve">The </w:t>
      </w:r>
      <w:r w:rsidR="00ED524E" w:rsidRPr="00ED524E">
        <w:t>United Arab Emirates</w:t>
      </w:r>
      <w:r w:rsidR="00E5694F">
        <w:t xml:space="preserve"> (‘UAE’)</w:t>
      </w:r>
      <w:r w:rsidR="00ED524E" w:rsidRPr="00ED524E">
        <w:t xml:space="preserve"> </w:t>
      </w:r>
      <w:r w:rsidRPr="003F68BC">
        <w:t>provides a particularly interesting opportunity to explore the impact of public policy and jurisdictional concurrency on the finality of arbitration. The UAE is a sovereign</w:t>
      </w:r>
      <w:r w:rsidR="00F5379A">
        <w:t xml:space="preserve"> and</w:t>
      </w:r>
      <w:r w:rsidRPr="003F68BC">
        <w:t xml:space="preserve"> independent federal</w:t>
      </w:r>
      <w:r w:rsidR="00F5379A">
        <w:t>,</w:t>
      </w:r>
      <w:r w:rsidRPr="003F68BC">
        <w:t xml:space="preserve"> state lying at the south east of the Arabian Peninsula</w:t>
      </w:r>
      <w:r w:rsidR="00F5379A">
        <w:t>,</w:t>
      </w:r>
      <w:r w:rsidRPr="003F68BC">
        <w:t xml:space="preserve"> w</w:t>
      </w:r>
      <w:r w:rsidR="00F5379A">
        <w:t>hose</w:t>
      </w:r>
      <w:r w:rsidRPr="003F68BC">
        <w:t xml:space="preserve"> total </w:t>
      </w:r>
      <w:r w:rsidR="00F5379A">
        <w:t xml:space="preserve">land </w:t>
      </w:r>
      <w:r w:rsidRPr="003F68BC">
        <w:t>area cover</w:t>
      </w:r>
      <w:r w:rsidR="00F5379A">
        <w:t>s</w:t>
      </w:r>
      <w:r w:rsidRPr="003F68BC">
        <w:t xml:space="preserve"> approximately 32,278 square miles. The UAE consists of seven constituent </w:t>
      </w:r>
      <w:r w:rsidRPr="003F68BC">
        <w:rPr>
          <w:i/>
          <w:iCs/>
        </w:rPr>
        <w:t>emirates</w:t>
      </w:r>
      <w:r w:rsidRPr="003F68BC">
        <w:t xml:space="preserve"> (which equate to religious and political states). These are the </w:t>
      </w:r>
      <w:r w:rsidRPr="003F68BC">
        <w:rPr>
          <w:i/>
          <w:iCs/>
        </w:rPr>
        <w:t>Emirates</w:t>
      </w:r>
      <w:r w:rsidRPr="003F68BC">
        <w:t xml:space="preserve"> of Abu Dhabi, Sharjah, Fujairah, Ajman, Ras al Khaimah, Dubai and Umm al Quwain. The </w:t>
      </w:r>
      <w:r w:rsidRPr="003F68BC">
        <w:rPr>
          <w:i/>
          <w:iCs/>
        </w:rPr>
        <w:t>Emirate</w:t>
      </w:r>
      <w:r w:rsidRPr="003F68BC">
        <w:t xml:space="preserve"> of Abu Dhabi (‘Abu Dhabi’) also serves as the capital of the UAE. The </w:t>
      </w:r>
      <w:r w:rsidRPr="003F68BC">
        <w:rPr>
          <w:i/>
          <w:iCs/>
        </w:rPr>
        <w:t>Emirate</w:t>
      </w:r>
      <w:r w:rsidRPr="003F68BC">
        <w:t xml:space="preserve"> of Dubai is arguably the </w:t>
      </w:r>
      <w:r w:rsidR="00F5379A">
        <w:t>principal hub</w:t>
      </w:r>
      <w:r w:rsidRPr="003F68BC">
        <w:t xml:space="preserve"> of commercial activity in the UAE. </w:t>
      </w:r>
    </w:p>
    <w:p w14:paraId="35CB5464" w14:textId="6EBAB1D4" w:rsidR="00D96A24" w:rsidRPr="003F68BC" w:rsidRDefault="00407688" w:rsidP="00407688">
      <w:pPr>
        <w:spacing w:line="480" w:lineRule="auto"/>
        <w:ind w:firstLine="720"/>
        <w:jc w:val="both"/>
      </w:pPr>
      <w:r>
        <w:rPr>
          <w:rFonts w:asciiTheme="majorBidi" w:hAnsiTheme="majorBidi" w:cstheme="majorBidi"/>
        </w:rPr>
        <w:t>A</w:t>
      </w:r>
      <w:r w:rsidR="00D96A24" w:rsidRPr="003F68BC">
        <w:rPr>
          <w:rFonts w:asciiTheme="majorBidi" w:hAnsiTheme="majorBidi" w:cstheme="majorBidi"/>
        </w:rPr>
        <w:t>long with that of Saudi Arabia</w:t>
      </w:r>
      <w:r>
        <w:rPr>
          <w:rFonts w:asciiTheme="majorBidi" w:hAnsiTheme="majorBidi" w:cstheme="majorBidi"/>
        </w:rPr>
        <w:t xml:space="preserve">, </w:t>
      </w:r>
      <w:r>
        <w:t>t</w:t>
      </w:r>
      <w:r w:rsidRPr="003F68BC">
        <w:t xml:space="preserve">he </w:t>
      </w:r>
      <w:r w:rsidRPr="003F68BC">
        <w:rPr>
          <w:rFonts w:asciiTheme="majorBidi" w:hAnsiTheme="majorBidi" w:cstheme="majorBidi"/>
        </w:rPr>
        <w:t>UAE infrastructure projects sector is the largest in the Middle East</w:t>
      </w:r>
      <w:r w:rsidR="00D96A24" w:rsidRPr="003F68BC">
        <w:rPr>
          <w:rFonts w:asciiTheme="majorBidi" w:hAnsiTheme="majorBidi" w:cstheme="majorBidi"/>
        </w:rPr>
        <w:t xml:space="preserve"> (see AECOM, 2019). </w:t>
      </w:r>
      <w:r>
        <w:rPr>
          <w:rFonts w:asciiTheme="majorBidi" w:hAnsiTheme="majorBidi" w:cstheme="majorBidi"/>
        </w:rPr>
        <w:t>I</w:t>
      </w:r>
      <w:r w:rsidR="00D96A24" w:rsidRPr="003F68BC">
        <w:rPr>
          <w:rFonts w:asciiTheme="majorBidi" w:hAnsiTheme="majorBidi" w:cstheme="majorBidi"/>
        </w:rPr>
        <w:t>t is however characterised by a high rate of project failure</w:t>
      </w:r>
      <w:r w:rsidR="004C061C">
        <w:rPr>
          <w:rFonts w:asciiTheme="majorBidi" w:hAnsiTheme="majorBidi" w:cstheme="majorBidi"/>
        </w:rPr>
        <w:t xml:space="preserve"> (</w:t>
      </w:r>
      <w:proofErr w:type="spellStart"/>
      <w:r w:rsidR="00D96A24" w:rsidRPr="003F68BC">
        <w:rPr>
          <w:rFonts w:asciiTheme="majorBidi" w:hAnsiTheme="majorBidi" w:cstheme="majorBidi"/>
        </w:rPr>
        <w:t>Faridi</w:t>
      </w:r>
      <w:proofErr w:type="spellEnd"/>
      <w:r w:rsidR="00D96A24" w:rsidRPr="003F68BC">
        <w:rPr>
          <w:rFonts w:asciiTheme="majorBidi" w:hAnsiTheme="majorBidi" w:cstheme="majorBidi"/>
        </w:rPr>
        <w:t xml:space="preserve"> and El </w:t>
      </w:r>
      <w:proofErr w:type="spellStart"/>
      <w:r w:rsidR="00D96A24" w:rsidRPr="003F68BC">
        <w:rPr>
          <w:rFonts w:asciiTheme="majorBidi" w:hAnsiTheme="majorBidi" w:cstheme="majorBidi"/>
        </w:rPr>
        <w:t>Sayegh</w:t>
      </w:r>
      <w:proofErr w:type="spellEnd"/>
      <w:r w:rsidR="00D96A24" w:rsidRPr="003F68BC">
        <w:rPr>
          <w:rFonts w:asciiTheme="majorBidi" w:hAnsiTheme="majorBidi" w:cstheme="majorBidi"/>
        </w:rPr>
        <w:t xml:space="preserve">, 2006; Johnson and Babu, </w:t>
      </w:r>
      <w:r w:rsidR="00E2316D">
        <w:rPr>
          <w:rFonts w:asciiTheme="majorBidi" w:hAnsiTheme="majorBidi" w:cstheme="majorBidi"/>
        </w:rPr>
        <w:t>2020</w:t>
      </w:r>
      <w:r w:rsidR="00D96A24" w:rsidRPr="003F68BC">
        <w:rPr>
          <w:rFonts w:asciiTheme="majorBidi" w:hAnsiTheme="majorBidi" w:cstheme="majorBidi"/>
        </w:rPr>
        <w:t xml:space="preserve">). This high rate of failure has </w:t>
      </w:r>
      <w:r w:rsidR="00F5379A">
        <w:rPr>
          <w:rFonts w:asciiTheme="majorBidi" w:hAnsiTheme="majorBidi" w:cstheme="majorBidi"/>
        </w:rPr>
        <w:t>inevitably been accompanied by large numbers of</w:t>
      </w:r>
      <w:r w:rsidR="00D96A24" w:rsidRPr="003F68BC">
        <w:rPr>
          <w:rFonts w:asciiTheme="majorBidi" w:hAnsiTheme="majorBidi" w:cstheme="majorBidi"/>
        </w:rPr>
        <w:t xml:space="preserve"> </w:t>
      </w:r>
      <w:r w:rsidR="00F5379A">
        <w:rPr>
          <w:rFonts w:asciiTheme="majorBidi" w:hAnsiTheme="majorBidi" w:cstheme="majorBidi"/>
        </w:rPr>
        <w:t xml:space="preserve">project </w:t>
      </w:r>
      <w:r w:rsidR="00D96A24" w:rsidRPr="003F68BC">
        <w:rPr>
          <w:rFonts w:asciiTheme="majorBidi" w:hAnsiTheme="majorBidi" w:cstheme="majorBidi"/>
        </w:rPr>
        <w:t>disputes (Ojiako et al. 2018)</w:t>
      </w:r>
      <w:r w:rsidR="00F5379A">
        <w:rPr>
          <w:rFonts w:asciiTheme="majorBidi" w:hAnsiTheme="majorBidi" w:cstheme="majorBidi"/>
        </w:rPr>
        <w:t>, and, consequently,</w:t>
      </w:r>
      <w:r w:rsidR="00D96A24" w:rsidRPr="003F68BC">
        <w:rPr>
          <w:rFonts w:asciiTheme="majorBidi" w:hAnsiTheme="majorBidi" w:cstheme="majorBidi"/>
        </w:rPr>
        <w:t xml:space="preserve"> </w:t>
      </w:r>
      <w:r w:rsidR="00F5379A">
        <w:rPr>
          <w:rFonts w:asciiTheme="majorBidi" w:hAnsiTheme="majorBidi" w:cstheme="majorBidi"/>
        </w:rPr>
        <w:t xml:space="preserve">by </w:t>
      </w:r>
      <w:r w:rsidR="00D96A24" w:rsidRPr="003F68BC">
        <w:rPr>
          <w:rFonts w:asciiTheme="majorBidi" w:hAnsiTheme="majorBidi" w:cstheme="majorBidi"/>
        </w:rPr>
        <w:t>intense claims and legal activity (</w:t>
      </w:r>
      <w:proofErr w:type="spellStart"/>
      <w:r w:rsidR="00D96A24" w:rsidRPr="003F68BC">
        <w:rPr>
          <w:rFonts w:asciiTheme="majorBidi" w:hAnsiTheme="majorBidi" w:cstheme="majorBidi"/>
        </w:rPr>
        <w:t>Mishmish</w:t>
      </w:r>
      <w:proofErr w:type="spellEnd"/>
      <w:r w:rsidR="00D96A24" w:rsidRPr="003F68BC">
        <w:rPr>
          <w:rFonts w:asciiTheme="majorBidi" w:hAnsiTheme="majorBidi" w:cstheme="majorBidi"/>
        </w:rPr>
        <w:t xml:space="preserve"> and El-</w:t>
      </w:r>
      <w:proofErr w:type="spellStart"/>
      <w:r w:rsidR="00D96A24" w:rsidRPr="003F68BC">
        <w:rPr>
          <w:rFonts w:asciiTheme="majorBidi" w:hAnsiTheme="majorBidi" w:cstheme="majorBidi"/>
        </w:rPr>
        <w:t>Sayegh</w:t>
      </w:r>
      <w:proofErr w:type="spellEnd"/>
      <w:r w:rsidR="00D96A24" w:rsidRPr="003F68BC">
        <w:rPr>
          <w:rFonts w:asciiTheme="majorBidi" w:hAnsiTheme="majorBidi" w:cstheme="majorBidi"/>
        </w:rPr>
        <w:t xml:space="preserve">, 2018; </w:t>
      </w:r>
      <w:proofErr w:type="spellStart"/>
      <w:r w:rsidR="00D96A24" w:rsidRPr="003F68BC">
        <w:rPr>
          <w:rFonts w:asciiTheme="majorBidi" w:hAnsiTheme="majorBidi" w:cstheme="majorBidi"/>
        </w:rPr>
        <w:t>Zaneldin</w:t>
      </w:r>
      <w:proofErr w:type="spellEnd"/>
      <w:r w:rsidR="00D96A24" w:rsidRPr="003F68BC">
        <w:rPr>
          <w:rFonts w:asciiTheme="majorBidi" w:hAnsiTheme="majorBidi" w:cstheme="majorBidi"/>
        </w:rPr>
        <w:t xml:space="preserve">, 2020). </w:t>
      </w:r>
      <w:r w:rsidR="00D96A24" w:rsidRPr="003F68BC">
        <w:rPr>
          <w:rStyle w:val="Heading3Char"/>
          <w:rFonts w:asciiTheme="majorBidi" w:hAnsiTheme="majorBidi" w:cstheme="majorBidi"/>
          <w:b w:val="0"/>
          <w:bCs w:val="0"/>
          <w:iCs/>
          <w:sz w:val="24"/>
          <w:szCs w:val="24"/>
        </w:rPr>
        <w:t xml:space="preserve">Arbitration </w:t>
      </w:r>
      <w:r w:rsidR="00F5379A">
        <w:rPr>
          <w:rStyle w:val="Heading3Char"/>
          <w:rFonts w:asciiTheme="majorBidi" w:hAnsiTheme="majorBidi" w:cstheme="majorBidi"/>
          <w:b w:val="0"/>
          <w:bCs w:val="0"/>
          <w:iCs/>
          <w:sz w:val="24"/>
          <w:szCs w:val="24"/>
        </w:rPr>
        <w:lastRenderedPageBreak/>
        <w:t>has emerged as</w:t>
      </w:r>
      <w:r w:rsidR="00D96A24" w:rsidRPr="003F68BC">
        <w:rPr>
          <w:rStyle w:val="Heading3Char"/>
          <w:rFonts w:asciiTheme="majorBidi" w:hAnsiTheme="majorBidi" w:cstheme="majorBidi"/>
          <w:b w:val="0"/>
          <w:bCs w:val="0"/>
          <w:iCs/>
          <w:sz w:val="24"/>
          <w:szCs w:val="24"/>
        </w:rPr>
        <w:t xml:space="preserve"> a popular dispute resolution mechanism in the infrastructure sector</w:t>
      </w:r>
      <w:r w:rsidR="00F5379A">
        <w:rPr>
          <w:rStyle w:val="Heading3Char"/>
          <w:rFonts w:asciiTheme="majorBidi" w:hAnsiTheme="majorBidi" w:cstheme="majorBidi"/>
          <w:b w:val="0"/>
          <w:bCs w:val="0"/>
          <w:iCs/>
          <w:sz w:val="24"/>
          <w:szCs w:val="24"/>
        </w:rPr>
        <w:t>’s efforts to hasten dispute resolution and reduce legal costs</w:t>
      </w:r>
      <w:r w:rsidR="00D96A24" w:rsidRPr="003F68BC">
        <w:rPr>
          <w:rStyle w:val="Heading3Char"/>
          <w:rFonts w:asciiTheme="majorBidi" w:hAnsiTheme="majorBidi" w:cstheme="majorBidi"/>
          <w:b w:val="0"/>
          <w:bCs w:val="0"/>
          <w:iCs/>
          <w:sz w:val="24"/>
          <w:szCs w:val="24"/>
        </w:rPr>
        <w:t xml:space="preserve"> (Seng, 2019).</w:t>
      </w:r>
    </w:p>
    <w:p w14:paraId="54715C57" w14:textId="0B4515E5" w:rsidR="00D96A24" w:rsidRPr="003F68BC" w:rsidRDefault="006D0685" w:rsidP="00D96A24">
      <w:pPr>
        <w:spacing w:line="480" w:lineRule="auto"/>
        <w:ind w:firstLine="720"/>
        <w:jc w:val="both"/>
      </w:pPr>
      <w:r>
        <w:t>Controversy has arisen with the possibility</w:t>
      </w:r>
      <w:r w:rsidR="00D96A24" w:rsidRPr="003F68BC">
        <w:t xml:space="preserve"> that </w:t>
      </w:r>
      <w:r w:rsidR="00D96A24" w:rsidRPr="003F68BC">
        <w:rPr>
          <w:i/>
        </w:rPr>
        <w:t>intra</w:t>
      </w:r>
      <w:r w:rsidR="00D96A24" w:rsidRPr="003F68BC">
        <w:t xml:space="preserve">-national jurisdictional concurrency can create a scenario where two parallel courts within the same country may frame two contradictory legal perspectives on what appear to be similar disputes. An example of such </w:t>
      </w:r>
      <w:r w:rsidR="00D96A24" w:rsidRPr="003F68BC">
        <w:rPr>
          <w:i/>
        </w:rPr>
        <w:t>intra</w:t>
      </w:r>
      <w:r w:rsidR="00D96A24" w:rsidRPr="003F68BC">
        <w:t>-national jurisdictional concurrency is as follows. In the Bechtel dispute, the Dubai Court of Cassation</w:t>
      </w:r>
      <w:r w:rsidR="00D96A24" w:rsidRPr="003F68BC">
        <w:rPr>
          <w:rStyle w:val="FootnoteReference"/>
        </w:rPr>
        <w:footnoteReference w:id="4"/>
      </w:r>
      <w:r w:rsidR="00D96A24" w:rsidRPr="003F68BC">
        <w:t xml:space="preserve"> had relied on public policy to nullify an arbitral award on the basis that that there were procedural flaws in the manner within which witnesses were sworn in during the arbitral proceedings. However, in a similar decision</w:t>
      </w:r>
      <w:r>
        <w:t xml:space="preserve">, </w:t>
      </w:r>
      <w:r w:rsidR="00D96A24" w:rsidRPr="003F68BC">
        <w:t>the Abu Dhabi Court of Cassation</w:t>
      </w:r>
      <w:r w:rsidR="00D96A24" w:rsidRPr="003F68BC">
        <w:rPr>
          <w:rStyle w:val="FootnoteReference"/>
        </w:rPr>
        <w:footnoteReference w:id="5"/>
      </w:r>
      <w:r w:rsidR="00D96A24" w:rsidRPr="003F68BC">
        <w:t xml:space="preserve"> found differently </w:t>
      </w:r>
      <w:r>
        <w:t xml:space="preserve">by </w:t>
      </w:r>
      <w:r w:rsidR="00D96A24" w:rsidRPr="003F68BC">
        <w:t>ruling that it was not against public policy in the UAE for an arbitrator to depart from strict procedural rules regarding witnesses, production of evidence, and documentation. The court ruled that arbitrators were empowered to establish their own processes and procedures pertaining to, for example, the production of evidence. Process and procedures could also extend to an arbitration proceeding deciding on a point of law which is either not relevant to the dispute or which has not been cited by parties to the dispute.</w:t>
      </w:r>
    </w:p>
    <w:p w14:paraId="1BF0518C" w14:textId="77B0C341" w:rsidR="00D96A24" w:rsidRPr="00C9350B" w:rsidRDefault="00D96A24" w:rsidP="00D96A24">
      <w:pPr>
        <w:spacing w:line="480" w:lineRule="auto"/>
        <w:ind w:firstLine="720"/>
        <w:jc w:val="both"/>
      </w:pPr>
      <w:r w:rsidRPr="003F68BC">
        <w:t xml:space="preserve">To address the aim of this study, the rest of the study is structured as follows. In the next section (section 2), we provide some background on arbitration, the principle of finality and its exceptions (focusing on the public policy exception). In Section 3, we review the literature on the </w:t>
      </w:r>
      <w:r w:rsidRPr="00C9350B">
        <w:t>key foundation</w:t>
      </w:r>
      <w:r w:rsidR="00AF0E96">
        <w:t>al</w:t>
      </w:r>
      <w:r w:rsidRPr="00C9350B">
        <w:t xml:space="preserve"> concepts that underlie this study; t</w:t>
      </w:r>
      <w:r w:rsidR="00AF0E96">
        <w:t>he most important</w:t>
      </w:r>
      <w:r w:rsidRPr="00C9350B">
        <w:t xml:space="preserve"> being jurisdictional concurrency. In Section 4 the research methodology (including the analysis) is presented. Findings are discussed in Section 5 while conclusions are drawn in Section 6. </w:t>
      </w:r>
    </w:p>
    <w:p w14:paraId="6D751676" w14:textId="77777777" w:rsidR="00D96A24" w:rsidRPr="00280041" w:rsidRDefault="00D96A24" w:rsidP="00D96A24">
      <w:pPr>
        <w:spacing w:line="480" w:lineRule="auto"/>
        <w:jc w:val="both"/>
      </w:pPr>
    </w:p>
    <w:p w14:paraId="3FEBAC52" w14:textId="77777777" w:rsidR="00D96A24" w:rsidRPr="00280041" w:rsidRDefault="00D96A24" w:rsidP="00D96A24">
      <w:pPr>
        <w:spacing w:line="480" w:lineRule="auto"/>
        <w:jc w:val="both"/>
        <w:rPr>
          <w:b/>
        </w:rPr>
      </w:pPr>
      <w:r w:rsidRPr="00280041">
        <w:rPr>
          <w:b/>
        </w:rPr>
        <w:t>2. Arbitration</w:t>
      </w:r>
    </w:p>
    <w:p w14:paraId="4F3E9E94" w14:textId="7EE9A468" w:rsidR="00D96A24" w:rsidRPr="001D187A" w:rsidRDefault="00D96A24" w:rsidP="00D96A24">
      <w:pPr>
        <w:spacing w:line="480" w:lineRule="auto"/>
        <w:jc w:val="both"/>
        <w:rPr>
          <w:i/>
        </w:rPr>
      </w:pPr>
      <w:r w:rsidRPr="00280041">
        <w:rPr>
          <w:i/>
        </w:rPr>
        <w:t xml:space="preserve">2.1 What </w:t>
      </w:r>
      <w:r w:rsidR="00C70383">
        <w:rPr>
          <w:i/>
        </w:rPr>
        <w:t>arbitration</w:t>
      </w:r>
      <w:r w:rsidRPr="00280041">
        <w:rPr>
          <w:i/>
        </w:rPr>
        <w:t xml:space="preserve"> is</w:t>
      </w:r>
    </w:p>
    <w:p w14:paraId="305676F9" w14:textId="05D9D750" w:rsidR="00D96A24" w:rsidRPr="003F68BC" w:rsidRDefault="00D96A24" w:rsidP="00B8062A">
      <w:pPr>
        <w:spacing w:line="480" w:lineRule="auto"/>
        <w:jc w:val="both"/>
      </w:pPr>
      <w:r w:rsidRPr="004E4711">
        <w:t>A</w:t>
      </w:r>
      <w:r w:rsidRPr="004E4711">
        <w:rPr>
          <w:i/>
        </w:rPr>
        <w:t>rbitration</w:t>
      </w:r>
      <w:r w:rsidRPr="004E4711">
        <w:t xml:space="preserve"> is a quasi-legal</w:t>
      </w:r>
      <w:r w:rsidRPr="003F68BC">
        <w:t xml:space="preserve"> process (</w:t>
      </w:r>
      <w:proofErr w:type="spellStart"/>
      <w:r w:rsidRPr="003F68BC">
        <w:t>Drahozal</w:t>
      </w:r>
      <w:proofErr w:type="spellEnd"/>
      <w:r w:rsidRPr="003F68BC">
        <w:t xml:space="preserve">, 2006). It has been widely shown to </w:t>
      </w:r>
      <w:r w:rsidR="006564FB">
        <w:t>provide</w:t>
      </w:r>
      <w:r w:rsidRPr="003F68BC">
        <w:t xml:space="preserve"> a popular (see Seng, 2019) and effective (shorter </w:t>
      </w:r>
      <w:r w:rsidR="00B8062A">
        <w:t>and cheaper</w:t>
      </w:r>
      <w:r w:rsidRPr="003F68BC">
        <w:t>) means of resolving disputes within the public sector infrastructure project space (</w:t>
      </w:r>
      <w:r w:rsidR="00B8062A" w:rsidRPr="00B8062A">
        <w:t>Zuckerman, 2007</w:t>
      </w:r>
      <w:r w:rsidRPr="003F68BC">
        <w:t>). Although the courts can mandate disputing parties to have their dispute settled via arbitration (Weston, 2015), a core element of the ‘</w:t>
      </w:r>
      <w:r w:rsidRPr="003F68BC">
        <w:rPr>
          <w:i/>
        </w:rPr>
        <w:t>Contractual theory’</w:t>
      </w:r>
      <w:r w:rsidRPr="003F68BC">
        <w:t xml:space="preserve"> of arbitration is that the agreement to arbitrate a dispute usually flows from a freely entered but legally enforceable promise or agreement. Furthermore, awards that emerge from arbitration proceedings should not be interfered with, as they are a result of freely entered contractual agreements between disputants (see Yu, 2004, 2005, 2008).</w:t>
      </w:r>
    </w:p>
    <w:p w14:paraId="001EF4D2" w14:textId="78C5777B" w:rsidR="00D96A24" w:rsidRPr="003F68BC" w:rsidRDefault="00D96A24" w:rsidP="004A08A1">
      <w:pPr>
        <w:spacing w:line="480" w:lineRule="auto"/>
        <w:ind w:firstLine="720"/>
        <w:jc w:val="both"/>
      </w:pPr>
      <w:r w:rsidRPr="003F68BC">
        <w:t>Arbitration remains an attractive and popular dispute resolution mechanism within the public sector infrastructure project space (see Ojiako, 2017, 2019a; Ojiako et al., 2018)</w:t>
      </w:r>
      <w:r w:rsidR="00F67C8B">
        <w:t xml:space="preserve"> in part due to</w:t>
      </w:r>
      <w:r w:rsidRPr="003F68BC">
        <w:t xml:space="preserve"> its flexibility. Arbitration allows parties</w:t>
      </w:r>
      <w:r w:rsidR="00F67C8B">
        <w:t>,</w:t>
      </w:r>
      <w:r w:rsidRPr="003F68BC">
        <w:t xml:space="preserve"> within reason</w:t>
      </w:r>
      <w:r w:rsidR="00F67C8B">
        <w:t>,</w:t>
      </w:r>
      <w:r w:rsidRPr="003F68BC">
        <w:t xml:space="preserve"> not only to specify their obligations to other contracting parties, but also to specify the range of options and awards available to the arbitrator (Rosenfeld, 1985). Disputing parties can also choose to dispense with the rigid and complex rules associated with litigation. This gives the arbitrator more discretion in terms of how the proceedings are conducted. This is against the position the parties may find themselves in where the state (acting through the courts) may arrive at rulings, which are not in any disputants</w:t>
      </w:r>
      <w:r w:rsidR="00F67C8B">
        <w:t>’ interests</w:t>
      </w:r>
      <w:r w:rsidRPr="003F68BC">
        <w:t xml:space="preserve">. </w:t>
      </w:r>
      <w:proofErr w:type="spellStart"/>
      <w:r w:rsidRPr="003F68BC">
        <w:t>Ghodoosi</w:t>
      </w:r>
      <w:proofErr w:type="spellEnd"/>
      <w:r w:rsidRPr="003F68BC">
        <w:t xml:space="preserve"> (2016) opines that disputants engaged in arbitration are more likely to protect their interest</w:t>
      </w:r>
      <w:r w:rsidR="00F67C8B">
        <w:t>s</w:t>
      </w:r>
      <w:r w:rsidRPr="003F68BC">
        <w:t xml:space="preserve"> than when engaged in litigation in the courts. Arbitration proceedings and awards flow from fiduciary </w:t>
      </w:r>
      <w:r w:rsidR="00F67C8B">
        <w:t xml:space="preserve">powers </w:t>
      </w:r>
      <w:r w:rsidRPr="003F68BC">
        <w:t>(</w:t>
      </w:r>
      <w:r w:rsidR="00F67C8B">
        <w:t>arising from</w:t>
      </w:r>
      <w:r w:rsidRPr="003F68BC">
        <w:t xml:space="preserve"> the contract between the arbitrator and the disputing parties) as against judicial powers </w:t>
      </w:r>
      <w:r w:rsidR="00F67C8B">
        <w:t>(</w:t>
      </w:r>
      <w:r w:rsidRPr="003F68BC">
        <w:t>which are constitutional powers vested in the courts</w:t>
      </w:r>
      <w:r w:rsidR="00F67C8B">
        <w:t>)</w:t>
      </w:r>
      <w:r w:rsidRPr="003F68BC">
        <w:t xml:space="preserve"> </w:t>
      </w:r>
      <w:r w:rsidRPr="003F68BC">
        <w:lastRenderedPageBreak/>
        <w:t>(</w:t>
      </w:r>
      <w:proofErr w:type="spellStart"/>
      <w:r w:rsidRPr="003F68BC">
        <w:t>Brekoulakis</w:t>
      </w:r>
      <w:proofErr w:type="spellEnd"/>
      <w:r w:rsidRPr="003F68BC">
        <w:t>, 2019). Where there is a conflict between an arbitrator and the courts, judicial powers will supersede fiduciary powers. Judicial powers include the power of the court to render as defective and nullify an arbitration award.</w:t>
      </w:r>
    </w:p>
    <w:p w14:paraId="3EA2BEE8" w14:textId="77777777" w:rsidR="00D96A24" w:rsidRPr="003F68BC" w:rsidRDefault="00D96A24" w:rsidP="00D96A24">
      <w:pPr>
        <w:spacing w:line="480" w:lineRule="auto"/>
        <w:jc w:val="both"/>
      </w:pPr>
    </w:p>
    <w:p w14:paraId="0482A0FB" w14:textId="77777777" w:rsidR="00D96A24" w:rsidRPr="003F68BC" w:rsidRDefault="00D96A24" w:rsidP="00D96A24">
      <w:pPr>
        <w:spacing w:line="480" w:lineRule="auto"/>
        <w:jc w:val="both"/>
        <w:rPr>
          <w:i/>
        </w:rPr>
      </w:pPr>
      <w:r w:rsidRPr="003F68BC">
        <w:rPr>
          <w:i/>
        </w:rPr>
        <w:t xml:space="preserve">2.2 The finality principle </w:t>
      </w:r>
    </w:p>
    <w:p w14:paraId="22665EC1" w14:textId="05DBAF51" w:rsidR="00D96A24" w:rsidRPr="003F68BC" w:rsidRDefault="00D96A24" w:rsidP="004A08A1">
      <w:pPr>
        <w:spacing w:line="480" w:lineRule="auto"/>
        <w:jc w:val="both"/>
      </w:pPr>
      <w:r w:rsidRPr="003F68BC">
        <w:t>One of the key differentiating attributes of arbitration (which accounts for its popularity especially over court</w:t>
      </w:r>
      <w:r w:rsidR="00F67C8B">
        <w:t>-</w:t>
      </w:r>
      <w:r w:rsidRPr="003F68BC">
        <w:t xml:space="preserve">based litigation) is that </w:t>
      </w:r>
      <w:r w:rsidR="00F67C8B">
        <w:t>its</w:t>
      </w:r>
      <w:r w:rsidRPr="003F68BC">
        <w:t xml:space="preserve"> proceedings </w:t>
      </w:r>
      <w:r w:rsidR="00DA5DBA">
        <w:t>and</w:t>
      </w:r>
      <w:r w:rsidR="00DA5DBA" w:rsidRPr="003F68BC">
        <w:t xml:space="preserve"> </w:t>
      </w:r>
      <w:r w:rsidRPr="003F68BC">
        <w:t xml:space="preserve">findings are expected </w:t>
      </w:r>
      <w:r w:rsidR="004A08A1">
        <w:t>to</w:t>
      </w:r>
      <w:r w:rsidRPr="003F68BC">
        <w:t xml:space="preserve"> espouse </w:t>
      </w:r>
      <w:r w:rsidRPr="003F68BC">
        <w:rPr>
          <w:i/>
        </w:rPr>
        <w:t xml:space="preserve">finality, conclusiveness and </w:t>
      </w:r>
      <w:proofErr w:type="spellStart"/>
      <w:r w:rsidRPr="003F68BC">
        <w:rPr>
          <w:i/>
        </w:rPr>
        <w:t>bindingness</w:t>
      </w:r>
      <w:proofErr w:type="spellEnd"/>
      <w:r w:rsidRPr="003F68BC">
        <w:rPr>
          <w:i/>
        </w:rPr>
        <w:t xml:space="preserve"> </w:t>
      </w:r>
      <w:r w:rsidRPr="003F68BC">
        <w:t>(</w:t>
      </w:r>
      <w:proofErr w:type="spellStart"/>
      <w:r w:rsidRPr="003F68BC">
        <w:t>Abwunza</w:t>
      </w:r>
      <w:proofErr w:type="spellEnd"/>
      <w:r w:rsidRPr="003F68BC">
        <w:t xml:space="preserve"> et al, 2019). This is referred to as the ‘</w:t>
      </w:r>
      <w:r w:rsidRPr="003F68BC">
        <w:rPr>
          <w:i/>
        </w:rPr>
        <w:t>finality principle’</w:t>
      </w:r>
      <w:r w:rsidRPr="003F68BC">
        <w:t xml:space="preserve">. </w:t>
      </w:r>
    </w:p>
    <w:p w14:paraId="4C4DD3FA" w14:textId="57E174EA" w:rsidR="00D96A24" w:rsidRPr="003F68BC" w:rsidRDefault="00D96A24" w:rsidP="005669CC">
      <w:pPr>
        <w:spacing w:line="480" w:lineRule="auto"/>
        <w:ind w:firstLine="720"/>
        <w:jc w:val="both"/>
      </w:pPr>
      <w:r w:rsidRPr="003F68BC">
        <w:t>In simple terms, the ‘</w:t>
      </w:r>
      <w:r w:rsidRPr="003F68BC">
        <w:rPr>
          <w:i/>
        </w:rPr>
        <w:t>finality principle’</w:t>
      </w:r>
      <w:r w:rsidRPr="003F68BC">
        <w:t xml:space="preserve"> </w:t>
      </w:r>
      <w:r w:rsidR="00F67C8B">
        <w:t>holds</w:t>
      </w:r>
      <w:r w:rsidRPr="003F68BC">
        <w:t xml:space="preserve"> that when two or more parties freely </w:t>
      </w:r>
      <w:r w:rsidR="00535764">
        <w:t xml:space="preserve">and </w:t>
      </w:r>
      <w:r w:rsidRPr="003F68BC">
        <w:t xml:space="preserve">via a mutually voluntary and consensual legally enforceable contract, opt out of state conducted litigation and decide to utilise arbitration to </w:t>
      </w:r>
      <w:r w:rsidRPr="003F68BC">
        <w:rPr>
          <w:rFonts w:eastAsia="Calibri"/>
          <w:lang w:eastAsia="en-US"/>
        </w:rPr>
        <w:t>articulate the nature of their social interaction (</w:t>
      </w:r>
      <w:proofErr w:type="spellStart"/>
      <w:r w:rsidRPr="003F68BC">
        <w:rPr>
          <w:rFonts w:eastAsia="Calibri"/>
          <w:lang w:eastAsia="en-US"/>
        </w:rPr>
        <w:t>Feinman</w:t>
      </w:r>
      <w:proofErr w:type="spellEnd"/>
      <w:r w:rsidRPr="003F68BC">
        <w:rPr>
          <w:rFonts w:eastAsia="Calibri"/>
          <w:lang w:eastAsia="en-US"/>
        </w:rPr>
        <w:t>, 1989)</w:t>
      </w:r>
      <w:r w:rsidRPr="003F68BC">
        <w:t xml:space="preserve">, the outcome of that process will be </w:t>
      </w:r>
      <w:r w:rsidRPr="003F68BC">
        <w:rPr>
          <w:i/>
          <w:iCs/>
        </w:rPr>
        <w:t xml:space="preserve">final, conclusive </w:t>
      </w:r>
      <w:r w:rsidRPr="003F68BC">
        <w:rPr>
          <w:iCs/>
        </w:rPr>
        <w:t>and</w:t>
      </w:r>
      <w:r w:rsidRPr="003F68BC">
        <w:rPr>
          <w:i/>
          <w:iCs/>
        </w:rPr>
        <w:t xml:space="preserve"> binding</w:t>
      </w:r>
      <w:r w:rsidRPr="003F68BC">
        <w:t xml:space="preserve"> between the parties (</w:t>
      </w:r>
      <w:proofErr w:type="spellStart"/>
      <w:r w:rsidRPr="003F68BC">
        <w:t>Abwunza</w:t>
      </w:r>
      <w:proofErr w:type="spellEnd"/>
      <w:r w:rsidRPr="003F68BC">
        <w:t xml:space="preserve"> et al, 2019). Thus, the ‘</w:t>
      </w:r>
      <w:r w:rsidRPr="003F68BC">
        <w:rPr>
          <w:i/>
          <w:iCs/>
        </w:rPr>
        <w:t>finality principle’</w:t>
      </w:r>
      <w:r w:rsidRPr="003F68BC">
        <w:t xml:space="preserve"> stands firmly with the earlier described contractual theory of arbitration. Various national arbitration legislation such as the Federal Law No. 6 of 2018 on Arbitration (</w:t>
      </w:r>
      <w:r w:rsidR="005669CC">
        <w:t>United Arab Emirates</w:t>
      </w:r>
      <w:r w:rsidRPr="003F68BC">
        <w:t>)</w:t>
      </w:r>
      <w:r w:rsidR="005669CC">
        <w:t xml:space="preserve"> and the </w:t>
      </w:r>
      <w:r w:rsidR="005669CC" w:rsidRPr="003F68BC">
        <w:t>Arbitration Act 1996 (United Kingdom)</w:t>
      </w:r>
      <w:r w:rsidR="005669CC">
        <w:t xml:space="preserve"> </w:t>
      </w:r>
      <w:r w:rsidRPr="003F68BC">
        <w:t>have been drafted in a manner that supports this principle. In effect, within these various legislations are provisions explicitly sta</w:t>
      </w:r>
      <w:r w:rsidR="00535764">
        <w:t>ting</w:t>
      </w:r>
      <w:r w:rsidRPr="003F68BC">
        <w:t xml:space="preserve"> that arbitration proceeding</w:t>
      </w:r>
      <w:r w:rsidR="00535764">
        <w:t xml:space="preserve"> outcomes</w:t>
      </w:r>
      <w:r w:rsidRPr="003F68BC">
        <w:t xml:space="preserve"> (in effect, award</w:t>
      </w:r>
      <w:r w:rsidR="00535764">
        <w:t>s</w:t>
      </w:r>
      <w:r w:rsidRPr="003F68BC">
        <w:t xml:space="preserve"> made by arbitrator/arbitral panel</w:t>
      </w:r>
      <w:r w:rsidR="00535764">
        <w:t>s</w:t>
      </w:r>
      <w:r w:rsidRPr="003F68BC">
        <w:t xml:space="preserve">) cannot unless under exceptional circumstances be extirpated through appeals to national courts (state intervention) or other arbitral panels. In sum, the finality principle entails that once an arbitration proceeding is settled, findings are made and awards issued, neither party will be allowed to appeal to another body for the matter to be re-heard on the same </w:t>
      </w:r>
      <w:r w:rsidRPr="003F68BC">
        <w:lastRenderedPageBreak/>
        <w:t>merits (Wasco, 2009). This means that the matter cannot be heard again even if an award was made based</w:t>
      </w:r>
      <w:r w:rsidR="00535764">
        <w:t>,</w:t>
      </w:r>
      <w:r w:rsidRPr="003F68BC">
        <w:t xml:space="preserve"> for example, on substantiated errors of legal interpretation or fact. </w:t>
      </w:r>
    </w:p>
    <w:p w14:paraId="60C9EAB2" w14:textId="0BCB1C68" w:rsidR="00D96A24" w:rsidRPr="003F68BC" w:rsidRDefault="00D96A24" w:rsidP="004A08A1">
      <w:pPr>
        <w:spacing w:line="480" w:lineRule="auto"/>
        <w:ind w:firstLine="720"/>
        <w:jc w:val="both"/>
      </w:pPr>
      <w:r w:rsidRPr="003F68BC">
        <w:t xml:space="preserve">There are major economic and policy benefits associated with the finality principle (Conley, 2015). For example, project stakeholders will be more secure in terms of their legal rights and obligations. This is a point discussed extensively by Veasey and Brown (2014). If disputes are not settled and major stakeholders engage in never-ending litigation, then contractual obligations are unlikely to be adhered to. This has the potential of reducing trust and increasing transaction costs </w:t>
      </w:r>
      <w:r w:rsidR="00535764">
        <w:t>because,</w:t>
      </w:r>
      <w:r w:rsidRPr="003F68BC">
        <w:t xml:space="preserve"> in effort</w:t>
      </w:r>
      <w:r w:rsidR="00535764">
        <w:t>s</w:t>
      </w:r>
      <w:r w:rsidRPr="003F68BC">
        <w:t xml:space="preserve"> to protect their investments, project stakeholders will be obliged to expend considerable resources in monitoring industry partners.</w:t>
      </w:r>
    </w:p>
    <w:p w14:paraId="3D3D9671" w14:textId="77777777" w:rsidR="00D96A24" w:rsidRPr="003F68BC" w:rsidRDefault="00D96A24" w:rsidP="00D96A24">
      <w:pPr>
        <w:spacing w:line="480" w:lineRule="auto"/>
        <w:jc w:val="both"/>
      </w:pPr>
    </w:p>
    <w:p w14:paraId="7EC1367A" w14:textId="77777777" w:rsidR="00D96A24" w:rsidRPr="003F68BC" w:rsidRDefault="00D96A24" w:rsidP="00D96A24">
      <w:pPr>
        <w:spacing w:line="480" w:lineRule="auto"/>
        <w:jc w:val="both"/>
        <w:rPr>
          <w:i/>
        </w:rPr>
      </w:pPr>
      <w:r w:rsidRPr="003F68BC">
        <w:rPr>
          <w:i/>
        </w:rPr>
        <w:t>2.3 Exceptions to the finality principle</w:t>
      </w:r>
    </w:p>
    <w:p w14:paraId="03CA43F5" w14:textId="632F2555" w:rsidR="00910E28" w:rsidRDefault="00D74F6B" w:rsidP="00910E28">
      <w:pPr>
        <w:spacing w:line="480" w:lineRule="auto"/>
        <w:jc w:val="both"/>
      </w:pPr>
      <w:r>
        <w:t xml:space="preserve">In practice, </w:t>
      </w:r>
      <w:r w:rsidRPr="00D74F6B">
        <w:t>in most jurisdictions, the grounds for challenging and nullifying arbitral award</w:t>
      </w:r>
      <w:r>
        <w:t>s</w:t>
      </w:r>
      <w:r w:rsidRPr="00D74F6B">
        <w:t xml:space="preserve"> are provided for in the applicable Arbitration Law or Act.</w:t>
      </w:r>
      <w:r>
        <w:t xml:space="preserve"> For example,</w:t>
      </w:r>
      <w:r w:rsidR="00910E28">
        <w:t xml:space="preserve"> </w:t>
      </w:r>
      <w:r w:rsidR="00C3658C">
        <w:t>such</w:t>
      </w:r>
      <w:r w:rsidR="00910E28">
        <w:t xml:space="preserve"> provisions</w:t>
      </w:r>
      <w:r w:rsidR="00C3658C">
        <w:t xml:space="preserve"> are</w:t>
      </w:r>
      <w:r w:rsidR="00910E28">
        <w:t xml:space="preserve"> include</w:t>
      </w:r>
      <w:r w:rsidR="00C3658C">
        <w:t>d</w:t>
      </w:r>
      <w:r w:rsidR="00910E28">
        <w:t xml:space="preserve"> in South Africa (section 33 of the </w:t>
      </w:r>
      <w:r w:rsidR="00910E28" w:rsidRPr="00910E28">
        <w:t>Arbitration Act 42 of 1965</w:t>
      </w:r>
      <w:r w:rsidR="00910E28">
        <w:t xml:space="preserve">), </w:t>
      </w:r>
      <w:r w:rsidR="00C3658C">
        <w:t xml:space="preserve">the </w:t>
      </w:r>
      <w:r w:rsidR="00910E28">
        <w:t xml:space="preserve">United States (section 10 of </w:t>
      </w:r>
      <w:r w:rsidR="00910E28" w:rsidRPr="00910E28">
        <w:t>The Federal Arbitration Act 1925</w:t>
      </w:r>
      <w:r w:rsidR="00910E28">
        <w:t xml:space="preserve">), </w:t>
      </w:r>
      <w:r w:rsidR="00C3658C">
        <w:t xml:space="preserve">the </w:t>
      </w:r>
      <w:r w:rsidR="00910E28">
        <w:t>United Kingdom (sections 67 and 68 of The Arbitration Act 1996</w:t>
      </w:r>
      <w:r w:rsidR="004A71CB">
        <w:t xml:space="preserve"> (United Kingdom)</w:t>
      </w:r>
      <w:r w:rsidR="00910E28">
        <w:t>)</w:t>
      </w:r>
      <w:r w:rsidR="00C3658C">
        <w:t xml:space="preserve"> and also in</w:t>
      </w:r>
      <w:r w:rsidR="00910E28">
        <w:t xml:space="preserve"> New Zealand (section 12 of The Arbitration Act 1996 (New Zealand)). In the United Arab Emirates, provisions for</w:t>
      </w:r>
      <w:r w:rsidR="00910E28" w:rsidRPr="00D74F6B">
        <w:t xml:space="preserve"> challenging and nullifying arbitral award</w:t>
      </w:r>
      <w:r w:rsidR="00910E28">
        <w:t>s</w:t>
      </w:r>
      <w:r w:rsidR="00910E28" w:rsidRPr="00D74F6B">
        <w:t xml:space="preserve"> are</w:t>
      </w:r>
      <w:r w:rsidR="00910E28">
        <w:t xml:space="preserve"> contained in Article 53 of Federal Law No. 6 of 2018 on Arbitration.</w:t>
      </w:r>
    </w:p>
    <w:p w14:paraId="5553E6D2" w14:textId="24FD920C" w:rsidR="00D96A24" w:rsidRPr="003F68BC" w:rsidRDefault="00D96A24" w:rsidP="00910E28">
      <w:pPr>
        <w:spacing w:line="480" w:lineRule="auto"/>
        <w:ind w:firstLine="720"/>
        <w:jc w:val="both"/>
      </w:pPr>
      <w:r w:rsidRPr="003F68BC">
        <w:t>A review of the literature suggests that there are approximately six justifications that courts may rely upon to interfere with the finality principle and nullify an arbitration award. These are</w:t>
      </w:r>
      <w:r w:rsidR="00C3658C">
        <w:t>:</w:t>
      </w:r>
      <w:r w:rsidRPr="003F68BC">
        <w:t xml:space="preserve"> where the award is</w:t>
      </w:r>
      <w:r w:rsidR="00C3658C">
        <w:t xml:space="preserve">: </w:t>
      </w:r>
      <w:r w:rsidR="005669CC">
        <w:t>(i)</w:t>
      </w:r>
      <w:r w:rsidR="00C3658C">
        <w:t xml:space="preserve"> marred by</w:t>
      </w:r>
      <w:r w:rsidR="005669CC">
        <w:t xml:space="preserve"> </w:t>
      </w:r>
      <w:r w:rsidRPr="003F68BC">
        <w:t xml:space="preserve">illegality (Gentry, 2018), (ii) complete irrational (Hayford, 1996), (iii) </w:t>
      </w:r>
      <w:r w:rsidR="00C3658C">
        <w:t xml:space="preserve">in </w:t>
      </w:r>
      <w:r w:rsidRPr="003F68BC">
        <w:t>violation of essence of the contract (</w:t>
      </w:r>
      <w:r w:rsidRPr="006C5AAF">
        <w:t>Matter, 1998), (iv)  arbitrary and capricious (Hayford, 1996),  (v) manifest</w:t>
      </w:r>
      <w:r w:rsidR="00C3658C">
        <w:t>ly</w:t>
      </w:r>
      <w:r w:rsidRPr="006C5AAF">
        <w:t xml:space="preserve"> disregard</w:t>
      </w:r>
      <w:r w:rsidR="00C3658C">
        <w:t>ing</w:t>
      </w:r>
      <w:r w:rsidRPr="006C5AAF">
        <w:t xml:space="preserve"> of the law (Tompkins, 2018) and (vi)  </w:t>
      </w:r>
      <w:r w:rsidR="00C3658C">
        <w:t xml:space="preserve">of </w:t>
      </w:r>
      <w:r w:rsidRPr="006C5AAF">
        <w:t xml:space="preserve">public policy </w:t>
      </w:r>
      <w:r w:rsidRPr="006C5AAF">
        <w:lastRenderedPageBreak/>
        <w:t>(</w:t>
      </w:r>
      <w:proofErr w:type="spellStart"/>
      <w:r w:rsidRPr="006C5AAF">
        <w:t>Bockstiegel</w:t>
      </w:r>
      <w:proofErr w:type="spellEnd"/>
      <w:r w:rsidRPr="006C5AAF">
        <w:t>, 2008; Drummonds, 2012) or public order (Enonchong, 1993; Arab, 2015). Of these six special conditions upon which an arbitral award may be challenged and vacated (nullified</w:t>
      </w:r>
      <w:r w:rsidRPr="003F68BC">
        <w:t xml:space="preserve"> and set aside) by the courts, public policy and/or public order has generated more interest than other legal concept (</w:t>
      </w:r>
      <w:proofErr w:type="spellStart"/>
      <w:r w:rsidRPr="003F68BC">
        <w:t>Yelpaala</w:t>
      </w:r>
      <w:proofErr w:type="spellEnd"/>
      <w:r w:rsidRPr="003F68BC">
        <w:t>, 1989), a trend that continues till date, especially in the UAE (</w:t>
      </w:r>
      <w:proofErr w:type="spellStart"/>
      <w:r w:rsidRPr="003F68BC">
        <w:t>Blanke</w:t>
      </w:r>
      <w:proofErr w:type="spellEnd"/>
      <w:r w:rsidRPr="003F68BC">
        <w:t xml:space="preserve"> and Corm-</w:t>
      </w:r>
      <w:proofErr w:type="spellStart"/>
      <w:r w:rsidRPr="003F68BC">
        <w:t>Bakhos</w:t>
      </w:r>
      <w:proofErr w:type="spellEnd"/>
      <w:r w:rsidRPr="003F68BC">
        <w:t xml:space="preserve">, 2012; Arab et al., 2019). One reason for this interest is that </w:t>
      </w:r>
      <w:r w:rsidR="005669CC">
        <w:t xml:space="preserve">what is public policy and/or public order is </w:t>
      </w:r>
      <w:r w:rsidRPr="003F68BC">
        <w:t>“…</w:t>
      </w:r>
      <w:r w:rsidRPr="003F68BC">
        <w:rPr>
          <w:i/>
        </w:rPr>
        <w:t>vague, nebulous, intractable, and lacks meaningful and consistent contours that can guide its definition and application</w:t>
      </w:r>
      <w:r w:rsidRPr="003F68BC">
        <w:t>” (</w:t>
      </w:r>
      <w:proofErr w:type="spellStart"/>
      <w:r w:rsidRPr="003F68BC">
        <w:t>Yelpaala</w:t>
      </w:r>
      <w:proofErr w:type="spellEnd"/>
      <w:r w:rsidRPr="003F68BC">
        <w:t xml:space="preserve">, 1989; p.380). Furthermore, public policy </w:t>
      </w:r>
      <w:r w:rsidR="005669CC">
        <w:t>is variously stated</w:t>
      </w:r>
      <w:r w:rsidRPr="003F68BC">
        <w:t xml:space="preserve"> in </w:t>
      </w:r>
      <w:r w:rsidR="005669CC">
        <w:t>different</w:t>
      </w:r>
      <w:r w:rsidRPr="003F68BC">
        <w:t xml:space="preserve"> laws, legislative pronouncements and court judgements. This makes establishing the precise meaning of public policy extremely difficult.</w:t>
      </w:r>
    </w:p>
    <w:p w14:paraId="0ECAF3EA" w14:textId="7F4F2193" w:rsidR="00D96A24" w:rsidRPr="003F68BC" w:rsidRDefault="00D96A24" w:rsidP="00D96A24">
      <w:pPr>
        <w:spacing w:line="480" w:lineRule="auto"/>
        <w:ind w:firstLine="720"/>
        <w:jc w:val="both"/>
        <w:rPr>
          <w:rFonts w:asciiTheme="majorBidi" w:hAnsiTheme="majorBidi" w:cstheme="majorBidi"/>
        </w:rPr>
      </w:pPr>
      <w:r w:rsidRPr="003F68BC">
        <w:rPr>
          <w:rFonts w:asciiTheme="majorBidi" w:eastAsia="Calibri" w:hAnsiTheme="majorBidi" w:cstheme="majorBidi"/>
        </w:rPr>
        <w:t>In the UAE, p</w:t>
      </w:r>
      <w:r w:rsidRPr="003F68BC">
        <w:rPr>
          <w:rFonts w:asciiTheme="majorBidi" w:hAnsiTheme="majorBidi" w:cstheme="majorBidi"/>
        </w:rPr>
        <w:t>ublic policy is defined within Article 3 of Federal</w:t>
      </w:r>
      <w:r w:rsidRPr="003F68BC">
        <w:rPr>
          <w:rStyle w:val="Heading3Char"/>
          <w:rFonts w:asciiTheme="majorBidi" w:hAnsiTheme="majorBidi" w:cstheme="majorBidi"/>
          <w:b w:val="0"/>
          <w:bCs w:val="0"/>
          <w:iCs/>
          <w:sz w:val="24"/>
          <w:szCs w:val="24"/>
        </w:rPr>
        <w:t xml:space="preserve"> Law 11 of 1992</w:t>
      </w:r>
      <w:r w:rsidRPr="003F68BC">
        <w:rPr>
          <w:rFonts w:asciiTheme="majorBidi" w:hAnsiTheme="majorBidi" w:cstheme="majorBidi"/>
        </w:rPr>
        <w:t xml:space="preserve"> as “…</w:t>
      </w:r>
      <w:r w:rsidRPr="003F68BC">
        <w:rPr>
          <w:rFonts w:asciiTheme="majorBidi" w:hAnsiTheme="majorBidi" w:cstheme="majorBidi"/>
          <w:i/>
        </w:rPr>
        <w:t>relating to personal status such as marriage, inheritance, and lineage, and matters relating to systems of government, freedom of trade, the circulation of wealth, rules of individuals ownership and the other rules and foundations upon which society is based, in such a manner as not to conflict with the definitive provisions and fundamental principles of the Islamic sharia</w:t>
      </w:r>
      <w:r w:rsidRPr="003F68BC">
        <w:rPr>
          <w:rFonts w:asciiTheme="majorBidi" w:hAnsiTheme="majorBidi" w:cstheme="majorBidi"/>
        </w:rPr>
        <w:t xml:space="preserve">”. A difficulty of this definition is that its </w:t>
      </w:r>
      <w:r w:rsidR="005669CC" w:rsidRPr="003F68BC">
        <w:rPr>
          <w:rFonts w:asciiTheme="majorBidi" w:hAnsiTheme="majorBidi" w:cstheme="majorBidi"/>
        </w:rPr>
        <w:t>provisions in</w:t>
      </w:r>
      <w:r w:rsidRPr="003F68BC">
        <w:rPr>
          <w:rFonts w:asciiTheme="majorBidi" w:hAnsiTheme="majorBidi" w:cstheme="majorBidi"/>
        </w:rPr>
        <w:t xml:space="preserve"> UAE law appear very broadly defined</w:t>
      </w:r>
      <w:r w:rsidRPr="003F68BC">
        <w:t xml:space="preserve"> </w:t>
      </w:r>
      <w:r w:rsidRPr="003F68BC">
        <w:rPr>
          <w:rFonts w:asciiTheme="majorBidi" w:hAnsiTheme="majorBidi" w:cstheme="majorBidi"/>
        </w:rPr>
        <w:t xml:space="preserve">(Almutawa and </w:t>
      </w:r>
      <w:proofErr w:type="spellStart"/>
      <w:r w:rsidRPr="003F68BC">
        <w:rPr>
          <w:rFonts w:asciiTheme="majorBidi" w:hAnsiTheme="majorBidi" w:cstheme="majorBidi"/>
        </w:rPr>
        <w:t>Maniruzzaman</w:t>
      </w:r>
      <w:proofErr w:type="spellEnd"/>
      <w:r w:rsidRPr="003F68BC">
        <w:rPr>
          <w:rFonts w:asciiTheme="majorBidi" w:hAnsiTheme="majorBidi" w:cstheme="majorBidi"/>
        </w:rPr>
        <w:t>, 2014; Ojiako, 2019).</w:t>
      </w:r>
    </w:p>
    <w:p w14:paraId="1AFC0185" w14:textId="35880B3C" w:rsidR="00D96A24" w:rsidRPr="003F68BC" w:rsidRDefault="00D96A24" w:rsidP="00B03680">
      <w:pPr>
        <w:spacing w:line="480" w:lineRule="auto"/>
        <w:ind w:firstLine="720"/>
        <w:jc w:val="both"/>
      </w:pPr>
      <w:r w:rsidRPr="003F68BC">
        <w:t>Under UAE jurisprudence, matters relating to public policy</w:t>
      </w:r>
      <w:r w:rsidRPr="003F68BC">
        <w:rPr>
          <w:i/>
        </w:rPr>
        <w:t xml:space="preserve"> </w:t>
      </w:r>
      <w:r w:rsidRPr="003F68BC">
        <w:t>are not subject to arbitration (</w:t>
      </w:r>
      <w:proofErr w:type="spellStart"/>
      <w:r w:rsidRPr="003F68BC">
        <w:t>Sinjakli</w:t>
      </w:r>
      <w:proofErr w:type="spellEnd"/>
      <w:r w:rsidRPr="003F68BC">
        <w:t>, 2001)</w:t>
      </w:r>
      <w:r w:rsidR="005669CC">
        <w:t xml:space="preserve"> and therefore </w:t>
      </w:r>
      <w:r w:rsidRPr="003F68BC">
        <w:t>fall under the exclusive jurisdiction of the UAE federal courts (‘Courts of the UAE’). In Table 1 (below), we show some examples of matters that may impact upon public sector infrastructure projects which have been declared as engaging public policy by the UAE courts.</w:t>
      </w:r>
    </w:p>
    <w:p w14:paraId="50D316EB" w14:textId="77777777" w:rsidR="00D96A24" w:rsidRPr="003F68BC" w:rsidRDefault="00D96A24" w:rsidP="00D96A24">
      <w:pPr>
        <w:spacing w:line="480" w:lineRule="auto"/>
        <w:ind w:firstLine="720"/>
        <w:jc w:val="both"/>
      </w:pPr>
    </w:p>
    <w:p w14:paraId="3344FAB2" w14:textId="77777777" w:rsidR="00C62788" w:rsidRDefault="00C62788" w:rsidP="00D96A24">
      <w:pPr>
        <w:spacing w:line="480" w:lineRule="auto"/>
        <w:jc w:val="both"/>
      </w:pPr>
      <w:r>
        <w:t xml:space="preserve">INSERT </w:t>
      </w:r>
      <w:r w:rsidR="00D96A24" w:rsidRPr="003F68BC">
        <w:t>Table 1</w:t>
      </w:r>
      <w:r>
        <w:t xml:space="preserve"> AROUND HERE</w:t>
      </w:r>
    </w:p>
    <w:p w14:paraId="022A0334" w14:textId="77777777" w:rsidR="00C62788" w:rsidRDefault="00C62788" w:rsidP="00D96A24">
      <w:pPr>
        <w:spacing w:line="480" w:lineRule="auto"/>
        <w:jc w:val="both"/>
      </w:pPr>
    </w:p>
    <w:p w14:paraId="555B355C" w14:textId="759FF529" w:rsidR="00D96A24" w:rsidRPr="003F68BC" w:rsidRDefault="00D96A24" w:rsidP="00D96A24">
      <w:pPr>
        <w:spacing w:line="480" w:lineRule="auto"/>
        <w:jc w:val="both"/>
      </w:pPr>
      <w:r w:rsidRPr="003F68BC">
        <w:t>It therefore implies that as special conditions upon which an arbitral award may be challenged and vacated (nullified and set aside) by the courts, public policy order</w:t>
      </w:r>
      <w:r w:rsidR="005165E8">
        <w:t>s</w:t>
      </w:r>
      <w:r w:rsidRPr="003F68BC">
        <w:t xml:space="preserve"> will be cited when the courts express an unwillingness to enforce an arbitration award that is pernicious or repugnant</w:t>
      </w:r>
      <w:r w:rsidR="005165E8">
        <w:t>,</w:t>
      </w:r>
      <w:r w:rsidRPr="003F68BC">
        <w:t xml:space="preserve"> or</w:t>
      </w:r>
      <w:r w:rsidR="005165E8">
        <w:t xml:space="preserve"> which</w:t>
      </w:r>
      <w:r w:rsidRPr="003F68BC">
        <w:t xml:space="preserve"> will offend or override the ability of the State to maintain political, economic, and moral and regulatory control (that is</w:t>
      </w:r>
      <w:r w:rsidR="005165E8">
        <w:t>,</w:t>
      </w:r>
      <w:r w:rsidRPr="003F68BC">
        <w:t xml:space="preserve"> from a public order perspective). Doing so may require a four staged enquiry by the courts, which will be focused on determining the extent: </w:t>
      </w:r>
    </w:p>
    <w:p w14:paraId="271ADF8B" w14:textId="77777777" w:rsidR="00D96A24" w:rsidRPr="003F68BC" w:rsidRDefault="00D96A24" w:rsidP="00D96A24">
      <w:pPr>
        <w:spacing w:line="480" w:lineRule="auto"/>
        <w:ind w:firstLine="720"/>
        <w:jc w:val="both"/>
      </w:pPr>
    </w:p>
    <w:p w14:paraId="4CFE9829" w14:textId="174A394D" w:rsidR="00D96A24" w:rsidRPr="003F68BC" w:rsidRDefault="00D96A24" w:rsidP="00D96A24">
      <w:pPr>
        <w:pStyle w:val="ListParagraph"/>
        <w:numPr>
          <w:ilvl w:val="0"/>
          <w:numId w:val="31"/>
        </w:numPr>
        <w:spacing w:line="480" w:lineRule="auto"/>
        <w:jc w:val="both"/>
      </w:pPr>
      <w:r w:rsidRPr="003F68BC">
        <w:t>that the subject of the arbitration contract or the arbitrator</w:t>
      </w:r>
      <w:r w:rsidR="005165E8">
        <w:t>’</w:t>
      </w:r>
      <w:r w:rsidRPr="003F68BC">
        <w:t>s award was not arbitrable because of public policy</w:t>
      </w:r>
      <w:r w:rsidR="005165E8">
        <w:t>;</w:t>
      </w:r>
      <w:r w:rsidRPr="003F68BC">
        <w:t xml:space="preserve"> </w:t>
      </w:r>
    </w:p>
    <w:p w14:paraId="5E202D5E" w14:textId="41F724AF" w:rsidR="00D96A24" w:rsidRPr="003F68BC" w:rsidRDefault="00D96A24" w:rsidP="00D96A24">
      <w:pPr>
        <w:pStyle w:val="ListParagraph"/>
        <w:numPr>
          <w:ilvl w:val="0"/>
          <w:numId w:val="31"/>
        </w:numPr>
        <w:spacing w:line="480" w:lineRule="auto"/>
        <w:jc w:val="both"/>
      </w:pPr>
      <w:r w:rsidRPr="003F68BC">
        <w:t>that the award made by the arbitrator violated public policy (iii)</w:t>
      </w:r>
      <w:r w:rsidR="005165E8">
        <w:t>,</w:t>
      </w:r>
      <w:r w:rsidRPr="003F68BC">
        <w:t xml:space="preserve"> </w:t>
      </w:r>
      <w:r w:rsidR="005165E8">
        <w:t xml:space="preserve">in </w:t>
      </w:r>
      <w:r w:rsidRPr="003F68BC">
        <w:t>that the subject of the arbitration contract or the arbitrator</w:t>
      </w:r>
      <w:r w:rsidR="005165E8">
        <w:t>’</w:t>
      </w:r>
      <w:r w:rsidRPr="003F68BC">
        <w:t>s award was arbitrable</w:t>
      </w:r>
      <w:r w:rsidR="005165E8">
        <w:t>;</w:t>
      </w:r>
      <w:r w:rsidRPr="003F68BC">
        <w:t xml:space="preserve"> however, the consequence of either the arbitration contract or the arbitrators award </w:t>
      </w:r>
      <w:r w:rsidRPr="003F68BC">
        <w:rPr>
          <w:i/>
          <w:iCs/>
        </w:rPr>
        <w:t>directly</w:t>
      </w:r>
      <w:r w:rsidRPr="003F68BC">
        <w:t xml:space="preserve"> violated public policy</w:t>
      </w:r>
      <w:r w:rsidR="005165E8">
        <w:t>;</w:t>
      </w:r>
      <w:r w:rsidRPr="003F68BC">
        <w:t xml:space="preserve"> </w:t>
      </w:r>
    </w:p>
    <w:p w14:paraId="13794C23" w14:textId="0C01C76F" w:rsidR="00D96A24" w:rsidRPr="003F68BC" w:rsidRDefault="00D96A24" w:rsidP="00D96A24">
      <w:pPr>
        <w:pStyle w:val="ListParagraph"/>
        <w:numPr>
          <w:ilvl w:val="0"/>
          <w:numId w:val="31"/>
        </w:numPr>
        <w:spacing w:line="480" w:lineRule="auto"/>
        <w:jc w:val="both"/>
      </w:pPr>
      <w:r w:rsidRPr="003F68BC">
        <w:t>that the subject of the arbitration contract or the arbitrator</w:t>
      </w:r>
      <w:r w:rsidR="005165E8">
        <w:t>’</w:t>
      </w:r>
      <w:r w:rsidRPr="003F68BC">
        <w:t>s award was arbitrable</w:t>
      </w:r>
      <w:r w:rsidR="005165E8">
        <w:t>;</w:t>
      </w:r>
      <w:r w:rsidRPr="003F68BC">
        <w:t xml:space="preserve"> however, the consequence of either the arbitration contract or the arbitrator</w:t>
      </w:r>
      <w:r w:rsidR="005165E8">
        <w:t>’</w:t>
      </w:r>
      <w:r w:rsidRPr="003F68BC">
        <w:t>s award</w:t>
      </w:r>
      <w:r w:rsidR="005165E8">
        <w:t xml:space="preserve"> was to</w:t>
      </w:r>
      <w:r w:rsidRPr="003F68BC">
        <w:t xml:space="preserve"> </w:t>
      </w:r>
      <w:r w:rsidRPr="003F68BC">
        <w:rPr>
          <w:i/>
          <w:iCs/>
        </w:rPr>
        <w:t>indirectly</w:t>
      </w:r>
      <w:r w:rsidRPr="003F68BC">
        <w:t xml:space="preserve"> violate public policy </w:t>
      </w:r>
      <w:r w:rsidR="005165E8">
        <w:t>by providing</w:t>
      </w:r>
      <w:r w:rsidRPr="003F68BC">
        <w:t xml:space="preserve"> a platform</w:t>
      </w:r>
      <w:r w:rsidR="005165E8">
        <w:t xml:space="preserve"> for</w:t>
      </w:r>
      <w:r w:rsidRPr="003F68BC">
        <w:t xml:space="preserve"> public policy</w:t>
      </w:r>
      <w:r w:rsidR="005165E8">
        <w:t xml:space="preserve"> violation</w:t>
      </w:r>
      <w:r w:rsidRPr="003F68BC">
        <w:t>.</w:t>
      </w:r>
    </w:p>
    <w:p w14:paraId="2F6A9E27" w14:textId="77777777" w:rsidR="00D96A24" w:rsidRPr="003F68BC" w:rsidRDefault="00D96A24" w:rsidP="00D96A24">
      <w:pPr>
        <w:spacing w:line="480" w:lineRule="auto"/>
        <w:jc w:val="both"/>
      </w:pPr>
    </w:p>
    <w:p w14:paraId="284203EE" w14:textId="122F3A35" w:rsidR="00D96A24" w:rsidRPr="003F68BC" w:rsidRDefault="00F06167" w:rsidP="00D96A24">
      <w:pPr>
        <w:spacing w:line="480" w:lineRule="auto"/>
        <w:jc w:val="both"/>
      </w:pPr>
      <w:r>
        <w:t xml:space="preserve">To summate, </w:t>
      </w:r>
      <w:r w:rsidR="00D96A24" w:rsidRPr="003F68BC">
        <w:t xml:space="preserve">in a number of instances, arbitration </w:t>
      </w:r>
      <w:r>
        <w:t xml:space="preserve">has </w:t>
      </w:r>
      <w:r w:rsidR="00D96A24" w:rsidRPr="003F68BC">
        <w:t>not been able to bring about finality to dispute</w:t>
      </w:r>
      <w:r>
        <w:t>s</w:t>
      </w:r>
      <w:r w:rsidR="00D96A24" w:rsidRPr="003F68BC">
        <w:t>. Instead, despite the existence of the finality principle, the conclusion of arbitration proceedings has simply</w:t>
      </w:r>
      <w:r w:rsidR="005165E8">
        <w:t xml:space="preserve"> been</w:t>
      </w:r>
      <w:r w:rsidR="00D96A24" w:rsidRPr="003F68BC">
        <w:t xml:space="preserve"> spurred </w:t>
      </w:r>
      <w:r w:rsidR="005165E8">
        <w:t>towards</w:t>
      </w:r>
      <w:r w:rsidR="00D96A24" w:rsidRPr="003F68BC">
        <w:t xml:space="preserve"> further litigation, sometimes undertaken in multiple jurisdictions (as in the Bechtel dispute). In the context of the UAE, another major impediment to </w:t>
      </w:r>
      <w:r w:rsidR="00D96A24" w:rsidRPr="003F68BC">
        <w:lastRenderedPageBreak/>
        <w:t xml:space="preserve">the finality principle is the existence of </w:t>
      </w:r>
      <w:r w:rsidR="00D96A24" w:rsidRPr="003F68BC">
        <w:rPr>
          <w:i/>
          <w:iCs/>
        </w:rPr>
        <w:t>intra</w:t>
      </w:r>
      <w:r w:rsidR="00D96A24" w:rsidRPr="003F68BC">
        <w:t>-national jurisdictional concurrency (Ojiako, 2019). Before however elaborating on this point, it is perhaps important at this juncture to highlight that UAE laws do not actually refer to ‘</w:t>
      </w:r>
      <w:r w:rsidR="00D96A24" w:rsidRPr="003F68BC">
        <w:rPr>
          <w:i/>
          <w:iCs/>
        </w:rPr>
        <w:t>public policy’</w:t>
      </w:r>
      <w:r w:rsidR="00D96A24" w:rsidRPr="003F68BC">
        <w:t xml:space="preserve"> but instead refers to ‘</w:t>
      </w:r>
      <w:r w:rsidR="00D96A24" w:rsidRPr="003F68BC">
        <w:rPr>
          <w:i/>
          <w:iCs/>
        </w:rPr>
        <w:t>public order’</w:t>
      </w:r>
      <w:r w:rsidR="00D96A24" w:rsidRPr="003F68BC">
        <w:t>.</w:t>
      </w:r>
    </w:p>
    <w:p w14:paraId="079D7910" w14:textId="77777777" w:rsidR="00D96A24" w:rsidRPr="003F68BC" w:rsidRDefault="00D96A24" w:rsidP="00D96A24">
      <w:pPr>
        <w:spacing w:line="480" w:lineRule="auto"/>
        <w:ind w:firstLine="720"/>
        <w:jc w:val="both"/>
        <w:rPr>
          <w:rFonts w:asciiTheme="majorBidi" w:hAnsiTheme="majorBidi" w:cstheme="majorBidi"/>
        </w:rPr>
      </w:pPr>
    </w:p>
    <w:p w14:paraId="3F3A05BF" w14:textId="77777777" w:rsidR="00D96A24" w:rsidRPr="003F68BC" w:rsidRDefault="00D96A24" w:rsidP="00D96A24">
      <w:pPr>
        <w:spacing w:line="480" w:lineRule="auto"/>
        <w:jc w:val="both"/>
        <w:rPr>
          <w:rFonts w:asciiTheme="majorBidi" w:hAnsiTheme="majorBidi" w:cstheme="majorBidi"/>
          <w:i/>
          <w:iCs/>
        </w:rPr>
      </w:pPr>
      <w:r w:rsidRPr="003F68BC">
        <w:rPr>
          <w:rFonts w:asciiTheme="majorBidi" w:hAnsiTheme="majorBidi" w:cstheme="majorBidi"/>
          <w:i/>
          <w:iCs/>
        </w:rPr>
        <w:t>2.4 Public policy or public order</w:t>
      </w:r>
    </w:p>
    <w:p w14:paraId="2FFB4D4D" w14:textId="069775B4" w:rsidR="00D96A24" w:rsidRPr="003F68BC" w:rsidRDefault="00D96A24" w:rsidP="00B03680">
      <w:pPr>
        <w:spacing w:line="480" w:lineRule="auto"/>
        <w:jc w:val="both"/>
      </w:pPr>
      <w:r w:rsidRPr="003F68BC">
        <w:rPr>
          <w:rStyle w:val="Heading3Char"/>
          <w:rFonts w:asciiTheme="majorBidi" w:hAnsiTheme="majorBidi" w:cstheme="majorBidi"/>
          <w:b w:val="0"/>
          <w:bCs w:val="0"/>
          <w:iCs/>
          <w:sz w:val="24"/>
          <w:szCs w:val="24"/>
        </w:rPr>
        <w:t>While we have utilised the term ‘</w:t>
      </w:r>
      <w:r w:rsidRPr="00D90A2E">
        <w:rPr>
          <w:rStyle w:val="Heading3Char"/>
          <w:rFonts w:asciiTheme="majorBidi" w:hAnsiTheme="majorBidi" w:cstheme="majorBidi"/>
          <w:b w:val="0"/>
          <w:bCs w:val="0"/>
          <w:i/>
          <w:sz w:val="24"/>
          <w:szCs w:val="24"/>
        </w:rPr>
        <w:t>public policy’</w:t>
      </w:r>
      <w:r w:rsidRPr="003F68BC">
        <w:rPr>
          <w:rStyle w:val="Heading3Char"/>
          <w:rFonts w:asciiTheme="majorBidi" w:hAnsiTheme="majorBidi" w:cstheme="majorBidi"/>
          <w:b w:val="0"/>
          <w:bCs w:val="0"/>
          <w:iCs/>
          <w:sz w:val="24"/>
          <w:szCs w:val="24"/>
        </w:rPr>
        <w:t xml:space="preserve"> in our study, </w:t>
      </w:r>
      <w:bookmarkStart w:id="1" w:name="_Hlk51755585"/>
      <w:r w:rsidRPr="003F68BC">
        <w:rPr>
          <w:rStyle w:val="Heading3Char"/>
          <w:rFonts w:asciiTheme="majorBidi" w:hAnsiTheme="majorBidi" w:cstheme="majorBidi"/>
          <w:b w:val="0"/>
          <w:bCs w:val="0"/>
          <w:iCs/>
          <w:sz w:val="24"/>
          <w:szCs w:val="24"/>
        </w:rPr>
        <w:t>Article 3 of Federal Law 11 of 1992</w:t>
      </w:r>
      <w:r w:rsidRPr="003F68BC">
        <w:rPr>
          <w:rFonts w:asciiTheme="majorBidi" w:hAnsiTheme="majorBidi" w:cstheme="majorBidi"/>
        </w:rPr>
        <w:t xml:space="preserve"> </w:t>
      </w:r>
      <w:bookmarkEnd w:id="1"/>
      <w:r w:rsidRPr="003F68BC">
        <w:rPr>
          <w:rFonts w:asciiTheme="majorBidi" w:hAnsiTheme="majorBidi" w:cstheme="majorBidi"/>
        </w:rPr>
        <w:t>(UAE) does not refer to public policy, instead referring to ‘</w:t>
      </w:r>
      <w:r w:rsidRPr="00D90A2E">
        <w:rPr>
          <w:rFonts w:asciiTheme="majorBidi" w:hAnsiTheme="majorBidi" w:cstheme="majorBidi"/>
          <w:i/>
          <w:iCs/>
        </w:rPr>
        <w:t>public order’</w:t>
      </w:r>
      <w:r w:rsidRPr="003F68BC">
        <w:rPr>
          <w:rFonts w:asciiTheme="majorBidi" w:hAnsiTheme="majorBidi" w:cstheme="majorBidi"/>
        </w:rPr>
        <w:t xml:space="preserve">. </w:t>
      </w:r>
      <w:r w:rsidRPr="003F68BC">
        <w:t xml:space="preserve">We do acknowledge that there are intrinsic differences between the two concepts. At the core of this difference is that while public policy (which mainly applies in common law countries such as the United Kingdom, Canada and the United States – see Enonchong 1993), focuses on social equity and societal values (Hollander, 2016), the focus of public order (which mainly applies in civil law jurisdictions such as France, Egypt and the United Arab Emirates) is more on political, economic, and moral organization, regulation and control of the state (Wedel et al. 2005). In effect, public order tends to be construed from a more legalistic perspective based on economic, political and moral regulation. We provide a summary of the distinctions between the two concepts in Table </w:t>
      </w:r>
      <w:r w:rsidR="005F6AAF">
        <w:t>2</w:t>
      </w:r>
      <w:r w:rsidR="005F6AAF" w:rsidRPr="003F68BC">
        <w:t xml:space="preserve"> </w:t>
      </w:r>
      <w:r w:rsidRPr="003F68BC">
        <w:t>(below).</w:t>
      </w:r>
    </w:p>
    <w:p w14:paraId="56D13F70" w14:textId="77777777" w:rsidR="00D96A24" w:rsidRPr="003F68BC" w:rsidRDefault="00D96A24" w:rsidP="00D96A24">
      <w:pPr>
        <w:spacing w:line="480" w:lineRule="auto"/>
        <w:jc w:val="both"/>
      </w:pPr>
    </w:p>
    <w:p w14:paraId="5A521311" w14:textId="77777777" w:rsidR="00900A6E" w:rsidRDefault="00900A6E" w:rsidP="00D96A24">
      <w:pPr>
        <w:spacing w:line="480" w:lineRule="auto"/>
        <w:jc w:val="both"/>
        <w:rPr>
          <w:rStyle w:val="Heading3Char"/>
          <w:rFonts w:ascii="Times New Roman" w:hAnsi="Times New Roman"/>
          <w:b w:val="0"/>
          <w:bCs w:val="0"/>
          <w:sz w:val="24"/>
          <w:szCs w:val="24"/>
        </w:rPr>
      </w:pPr>
      <w:r>
        <w:rPr>
          <w:rStyle w:val="Heading3Char"/>
          <w:rFonts w:ascii="Times New Roman" w:hAnsi="Times New Roman"/>
          <w:b w:val="0"/>
          <w:bCs w:val="0"/>
          <w:sz w:val="24"/>
          <w:szCs w:val="24"/>
        </w:rPr>
        <w:t xml:space="preserve">INSERT </w:t>
      </w:r>
      <w:r w:rsidR="00D96A24" w:rsidRPr="003F68BC">
        <w:rPr>
          <w:rStyle w:val="Heading3Char"/>
          <w:rFonts w:ascii="Times New Roman" w:hAnsi="Times New Roman"/>
          <w:b w:val="0"/>
          <w:bCs w:val="0"/>
          <w:sz w:val="24"/>
          <w:szCs w:val="24"/>
        </w:rPr>
        <w:t>Table</w:t>
      </w:r>
      <w:r>
        <w:rPr>
          <w:rStyle w:val="Heading3Char"/>
          <w:rFonts w:ascii="Times New Roman" w:hAnsi="Times New Roman"/>
          <w:b w:val="0"/>
          <w:bCs w:val="0"/>
          <w:sz w:val="24"/>
          <w:szCs w:val="24"/>
        </w:rPr>
        <w:t xml:space="preserve"> 2 AROUND HERE</w:t>
      </w:r>
    </w:p>
    <w:p w14:paraId="138108EC" w14:textId="77777777" w:rsidR="00900A6E" w:rsidRDefault="00900A6E" w:rsidP="00D96A24">
      <w:pPr>
        <w:spacing w:line="480" w:lineRule="auto"/>
        <w:jc w:val="both"/>
        <w:rPr>
          <w:rStyle w:val="Heading3Char"/>
          <w:rFonts w:ascii="Times New Roman" w:hAnsi="Times New Roman"/>
          <w:b w:val="0"/>
          <w:bCs w:val="0"/>
          <w:sz w:val="24"/>
          <w:szCs w:val="24"/>
        </w:rPr>
      </w:pPr>
    </w:p>
    <w:p w14:paraId="4F6B6F8D" w14:textId="5530AC82" w:rsidR="00D96A24" w:rsidRPr="003F68BC" w:rsidRDefault="00D96A24" w:rsidP="00D96A24">
      <w:pPr>
        <w:spacing w:line="480" w:lineRule="auto"/>
        <w:jc w:val="both"/>
      </w:pPr>
      <w:r w:rsidRPr="003F68BC">
        <w:t>However, another interpretation of the relationship between public policy and public order which is very authoritative in legal circles is the judgement of the Judicial Committee of the Privy Council</w:t>
      </w:r>
      <w:r w:rsidRPr="003F68BC">
        <w:rPr>
          <w:rStyle w:val="FootnoteReference"/>
        </w:rPr>
        <w:footnoteReference w:id="6"/>
      </w:r>
      <w:r w:rsidRPr="003F68BC">
        <w:t xml:space="preserve"> (England &amp; Wales) in </w:t>
      </w:r>
      <w:proofErr w:type="spellStart"/>
      <w:r w:rsidRPr="003F68BC">
        <w:rPr>
          <w:i/>
        </w:rPr>
        <w:t>Evanturel</w:t>
      </w:r>
      <w:proofErr w:type="spellEnd"/>
      <w:r w:rsidRPr="003F68BC">
        <w:rPr>
          <w:i/>
        </w:rPr>
        <w:t xml:space="preserve"> v </w:t>
      </w:r>
      <w:proofErr w:type="spellStart"/>
      <w:r w:rsidRPr="003F68BC">
        <w:rPr>
          <w:i/>
        </w:rPr>
        <w:t>Evanturel</w:t>
      </w:r>
      <w:proofErr w:type="spellEnd"/>
      <w:r w:rsidRPr="003F68BC">
        <w:rPr>
          <w:rStyle w:val="FootnoteReference"/>
        </w:rPr>
        <w:footnoteReference w:id="7"/>
      </w:r>
      <w:r w:rsidRPr="003F68BC">
        <w:rPr>
          <w:i/>
        </w:rPr>
        <w:t xml:space="preserve"> </w:t>
      </w:r>
      <w:r w:rsidRPr="003F68BC">
        <w:t>where it was stated that: “…</w:t>
      </w:r>
      <w:r w:rsidRPr="003F68BC">
        <w:rPr>
          <w:i/>
        </w:rPr>
        <w:t xml:space="preserve">their Lordships </w:t>
      </w:r>
      <w:r w:rsidRPr="003F68BC">
        <w:rPr>
          <w:i/>
        </w:rPr>
        <w:lastRenderedPageBreak/>
        <w:t>will treat ‘public order’ as identical with what in this country is termed ‘public policy’, although the latter is perhaps the larger of the two terms</w:t>
      </w:r>
      <w:r w:rsidRPr="003F68BC">
        <w:t xml:space="preserve">” (p.26). This judgement therefore suggests that public order is a concept that exists within public policy. </w:t>
      </w:r>
      <w:r w:rsidR="00B3574F">
        <w:t>Based on this view,</w:t>
      </w:r>
      <w:r w:rsidRPr="003F68BC">
        <w:t xml:space="preserve"> a number of scholars have conceptualised public policy and public order as similar and interchangeable (see Angell and </w:t>
      </w:r>
      <w:proofErr w:type="spellStart"/>
      <w:r w:rsidRPr="003F68BC">
        <w:t>Feulner</w:t>
      </w:r>
      <w:proofErr w:type="spellEnd"/>
      <w:r w:rsidRPr="003F68BC">
        <w:t xml:space="preserve">, 1988; </w:t>
      </w:r>
      <w:proofErr w:type="spellStart"/>
      <w:r w:rsidRPr="003F68BC">
        <w:t>Dimitrakopoulos</w:t>
      </w:r>
      <w:proofErr w:type="spellEnd"/>
      <w:r w:rsidRPr="003F68BC">
        <w:t xml:space="preserve">, 2001; </w:t>
      </w:r>
      <w:proofErr w:type="spellStart"/>
      <w:r w:rsidRPr="003F68BC">
        <w:t>Kantaria</w:t>
      </w:r>
      <w:proofErr w:type="spellEnd"/>
      <w:r w:rsidRPr="003F68BC">
        <w:t xml:space="preserve">, 2012; Almutawa and </w:t>
      </w:r>
      <w:proofErr w:type="spellStart"/>
      <w:r w:rsidRPr="003F68BC">
        <w:t>Maniruzzaman</w:t>
      </w:r>
      <w:proofErr w:type="spellEnd"/>
      <w:r w:rsidRPr="003F68BC">
        <w:t xml:space="preserve">, 2014; </w:t>
      </w:r>
      <w:proofErr w:type="spellStart"/>
      <w:r w:rsidRPr="003F68BC">
        <w:t>Kanakri</w:t>
      </w:r>
      <w:proofErr w:type="spellEnd"/>
      <w:r w:rsidRPr="003F68BC">
        <w:t xml:space="preserve"> and Massey, 2016). We adopt the same approach in this study.</w:t>
      </w:r>
    </w:p>
    <w:p w14:paraId="67A361EA" w14:textId="77777777" w:rsidR="00D96A24" w:rsidRPr="003F68BC" w:rsidRDefault="00D96A24" w:rsidP="00D96A24">
      <w:pPr>
        <w:spacing w:line="480" w:lineRule="auto"/>
        <w:jc w:val="both"/>
      </w:pPr>
    </w:p>
    <w:p w14:paraId="01F04B38" w14:textId="77777777" w:rsidR="00D96A24" w:rsidRPr="003F68BC" w:rsidRDefault="00D96A24" w:rsidP="00D96A24">
      <w:pPr>
        <w:spacing w:line="480" w:lineRule="auto"/>
        <w:jc w:val="both"/>
        <w:rPr>
          <w:b/>
        </w:rPr>
      </w:pPr>
      <w:r w:rsidRPr="003F68BC">
        <w:rPr>
          <w:b/>
        </w:rPr>
        <w:t>3. The literature</w:t>
      </w:r>
    </w:p>
    <w:p w14:paraId="7A824475" w14:textId="77777777" w:rsidR="00D96A24" w:rsidRPr="003F68BC" w:rsidRDefault="00D96A24" w:rsidP="00D96A24">
      <w:pPr>
        <w:spacing w:line="480" w:lineRule="auto"/>
        <w:jc w:val="both"/>
        <w:rPr>
          <w:i/>
        </w:rPr>
      </w:pPr>
      <w:r w:rsidRPr="003F68BC">
        <w:rPr>
          <w:i/>
        </w:rPr>
        <w:t>3.1 Jurisdictional concurrency</w:t>
      </w:r>
    </w:p>
    <w:p w14:paraId="728947A5" w14:textId="5CDC8C84" w:rsidR="00D96A24" w:rsidRPr="003F68BC" w:rsidRDefault="00D96A24" w:rsidP="00D96A24">
      <w:pPr>
        <w:spacing w:line="480" w:lineRule="auto"/>
        <w:jc w:val="both"/>
      </w:pPr>
      <w:r w:rsidRPr="003F68BC">
        <w:t xml:space="preserve">The </w:t>
      </w:r>
      <w:r w:rsidRPr="003F68BC">
        <w:rPr>
          <w:i/>
        </w:rPr>
        <w:t>Bechtel</w:t>
      </w:r>
      <w:r w:rsidRPr="003F68BC">
        <w:t xml:space="preserve"> judgement represented a watershed in terms of the intersection of public policy with public sector infrastructure project delivery in that it exposed the fragile nature of arbitration (as a dispute resolution mechanism) when contextualised within </w:t>
      </w:r>
      <w:r w:rsidRPr="003F68BC">
        <w:rPr>
          <w:i/>
        </w:rPr>
        <w:t>inter</w:t>
      </w:r>
      <w:r w:rsidRPr="003F68BC">
        <w:t xml:space="preserve"> and </w:t>
      </w:r>
      <w:r w:rsidRPr="003F68BC">
        <w:rPr>
          <w:i/>
        </w:rPr>
        <w:t>intra</w:t>
      </w:r>
      <w:r w:rsidRPr="003F68BC">
        <w:t>-national jurisdictional concurrency</w:t>
      </w:r>
      <w:r w:rsidRPr="003F68BC">
        <w:rPr>
          <w:rStyle w:val="FootnoteReference"/>
        </w:rPr>
        <w:footnoteReference w:id="8"/>
      </w:r>
      <w:r w:rsidRPr="003F68BC">
        <w:t>. Thus, for example, in a seemingly fantastic series of concurrent legal wranglings, at one point, the Bechtel dispute was being heard simultaneously before the national courts of three different jurisdictions</w:t>
      </w:r>
      <w:r w:rsidR="009958A5">
        <w:t>:</w:t>
      </w:r>
      <w:r w:rsidRPr="003F68BC">
        <w:t xml:space="preserve"> in New York (United States), Paris (France) and Dubai (UAE). Such jurisdictional concurrency no doubt will have a negative impact on the finality principle. Ultimately, this will also negatively affect the successful implementation and delivery of public sector infrastructure projects. </w:t>
      </w:r>
    </w:p>
    <w:p w14:paraId="178E818D" w14:textId="273BEBD6" w:rsidR="00D96A24" w:rsidRPr="003F68BC" w:rsidRDefault="00D96A24" w:rsidP="00D96A24">
      <w:pPr>
        <w:spacing w:line="480" w:lineRule="auto"/>
        <w:ind w:firstLine="720"/>
        <w:jc w:val="both"/>
      </w:pPr>
      <w:r w:rsidRPr="003F68BC">
        <w:t xml:space="preserve">Traditionally, the </w:t>
      </w:r>
      <w:r w:rsidRPr="003F68BC">
        <w:rPr>
          <w:rFonts w:eastAsia="Calibri"/>
          <w:lang w:val="en-US"/>
        </w:rPr>
        <w:t xml:space="preserve">notion of </w:t>
      </w:r>
      <w:r w:rsidRPr="003F68BC">
        <w:rPr>
          <w:i/>
        </w:rPr>
        <w:t xml:space="preserve">jurisdictional concurrency </w:t>
      </w:r>
      <w:r w:rsidRPr="003F68BC">
        <w:rPr>
          <w:rFonts w:eastAsia="Calibri"/>
          <w:lang w:val="en-US"/>
        </w:rPr>
        <w:t>arise</w:t>
      </w:r>
      <w:r w:rsidR="009958A5">
        <w:rPr>
          <w:rFonts w:eastAsia="Calibri"/>
          <w:lang w:val="en-US"/>
        </w:rPr>
        <w:t>s</w:t>
      </w:r>
      <w:r w:rsidRPr="003F68BC">
        <w:rPr>
          <w:rFonts w:eastAsia="Calibri"/>
          <w:lang w:val="en-US"/>
        </w:rPr>
        <w:t xml:space="preserve"> where </w:t>
      </w:r>
      <w:r w:rsidRPr="003F68BC">
        <w:t xml:space="preserve">two or more courts are deemed to be </w:t>
      </w:r>
      <w:r w:rsidRPr="003F68BC">
        <w:rPr>
          <w:i/>
        </w:rPr>
        <w:t>simultaneously</w:t>
      </w:r>
      <w:r w:rsidRPr="003F68BC">
        <w:t xml:space="preserve"> empowered by either law, treaty, convention or other mechanisms to either</w:t>
      </w:r>
      <w:r w:rsidR="009958A5">
        <w:t>:</w:t>
      </w:r>
      <w:r w:rsidRPr="003F68BC">
        <w:t xml:space="preserve"> (i) adjudicate a specific dispute (Shelton, 1928), or to be able to (ii) directly bind the </w:t>
      </w:r>
      <w:r w:rsidRPr="003F68BC">
        <w:lastRenderedPageBreak/>
        <w:t>disputants (or property) or subject matter of the dispute (</w:t>
      </w:r>
      <w:r w:rsidRPr="003F68BC">
        <w:rPr>
          <w:lang w:val="en-US"/>
        </w:rPr>
        <w:t>Hazard, 1965</w:t>
      </w:r>
      <w:r w:rsidRPr="003F68BC">
        <w:t xml:space="preserve">). There are two </w:t>
      </w:r>
      <w:r w:rsidR="009958A5">
        <w:t>types</w:t>
      </w:r>
      <w:r w:rsidRPr="003F68BC">
        <w:rPr>
          <w:rFonts w:eastAsia="Calibri"/>
          <w:lang w:val="en-US"/>
        </w:rPr>
        <w:t xml:space="preserve"> of </w:t>
      </w:r>
      <w:r w:rsidRPr="003F68BC">
        <w:rPr>
          <w:i/>
        </w:rPr>
        <w:t xml:space="preserve">jurisdictional concurrency. </w:t>
      </w:r>
      <w:r w:rsidR="009958A5">
        <w:t>The f</w:t>
      </w:r>
      <w:r w:rsidRPr="003F68BC">
        <w:t>irst</w:t>
      </w:r>
      <w:r w:rsidR="009958A5">
        <w:t xml:space="preserve"> of these</w:t>
      </w:r>
      <w:r w:rsidRPr="003F68BC">
        <w:t xml:space="preserve"> is </w:t>
      </w:r>
      <w:r w:rsidRPr="003F68BC">
        <w:rPr>
          <w:i/>
        </w:rPr>
        <w:t>inter</w:t>
      </w:r>
      <w:r w:rsidRPr="003F68BC">
        <w:t xml:space="preserve">-national jurisdictional concurrency which occurs when two or more courts in different countries deem themselves </w:t>
      </w:r>
      <w:r w:rsidRPr="003F68BC">
        <w:rPr>
          <w:i/>
        </w:rPr>
        <w:t>simultaneously</w:t>
      </w:r>
      <w:r w:rsidRPr="003F68BC">
        <w:t xml:space="preserve"> empowered to either adjudicate a specific dispute or directly bind the disputants (or property) or subject matter of the dispute. </w:t>
      </w:r>
      <w:r w:rsidR="009958A5">
        <w:t>The s</w:t>
      </w:r>
      <w:r w:rsidRPr="003F68BC">
        <w:t xml:space="preserve">econd is </w:t>
      </w:r>
      <w:r w:rsidRPr="003F68BC">
        <w:rPr>
          <w:i/>
        </w:rPr>
        <w:t>intra</w:t>
      </w:r>
      <w:r w:rsidRPr="003F68BC">
        <w:t xml:space="preserve">-national jurisdictional concurrency, which occurs when two or more courts within the same country deem the same. Thus, in the earlier discussed Bechtel dispute, we observed the occurrence of </w:t>
      </w:r>
      <w:r w:rsidRPr="003F68BC">
        <w:rPr>
          <w:i/>
        </w:rPr>
        <w:t>inter</w:t>
      </w:r>
      <w:r w:rsidRPr="003F68BC">
        <w:t xml:space="preserve">-national jurisdictional concurrency as the national courts of three different countries (United States, France and the UAE) deemed themselves competent to simultaneously adjudicate on different facets of the Bechtel dispute. While both forms of jurisdictional concurrency do </w:t>
      </w:r>
      <w:r w:rsidR="009958A5">
        <w:t xml:space="preserve">sometimes </w:t>
      </w:r>
      <w:r w:rsidRPr="003F68BC">
        <w:t xml:space="preserve">occur, the existence of </w:t>
      </w:r>
      <w:r w:rsidRPr="003F68BC">
        <w:rPr>
          <w:i/>
        </w:rPr>
        <w:t>intra</w:t>
      </w:r>
      <w:r w:rsidRPr="003F68BC">
        <w:t xml:space="preserve">-national jurisdictional concurrency is rare and one of the major intriguing peculiarities of the UAE legal framework. </w:t>
      </w:r>
    </w:p>
    <w:p w14:paraId="510CB465" w14:textId="57FF9B19" w:rsidR="00D96A24" w:rsidRPr="003F68BC" w:rsidRDefault="00D96A24" w:rsidP="00D96A24">
      <w:pPr>
        <w:spacing w:line="480" w:lineRule="auto"/>
        <w:ind w:firstLine="720"/>
        <w:jc w:val="both"/>
      </w:pPr>
      <w:r w:rsidRPr="003F68BC">
        <w:t xml:space="preserve">Generally, on concurrency, the majority of national arbitration laws will articulate a number of points. This will include for example the extent of the primary or sole jurisdiction of its national courts (such as making determination of matters of public policy). It will also include articulating the extent of the primary or sole jurisdiction of arbitrators/arbitral panels (such as deciding on procedural matters such as the time/schedule for the hearing, the language of the proceedings and making factual findings). These laws will also likely address the extent of the concurrent or </w:t>
      </w:r>
      <w:r w:rsidRPr="003F68BC">
        <w:rPr>
          <w:i/>
        </w:rPr>
        <w:t>simultaneous</w:t>
      </w:r>
      <w:r w:rsidRPr="003F68BC">
        <w:t xml:space="preserve"> jurisdiction of both the courts and the arbitrators/arbitral panels</w:t>
      </w:r>
      <w:r w:rsidR="009958A5">
        <w:t>,</w:t>
      </w:r>
      <w:r w:rsidRPr="003F68BC">
        <w:t xml:space="preserve"> and also the extent of the courts</w:t>
      </w:r>
      <w:r w:rsidR="009958A5">
        <w:t>’</w:t>
      </w:r>
      <w:r w:rsidRPr="003F68BC">
        <w:t xml:space="preserve"> supervisory powers over arbitrators/arbitral panels. However, despite these, Onyema (2017) opines that jurisdictional matters can be particularly exacerbated where such </w:t>
      </w:r>
      <w:proofErr w:type="spellStart"/>
      <w:r w:rsidRPr="003F68BC">
        <w:rPr>
          <w:i/>
        </w:rPr>
        <w:t>simultaneousity</w:t>
      </w:r>
      <w:proofErr w:type="spellEnd"/>
      <w:r w:rsidRPr="003F68BC">
        <w:t xml:space="preserve"> is deemed to exist between national courts and arbitrators/arbitral panels on matters of substantive national law. One such example can be where a national court intervenes </w:t>
      </w:r>
      <w:r w:rsidRPr="003F68BC">
        <w:lastRenderedPageBreak/>
        <w:t>during actual arbitration proceedings</w:t>
      </w:r>
      <w:r w:rsidR="009958A5">
        <w:t>,</w:t>
      </w:r>
      <w:r w:rsidRPr="003F68BC">
        <w:t xml:space="preserve"> where it is deemed that the proceedings ha</w:t>
      </w:r>
      <w:r w:rsidR="009958A5">
        <w:t>ve</w:t>
      </w:r>
      <w:r w:rsidRPr="003F68BC">
        <w:t xml:space="preserve"> encroached or </w:t>
      </w:r>
      <w:r w:rsidR="009958A5">
        <w:t>are</w:t>
      </w:r>
      <w:r w:rsidRPr="003F68BC">
        <w:t xml:space="preserve"> encroaching on the rights of third parties who are either not subject or have not subjected themselves to the jurisdiction of the arbitrator/arbitral panel (an example being where interim relief has been granted against a third party who is not a party to the proceedings)</w:t>
      </w:r>
      <w:r w:rsidR="009958A5">
        <w:t>.</w:t>
      </w:r>
      <w:r w:rsidRPr="003F68BC">
        <w:t xml:space="preserve"> </w:t>
      </w:r>
      <w:r w:rsidR="00412589">
        <w:t>J</w:t>
      </w:r>
      <w:r w:rsidRPr="003F68BC">
        <w:t xml:space="preserve">urisdictional concurrency </w:t>
      </w:r>
      <w:r w:rsidR="00412589">
        <w:t xml:space="preserve">also </w:t>
      </w:r>
      <w:r w:rsidRPr="003F68BC">
        <w:t>raises</w:t>
      </w:r>
      <w:r w:rsidR="00E3623B">
        <w:t xml:space="preserve"> questions of</w:t>
      </w:r>
      <w:r w:rsidRPr="003F68BC">
        <w:t xml:space="preserve"> both ‘</w:t>
      </w:r>
      <w:r w:rsidRPr="003F68BC">
        <w:rPr>
          <w:i/>
        </w:rPr>
        <w:t>choice of law</w:t>
      </w:r>
      <w:r w:rsidRPr="003F68BC">
        <w:t>’ and of ‘</w:t>
      </w:r>
      <w:r w:rsidRPr="003F68BC">
        <w:rPr>
          <w:i/>
        </w:rPr>
        <w:t>forum shopping’</w:t>
      </w:r>
      <w:r w:rsidR="009958A5">
        <w:t xml:space="preserve"> which we examine next.</w:t>
      </w:r>
    </w:p>
    <w:p w14:paraId="6F716D0A" w14:textId="77777777" w:rsidR="00D96A24" w:rsidRPr="003F68BC" w:rsidRDefault="00D96A24" w:rsidP="00D96A24">
      <w:pPr>
        <w:spacing w:line="480" w:lineRule="auto"/>
        <w:jc w:val="both"/>
      </w:pPr>
    </w:p>
    <w:p w14:paraId="6D711D7A" w14:textId="77777777" w:rsidR="00D96A24" w:rsidRPr="003F68BC" w:rsidRDefault="00D96A24" w:rsidP="00D96A24">
      <w:pPr>
        <w:spacing w:line="480" w:lineRule="auto"/>
        <w:jc w:val="both"/>
        <w:rPr>
          <w:i/>
        </w:rPr>
      </w:pPr>
      <w:r w:rsidRPr="003F68BC">
        <w:rPr>
          <w:i/>
        </w:rPr>
        <w:t>3.2 Choice of law and forum shopping</w:t>
      </w:r>
    </w:p>
    <w:p w14:paraId="2784D379" w14:textId="1DCE3A5C" w:rsidR="00D96A24" w:rsidRPr="003F68BC" w:rsidRDefault="00D96A24" w:rsidP="00B8062A">
      <w:pPr>
        <w:spacing w:line="480" w:lineRule="auto"/>
        <w:jc w:val="both"/>
      </w:pPr>
      <w:r w:rsidRPr="003F68BC">
        <w:t>Choice of law deals with the question of specific applicable national laws during arbitration proceedings. Choice of law can be specifically applicable</w:t>
      </w:r>
      <w:r w:rsidR="00E3623B">
        <w:t>,</w:t>
      </w:r>
      <w:r w:rsidRPr="003F68BC">
        <w:t xml:space="preserve"> either wholly or partially,</w:t>
      </w:r>
      <w:r w:rsidR="00E3623B">
        <w:t xml:space="preserve"> to:</w:t>
      </w:r>
      <w:r w:rsidRPr="003F68BC">
        <w:t xml:space="preserve"> (i) the primary contractual obligations of each party</w:t>
      </w:r>
      <w:r w:rsidR="00E3623B">
        <w:t>,</w:t>
      </w:r>
      <w:r w:rsidRPr="003F68BC">
        <w:t xml:space="preserve"> (ii) the arbitration clause within the contract</w:t>
      </w:r>
      <w:r w:rsidR="00E3623B">
        <w:t>,</w:t>
      </w:r>
      <w:r w:rsidRPr="003F68BC">
        <w:t xml:space="preserve"> (iii) the arbitration proceedings and (iv) </w:t>
      </w:r>
      <w:r w:rsidR="00E3623B">
        <w:t>contract</w:t>
      </w:r>
      <w:r w:rsidRPr="003F68BC">
        <w:t xml:space="preserve"> termination (</w:t>
      </w:r>
      <w:proofErr w:type="spellStart"/>
      <w:r w:rsidRPr="003F68BC">
        <w:t>Dagbanja</w:t>
      </w:r>
      <w:proofErr w:type="spellEnd"/>
      <w:r w:rsidRPr="003F68BC">
        <w:t xml:space="preserve">, 2019). </w:t>
      </w:r>
    </w:p>
    <w:p w14:paraId="2DB19011" w14:textId="7C3E6C06" w:rsidR="00D96A24" w:rsidRPr="003F68BC" w:rsidRDefault="00D96A24" w:rsidP="00B03680">
      <w:pPr>
        <w:spacing w:line="480" w:lineRule="auto"/>
        <w:ind w:firstLine="720"/>
        <w:jc w:val="both"/>
      </w:pPr>
      <w:r w:rsidRPr="003F68BC">
        <w:t xml:space="preserve">Choice of law is a major consideration in arbitration. One </w:t>
      </w:r>
      <w:r w:rsidR="00E3623B">
        <w:t>view of it</w:t>
      </w:r>
      <w:r w:rsidRPr="003F68BC">
        <w:t xml:space="preserve"> appears to suggest that disputants should be accorded wide discretion to determine the specific national laws that are applicable to their dispute. This perspective</w:t>
      </w:r>
      <w:r w:rsidR="00E3623B">
        <w:t>,</w:t>
      </w:r>
      <w:r w:rsidRPr="003F68BC">
        <w:t xml:space="preserve"> however</w:t>
      </w:r>
      <w:r w:rsidR="00E3623B">
        <w:t>,</w:t>
      </w:r>
      <w:r w:rsidRPr="003F68BC">
        <w:t xml:space="preserve"> runs counter to earlier mentioned jurisdictional theory (which emphasises complete supervisory and regulatory control by states over arbitration proceedings and awards). The alternative choice of law perspective</w:t>
      </w:r>
      <w:r w:rsidR="00E3623B">
        <w:t>,</w:t>
      </w:r>
      <w:r w:rsidRPr="003F68BC">
        <w:t xml:space="preserve"> however</w:t>
      </w:r>
      <w:r w:rsidR="00E3623B">
        <w:t>,</w:t>
      </w:r>
      <w:r w:rsidRPr="003F68BC">
        <w:t xml:space="preserve"> suggests that since contracts are generally localised, the natural seat of any dispute should reside within the country where the provisions of the contract are to be executed. When parties or disputes are localized, the choice of law to determine such disputes will clearly be local national laws. However, matters</w:t>
      </w:r>
      <w:r w:rsidR="00E3623B">
        <w:t xml:space="preserve"> are</w:t>
      </w:r>
      <w:r w:rsidRPr="003F68BC">
        <w:t xml:space="preserve"> inevitably</w:t>
      </w:r>
      <w:r w:rsidR="00E3623B">
        <w:t xml:space="preserve"> more</w:t>
      </w:r>
      <w:r w:rsidRPr="003F68BC">
        <w:t xml:space="preserve"> complicated </w:t>
      </w:r>
      <w:r w:rsidR="00E3623B">
        <w:t>because many</w:t>
      </w:r>
      <w:r w:rsidRPr="003F68BC">
        <w:t xml:space="preserve"> contracts </w:t>
      </w:r>
      <w:r w:rsidR="00E3623B">
        <w:t xml:space="preserve">are </w:t>
      </w:r>
      <w:r w:rsidRPr="003F68BC">
        <w:t xml:space="preserve">drawn up </w:t>
      </w:r>
      <w:r w:rsidR="00E3623B">
        <w:t>with</w:t>
      </w:r>
      <w:r w:rsidRPr="003F68BC">
        <w:t xml:space="preserve">in </w:t>
      </w:r>
      <w:proofErr w:type="gramStart"/>
      <w:r w:rsidRPr="003F68BC">
        <w:t>a globalised project context</w:t>
      </w:r>
      <w:r w:rsidR="00E3623B">
        <w:t>s</w:t>
      </w:r>
      <w:proofErr w:type="gramEnd"/>
      <w:r w:rsidRPr="003F68BC">
        <w:t xml:space="preserve">. </w:t>
      </w:r>
    </w:p>
    <w:p w14:paraId="0FF09E1E" w14:textId="19C80C2D" w:rsidR="00D96A24" w:rsidRPr="003F68BC" w:rsidRDefault="00D96A24" w:rsidP="00D96A24">
      <w:pPr>
        <w:spacing w:line="480" w:lineRule="auto"/>
        <w:ind w:firstLine="720"/>
        <w:jc w:val="both"/>
      </w:pPr>
      <w:r w:rsidRPr="003F68BC">
        <w:lastRenderedPageBreak/>
        <w:t xml:space="preserve">Forum shopping occurs where disputants seek means to have a dispute adjudicated or even re-adjudicated either in its entirety or </w:t>
      </w:r>
      <w:r w:rsidR="00D30899">
        <w:t>partially,</w:t>
      </w:r>
      <w:r w:rsidRPr="003F68BC">
        <w:t xml:space="preserve"> before different courts or arbitrators/arbitral panels</w:t>
      </w:r>
      <w:r w:rsidR="00D30899">
        <w:t>, so as to optimise chances of rulings being in</w:t>
      </w:r>
      <w:r w:rsidRPr="003F68BC">
        <w:t xml:space="preserve"> their favour (Field, 2013). Since the nationality and domicile (place of registration of a contracting party) may be a determining factor in the choice of law applied to a dispute (see Schulze, 1995), the literature suggests that disputants explore/engage in forum shopping where there is either</w:t>
      </w:r>
      <w:r w:rsidR="00D30899">
        <w:t>:</w:t>
      </w:r>
      <w:r w:rsidRPr="003F68BC">
        <w:t xml:space="preserve"> (i) a lack of clarity on the specific law and/or jurisdiction that will govern rights and obligations of contracting parties</w:t>
      </w:r>
      <w:r w:rsidR="00D30899">
        <w:t>,</w:t>
      </w:r>
      <w:r w:rsidRPr="003F68BC">
        <w:t xml:space="preserve"> and/or where (ii)  the effectiveness of the available dispute resolution mechanisms (including litigation) may not be deemed mutually satisfactory (</w:t>
      </w:r>
      <w:proofErr w:type="spellStart"/>
      <w:r w:rsidRPr="003F68BC">
        <w:t>Dagbanja</w:t>
      </w:r>
      <w:proofErr w:type="spellEnd"/>
      <w:r w:rsidRPr="003F68BC">
        <w:t>, 2019).</w:t>
      </w:r>
    </w:p>
    <w:p w14:paraId="1CEE9262" w14:textId="77777777" w:rsidR="00D96A24" w:rsidRPr="003F68BC" w:rsidRDefault="00D96A24" w:rsidP="00D96A24">
      <w:pPr>
        <w:spacing w:line="480" w:lineRule="auto"/>
        <w:ind w:firstLine="720"/>
        <w:jc w:val="both"/>
      </w:pPr>
    </w:p>
    <w:p w14:paraId="077276E6" w14:textId="77777777" w:rsidR="00D96A24" w:rsidRPr="003F68BC" w:rsidRDefault="00D96A24" w:rsidP="00D96A24">
      <w:pPr>
        <w:spacing w:line="480" w:lineRule="auto"/>
        <w:jc w:val="both"/>
        <w:rPr>
          <w:i/>
        </w:rPr>
      </w:pPr>
      <w:r w:rsidRPr="003F68BC">
        <w:rPr>
          <w:i/>
        </w:rPr>
        <w:t>3.4 Jurisdictional concurrency in the UAE</w:t>
      </w:r>
    </w:p>
    <w:p w14:paraId="5D282541" w14:textId="38C759D6" w:rsidR="00D96A24" w:rsidRPr="003F68BC" w:rsidRDefault="00D96A24" w:rsidP="001A73FA">
      <w:pPr>
        <w:spacing w:line="480" w:lineRule="auto"/>
        <w:jc w:val="both"/>
      </w:pPr>
      <w:r w:rsidRPr="003F68BC">
        <w:t xml:space="preserve">The UAE operates a number of parallel courts; a federal court system (‘Courts of the UAE’) with the apex court being the Federal Supreme Court located in the </w:t>
      </w:r>
      <w:r w:rsidRPr="003F68BC">
        <w:rPr>
          <w:i/>
          <w:iCs/>
        </w:rPr>
        <w:t>Emirate</w:t>
      </w:r>
      <w:r w:rsidRPr="003F68BC">
        <w:t xml:space="preserve"> of Abu Dhabi (‘Union Supreme Court’), and emirate-level public courts. Matters on appeal from the Court of First Instance in Sharjah, Fujairah, </w:t>
      </w:r>
      <w:proofErr w:type="gramStart"/>
      <w:r w:rsidRPr="003F68BC">
        <w:t>Umm</w:t>
      </w:r>
      <w:proofErr w:type="gramEnd"/>
      <w:r w:rsidRPr="003F68BC">
        <w:t xml:space="preserve"> al Quwain and Ajman are directed to the Court of Appeal in Sharjah. The Court of Appeal in Abu Dhabi hears only matters on appeal from the Court of First Instance in Abu Dhabi. The </w:t>
      </w:r>
      <w:r w:rsidRPr="003F68BC">
        <w:rPr>
          <w:i/>
        </w:rPr>
        <w:t>emirate</w:t>
      </w:r>
      <w:r w:rsidRPr="003F68BC">
        <w:t xml:space="preserve"> of Abu Dhabi, Dubai, and Ras al Khaimah</w:t>
      </w:r>
      <w:r w:rsidRPr="003F68BC" w:rsidDel="00C440DE">
        <w:t xml:space="preserve"> </w:t>
      </w:r>
      <w:r w:rsidRPr="003F68BC">
        <w:t xml:space="preserve">are not members of the UAE federal court systems by virtue of Article 105 of the UAE constitution. Thus, these three emirates operate parallel court systems (the hierarchy of courts running from ‘Court of First Instance’ to ‘Court of Appeal’ to ‘Court of Cassation’). Final appeals are directed to individual </w:t>
      </w:r>
      <w:r w:rsidRPr="003F68BC">
        <w:rPr>
          <w:i/>
          <w:iCs/>
        </w:rPr>
        <w:t>Emirs</w:t>
      </w:r>
      <w:r w:rsidRPr="003F68BC">
        <w:t xml:space="preserve"> (Rulers) of each emirate. An appeal against the judgement of the Federal Supreme Court located in the </w:t>
      </w:r>
      <w:r w:rsidRPr="003F68BC">
        <w:rPr>
          <w:i/>
          <w:iCs/>
        </w:rPr>
        <w:t>Emirate</w:t>
      </w:r>
      <w:r w:rsidRPr="003F68BC">
        <w:t xml:space="preserve"> of Abu Dhabi (‘Union Supreme Court’) can only be directed to the Emir of Abu Dhabi who is also the UAE President. In sum, the country operates a mixed legal jurisdiction</w:t>
      </w:r>
      <w:r w:rsidR="00D30899">
        <w:t>.</w:t>
      </w:r>
    </w:p>
    <w:p w14:paraId="28B729E5" w14:textId="77777777" w:rsidR="005B4A7D" w:rsidRDefault="00D96A24" w:rsidP="00D30899">
      <w:pPr>
        <w:spacing w:line="480" w:lineRule="auto"/>
        <w:ind w:firstLine="720"/>
        <w:jc w:val="both"/>
      </w:pPr>
      <w:r w:rsidRPr="003F68BC">
        <w:lastRenderedPageBreak/>
        <w:t xml:space="preserve">The UAE’s operation of a mixed legal jurisdiction creates two instances of </w:t>
      </w:r>
      <w:r w:rsidRPr="003F68BC">
        <w:rPr>
          <w:i/>
        </w:rPr>
        <w:t>intra</w:t>
      </w:r>
      <w:r w:rsidRPr="003F68BC">
        <w:t xml:space="preserve">-national jurisdictional concurrency. The first </w:t>
      </w:r>
      <w:r w:rsidR="00D30899">
        <w:t>of these</w:t>
      </w:r>
      <w:r w:rsidRPr="003F68BC">
        <w:t xml:space="preserve"> exists between the courts of the </w:t>
      </w:r>
      <w:r w:rsidRPr="003F68BC">
        <w:rPr>
          <w:i/>
        </w:rPr>
        <w:t>Emirates</w:t>
      </w:r>
      <w:r w:rsidRPr="003F68BC">
        <w:t xml:space="preserve"> of Sharjah, Fujairah, Ajman, and Umm al Quwain on one side and those of Abu Dhabi, Dubai and </w:t>
      </w:r>
      <w:proofErr w:type="spellStart"/>
      <w:r w:rsidRPr="003F68BC">
        <w:t>Ras</w:t>
      </w:r>
      <w:proofErr w:type="spellEnd"/>
      <w:r w:rsidRPr="003F68BC">
        <w:t xml:space="preserve"> al </w:t>
      </w:r>
      <w:proofErr w:type="spellStart"/>
      <w:r w:rsidRPr="003F68BC">
        <w:t>Khaimahi</w:t>
      </w:r>
      <w:proofErr w:type="spellEnd"/>
      <w:r w:rsidRPr="003F68BC">
        <w:t xml:space="preserve"> on the other </w:t>
      </w:r>
      <w:r w:rsidR="005B4A7D" w:rsidRPr="003F68BC">
        <w:t xml:space="preserve">hand. </w:t>
      </w:r>
    </w:p>
    <w:p w14:paraId="2F709D5E" w14:textId="2A87D2EC" w:rsidR="00D96A24" w:rsidRPr="003F68BC" w:rsidRDefault="005B4A7D" w:rsidP="00D30899">
      <w:pPr>
        <w:spacing w:line="480" w:lineRule="auto"/>
        <w:ind w:firstLine="720"/>
        <w:jc w:val="both"/>
      </w:pPr>
      <w:r w:rsidRPr="003F68BC">
        <w:t>The</w:t>
      </w:r>
      <w:r w:rsidR="00D96A24" w:rsidRPr="003F68BC">
        <w:t xml:space="preserve"> second instance of </w:t>
      </w:r>
      <w:r w:rsidR="00D96A24" w:rsidRPr="003F68BC">
        <w:rPr>
          <w:i/>
        </w:rPr>
        <w:t>intra</w:t>
      </w:r>
      <w:r w:rsidR="00D96A24" w:rsidRPr="003F68BC">
        <w:t xml:space="preserve">-national jurisdictional concurrency relates to the existence of ‘free zone’ courts and arbitration centres within the UAE (see </w:t>
      </w:r>
      <w:proofErr w:type="spellStart"/>
      <w:r w:rsidR="00D96A24" w:rsidRPr="003F68BC">
        <w:t>Blanke</w:t>
      </w:r>
      <w:proofErr w:type="spellEnd"/>
      <w:r w:rsidR="00D96A24" w:rsidRPr="003F68BC">
        <w:t xml:space="preserve">, 2018).  Two such free zones within the </w:t>
      </w:r>
      <w:r w:rsidR="00D96A24" w:rsidRPr="003F68BC">
        <w:rPr>
          <w:i/>
        </w:rPr>
        <w:t>Emirate</w:t>
      </w:r>
      <w:r w:rsidR="00D96A24" w:rsidRPr="003F68BC">
        <w:t xml:space="preserve"> of Dubai</w:t>
      </w:r>
      <w:r w:rsidR="00D30899">
        <w:t>:</w:t>
      </w:r>
      <w:r w:rsidR="00D96A24" w:rsidRPr="003F68BC">
        <w:t xml:space="preserve"> the Dubai International Financial Courts (</w:t>
      </w:r>
      <w:r w:rsidR="00353F30">
        <w:t>‘</w:t>
      </w:r>
      <w:r w:rsidR="00D96A24" w:rsidRPr="003F68BC">
        <w:t>DIFC</w:t>
      </w:r>
      <w:r w:rsidR="00353F30">
        <w:t>’</w:t>
      </w:r>
      <w:r w:rsidR="00D96A24" w:rsidRPr="003F68BC">
        <w:t>) and the Dubai International Arbitration Centre (</w:t>
      </w:r>
      <w:r w:rsidR="00353F30">
        <w:t>‘</w:t>
      </w:r>
      <w:r w:rsidR="00D96A24" w:rsidRPr="003F68BC">
        <w:t>DIAC</w:t>
      </w:r>
      <w:r w:rsidR="00353F30">
        <w:t>’</w:t>
      </w:r>
      <w:r w:rsidR="00D96A24" w:rsidRPr="003F68BC">
        <w:t>), operate their own court systems</w:t>
      </w:r>
      <w:r w:rsidR="00D30899">
        <w:t>.</w:t>
      </w:r>
      <w:r w:rsidR="00D96A24" w:rsidRPr="003F68BC">
        <w:t xml:space="preserve"> </w:t>
      </w:r>
      <w:r w:rsidR="00D30899">
        <w:t>These</w:t>
      </w:r>
      <w:r w:rsidR="00D96A24" w:rsidRPr="003F68BC">
        <w:t xml:space="preserve"> are</w:t>
      </w:r>
      <w:r w:rsidR="00D30899">
        <w:t>,</w:t>
      </w:r>
      <w:r w:rsidR="00D96A24" w:rsidRPr="003F68BC">
        <w:t xml:space="preserve"> in effect, parallel to ‘</w:t>
      </w:r>
      <w:r w:rsidR="00D96A24" w:rsidRPr="003F68BC">
        <w:rPr>
          <w:i/>
        </w:rPr>
        <w:t xml:space="preserve">the </w:t>
      </w:r>
      <w:r w:rsidR="00D96A24" w:rsidRPr="00BD4D42">
        <w:rPr>
          <w:i/>
        </w:rPr>
        <w:t>Courts of Dubai</w:t>
      </w:r>
      <w:r w:rsidR="00D96A24" w:rsidRPr="00BD4D42">
        <w:t>’ (</w:t>
      </w:r>
      <w:proofErr w:type="spellStart"/>
      <w:r w:rsidR="00D96A24" w:rsidRPr="006C5AAF">
        <w:t>Kanakri</w:t>
      </w:r>
      <w:proofErr w:type="spellEnd"/>
      <w:r w:rsidR="00D96A24" w:rsidRPr="006C5AAF">
        <w:t xml:space="preserve"> and Massey, 2016;</w:t>
      </w:r>
      <w:r w:rsidR="00D96A24" w:rsidRPr="00BD4D42">
        <w:t xml:space="preserve"> </w:t>
      </w:r>
      <w:proofErr w:type="spellStart"/>
      <w:r w:rsidR="00D96A24" w:rsidRPr="00BD4D42">
        <w:t>Qouteschat</w:t>
      </w:r>
      <w:proofErr w:type="spellEnd"/>
      <w:r w:rsidR="00D96A24" w:rsidRPr="003F68BC">
        <w:t xml:space="preserve"> and </w:t>
      </w:r>
      <w:proofErr w:type="spellStart"/>
      <w:r w:rsidR="00D96A24" w:rsidRPr="003F68BC">
        <w:t>Alawamleh</w:t>
      </w:r>
      <w:proofErr w:type="spellEnd"/>
      <w:r w:rsidR="00D96A24" w:rsidRPr="003F68BC">
        <w:t>, 2017). By extension, they are also parallel to the ‘</w:t>
      </w:r>
      <w:r w:rsidR="00D96A24" w:rsidRPr="003F68BC">
        <w:rPr>
          <w:i/>
        </w:rPr>
        <w:t>Courts of the UAE</w:t>
      </w:r>
      <w:r w:rsidR="00D96A24" w:rsidRPr="003F68BC">
        <w:t xml:space="preserve">’. </w:t>
      </w:r>
      <w:r w:rsidR="00D96A24" w:rsidRPr="003F68BC">
        <w:rPr>
          <w:i/>
        </w:rPr>
        <w:t>Intra</w:t>
      </w:r>
      <w:r w:rsidR="00D96A24" w:rsidRPr="003F68BC">
        <w:t xml:space="preserve">-national jurisdictional concurrency is underpinned by statutory provisions (Ojiako, 2019a). For example, </w:t>
      </w:r>
      <w:r w:rsidR="00D96A24" w:rsidRPr="003F68BC">
        <w:rPr>
          <w:rFonts w:eastAsia="Calibri"/>
          <w:lang w:eastAsia="en-US"/>
        </w:rPr>
        <w:t xml:space="preserve">UAE national arbitration legislation </w:t>
      </w:r>
      <w:r w:rsidR="00D30899">
        <w:rPr>
          <w:rFonts w:eastAsia="Calibri"/>
          <w:lang w:eastAsia="en-US"/>
        </w:rPr>
        <w:t>is</w:t>
      </w:r>
      <w:r w:rsidR="00D96A24" w:rsidRPr="003F68BC">
        <w:rPr>
          <w:rFonts w:eastAsia="Calibri"/>
          <w:lang w:eastAsia="en-US"/>
        </w:rPr>
        <w:t xml:space="preserve"> not applicable to the free zone courts pursuant of UAE Federal Law No. 8 of 2004 regarding the Financial Free Zones. This law allows these ‘free zones’</w:t>
      </w:r>
      <w:r w:rsidR="00D96A24" w:rsidRPr="003F68BC">
        <w:rPr>
          <w:rStyle w:val="FootnoteReference"/>
          <w:rFonts w:eastAsia="Calibri"/>
          <w:lang w:eastAsia="en-US"/>
        </w:rPr>
        <w:footnoteReference w:id="9"/>
      </w:r>
      <w:r w:rsidR="00D96A24" w:rsidRPr="003F68BC">
        <w:rPr>
          <w:rFonts w:eastAsia="Calibri"/>
          <w:lang w:eastAsia="en-US"/>
        </w:rPr>
        <w:t xml:space="preserve"> to operate civil laws independent of UAE federal laws. This arrangement is possible as companies based in Free Zones are deemed (under UAE law – specifically UAE Federal Law No. 8 of 2004 Regarding The Financial Free Zones), as if they are operating offshore</w:t>
      </w:r>
      <w:r w:rsidR="00D30899">
        <w:rPr>
          <w:rFonts w:eastAsia="Calibri"/>
          <w:lang w:eastAsia="en-US"/>
        </w:rPr>
        <w:t>.</w:t>
      </w:r>
      <w:r w:rsidR="00D96A24" w:rsidRPr="003F68BC">
        <w:rPr>
          <w:rFonts w:eastAsia="Calibri"/>
          <w:lang w:eastAsia="en-US"/>
        </w:rPr>
        <w:t xml:space="preserve"> </w:t>
      </w:r>
      <w:r w:rsidR="00D30899">
        <w:rPr>
          <w:rFonts w:eastAsia="Calibri"/>
          <w:lang w:eastAsia="en-US"/>
        </w:rPr>
        <w:t xml:space="preserve">They </w:t>
      </w:r>
      <w:r w:rsidR="00D96A24" w:rsidRPr="003F68BC">
        <w:rPr>
          <w:rFonts w:eastAsia="Calibri"/>
          <w:lang w:eastAsia="en-US"/>
        </w:rPr>
        <w:t xml:space="preserve">are therefore not permitted to undertake any form of business within the ‘mainland’ of the UAE. If they wish to do so, then they must comply with all regulations governing the establishment of foreign businesses in the country. However, intra-national jurisdictional concurrency is manifest as </w:t>
      </w:r>
      <w:r w:rsidR="00D96A24" w:rsidRPr="003F68BC">
        <w:t>Article 7(2) of the Dubai Judicial Authority Law</w:t>
      </w:r>
      <w:r w:rsidR="006F7945">
        <w:t>. This</w:t>
      </w:r>
      <w:r w:rsidR="00D96A24" w:rsidRPr="003F68BC">
        <w:t xml:space="preserve"> empowers the DIFC to attach assets that are within the </w:t>
      </w:r>
      <w:r w:rsidR="00D96A24" w:rsidRPr="003F68BC">
        <w:rPr>
          <w:i/>
        </w:rPr>
        <w:t>Emirate</w:t>
      </w:r>
      <w:r w:rsidR="00D96A24" w:rsidRPr="003F68BC">
        <w:t xml:space="preserve"> of Dubai (and </w:t>
      </w:r>
      <w:r w:rsidR="00D96A24" w:rsidRPr="003F68BC">
        <w:lastRenderedPageBreak/>
        <w:t xml:space="preserve">not within DIFC territory). Thus, the DIFC court maintains separate but concurrent jurisdictions with, at the very least, ‘Courts of the </w:t>
      </w:r>
      <w:r w:rsidR="00D96A24" w:rsidRPr="003F68BC">
        <w:rPr>
          <w:i/>
        </w:rPr>
        <w:t>Emirate</w:t>
      </w:r>
      <w:r w:rsidR="00D96A24" w:rsidRPr="003F68BC">
        <w:t xml:space="preserve"> of Dubai’ if not ‘Courts of the UAE’. This concurrency can be described as one between federally constituted public courts in the UAE (‘Courts of the UAE’) on one side and on the other side, ‘UAE courts’ (which includes the entire range of non-federally constituted private</w:t>
      </w:r>
      <w:r w:rsidR="006F7945">
        <w:t>,</w:t>
      </w:r>
      <w:r w:rsidR="00D96A24" w:rsidRPr="003F68BC">
        <w:t xml:space="preserve"> courts inclusive of the free zone courts that exist in the UAE).</w:t>
      </w:r>
    </w:p>
    <w:p w14:paraId="0E51DD44" w14:textId="37B36088" w:rsidR="00D96A24" w:rsidRPr="003F68BC" w:rsidRDefault="00D96A24" w:rsidP="00D96A24">
      <w:pPr>
        <w:spacing w:line="480" w:lineRule="auto"/>
        <w:ind w:firstLine="720"/>
        <w:jc w:val="both"/>
      </w:pPr>
      <w:r w:rsidRPr="003F68BC">
        <w:t xml:space="preserve">Having </w:t>
      </w:r>
      <w:r w:rsidRPr="003F68BC">
        <w:rPr>
          <w:iCs/>
        </w:rPr>
        <w:t>now articulated the authoritative context of the study, i</w:t>
      </w:r>
      <w:r w:rsidRPr="003F68BC">
        <w:t>n the next section we draw upon empirical data to explore how jurisdictional concurrency impacts upon the finality, conclusive and binding</w:t>
      </w:r>
      <w:r w:rsidR="006F7945">
        <w:t xml:space="preserve"> characteristics of</w:t>
      </w:r>
      <w:r w:rsidRPr="003F68BC">
        <w:t xml:space="preserve"> arbitration</w:t>
      </w:r>
      <w:r w:rsidR="006F7945">
        <w:t xml:space="preserve"> proceedings</w:t>
      </w:r>
      <w:r w:rsidRPr="003F68BC">
        <w:t>.</w:t>
      </w:r>
    </w:p>
    <w:p w14:paraId="75A2436E" w14:textId="77777777" w:rsidR="00D96A24" w:rsidRPr="003F68BC" w:rsidRDefault="00D96A24" w:rsidP="00D96A24">
      <w:pPr>
        <w:spacing w:line="480" w:lineRule="auto"/>
        <w:jc w:val="both"/>
        <w:rPr>
          <w:iCs/>
        </w:rPr>
      </w:pPr>
    </w:p>
    <w:p w14:paraId="6D01C8F8" w14:textId="77777777" w:rsidR="00D96A24" w:rsidRPr="003F68BC" w:rsidRDefault="00D96A24" w:rsidP="00D96A24">
      <w:pPr>
        <w:spacing w:line="480" w:lineRule="auto"/>
        <w:jc w:val="both"/>
        <w:rPr>
          <w:rStyle w:val="Heading3Char"/>
          <w:b w:val="0"/>
          <w:iCs/>
        </w:rPr>
      </w:pPr>
      <w:r w:rsidRPr="003F68BC">
        <w:rPr>
          <w:b/>
        </w:rPr>
        <w:t>4. The Study</w:t>
      </w:r>
    </w:p>
    <w:p w14:paraId="7887D597" w14:textId="77777777" w:rsidR="00D96A24" w:rsidRPr="003F68BC" w:rsidRDefault="00D96A24" w:rsidP="00D96A24">
      <w:pPr>
        <w:spacing w:line="480" w:lineRule="auto"/>
        <w:jc w:val="both"/>
        <w:rPr>
          <w:i/>
        </w:rPr>
      </w:pPr>
      <w:r w:rsidRPr="003F68BC">
        <w:rPr>
          <w:i/>
        </w:rPr>
        <w:t xml:space="preserve">4.1 Judicial opinion coding </w:t>
      </w:r>
    </w:p>
    <w:p w14:paraId="0E19F9AB" w14:textId="65EEB5A3" w:rsidR="00D96A24" w:rsidRPr="003F68BC" w:rsidRDefault="00D96A24" w:rsidP="00D96A24">
      <w:pPr>
        <w:spacing w:line="480" w:lineRule="auto"/>
        <w:jc w:val="both"/>
      </w:pPr>
      <w:r w:rsidRPr="003F68BC">
        <w:t>Responding to numerous calls for increased empirical research based upon real-world data in the diverse fields of project management (operations) (</w:t>
      </w:r>
      <w:proofErr w:type="spellStart"/>
      <w:r w:rsidRPr="003F68BC">
        <w:t>Filippini</w:t>
      </w:r>
      <w:proofErr w:type="spellEnd"/>
      <w:r w:rsidRPr="003F68BC">
        <w:t xml:space="preserve">, 1997), legal studies (Bell, 2016) </w:t>
      </w:r>
      <w:r w:rsidR="006F7945">
        <w:t>(</w:t>
      </w:r>
      <w:r w:rsidRPr="003F68BC">
        <w:t>and more specifically, arbitration (</w:t>
      </w:r>
      <w:proofErr w:type="spellStart"/>
      <w:r w:rsidRPr="003F68BC">
        <w:t>Drahozal</w:t>
      </w:r>
      <w:proofErr w:type="spellEnd"/>
      <w:r w:rsidRPr="003F68BC">
        <w:t>, 2016a,b)</w:t>
      </w:r>
      <w:r w:rsidR="006F7945">
        <w:t>)</w:t>
      </w:r>
      <w:r w:rsidRPr="003F68BC">
        <w:t xml:space="preserve">, </w:t>
      </w:r>
      <w:r w:rsidR="006F7945">
        <w:t xml:space="preserve">what is variously termed </w:t>
      </w:r>
      <w:r w:rsidRPr="003F68BC">
        <w:t xml:space="preserve">case content analysis or judicial opinion coding was employed. </w:t>
      </w:r>
      <w:proofErr w:type="spellStart"/>
      <w:r w:rsidRPr="003F68BC">
        <w:t>Heise</w:t>
      </w:r>
      <w:proofErr w:type="spellEnd"/>
      <w:r w:rsidRPr="003F68BC">
        <w:t xml:space="preserve"> (1999) identifies case content analysis or judicial opinion coding as a form of empirical legal research. In utilising judicial case content analysis, this study responds to various calls for a need to move away from legal research dominated by anecdotal and doctrinal work.</w:t>
      </w:r>
    </w:p>
    <w:p w14:paraId="158BD9AF" w14:textId="2B9C720E" w:rsidR="00D96A24" w:rsidRPr="003F68BC" w:rsidRDefault="00D96A24" w:rsidP="004A08A1">
      <w:pPr>
        <w:spacing w:line="480" w:lineRule="auto"/>
        <w:ind w:firstLine="720"/>
        <w:jc w:val="both"/>
      </w:pPr>
      <w:r w:rsidRPr="003F68BC">
        <w:t>Case content analysis is a popular and flexible method of social research</w:t>
      </w:r>
      <w:r w:rsidR="00D07A20">
        <w:t xml:space="preserve"> </w:t>
      </w:r>
      <w:r w:rsidR="00D07A20" w:rsidRPr="003F68BC">
        <w:t>(Webley, 2010</w:t>
      </w:r>
      <w:proofErr w:type="gramStart"/>
      <w:r w:rsidR="00D07A20" w:rsidRPr="003F68BC">
        <w:t xml:space="preserve">) </w:t>
      </w:r>
      <w:r w:rsidRPr="003F68BC">
        <w:t xml:space="preserve"> </w:t>
      </w:r>
      <w:r w:rsidR="00D07A20">
        <w:t>involving</w:t>
      </w:r>
      <w:proofErr w:type="gramEnd"/>
      <w:r w:rsidRPr="003F68BC">
        <w:t xml:space="preserve"> textual analysis of </w:t>
      </w:r>
      <w:r w:rsidRPr="003F68BC">
        <w:rPr>
          <w:i/>
        </w:rPr>
        <w:t>written</w:t>
      </w:r>
      <w:r w:rsidRPr="003F68BC">
        <w:t xml:space="preserve"> judicial opinions (see Sisk et al., 1998). Its flexibility </w:t>
      </w:r>
      <w:r w:rsidR="00D07A20">
        <w:t>derives from the manner in</w:t>
      </w:r>
      <w:r w:rsidRPr="003F68BC">
        <w:t xml:space="preserve"> which codes are selected and developed</w:t>
      </w:r>
      <w:r w:rsidR="00D07A20">
        <w:t>. More specifically, this flexibility arises with</w:t>
      </w:r>
      <w:r w:rsidRPr="003F68BC">
        <w:t xml:space="preserve"> </w:t>
      </w:r>
      <w:r w:rsidR="00D07A20">
        <w:t xml:space="preserve">  </w:t>
      </w:r>
      <w:r w:rsidRPr="003F68BC">
        <w:t>discretion</w:t>
      </w:r>
      <w:r w:rsidR="00D07A20">
        <w:t>ary</w:t>
      </w:r>
      <w:r w:rsidRPr="003F68BC">
        <w:t xml:space="preserve"> </w:t>
      </w:r>
      <w:r w:rsidR="00D07A20">
        <w:t>leeway in the</w:t>
      </w:r>
      <w:r w:rsidRPr="003F68BC">
        <w:t xml:space="preserve"> interpretation</w:t>
      </w:r>
      <w:r w:rsidR="00D07A20">
        <w:t>s</w:t>
      </w:r>
      <w:r w:rsidRPr="003F68BC">
        <w:t xml:space="preserve"> and judgement</w:t>
      </w:r>
      <w:r w:rsidR="00D07A20">
        <w:t>s</w:t>
      </w:r>
      <w:r w:rsidRPr="003F68BC">
        <w:t xml:space="preserve"> of the specific researcher </w:t>
      </w:r>
      <w:r w:rsidRPr="003F68BC">
        <w:lastRenderedPageBreak/>
        <w:t xml:space="preserve">undertaking the study. </w:t>
      </w:r>
      <w:r w:rsidRPr="003F68BC">
        <w:rPr>
          <w:rFonts w:eastAsia="Calibri"/>
        </w:rPr>
        <w:t>Such text may include transcripts from interviews or legal cases (Webley, 2010)</w:t>
      </w:r>
      <w:r w:rsidR="004A08A1">
        <w:rPr>
          <w:rFonts w:eastAsia="Calibri"/>
        </w:rPr>
        <w:t xml:space="preserve"> and </w:t>
      </w:r>
      <w:r w:rsidRPr="003F68BC">
        <w:t>involves separating text into short units of content (</w:t>
      </w:r>
      <w:proofErr w:type="spellStart"/>
      <w:r w:rsidRPr="003F68BC">
        <w:t>Vaismoradi</w:t>
      </w:r>
      <w:proofErr w:type="spellEnd"/>
      <w:r w:rsidRPr="003F68BC">
        <w:t xml:space="preserve"> et al., 2013) and then subjecting such content to systematic descriptive coding (Morgan, 1993). </w:t>
      </w:r>
      <w:r w:rsidRPr="003F68BC">
        <w:rPr>
          <w:rFonts w:eastAsia="Calibri"/>
        </w:rPr>
        <w:t xml:space="preserve">Such coding </w:t>
      </w:r>
      <w:r w:rsidRPr="003F68BC">
        <w:t xml:space="preserve">and categorisation will identify not only trends in used words, but also their frequency and relationships. The popularity of case content analysis derives from its wide applicability and use across a broad range of subject areas of law (Hall and Wright, 2008). Drawing from Hall and Wright (2008), judicial case content analysis </w:t>
      </w:r>
      <w:r w:rsidR="00D07A20">
        <w:t>can</w:t>
      </w:r>
      <w:r w:rsidRPr="003F68BC">
        <w:t xml:space="preserve"> involve the following six steps</w:t>
      </w:r>
      <w:r w:rsidR="00D07A20">
        <w:t>:</w:t>
      </w:r>
      <w:r w:rsidRPr="003F68BC">
        <w:t xml:space="preserve"> (i) identification of case selection criteria, (ii) searches within various databases (see Shapiro, 2008; </w:t>
      </w:r>
      <w:proofErr w:type="spellStart"/>
      <w:r w:rsidRPr="003F68BC">
        <w:t>Befort</w:t>
      </w:r>
      <w:proofErr w:type="spellEnd"/>
      <w:r w:rsidRPr="003F68BC">
        <w:t>, 2013)</w:t>
      </w:r>
      <w:r w:rsidR="008F33D6">
        <w:t>,</w:t>
      </w:r>
      <w:r w:rsidRPr="003F68BC">
        <w:t xml:space="preserve"> (iii) identification of relevant</w:t>
      </w:r>
      <w:r w:rsidR="008F33D6">
        <w:t xml:space="preserve"> (and reproducible)</w:t>
      </w:r>
      <w:r w:rsidRPr="003F68BC">
        <w:t xml:space="preserve"> cases that fit the selection criteria, (iv) collating the </w:t>
      </w:r>
      <w:r w:rsidRPr="003F68BC">
        <w:rPr>
          <w:i/>
        </w:rPr>
        <w:t>written</w:t>
      </w:r>
      <w:r w:rsidRPr="003F68BC">
        <w:t xml:space="preserve"> judgements that fit selection criteria, (v) systematic analysis of the selected cases and (vi) drawing meaning from the coding (via analysis). </w:t>
      </w:r>
    </w:p>
    <w:p w14:paraId="312AC9C5" w14:textId="77777777" w:rsidR="00D96A24" w:rsidRPr="003F68BC" w:rsidRDefault="00D96A24" w:rsidP="00D96A24">
      <w:pPr>
        <w:spacing w:line="480" w:lineRule="auto"/>
        <w:jc w:val="both"/>
      </w:pPr>
    </w:p>
    <w:p w14:paraId="518B5113" w14:textId="77777777" w:rsidR="00D96A24" w:rsidRPr="003F68BC" w:rsidRDefault="00D96A24" w:rsidP="00D96A24">
      <w:pPr>
        <w:spacing w:line="480" w:lineRule="auto"/>
        <w:jc w:val="both"/>
        <w:rPr>
          <w:i/>
        </w:rPr>
      </w:pPr>
      <w:r w:rsidRPr="003F68BC">
        <w:rPr>
          <w:i/>
        </w:rPr>
        <w:t>4.2 The study</w:t>
      </w:r>
    </w:p>
    <w:p w14:paraId="68B21CD1" w14:textId="77777777" w:rsidR="00D96A24" w:rsidRPr="003F68BC" w:rsidRDefault="00D96A24" w:rsidP="00D96A24">
      <w:pPr>
        <w:spacing w:line="480" w:lineRule="auto"/>
        <w:jc w:val="both"/>
        <w:rPr>
          <w:i/>
        </w:rPr>
      </w:pPr>
      <w:r w:rsidRPr="003F68BC">
        <w:rPr>
          <w:i/>
        </w:rPr>
        <w:t xml:space="preserve">4.2.1 Identification of case selection criteria </w:t>
      </w:r>
    </w:p>
    <w:p w14:paraId="140872BE" w14:textId="77777777" w:rsidR="00D96A24" w:rsidRPr="003F68BC" w:rsidRDefault="00D96A24" w:rsidP="00D96A24">
      <w:pPr>
        <w:spacing w:line="480" w:lineRule="auto"/>
        <w:jc w:val="both"/>
      </w:pPr>
      <w:r w:rsidRPr="003F68BC">
        <w:t xml:space="preserve">The first step in the case content analysis involved the identification of case selection criteria. The scope of review was generally arbitration cases heard in the various ‘Courts of the UAE’ and ‘UAE Courts’. </w:t>
      </w:r>
    </w:p>
    <w:p w14:paraId="23269D52" w14:textId="77777777" w:rsidR="00D96A24" w:rsidRPr="003F68BC" w:rsidRDefault="00D96A24" w:rsidP="00D96A24">
      <w:pPr>
        <w:spacing w:line="480" w:lineRule="auto"/>
        <w:jc w:val="both"/>
      </w:pPr>
    </w:p>
    <w:p w14:paraId="1B6E1268" w14:textId="77777777" w:rsidR="00D96A24" w:rsidRPr="003F68BC" w:rsidRDefault="00D96A24" w:rsidP="00D96A24">
      <w:pPr>
        <w:spacing w:line="480" w:lineRule="auto"/>
        <w:jc w:val="both"/>
        <w:rPr>
          <w:i/>
        </w:rPr>
      </w:pPr>
      <w:r w:rsidRPr="003F68BC">
        <w:rPr>
          <w:i/>
        </w:rPr>
        <w:t>4.2.2 ‘Courts of the UAE’ database search</w:t>
      </w:r>
    </w:p>
    <w:p w14:paraId="68C4DB6C" w14:textId="6E739C5A" w:rsidR="00D96A24" w:rsidRPr="003F68BC" w:rsidRDefault="00D96A24" w:rsidP="00D96A24">
      <w:pPr>
        <w:spacing w:line="480" w:lineRule="auto"/>
        <w:jc w:val="both"/>
      </w:pPr>
      <w:r w:rsidRPr="003F68BC">
        <w:t>‘Courts of the UAE’ searches were conducted against all UAE federal courts in all seven constituent elements of the UAE. However, these were not found to be particularly beneficial</w:t>
      </w:r>
      <w:r w:rsidR="000C4AE0">
        <w:t xml:space="preserve">. This is </w:t>
      </w:r>
      <w:r w:rsidR="008F33D6">
        <w:t xml:space="preserve">partly </w:t>
      </w:r>
      <w:r w:rsidR="000C4AE0">
        <w:t>beca</w:t>
      </w:r>
      <w:r w:rsidR="008F33D6">
        <w:t>u</w:t>
      </w:r>
      <w:r w:rsidR="000C4AE0">
        <w:t>se</w:t>
      </w:r>
      <w:r w:rsidRPr="003F68BC">
        <w:t xml:space="preserve"> in some instances, cases were </w:t>
      </w:r>
      <w:r w:rsidR="000C4AE0">
        <w:t xml:space="preserve">only being </w:t>
      </w:r>
      <w:r w:rsidRPr="003F68BC">
        <w:t xml:space="preserve">reported in Arabic language which the main researcher was unfamiliar with (this was the case for the Dubai Courts). In other instances, </w:t>
      </w:r>
      <w:r w:rsidRPr="003F68BC">
        <w:lastRenderedPageBreak/>
        <w:t xml:space="preserve">the web portals did not allow for general searches where the case reference number was unknown (such as the Abu Dhabi, Ras al Khaimah and Ajman Courts). No web portal seemed to exist for the courts of Umm al Quwain, Fujairah or Sharjah. ‘Courts of the UAE’ searches were conducted over three discrete periods (in February 2018, September 2018 and February 2019) in order to reduce the possibility of duplicate cases being identified. </w:t>
      </w:r>
    </w:p>
    <w:p w14:paraId="6322AE8D" w14:textId="77777777" w:rsidR="00D96A24" w:rsidRPr="003F68BC" w:rsidRDefault="00D96A24" w:rsidP="00D96A24">
      <w:pPr>
        <w:spacing w:line="480" w:lineRule="auto"/>
        <w:ind w:firstLine="720"/>
        <w:jc w:val="both"/>
      </w:pPr>
      <w:r w:rsidRPr="003F68BC">
        <w:t xml:space="preserve">Having exhausted searches on the portals of the UAE federal courts, additional searches were undertaken in a number of legal search engines/databases including </w:t>
      </w:r>
      <w:r w:rsidRPr="003F68BC">
        <w:rPr>
          <w:i/>
        </w:rPr>
        <w:t>Kluwer Arbitration</w:t>
      </w:r>
      <w:r w:rsidRPr="003F68BC">
        <w:t xml:space="preserve">, </w:t>
      </w:r>
      <w:r w:rsidRPr="003F68BC">
        <w:rPr>
          <w:i/>
        </w:rPr>
        <w:t>Lexis Middle East Law</w:t>
      </w:r>
      <w:r w:rsidRPr="003F68BC">
        <w:t xml:space="preserve">, </w:t>
      </w:r>
      <w:r w:rsidRPr="003F68BC">
        <w:rPr>
          <w:i/>
        </w:rPr>
        <w:t>Westlaw</w:t>
      </w:r>
      <w:r w:rsidRPr="003F68BC">
        <w:t xml:space="preserve"> and </w:t>
      </w:r>
      <w:r w:rsidRPr="003F68BC">
        <w:rPr>
          <w:i/>
        </w:rPr>
        <w:t>Westlaw Gulf</w:t>
      </w:r>
      <w:r w:rsidRPr="003F68BC">
        <w:t xml:space="preserve">. Only </w:t>
      </w:r>
      <w:proofErr w:type="spellStart"/>
      <w:r w:rsidRPr="003F68BC">
        <w:rPr>
          <w:i/>
        </w:rPr>
        <w:t>WestlawGulf</w:t>
      </w:r>
      <w:proofErr w:type="spellEnd"/>
      <w:r w:rsidRPr="003F68BC">
        <w:t xml:space="preserve"> appeared to contain a comprehensive database of relevant cases.</w:t>
      </w:r>
    </w:p>
    <w:p w14:paraId="448F3BC7" w14:textId="05CBB2A8" w:rsidR="00D96A24" w:rsidRPr="003F68BC" w:rsidRDefault="00D96A24" w:rsidP="00D96A24">
      <w:pPr>
        <w:spacing w:line="480" w:lineRule="auto"/>
        <w:ind w:firstLine="720"/>
        <w:jc w:val="both"/>
      </w:pPr>
      <w:r w:rsidRPr="003F68BC">
        <w:t>Noting that the objective of the search was to capture the widest body of listed cases, suffixes such as ‘</w:t>
      </w:r>
      <w:r w:rsidRPr="003F68BC">
        <w:rPr>
          <w:i/>
        </w:rPr>
        <w:t>UAE</w:t>
      </w:r>
      <w:r w:rsidRPr="003F68BC">
        <w:t>’, ‘</w:t>
      </w:r>
      <w:r w:rsidRPr="003F68BC">
        <w:rPr>
          <w:i/>
        </w:rPr>
        <w:t>Dubai’</w:t>
      </w:r>
      <w:r w:rsidRPr="003F68BC">
        <w:t xml:space="preserve"> and ‘</w:t>
      </w:r>
      <w:r w:rsidRPr="003F68BC">
        <w:rPr>
          <w:i/>
        </w:rPr>
        <w:t>Abu Dhabi’</w:t>
      </w:r>
      <w:r w:rsidRPr="003F68BC">
        <w:t xml:space="preserve"> were not utilised in the search against the three keyword strings ‘</w:t>
      </w:r>
      <w:proofErr w:type="spellStart"/>
      <w:r w:rsidRPr="003F68BC">
        <w:rPr>
          <w:i/>
        </w:rPr>
        <w:t>arbi</w:t>
      </w:r>
      <w:proofErr w:type="spellEnd"/>
      <w:r w:rsidRPr="003F68BC">
        <w:t>*’, ‘</w:t>
      </w:r>
      <w:proofErr w:type="spellStart"/>
      <w:r w:rsidRPr="003F68BC">
        <w:rPr>
          <w:i/>
        </w:rPr>
        <w:t>arbitr</w:t>
      </w:r>
      <w:proofErr w:type="spellEnd"/>
      <w:r w:rsidRPr="003F68BC">
        <w:t>*’, and ‘</w:t>
      </w:r>
      <w:r w:rsidRPr="003F68BC">
        <w:rPr>
          <w:i/>
        </w:rPr>
        <w:t>arbitration’</w:t>
      </w:r>
      <w:r w:rsidRPr="003F68BC">
        <w:t xml:space="preserve">. Another reason for not including suffixes in the </w:t>
      </w:r>
      <w:proofErr w:type="spellStart"/>
      <w:r w:rsidRPr="003F68BC">
        <w:rPr>
          <w:i/>
        </w:rPr>
        <w:t>WestlawGulf</w:t>
      </w:r>
      <w:proofErr w:type="spellEnd"/>
      <w:r w:rsidRPr="003F68BC">
        <w:t xml:space="preserve"> search related to different English spellings being attributed to the constituent </w:t>
      </w:r>
      <w:r w:rsidRPr="003F68BC">
        <w:rPr>
          <w:i/>
        </w:rPr>
        <w:t>Emirate</w:t>
      </w:r>
      <w:r w:rsidRPr="003F68BC">
        <w:t xml:space="preserve"> of the UAE. For example, arguably </w:t>
      </w:r>
      <w:r w:rsidRPr="003F68BC">
        <w:rPr>
          <w:rtl/>
        </w:rPr>
        <w:t>أبو ظبي</w:t>
      </w:r>
      <w:r w:rsidRPr="003F68BC">
        <w:rPr>
          <w:cs/>
        </w:rPr>
        <w:t>‎</w:t>
      </w:r>
      <w:r w:rsidRPr="003F68BC">
        <w:rPr>
          <w:rtl/>
          <w:cs/>
        </w:rPr>
        <w:t xml:space="preserve"> </w:t>
      </w:r>
      <w:r w:rsidRPr="003F68BC">
        <w:rPr>
          <w:i/>
          <w:iCs/>
        </w:rPr>
        <w:t>(Abu Dhabi)</w:t>
      </w:r>
      <w:r w:rsidRPr="003F68BC">
        <w:rPr>
          <w:iCs/>
        </w:rPr>
        <w:t xml:space="preserve"> could be reported as ‘</w:t>
      </w:r>
      <w:r w:rsidRPr="003F68BC">
        <w:rPr>
          <w:i/>
          <w:iCs/>
        </w:rPr>
        <w:t>Abu Dhabi’</w:t>
      </w:r>
      <w:r w:rsidRPr="003F68BC">
        <w:rPr>
          <w:iCs/>
        </w:rPr>
        <w:t>, ‘</w:t>
      </w:r>
      <w:proofErr w:type="spellStart"/>
      <w:r w:rsidRPr="003F68BC">
        <w:rPr>
          <w:i/>
          <w:iCs/>
        </w:rPr>
        <w:t>AbuDhabi</w:t>
      </w:r>
      <w:proofErr w:type="spellEnd"/>
      <w:r w:rsidRPr="003F68BC">
        <w:rPr>
          <w:iCs/>
        </w:rPr>
        <w:t>’ or ‘</w:t>
      </w:r>
      <w:r w:rsidRPr="003F68BC">
        <w:rPr>
          <w:i/>
          <w:iCs/>
        </w:rPr>
        <w:t>Abu-Dhabi’</w:t>
      </w:r>
      <w:r w:rsidRPr="003F68BC">
        <w:rPr>
          <w:iCs/>
        </w:rPr>
        <w:t xml:space="preserve">. The initial search in </w:t>
      </w:r>
      <w:proofErr w:type="spellStart"/>
      <w:r w:rsidRPr="003F68BC">
        <w:rPr>
          <w:i/>
        </w:rPr>
        <w:t>WestlawGulf</w:t>
      </w:r>
      <w:proofErr w:type="spellEnd"/>
      <w:r w:rsidRPr="003F68BC">
        <w:t xml:space="preserve"> resulted in 374 listed court decisions of which 210 were drawn from the United Arab Emirates (UAE). The rest being from other Gulf countries such as the Kingdom of Saudi Arabia and the Sultanate of Oman. A further review of the 210 cases pointed to 34 duplicate case reports</w:t>
      </w:r>
      <w:r w:rsidR="008F33D6">
        <w:t>,</w:t>
      </w:r>
      <w:r w:rsidRPr="003F68BC">
        <w:t xml:space="preserve"> leaving the total number of useable reported UAE cases as 176. Included in this list of 176 cases obtained from </w:t>
      </w:r>
      <w:proofErr w:type="spellStart"/>
      <w:r w:rsidRPr="003F68BC">
        <w:rPr>
          <w:i/>
        </w:rPr>
        <w:t>WestlawGulf</w:t>
      </w:r>
      <w:proofErr w:type="spellEnd"/>
      <w:r w:rsidRPr="003F68BC">
        <w:t xml:space="preserve"> were 6 cases drawn from the Judicial Authority of the Dubai International Financial Centre. Apart from the advantage that the obtained cases had already been transcribed from Arabic (</w:t>
      </w:r>
      <w:r w:rsidRPr="003F68BC">
        <w:rPr>
          <w:rtl/>
          <w:lang w:bidi="ar-AE"/>
        </w:rPr>
        <w:t xml:space="preserve">اللغة العربية </w:t>
      </w:r>
      <w:r w:rsidRPr="003F68BC">
        <w:t xml:space="preserve">) into English, drawing from </w:t>
      </w:r>
      <w:proofErr w:type="spellStart"/>
      <w:r w:rsidRPr="003F68BC">
        <w:t>Befort</w:t>
      </w:r>
      <w:proofErr w:type="spellEnd"/>
      <w:r w:rsidRPr="003F68BC">
        <w:t xml:space="preserve"> (2013), it is reasonable to argue that the inclusion of these cases in </w:t>
      </w:r>
      <w:r w:rsidRPr="003F68BC">
        <w:lastRenderedPageBreak/>
        <w:t xml:space="preserve">the </w:t>
      </w:r>
      <w:proofErr w:type="spellStart"/>
      <w:r w:rsidRPr="003F68BC">
        <w:rPr>
          <w:i/>
        </w:rPr>
        <w:t>WestlawGulf</w:t>
      </w:r>
      <w:proofErr w:type="spellEnd"/>
      <w:r w:rsidRPr="003F68BC">
        <w:t xml:space="preserve"> search engines/database is indicative </w:t>
      </w:r>
      <w:r w:rsidR="008F33D6">
        <w:t>of</w:t>
      </w:r>
      <w:r w:rsidRPr="003F68BC">
        <w:t xml:space="preserve"> legal commentators consider</w:t>
      </w:r>
      <w:r w:rsidR="008F33D6">
        <w:t>ing</w:t>
      </w:r>
      <w:r w:rsidRPr="003F68BC">
        <w:t xml:space="preserve"> the specific cases to be of significance.</w:t>
      </w:r>
    </w:p>
    <w:p w14:paraId="45F511FE" w14:textId="77777777" w:rsidR="00D96A24" w:rsidRPr="003F68BC" w:rsidRDefault="00D96A24" w:rsidP="00D96A24">
      <w:pPr>
        <w:spacing w:line="480" w:lineRule="auto"/>
        <w:jc w:val="both"/>
        <w:rPr>
          <w:i/>
        </w:rPr>
      </w:pPr>
    </w:p>
    <w:p w14:paraId="65C008CD" w14:textId="33D5522A" w:rsidR="00D96A24" w:rsidRPr="003F68BC" w:rsidRDefault="00D96A24" w:rsidP="00D96A24">
      <w:pPr>
        <w:spacing w:line="480" w:lineRule="auto"/>
        <w:jc w:val="both"/>
        <w:rPr>
          <w:i/>
        </w:rPr>
      </w:pPr>
      <w:r w:rsidRPr="003F68BC">
        <w:rPr>
          <w:i/>
        </w:rPr>
        <w:t>4.2.3 ‘UAE Courts’ database search for ‘</w:t>
      </w:r>
      <w:r w:rsidR="004340B0" w:rsidRPr="003F68BC">
        <w:rPr>
          <w:i/>
        </w:rPr>
        <w:t>Parallel</w:t>
      </w:r>
      <w:r w:rsidRPr="003F68BC">
        <w:rPr>
          <w:i/>
        </w:rPr>
        <w:t xml:space="preserve"> Courts’</w:t>
      </w:r>
    </w:p>
    <w:p w14:paraId="131E7DE9" w14:textId="37D7A7C5" w:rsidR="00D96A24" w:rsidRPr="003F68BC" w:rsidRDefault="00D96A24" w:rsidP="00D96A24">
      <w:pPr>
        <w:spacing w:line="480" w:lineRule="auto"/>
        <w:jc w:val="both"/>
        <w:rPr>
          <w:b/>
          <w:bCs/>
          <w:i/>
          <w:iCs/>
          <w:sz w:val="26"/>
          <w:szCs w:val="26"/>
        </w:rPr>
      </w:pPr>
      <w:r w:rsidRPr="003F68BC">
        <w:t xml:space="preserve">‘Parallel’ court searches were then conducted on the online website of the </w:t>
      </w:r>
      <w:r w:rsidRPr="003F68BC">
        <w:rPr>
          <w:i/>
        </w:rPr>
        <w:t xml:space="preserve">Judicial Authority of the Dubai International Financial Centre (DIFC). </w:t>
      </w:r>
      <w:r w:rsidRPr="003F68BC">
        <w:t>As in the case of the ‘Courts of the UAE’ searches, searches were conducted over three discrete periods (in February 2018, September 2018 and February 2019). Searches were undertaken using five keyword strings ‘</w:t>
      </w:r>
      <w:proofErr w:type="spellStart"/>
      <w:r w:rsidRPr="003F68BC">
        <w:rPr>
          <w:i/>
        </w:rPr>
        <w:t>arbi</w:t>
      </w:r>
      <w:proofErr w:type="spellEnd"/>
      <w:r w:rsidRPr="003F68BC">
        <w:t>*’, ‘</w:t>
      </w:r>
      <w:proofErr w:type="spellStart"/>
      <w:r w:rsidRPr="003F68BC">
        <w:rPr>
          <w:i/>
        </w:rPr>
        <w:t>arbitr</w:t>
      </w:r>
      <w:proofErr w:type="spellEnd"/>
      <w:r w:rsidRPr="003F68BC">
        <w:t>*’, ‘</w:t>
      </w:r>
      <w:r w:rsidRPr="003F68BC">
        <w:rPr>
          <w:i/>
        </w:rPr>
        <w:t>arbitration’</w:t>
      </w:r>
      <w:r w:rsidRPr="003F68BC">
        <w:t>, ‘</w:t>
      </w:r>
      <w:r w:rsidRPr="003F68BC">
        <w:rPr>
          <w:i/>
        </w:rPr>
        <w:t>public order’</w:t>
      </w:r>
      <w:r w:rsidRPr="003F68BC">
        <w:t xml:space="preserve"> and ‘</w:t>
      </w:r>
      <w:r w:rsidRPr="003F68BC">
        <w:rPr>
          <w:i/>
        </w:rPr>
        <w:t>public policy’</w:t>
      </w:r>
      <w:r w:rsidRPr="003F68BC">
        <w:t xml:space="preserve">. A total of 53 cases were identified. Searches were conducted against other ‘Parallel Courts’ such as </w:t>
      </w:r>
      <w:r w:rsidR="00353F30" w:rsidRPr="003F68BC">
        <w:t>Dubai International Arbitration Centre (</w:t>
      </w:r>
      <w:r w:rsidR="00353F30">
        <w:t>‘</w:t>
      </w:r>
      <w:r w:rsidR="00353F30" w:rsidRPr="003F68BC">
        <w:t>DIAC</w:t>
      </w:r>
      <w:r w:rsidR="00353F30">
        <w:t>’</w:t>
      </w:r>
      <w:r w:rsidR="00353F30" w:rsidRPr="003F68BC">
        <w:t>)</w:t>
      </w:r>
      <w:r w:rsidRPr="003F68BC">
        <w:t xml:space="preserve">, </w:t>
      </w:r>
      <w:r w:rsidR="008574E6" w:rsidRPr="008574E6">
        <w:t>Abu Dhabi Commercial Conciliation and Arbitration Centre</w:t>
      </w:r>
      <w:r w:rsidR="008574E6">
        <w:t xml:space="preserve"> (‘</w:t>
      </w:r>
      <w:r w:rsidRPr="003F68BC">
        <w:t>ADCCAC</w:t>
      </w:r>
      <w:r w:rsidR="008574E6">
        <w:t>’</w:t>
      </w:r>
      <w:r w:rsidR="00353F30">
        <w:t>)</w:t>
      </w:r>
      <w:r w:rsidRPr="003F68BC">
        <w:t xml:space="preserve"> and </w:t>
      </w:r>
      <w:r w:rsidR="008F33D6">
        <w:t xml:space="preserve">(in </w:t>
      </w:r>
      <w:r w:rsidR="009A4EBC">
        <w:t>Sharjah</w:t>
      </w:r>
      <w:r w:rsidR="008F33D6">
        <w:t>)</w:t>
      </w:r>
      <w:r w:rsidR="009A4EBC">
        <w:t xml:space="preserve"> </w:t>
      </w:r>
      <w:r w:rsidR="009A4EBC" w:rsidRPr="009A4EBC">
        <w:t>The International Islamic Centre for Reconciliation</w:t>
      </w:r>
      <w:r w:rsidR="009A4EBC">
        <w:t xml:space="preserve"> (‘</w:t>
      </w:r>
      <w:r w:rsidRPr="003F68BC">
        <w:t>IICRA</w:t>
      </w:r>
      <w:r w:rsidR="009A4EBC">
        <w:t>’</w:t>
      </w:r>
      <w:r w:rsidR="00353F30">
        <w:t>)</w:t>
      </w:r>
      <w:r w:rsidR="008F33D6">
        <w:t>.</w:t>
      </w:r>
      <w:r w:rsidRPr="003F68BC">
        <w:t xml:space="preserve"> </w:t>
      </w:r>
      <w:r w:rsidR="008F33D6">
        <w:t>However,</w:t>
      </w:r>
      <w:r w:rsidRPr="003F68BC">
        <w:t xml:space="preserve"> their websites did not appear to link to reported cases.</w:t>
      </w:r>
      <w:r w:rsidRPr="003F68BC" w:rsidDel="00156C21">
        <w:t xml:space="preserve"> </w:t>
      </w:r>
    </w:p>
    <w:p w14:paraId="13D11A88" w14:textId="77777777" w:rsidR="00D96A24" w:rsidRPr="003F68BC" w:rsidRDefault="00D96A24" w:rsidP="00D96A24">
      <w:pPr>
        <w:spacing w:line="480" w:lineRule="auto"/>
        <w:jc w:val="both"/>
      </w:pPr>
    </w:p>
    <w:p w14:paraId="57F38070" w14:textId="77777777" w:rsidR="00D96A24" w:rsidRPr="003F68BC" w:rsidRDefault="00D96A24" w:rsidP="00D96A24">
      <w:pPr>
        <w:spacing w:line="480" w:lineRule="auto"/>
        <w:jc w:val="both"/>
        <w:rPr>
          <w:i/>
        </w:rPr>
      </w:pPr>
      <w:r w:rsidRPr="003F68BC">
        <w:rPr>
          <w:i/>
        </w:rPr>
        <w:t>4.2.4 Identification of relevant cases that fit the selection criteria and collation</w:t>
      </w:r>
    </w:p>
    <w:p w14:paraId="339328E6" w14:textId="64421B7C" w:rsidR="00D96A24" w:rsidRPr="003F68BC" w:rsidRDefault="00D96A24" w:rsidP="00D96A24">
      <w:pPr>
        <w:spacing w:line="480" w:lineRule="auto"/>
        <w:jc w:val="both"/>
      </w:pPr>
      <w:r w:rsidRPr="003F68BC">
        <w:t>According to Hall and Wright (2008), this step should include discussion o</w:t>
      </w:r>
      <w:r w:rsidR="00FC00A0">
        <w:t>f</w:t>
      </w:r>
      <w:r w:rsidRPr="003F68BC">
        <w:t xml:space="preserve"> </w:t>
      </w:r>
      <w:r w:rsidR="00FC00A0">
        <w:t>specific case</w:t>
      </w:r>
      <w:r w:rsidRPr="003F68BC">
        <w:t xml:space="preserve"> sources </w:t>
      </w:r>
      <w:r w:rsidR="00FC00A0">
        <w:t>and reasons for</w:t>
      </w:r>
      <w:r w:rsidRPr="003F68BC">
        <w:t xml:space="preserve"> select</w:t>
      </w:r>
      <w:r w:rsidR="00FC00A0">
        <w:t>ing them</w:t>
      </w:r>
      <w:r w:rsidRPr="003F68BC">
        <w:t xml:space="preserve"> for discussion. Generally, the basis for case selection should be that these are the cases that most clearly articulate the legal dispute or phenomenon under exploration. Each transcript of the remaining 176 reported cases was examined and rated to determine whether the specific case involved public policy and arbitration nullification,</w:t>
      </w:r>
      <w:r w:rsidR="00FC00A0">
        <w:t xml:space="preserve"> </w:t>
      </w:r>
      <w:r w:rsidRPr="003F68BC">
        <w:t>or not. Some of the more frequent reasons that could have been drawn upon for elimination of specific cases were</w:t>
      </w:r>
      <w:r w:rsidR="00FC00A0">
        <w:t>:</w:t>
      </w:r>
      <w:r w:rsidRPr="003F68BC">
        <w:t xml:space="preserve"> (i) where the transcript was too brief to ascertain the focus of the case, (ii) where it was clear from reading through the transcript that the decided case had no relevance to either public policy or arbitration </w:t>
      </w:r>
      <w:r w:rsidRPr="003F68BC">
        <w:lastRenderedPageBreak/>
        <w:t xml:space="preserve">nullification, or (iii) where the reported case </w:t>
      </w:r>
      <w:r w:rsidR="00FC00A0">
        <w:t>only</w:t>
      </w:r>
      <w:r w:rsidRPr="003F68BC">
        <w:t xml:space="preserve"> restate</w:t>
      </w:r>
      <w:r w:rsidR="00FC00A0">
        <w:t>d</w:t>
      </w:r>
      <w:r w:rsidRPr="003F68BC">
        <w:t xml:space="preserve"> UAE law. However, as the process did not reveal any cases that fell within these criteria, no cases were eliminated.</w:t>
      </w:r>
    </w:p>
    <w:p w14:paraId="2F94BBB9" w14:textId="015C0D24" w:rsidR="00D96A24" w:rsidRPr="003F68BC" w:rsidRDefault="00D96A24" w:rsidP="00D96A24">
      <w:pPr>
        <w:spacing w:line="480" w:lineRule="auto"/>
        <w:ind w:firstLine="720"/>
        <w:jc w:val="both"/>
      </w:pPr>
      <w:r w:rsidRPr="003F68BC">
        <w:t xml:space="preserve">When dealing with the </w:t>
      </w:r>
      <w:r w:rsidRPr="003F68BC">
        <w:rPr>
          <w:i/>
        </w:rPr>
        <w:t xml:space="preserve">DIFC </w:t>
      </w:r>
      <w:r w:rsidRPr="003F68BC">
        <w:t xml:space="preserve">search, 9 cases were eliminated from the 53 cases earlier identified from the </w:t>
      </w:r>
      <w:r w:rsidRPr="003F68BC">
        <w:rPr>
          <w:i/>
        </w:rPr>
        <w:t>Judicial Authority of the Dubai International Financial Centre</w:t>
      </w:r>
      <w:r w:rsidRPr="003F68BC">
        <w:t xml:space="preserve"> search. Elimination was primary where, on review, it was found that the case simply restated UAE law. </w:t>
      </w:r>
      <w:r w:rsidR="00AF203E" w:rsidRPr="003F68BC">
        <w:t>Thus,</w:t>
      </w:r>
      <w:r w:rsidRPr="003F68BC">
        <w:t xml:space="preserve"> in total, 44 cases from the DIFC search were deemed usable for the study. Final cross-checks were made to ensure there was no cross-over in terms of cases reported in either the </w:t>
      </w:r>
      <w:proofErr w:type="spellStart"/>
      <w:r w:rsidRPr="003F68BC">
        <w:rPr>
          <w:i/>
        </w:rPr>
        <w:t>WestlawGulf</w:t>
      </w:r>
      <w:proofErr w:type="spellEnd"/>
      <w:r w:rsidRPr="003F68BC">
        <w:rPr>
          <w:i/>
        </w:rPr>
        <w:t xml:space="preserve"> search</w:t>
      </w:r>
      <w:r w:rsidRPr="003F68BC">
        <w:t xml:space="preserve"> or the DIFC search. From this process, a total number of 220 cases formed the core of cases to be utilised in the study</w:t>
      </w:r>
      <w:r w:rsidR="00950DFD">
        <w:t>,</w:t>
      </w:r>
      <w:r w:rsidRPr="003F68BC">
        <w:t xml:space="preserve"> consisting of 170 UAE federal courts (‘Courts of the UAE’) cases drawn from the</w:t>
      </w:r>
      <w:r w:rsidRPr="003F68BC">
        <w:rPr>
          <w:i/>
        </w:rPr>
        <w:t xml:space="preserve"> </w:t>
      </w:r>
      <w:proofErr w:type="spellStart"/>
      <w:r w:rsidRPr="003F68BC">
        <w:rPr>
          <w:i/>
        </w:rPr>
        <w:t>WestlawGulf</w:t>
      </w:r>
      <w:proofErr w:type="spellEnd"/>
      <w:r w:rsidRPr="003F68BC">
        <w:rPr>
          <w:i/>
        </w:rPr>
        <w:t xml:space="preserve"> </w:t>
      </w:r>
      <w:r w:rsidRPr="003F68BC">
        <w:t xml:space="preserve">search and 50 drawn from the </w:t>
      </w:r>
      <w:r w:rsidRPr="003F68BC">
        <w:rPr>
          <w:i/>
        </w:rPr>
        <w:t>DIFC</w:t>
      </w:r>
      <w:r w:rsidRPr="003F68BC">
        <w:t xml:space="preserve"> search dealing with the parallel courts. </w:t>
      </w:r>
    </w:p>
    <w:p w14:paraId="77F27C93" w14:textId="77777777" w:rsidR="00D96A24" w:rsidRPr="003F68BC" w:rsidRDefault="00D96A24" w:rsidP="00D96A24">
      <w:pPr>
        <w:spacing w:line="480" w:lineRule="auto"/>
        <w:jc w:val="both"/>
      </w:pPr>
    </w:p>
    <w:p w14:paraId="2CA20179" w14:textId="77777777" w:rsidR="00D96A24" w:rsidRPr="003F68BC" w:rsidRDefault="00D96A24" w:rsidP="00D96A24">
      <w:pPr>
        <w:spacing w:line="480" w:lineRule="auto"/>
        <w:jc w:val="both"/>
        <w:rPr>
          <w:i/>
        </w:rPr>
      </w:pPr>
      <w:r w:rsidRPr="003F68BC">
        <w:rPr>
          <w:i/>
        </w:rPr>
        <w:t>4.2.5 Systematic analysis of the selected cases</w:t>
      </w:r>
    </w:p>
    <w:p w14:paraId="5E1F525A" w14:textId="1EFE05B6" w:rsidR="00D96A24" w:rsidRPr="003F68BC" w:rsidRDefault="00D96A24" w:rsidP="00D96A24">
      <w:pPr>
        <w:spacing w:line="480" w:lineRule="auto"/>
        <w:jc w:val="both"/>
      </w:pPr>
      <w:r w:rsidRPr="003F68BC">
        <w:t>Of the 220 cases that formed the core of cases to be utilised in the study, the earliest case had been decided in 1992 while the latest case had been decided in 2018; a timespan of approximately twenty-six years. The selected cases had been heard in 8 different UAE Courts</w:t>
      </w:r>
      <w:r w:rsidR="00950DFD">
        <w:t>.</w:t>
      </w:r>
      <w:r w:rsidRPr="003F68BC">
        <w:t xml:space="preserve"> </w:t>
      </w:r>
      <w:r w:rsidR="00950DFD">
        <w:t>A</w:t>
      </w:r>
      <w:r w:rsidRPr="003F68BC">
        <w:t xml:space="preserve"> breakdown of the number of cases heard in each of the courts is shown in Table </w:t>
      </w:r>
      <w:r w:rsidR="005F6AAF">
        <w:t>3</w:t>
      </w:r>
      <w:r w:rsidRPr="003F68BC">
        <w:t xml:space="preserve">, below. </w:t>
      </w:r>
    </w:p>
    <w:p w14:paraId="72A726E7" w14:textId="77777777" w:rsidR="00D96A24" w:rsidRPr="003F68BC" w:rsidRDefault="00D96A24" w:rsidP="00D96A24">
      <w:pPr>
        <w:spacing w:line="480" w:lineRule="auto"/>
        <w:jc w:val="both"/>
      </w:pPr>
    </w:p>
    <w:p w14:paraId="5C0C605A" w14:textId="77777777" w:rsidR="00CB4E4D" w:rsidRDefault="00CB4E4D" w:rsidP="00D96A24">
      <w:pPr>
        <w:spacing w:line="480" w:lineRule="auto"/>
        <w:jc w:val="both"/>
      </w:pPr>
      <w:r>
        <w:t xml:space="preserve">INSERT </w:t>
      </w:r>
      <w:r w:rsidR="00D96A24" w:rsidRPr="003F68BC">
        <w:t xml:space="preserve">Table </w:t>
      </w:r>
      <w:r w:rsidR="005F6AAF">
        <w:t>3</w:t>
      </w:r>
      <w:r>
        <w:t xml:space="preserve"> AROUND HERE</w:t>
      </w:r>
    </w:p>
    <w:p w14:paraId="192295D3" w14:textId="77777777" w:rsidR="00CB4E4D" w:rsidRDefault="00CB4E4D" w:rsidP="00D96A24">
      <w:pPr>
        <w:spacing w:line="480" w:lineRule="auto"/>
        <w:jc w:val="both"/>
      </w:pPr>
    </w:p>
    <w:p w14:paraId="6626F41E" w14:textId="40290693" w:rsidR="00D96A24" w:rsidRPr="003F68BC" w:rsidRDefault="00D96A24" w:rsidP="00D96A24">
      <w:pPr>
        <w:spacing w:line="480" w:lineRule="auto"/>
        <w:jc w:val="both"/>
        <w:rPr>
          <w:rFonts w:eastAsia="Calibri"/>
          <w:lang w:val="en-US"/>
        </w:rPr>
      </w:pPr>
      <w:r w:rsidRPr="003F68BC">
        <w:rPr>
          <w:rFonts w:eastAsia="Calibri"/>
          <w:lang w:val="en-US"/>
        </w:rPr>
        <w:t xml:space="preserve">Table </w:t>
      </w:r>
      <w:r w:rsidR="005F6AAF">
        <w:rPr>
          <w:rFonts w:eastAsia="Calibri"/>
          <w:lang w:val="en-US"/>
        </w:rPr>
        <w:t>4</w:t>
      </w:r>
      <w:r w:rsidR="005F6AAF" w:rsidRPr="003F68BC">
        <w:rPr>
          <w:rFonts w:eastAsia="Calibri"/>
          <w:lang w:val="en-US"/>
        </w:rPr>
        <w:t xml:space="preserve"> </w:t>
      </w:r>
      <w:r w:rsidRPr="003F68BC">
        <w:rPr>
          <w:rFonts w:eastAsia="Calibri"/>
          <w:lang w:val="en-US"/>
        </w:rPr>
        <w:t xml:space="preserve">shows a cross tabulation of the </w:t>
      </w:r>
      <w:r w:rsidRPr="003F68BC">
        <w:t>‘</w:t>
      </w:r>
      <w:r w:rsidRPr="003F68BC">
        <w:rPr>
          <w:i/>
        </w:rPr>
        <w:t>Second-order Court Category</w:t>
      </w:r>
      <w:r w:rsidRPr="003F68BC">
        <w:t xml:space="preserve">’ codes </w:t>
      </w:r>
      <w:r w:rsidRPr="003F68BC">
        <w:rPr>
          <w:rFonts w:eastAsia="Calibri"/>
          <w:lang w:val="en-US"/>
        </w:rPr>
        <w:t xml:space="preserve">derived from the content analysis </w:t>
      </w:r>
      <w:r w:rsidRPr="00B06AA5">
        <w:rPr>
          <w:rFonts w:eastAsia="Calibri"/>
          <w:i/>
          <w:iCs/>
          <w:lang w:val="en-US"/>
        </w:rPr>
        <w:t>versus</w:t>
      </w:r>
      <w:r w:rsidRPr="003F68BC">
        <w:rPr>
          <w:rFonts w:eastAsia="Calibri"/>
          <w:lang w:val="en-US"/>
        </w:rPr>
        <w:t xml:space="preserve"> by court decision, i.e. to nullify or not. The data shows a wide variance of incidence of </w:t>
      </w:r>
      <w:r w:rsidRPr="003F68BC">
        <w:t>‘</w:t>
      </w:r>
      <w:r w:rsidRPr="003F68BC">
        <w:rPr>
          <w:i/>
        </w:rPr>
        <w:t>Second-order Court Category</w:t>
      </w:r>
      <w:r w:rsidRPr="003F68BC">
        <w:t xml:space="preserve">’ </w:t>
      </w:r>
      <w:r w:rsidRPr="003F68BC">
        <w:rPr>
          <w:rFonts w:eastAsia="Calibri"/>
          <w:lang w:val="en-US"/>
        </w:rPr>
        <w:t xml:space="preserve">codes. The code </w:t>
      </w:r>
      <w:r w:rsidRPr="003F68BC">
        <w:rPr>
          <w:i/>
        </w:rPr>
        <w:t>‘Jurisdiction of court’</w:t>
      </w:r>
      <w:r w:rsidRPr="003F68BC">
        <w:rPr>
          <w:rFonts w:eastAsia="Calibri"/>
          <w:lang w:val="en-US"/>
        </w:rPr>
        <w:t xml:space="preserve"> was present in most cases (80%), as was </w:t>
      </w:r>
      <w:r w:rsidRPr="003F68BC">
        <w:rPr>
          <w:i/>
        </w:rPr>
        <w:t>‘Null, void and cancelled awards’</w:t>
      </w:r>
      <w:r w:rsidRPr="003F68BC">
        <w:rPr>
          <w:rFonts w:eastAsia="Calibri"/>
          <w:lang w:val="en-US"/>
        </w:rPr>
        <w:t xml:space="preserve"> (63%). On the other hand, very few </w:t>
      </w:r>
      <w:r w:rsidRPr="003F68BC">
        <w:rPr>
          <w:rFonts w:eastAsia="Calibri"/>
          <w:lang w:val="en-US"/>
        </w:rPr>
        <w:lastRenderedPageBreak/>
        <w:t xml:space="preserve">decisions contained the codes </w:t>
      </w:r>
      <w:r w:rsidRPr="003F68BC">
        <w:rPr>
          <w:i/>
        </w:rPr>
        <w:t>‘Appointment of arbitrators’</w:t>
      </w:r>
      <w:r w:rsidRPr="003F68BC">
        <w:rPr>
          <w:rFonts w:eastAsia="Calibri"/>
          <w:lang w:val="en-US"/>
        </w:rPr>
        <w:t xml:space="preserve"> (10%) and </w:t>
      </w:r>
      <w:r w:rsidRPr="003F68BC">
        <w:rPr>
          <w:i/>
        </w:rPr>
        <w:t>‘Effects and limits of agency’</w:t>
      </w:r>
      <w:r w:rsidRPr="003F68BC">
        <w:rPr>
          <w:rFonts w:eastAsia="Calibri"/>
          <w:lang w:val="en-US"/>
        </w:rPr>
        <w:t xml:space="preserve"> (13%). What this means is that </w:t>
      </w:r>
      <w:r w:rsidRPr="003F68BC">
        <w:rPr>
          <w:i/>
        </w:rPr>
        <w:t>‘Jurisdiction of court’</w:t>
      </w:r>
      <w:r w:rsidRPr="003F68BC">
        <w:rPr>
          <w:rFonts w:eastAsia="Calibri"/>
          <w:lang w:val="en-US"/>
        </w:rPr>
        <w:t xml:space="preserve">, which usually arises out of the existence of jurisdictional concurrency, was a major consideration </w:t>
      </w:r>
      <w:r w:rsidR="005B0464">
        <w:rPr>
          <w:rFonts w:eastAsia="Calibri"/>
          <w:lang w:val="en-US"/>
        </w:rPr>
        <w:t>in</w:t>
      </w:r>
      <w:r w:rsidRPr="003F68BC">
        <w:rPr>
          <w:rFonts w:eastAsia="Calibri"/>
          <w:lang w:val="en-US"/>
        </w:rPr>
        <w:t xml:space="preserve"> nullif</w:t>
      </w:r>
      <w:r w:rsidR="005B0464">
        <w:rPr>
          <w:rFonts w:eastAsia="Calibri"/>
          <w:lang w:val="en-US"/>
        </w:rPr>
        <w:t>ications of</w:t>
      </w:r>
      <w:r w:rsidRPr="003F68BC">
        <w:rPr>
          <w:rFonts w:eastAsia="Calibri"/>
          <w:lang w:val="en-US"/>
        </w:rPr>
        <w:t xml:space="preserve"> arbitration awards before the UAE Courts. </w:t>
      </w:r>
    </w:p>
    <w:p w14:paraId="7F700307" w14:textId="77777777" w:rsidR="00D96A24" w:rsidRPr="003F68BC" w:rsidRDefault="00D96A24" w:rsidP="00D96A24">
      <w:pPr>
        <w:spacing w:line="480" w:lineRule="auto"/>
        <w:jc w:val="both"/>
        <w:rPr>
          <w:rFonts w:eastAsia="Calibri"/>
          <w:lang w:val="en-US"/>
        </w:rPr>
      </w:pPr>
    </w:p>
    <w:p w14:paraId="5B738F7D" w14:textId="77777777" w:rsidR="00CB4E4D" w:rsidRDefault="00CB4E4D" w:rsidP="00D96A24">
      <w:pPr>
        <w:spacing w:line="480" w:lineRule="auto"/>
        <w:jc w:val="both"/>
      </w:pPr>
      <w:r>
        <w:t xml:space="preserve">INSERT </w:t>
      </w:r>
      <w:r w:rsidR="00D96A24" w:rsidRPr="003F68BC">
        <w:t xml:space="preserve">Table </w:t>
      </w:r>
      <w:r w:rsidR="005F6AAF">
        <w:t>4</w:t>
      </w:r>
      <w:r>
        <w:t xml:space="preserve"> AROUND HERE</w:t>
      </w:r>
    </w:p>
    <w:p w14:paraId="5C70677F" w14:textId="77777777" w:rsidR="00CB4E4D" w:rsidRDefault="00CB4E4D" w:rsidP="004A08A1">
      <w:pPr>
        <w:spacing w:line="480" w:lineRule="auto"/>
        <w:jc w:val="both"/>
        <w:rPr>
          <w:rFonts w:eastAsia="Calibri"/>
          <w:lang w:val="en-US"/>
        </w:rPr>
      </w:pPr>
    </w:p>
    <w:p w14:paraId="67D0E16E" w14:textId="48B4D587" w:rsidR="00D96A24" w:rsidRPr="003F68BC" w:rsidRDefault="00D96A24" w:rsidP="004A08A1">
      <w:pPr>
        <w:spacing w:line="480" w:lineRule="auto"/>
        <w:jc w:val="both"/>
        <w:rPr>
          <w:rFonts w:eastAsia="Calibri"/>
          <w:lang w:val="en-US"/>
        </w:rPr>
      </w:pPr>
      <w:r w:rsidRPr="003F68BC">
        <w:rPr>
          <w:rFonts w:eastAsia="Calibri"/>
          <w:lang w:val="en-US"/>
        </w:rPr>
        <w:t>In our quest to explore the impact of the public policy exception on the question of nullifying prior arbitration awards by the various ‘</w:t>
      </w:r>
      <w:r w:rsidRPr="003F68BC">
        <w:rPr>
          <w:rFonts w:eastAsia="Calibri"/>
          <w:i/>
          <w:lang w:val="en-US"/>
        </w:rPr>
        <w:t>UAE Courts’</w:t>
      </w:r>
      <w:r w:rsidRPr="003F68BC">
        <w:rPr>
          <w:rFonts w:eastAsia="Calibri"/>
          <w:lang w:val="en-US"/>
        </w:rPr>
        <w:t xml:space="preserve">, we employed </w:t>
      </w:r>
      <w:r w:rsidRPr="003F68BC">
        <w:rPr>
          <w:rFonts w:eastAsia="Calibri"/>
          <w:i/>
          <w:lang w:val="en-US"/>
        </w:rPr>
        <w:t xml:space="preserve">Logistic regression </w:t>
      </w:r>
      <w:r w:rsidRPr="003F68BC">
        <w:rPr>
          <w:rFonts w:eastAsia="Calibri"/>
          <w:lang w:val="en-US"/>
        </w:rPr>
        <w:t xml:space="preserve">(Peng et al., 2002). </w:t>
      </w:r>
      <w:r w:rsidRPr="003F68BC">
        <w:rPr>
          <w:rFonts w:eastAsia="Calibri"/>
          <w:i/>
          <w:lang w:val="en-US"/>
        </w:rPr>
        <w:t>Logistic regression</w:t>
      </w:r>
      <w:r w:rsidRPr="003F68BC">
        <w:rPr>
          <w:rFonts w:eastAsia="Calibri"/>
          <w:lang w:val="en-US"/>
        </w:rPr>
        <w:t xml:space="preserve"> is generally a mathematical model that is utilized to articulate the relationship between several independent variables (</w:t>
      </w:r>
      <w:r w:rsidRPr="003F68BC">
        <w:rPr>
          <w:rFonts w:eastAsia="Calibri"/>
          <w:i/>
          <w:lang w:val="en-US"/>
        </w:rPr>
        <w:t>X</w:t>
      </w:r>
      <w:r w:rsidRPr="003F68BC">
        <w:rPr>
          <w:rFonts w:eastAsia="Calibri"/>
          <w:lang w:val="en-US"/>
        </w:rPr>
        <w:t>) to a dichotomous dependent variable (</w:t>
      </w:r>
      <w:r w:rsidRPr="003F68BC">
        <w:rPr>
          <w:rFonts w:eastAsia="Calibri"/>
          <w:i/>
          <w:lang w:val="en-US"/>
        </w:rPr>
        <w:t>D</w:t>
      </w:r>
      <w:r w:rsidRPr="003F68BC">
        <w:rPr>
          <w:rFonts w:eastAsia="Calibri"/>
          <w:lang w:val="en-US"/>
        </w:rPr>
        <w:t xml:space="preserve">). A series of logistic regression models was conducted with the general form of the model being represented as: </w:t>
      </w:r>
    </w:p>
    <w:p w14:paraId="53651845" w14:textId="77777777" w:rsidR="00D96A24" w:rsidRPr="003F68BC" w:rsidRDefault="00D96A24" w:rsidP="00D96A24">
      <w:pPr>
        <w:spacing w:line="480" w:lineRule="auto"/>
        <w:jc w:val="both"/>
        <w:rPr>
          <w:rFonts w:eastAsia="Calibri"/>
          <w:lang w:val="en-US"/>
        </w:rPr>
      </w:pPr>
    </w:p>
    <w:p w14:paraId="6860EAB4" w14:textId="77777777" w:rsidR="00D96A24" w:rsidRPr="003F68BC" w:rsidRDefault="00D96A24" w:rsidP="00D96A24">
      <w:pPr>
        <w:spacing w:line="480" w:lineRule="auto"/>
        <w:jc w:val="both"/>
        <w:rPr>
          <w:rFonts w:eastAsia="Calibri"/>
          <w:lang w:val="en-US"/>
        </w:rPr>
      </w:pPr>
      <m:oMath>
        <m:r>
          <w:rPr>
            <w:rFonts w:ascii="Cambria Math" w:eastAsia="Calibri" w:hAnsi="Cambria Math"/>
            <w:lang w:val="en-US"/>
          </w:rPr>
          <m:t>ln</m:t>
        </m:r>
        <m:d>
          <m:dPr>
            <m:begChr m:val="["/>
            <m:endChr m:val="]"/>
            <m:ctrlPr>
              <w:rPr>
                <w:rFonts w:ascii="Cambria Math" w:eastAsia="Calibri" w:hAnsi="Cambria Math"/>
                <w:lang w:val="en-US"/>
              </w:rPr>
            </m:ctrlPr>
          </m:dPr>
          <m:e>
            <m:f>
              <m:fPr>
                <m:ctrlPr>
                  <w:rPr>
                    <w:rFonts w:ascii="Cambria Math" w:eastAsia="Calibri" w:hAnsi="Cambria Math"/>
                    <w:lang w:val="en-US"/>
                  </w:rPr>
                </m:ctrlPr>
              </m:fPr>
              <m:num>
                <m:sSub>
                  <m:sSubPr>
                    <m:ctrlPr>
                      <w:rPr>
                        <w:rFonts w:ascii="Cambria Math" w:eastAsia="Calibri" w:hAnsi="Cambria Math"/>
                        <w:lang w:val="en-US"/>
                      </w:rPr>
                    </m:ctrlPr>
                  </m:sSubPr>
                  <m:e>
                    <m:r>
                      <w:rPr>
                        <w:rFonts w:ascii="Cambria Math" w:eastAsia="Calibri" w:hAnsi="Cambria Math"/>
                        <w:lang w:val="en-US"/>
                      </w:rPr>
                      <m:t>y</m:t>
                    </m:r>
                  </m:e>
                  <m:sub>
                    <m:r>
                      <w:rPr>
                        <w:rFonts w:ascii="Cambria Math" w:eastAsia="Calibri" w:hAnsi="Cambria Math"/>
                        <w:lang w:val="en-US"/>
                      </w:rPr>
                      <m:t>i</m:t>
                    </m:r>
                  </m:sub>
                </m:sSub>
              </m:num>
              <m:den>
                <m:r>
                  <m:rPr>
                    <m:sty m:val="p"/>
                  </m:rPr>
                  <w:rPr>
                    <w:rFonts w:ascii="Cambria Math" w:eastAsia="Calibri" w:hAnsi="Cambria Math"/>
                    <w:lang w:val="en-US"/>
                  </w:rPr>
                  <m:t>1-</m:t>
                </m:r>
                <m:sSub>
                  <m:sSubPr>
                    <m:ctrlPr>
                      <w:rPr>
                        <w:rFonts w:ascii="Cambria Math" w:eastAsia="Calibri" w:hAnsi="Cambria Math"/>
                        <w:lang w:val="en-US"/>
                      </w:rPr>
                    </m:ctrlPr>
                  </m:sSubPr>
                  <m:e>
                    <m:r>
                      <w:rPr>
                        <w:rFonts w:ascii="Cambria Math" w:eastAsia="Calibri" w:hAnsi="Cambria Math"/>
                        <w:lang w:val="en-US"/>
                      </w:rPr>
                      <m:t>y</m:t>
                    </m:r>
                  </m:e>
                  <m:sub>
                    <m:r>
                      <w:rPr>
                        <w:rFonts w:ascii="Cambria Math" w:eastAsia="Calibri" w:hAnsi="Cambria Math"/>
                        <w:lang w:val="en-US"/>
                      </w:rPr>
                      <m:t>i</m:t>
                    </m:r>
                  </m:sub>
                </m:sSub>
              </m:den>
            </m:f>
          </m:e>
        </m:d>
        <m:r>
          <m:rPr>
            <m:sty m:val="p"/>
          </m:rPr>
          <w:rPr>
            <w:rFonts w:ascii="Cambria Math" w:eastAsia="Calibri" w:hAnsi="Cambria Math"/>
            <w:lang w:val="en-US"/>
          </w:rPr>
          <m:t>=</m:t>
        </m:r>
        <m:sSub>
          <m:sSubPr>
            <m:ctrlPr>
              <w:rPr>
                <w:rFonts w:ascii="Cambria Math" w:eastAsia="Calibri" w:hAnsi="Cambria Math"/>
                <w:lang w:val="en-US"/>
              </w:rPr>
            </m:ctrlPr>
          </m:sSubPr>
          <m:e>
            <m:r>
              <w:rPr>
                <w:rFonts w:ascii="Cambria Math" w:eastAsia="Calibri" w:hAnsi="Cambria Math"/>
                <w:lang w:val="en-US"/>
              </w:rPr>
              <m:t>β</m:t>
            </m:r>
          </m:e>
          <m:sub>
            <m:r>
              <m:rPr>
                <m:sty m:val="p"/>
              </m:rPr>
              <w:rPr>
                <w:rFonts w:ascii="Cambria Math" w:eastAsia="Calibri" w:hAnsi="Cambria Math"/>
                <w:lang w:val="en-US"/>
              </w:rPr>
              <m:t>0</m:t>
            </m:r>
          </m:sub>
        </m:sSub>
        <m:r>
          <m:rPr>
            <m:sty m:val="p"/>
          </m:rPr>
          <w:rPr>
            <w:rFonts w:ascii="Cambria Math" w:eastAsia="Calibri" w:hAnsi="Cambria Math"/>
            <w:lang w:val="en-US"/>
          </w:rPr>
          <m:t>+</m:t>
        </m:r>
        <m:nary>
          <m:naryPr>
            <m:chr m:val="∑"/>
            <m:limLoc m:val="undOvr"/>
            <m:ctrlPr>
              <w:rPr>
                <w:rFonts w:ascii="Cambria Math" w:eastAsia="Calibri" w:hAnsi="Cambria Math"/>
                <w:lang w:val="en-US"/>
              </w:rPr>
            </m:ctrlPr>
          </m:naryPr>
          <m:sub>
            <m:r>
              <w:rPr>
                <w:rFonts w:ascii="Cambria Math" w:eastAsia="Calibri" w:hAnsi="Cambria Math"/>
                <w:lang w:val="en-US"/>
              </w:rPr>
              <m:t>j=1</m:t>
            </m:r>
          </m:sub>
          <m:sup>
            <m:r>
              <w:rPr>
                <w:rFonts w:ascii="Cambria Math" w:eastAsia="Calibri" w:hAnsi="Cambria Math"/>
                <w:lang w:val="en-US"/>
              </w:rPr>
              <m:t>j</m:t>
            </m:r>
          </m:sup>
          <m:e>
            <m:sSub>
              <m:sSubPr>
                <m:ctrlPr>
                  <w:rPr>
                    <w:rFonts w:ascii="Cambria Math" w:eastAsia="Calibri" w:hAnsi="Cambria Math"/>
                    <w:lang w:val="en-US"/>
                  </w:rPr>
                </m:ctrlPr>
              </m:sSubPr>
              <m:e>
                <m:sSub>
                  <m:sSubPr>
                    <m:ctrlPr>
                      <w:rPr>
                        <w:rFonts w:ascii="Cambria Math" w:eastAsia="Calibri" w:hAnsi="Cambria Math"/>
                        <w:lang w:val="en-US"/>
                      </w:rPr>
                    </m:ctrlPr>
                  </m:sSubPr>
                  <m:e>
                    <m:r>
                      <w:rPr>
                        <w:rFonts w:ascii="Cambria Math" w:eastAsia="Calibri" w:hAnsi="Cambria Math"/>
                        <w:lang w:val="en-US"/>
                      </w:rPr>
                      <m:t>β</m:t>
                    </m:r>
                  </m:e>
                  <m:sub>
                    <m:r>
                      <m:rPr>
                        <m:sty m:val="p"/>
                      </m:rPr>
                      <w:rPr>
                        <w:rFonts w:ascii="Cambria Math" w:eastAsia="Calibri" w:hAnsi="Cambria Math"/>
                        <w:lang w:val="en-US"/>
                      </w:rPr>
                      <m:t>j</m:t>
                    </m:r>
                  </m:sub>
                </m:sSub>
                <m:r>
                  <w:rPr>
                    <w:rFonts w:ascii="Cambria Math" w:eastAsia="Calibri" w:hAnsi="Cambria Math"/>
                    <w:lang w:val="en-US"/>
                  </w:rPr>
                  <m:t>x</m:t>
                </m:r>
              </m:e>
              <m:sub>
                <m:r>
                  <w:rPr>
                    <w:rFonts w:ascii="Cambria Math" w:eastAsia="Calibri" w:hAnsi="Cambria Math"/>
                    <w:lang w:val="en-US"/>
                  </w:rPr>
                  <m:t>i</m:t>
                </m:r>
                <m:r>
                  <m:rPr>
                    <m:sty m:val="p"/>
                  </m:rPr>
                  <w:rPr>
                    <w:rFonts w:ascii="Cambria Math" w:eastAsia="Calibri" w:hAnsi="Cambria Math"/>
                    <w:lang w:val="en-US"/>
                  </w:rPr>
                  <m:t>j</m:t>
                </m:r>
              </m:sub>
            </m:sSub>
          </m:e>
        </m:nary>
        <m:r>
          <m:rPr>
            <m:sty m:val="p"/>
          </m:rPr>
          <w:rPr>
            <w:rFonts w:ascii="Cambria Math" w:eastAsia="Calibri" w:hAnsi="Cambria Math"/>
            <w:lang w:val="en-US"/>
          </w:rPr>
          <m:t>+</m:t>
        </m:r>
        <m:sSub>
          <m:sSubPr>
            <m:ctrlPr>
              <w:rPr>
                <w:rFonts w:ascii="Cambria Math" w:eastAsia="Calibri" w:hAnsi="Cambria Math"/>
                <w:lang w:val="en-US"/>
              </w:rPr>
            </m:ctrlPr>
          </m:sSubPr>
          <m:e>
            <m:r>
              <w:rPr>
                <w:rFonts w:ascii="Cambria Math" w:eastAsia="Calibri" w:hAnsi="Cambria Math"/>
                <w:lang w:val="en-US"/>
              </w:rPr>
              <m:t>e</m:t>
            </m:r>
          </m:e>
          <m:sub>
            <m:r>
              <w:rPr>
                <w:rFonts w:ascii="Cambria Math" w:eastAsia="Calibri" w:hAnsi="Cambria Math"/>
                <w:lang w:val="en-US"/>
              </w:rPr>
              <m:t>i</m:t>
            </m:r>
          </m:sub>
        </m:sSub>
      </m:oMath>
      <w:r w:rsidRPr="003F68BC">
        <w:rPr>
          <w:rFonts w:eastAsia="DengXian"/>
          <w:lang w:val="en-US"/>
        </w:rPr>
        <w:t xml:space="preserve">  </w:t>
      </w:r>
      <w:r w:rsidRPr="003F68BC">
        <w:rPr>
          <w:rFonts w:eastAsia="DengXian"/>
          <w:lang w:val="en-US"/>
        </w:rPr>
        <w:tab/>
      </w:r>
      <w:r w:rsidRPr="003F68BC">
        <w:rPr>
          <w:rFonts w:eastAsia="DengXian"/>
          <w:lang w:val="en-US"/>
        </w:rPr>
        <w:tab/>
      </w:r>
      <w:r w:rsidRPr="003F68BC">
        <w:rPr>
          <w:rFonts w:eastAsia="DengXian"/>
          <w:lang w:val="en-US"/>
        </w:rPr>
        <w:tab/>
      </w:r>
      <w:r w:rsidRPr="003F68BC">
        <w:rPr>
          <w:rFonts w:eastAsia="DengXian"/>
          <w:lang w:val="en-US"/>
        </w:rPr>
        <w:tab/>
      </w:r>
      <w:r w:rsidRPr="003F68BC">
        <w:rPr>
          <w:rFonts w:eastAsia="DengXian"/>
          <w:lang w:val="en-US"/>
        </w:rPr>
        <w:tab/>
      </w:r>
      <w:r w:rsidRPr="003F68BC">
        <w:rPr>
          <w:rFonts w:eastAsia="DengXian"/>
          <w:lang w:val="en-US"/>
        </w:rPr>
        <w:tab/>
      </w:r>
      <w:r w:rsidRPr="003F68BC">
        <w:rPr>
          <w:rFonts w:eastAsia="DengXian"/>
          <w:lang w:val="en-US"/>
        </w:rPr>
        <w:tab/>
        <w:t>(1)</w:t>
      </w:r>
    </w:p>
    <w:p w14:paraId="6918DAD9" w14:textId="77777777" w:rsidR="00D96A24" w:rsidRPr="003F68BC" w:rsidRDefault="00D96A24" w:rsidP="00D96A24">
      <w:pPr>
        <w:spacing w:line="480" w:lineRule="auto"/>
        <w:jc w:val="both"/>
        <w:rPr>
          <w:rFonts w:eastAsia="Calibri"/>
          <w:lang w:val="en-US"/>
        </w:rPr>
      </w:pPr>
    </w:p>
    <w:p w14:paraId="7990A067" w14:textId="77777777" w:rsidR="00D96A24" w:rsidRPr="003F68BC" w:rsidRDefault="00D96A24" w:rsidP="00D96A24">
      <w:pPr>
        <w:spacing w:line="480" w:lineRule="auto"/>
        <w:jc w:val="both"/>
        <w:rPr>
          <w:rFonts w:eastAsia="Calibri"/>
          <w:lang w:val="en-US"/>
        </w:rPr>
      </w:pPr>
      <w:r w:rsidRPr="003F68BC">
        <w:rPr>
          <w:rFonts w:eastAsia="Calibri"/>
          <w:lang w:val="en-US"/>
        </w:rPr>
        <w:t>Where:</w:t>
      </w:r>
    </w:p>
    <w:p w14:paraId="3C668D00" w14:textId="77777777" w:rsidR="00D96A24" w:rsidRPr="003F68BC" w:rsidRDefault="00D96A24" w:rsidP="00D96A24">
      <w:pPr>
        <w:spacing w:line="480" w:lineRule="auto"/>
        <w:jc w:val="both"/>
        <w:rPr>
          <w:rFonts w:eastAsia="Calibri"/>
          <w:lang w:val="en-US"/>
        </w:rPr>
      </w:pPr>
      <w:r w:rsidRPr="003F68BC">
        <w:rPr>
          <w:rFonts w:eastAsia="Calibri"/>
          <w:i/>
          <w:iCs/>
          <w:lang w:val="en-US"/>
        </w:rPr>
        <w:t>i</w:t>
      </w:r>
      <w:r w:rsidRPr="003F68BC">
        <w:rPr>
          <w:rFonts w:eastAsia="Calibri"/>
          <w:lang w:val="en-US"/>
        </w:rPr>
        <w:t xml:space="preserve"> is a case;</w:t>
      </w:r>
    </w:p>
    <w:p w14:paraId="453BFCF6" w14:textId="77777777" w:rsidR="00D96A24" w:rsidRPr="003F68BC" w:rsidRDefault="00D96A24" w:rsidP="00D96A24">
      <w:pPr>
        <w:spacing w:line="480" w:lineRule="auto"/>
        <w:jc w:val="both"/>
        <w:rPr>
          <w:rFonts w:eastAsia="Calibri"/>
          <w:lang w:val="en-US"/>
        </w:rPr>
      </w:pPr>
      <w:proofErr w:type="spellStart"/>
      <w:r w:rsidRPr="003F68BC">
        <w:rPr>
          <w:rFonts w:eastAsia="Calibri"/>
          <w:i/>
          <w:iCs/>
          <w:lang w:val="en-US"/>
        </w:rPr>
        <w:t>y</w:t>
      </w:r>
      <w:r w:rsidRPr="003F68BC">
        <w:rPr>
          <w:rFonts w:eastAsia="Calibri"/>
          <w:i/>
          <w:iCs/>
          <w:vertAlign w:val="subscript"/>
          <w:lang w:val="en-US"/>
        </w:rPr>
        <w:t>i</w:t>
      </w:r>
      <w:proofErr w:type="spellEnd"/>
      <w:r w:rsidRPr="003F68BC">
        <w:rPr>
          <w:rFonts w:eastAsia="Calibri"/>
          <w:lang w:val="en-US"/>
        </w:rPr>
        <w:t xml:space="preserve"> is a binary variable representing court’s decision to nullify or not nullify the case; </w:t>
      </w:r>
    </w:p>
    <w:p w14:paraId="2964398B" w14:textId="77777777" w:rsidR="00D96A24" w:rsidRPr="003F68BC" w:rsidRDefault="00D96A24" w:rsidP="00D96A24">
      <w:pPr>
        <w:spacing w:line="480" w:lineRule="auto"/>
        <w:jc w:val="both"/>
        <w:rPr>
          <w:rFonts w:eastAsia="Calibri"/>
          <w:lang w:val="en-US"/>
        </w:rPr>
      </w:pPr>
      <w:proofErr w:type="spellStart"/>
      <w:r w:rsidRPr="003F68BC">
        <w:rPr>
          <w:rFonts w:eastAsia="Calibri"/>
          <w:i/>
          <w:iCs/>
          <w:lang w:val="en-US"/>
        </w:rPr>
        <w:t>x</w:t>
      </w:r>
      <w:r w:rsidRPr="003F68BC">
        <w:rPr>
          <w:rFonts w:eastAsia="Calibri"/>
          <w:i/>
          <w:iCs/>
          <w:vertAlign w:val="subscript"/>
          <w:lang w:val="en-US"/>
        </w:rPr>
        <w:t>j</w:t>
      </w:r>
      <w:proofErr w:type="spellEnd"/>
      <w:r w:rsidRPr="003F68BC">
        <w:rPr>
          <w:rFonts w:eastAsia="Calibri"/>
          <w:lang w:val="en-US"/>
        </w:rPr>
        <w:t xml:space="preserve"> are the explanatory variables, which may help us predict the court’s decision; and </w:t>
      </w:r>
    </w:p>
    <w:p w14:paraId="05004A9D" w14:textId="77777777" w:rsidR="00D96A24" w:rsidRPr="003F68BC" w:rsidRDefault="00D96A24" w:rsidP="00D96A24">
      <w:pPr>
        <w:spacing w:line="480" w:lineRule="auto"/>
        <w:jc w:val="both"/>
        <w:rPr>
          <w:rFonts w:eastAsia="Calibri"/>
          <w:lang w:val="en-US"/>
        </w:rPr>
      </w:pPr>
      <w:proofErr w:type="spellStart"/>
      <w:r w:rsidRPr="003F68BC">
        <w:rPr>
          <w:rFonts w:eastAsia="Calibri"/>
          <w:i/>
          <w:iCs/>
          <w:lang w:val="en-US"/>
        </w:rPr>
        <w:t>e</w:t>
      </w:r>
      <w:r w:rsidRPr="003F68BC">
        <w:rPr>
          <w:rFonts w:eastAsia="Calibri"/>
          <w:i/>
          <w:iCs/>
          <w:vertAlign w:val="subscript"/>
          <w:lang w:val="en-US"/>
        </w:rPr>
        <w:t>i</w:t>
      </w:r>
      <w:proofErr w:type="spellEnd"/>
      <w:r w:rsidRPr="003F68BC">
        <w:rPr>
          <w:rFonts w:eastAsia="Calibri"/>
          <w:lang w:val="en-US"/>
        </w:rPr>
        <w:t xml:space="preserve"> is an error term.</w:t>
      </w:r>
    </w:p>
    <w:p w14:paraId="773B1697" w14:textId="77777777" w:rsidR="00D96A24" w:rsidRPr="003F68BC" w:rsidRDefault="00D96A24" w:rsidP="00D96A24">
      <w:pPr>
        <w:spacing w:line="480" w:lineRule="auto"/>
        <w:jc w:val="both"/>
        <w:rPr>
          <w:rFonts w:eastAsia="Calibri"/>
          <w:lang w:val="en-US"/>
        </w:rPr>
      </w:pPr>
    </w:p>
    <w:p w14:paraId="30DE897B" w14:textId="77777777" w:rsidR="00D96A24" w:rsidRPr="003F68BC" w:rsidRDefault="00D96A24" w:rsidP="00D96A24">
      <w:pPr>
        <w:spacing w:line="480" w:lineRule="auto"/>
        <w:jc w:val="both"/>
      </w:pPr>
      <w:r w:rsidRPr="003F68BC">
        <w:rPr>
          <w:rFonts w:eastAsia="Calibri"/>
          <w:i/>
          <w:lang w:val="en-US"/>
        </w:rPr>
        <w:lastRenderedPageBreak/>
        <w:t xml:space="preserve">Effect of Court Category: </w:t>
      </w:r>
      <w:r w:rsidRPr="003F68BC">
        <w:rPr>
          <w:rFonts w:eastAsia="Calibri"/>
          <w:lang w:val="en-US"/>
        </w:rPr>
        <w:t xml:space="preserve">The first logistic model examined the effect of the court category on the decision to nullify prior arbitration awards. </w:t>
      </w:r>
      <w:r w:rsidRPr="003F68BC">
        <w:t>The model was a good fit for the data [Wald Likelihood Ratio Chi-square = 30.96 (</w:t>
      </w:r>
      <w:r w:rsidRPr="003F68BC">
        <w:rPr>
          <w:i/>
        </w:rPr>
        <w:t>DF</w:t>
      </w:r>
      <w:r w:rsidRPr="003F68BC">
        <w:t xml:space="preserve"> = 3), p-value &lt; 0.0001; Pseudo R-square value (</w:t>
      </w:r>
      <w:proofErr w:type="spellStart"/>
      <w:r w:rsidRPr="003F68BC">
        <w:t>Nagelkerke</w:t>
      </w:r>
      <w:proofErr w:type="spellEnd"/>
      <w:r w:rsidRPr="003F68BC">
        <w:t>) = 0.15; Max-rescaled R-Square = 0.21].</w:t>
      </w:r>
    </w:p>
    <w:p w14:paraId="644CF971" w14:textId="356CF72A" w:rsidR="00D96A24" w:rsidRPr="003F68BC" w:rsidRDefault="00D96A24" w:rsidP="00D96A24">
      <w:pPr>
        <w:spacing w:line="480" w:lineRule="auto"/>
        <w:ind w:firstLine="720"/>
        <w:jc w:val="both"/>
        <w:rPr>
          <w:rFonts w:eastAsia="Calibri"/>
          <w:lang w:val="en-US"/>
        </w:rPr>
      </w:pPr>
      <w:r w:rsidRPr="003F68BC">
        <w:rPr>
          <w:rFonts w:eastAsia="Calibri"/>
          <w:lang w:val="en-US"/>
        </w:rPr>
        <w:t xml:space="preserve">Table </w:t>
      </w:r>
      <w:r w:rsidR="005F6AAF">
        <w:rPr>
          <w:rFonts w:eastAsia="Calibri"/>
          <w:lang w:val="en-US"/>
        </w:rPr>
        <w:t>5</w:t>
      </w:r>
      <w:r w:rsidR="005F6AAF" w:rsidRPr="003F68BC">
        <w:rPr>
          <w:rFonts w:eastAsia="Calibri"/>
          <w:lang w:val="en-US"/>
        </w:rPr>
        <w:t xml:space="preserve"> </w:t>
      </w:r>
      <w:r w:rsidRPr="003F68BC">
        <w:rPr>
          <w:rFonts w:eastAsia="Calibri"/>
          <w:lang w:val="en-US"/>
        </w:rPr>
        <w:t xml:space="preserve">shows the estimated effects of the different court categories. The reference category of the predictor being the </w:t>
      </w:r>
      <w:r w:rsidRPr="003F68BC">
        <w:rPr>
          <w:i/>
        </w:rPr>
        <w:t>‘Union Supreme Court’</w:t>
      </w:r>
      <w:r w:rsidRPr="003F68BC">
        <w:rPr>
          <w:rFonts w:eastAsia="Calibri"/>
          <w:lang w:val="en-US"/>
        </w:rPr>
        <w:t xml:space="preserve">. The results suggest no significant difference in the decisions made by </w:t>
      </w:r>
      <w:r w:rsidRPr="003F68BC">
        <w:t>‘</w:t>
      </w:r>
      <w:r w:rsidRPr="003F68BC">
        <w:rPr>
          <w:i/>
        </w:rPr>
        <w:t xml:space="preserve">Dubai Courts’ </w:t>
      </w:r>
      <w:r w:rsidRPr="003F68BC">
        <w:rPr>
          <w:rFonts w:eastAsia="Calibri"/>
          <w:lang w:val="en-US"/>
        </w:rPr>
        <w:t xml:space="preserve">in comparison to the </w:t>
      </w:r>
      <w:r w:rsidRPr="003F68BC">
        <w:rPr>
          <w:i/>
        </w:rPr>
        <w:t>‘Union Supreme Court’</w:t>
      </w:r>
      <w:r w:rsidRPr="003F68BC">
        <w:rPr>
          <w:rFonts w:eastAsia="Calibri"/>
          <w:lang w:val="en-US"/>
        </w:rPr>
        <w:t xml:space="preserve">. On the other hand, decisions made by both the </w:t>
      </w:r>
      <w:r w:rsidRPr="003F68BC">
        <w:t>‘</w:t>
      </w:r>
      <w:r w:rsidRPr="003F68BC">
        <w:rPr>
          <w:i/>
        </w:rPr>
        <w:t xml:space="preserve">Abu Dhabi Courts’ </w:t>
      </w:r>
      <w:r w:rsidRPr="003F68BC">
        <w:rPr>
          <w:rFonts w:eastAsia="Calibri"/>
          <w:lang w:val="en-US"/>
        </w:rPr>
        <w:t xml:space="preserve">and the </w:t>
      </w:r>
      <w:r w:rsidRPr="003F68BC">
        <w:t>‘</w:t>
      </w:r>
      <w:r w:rsidRPr="003F68BC">
        <w:rPr>
          <w:i/>
        </w:rPr>
        <w:t>DIFC Courts’</w:t>
      </w:r>
      <w:r w:rsidRPr="003F68BC">
        <w:rPr>
          <w:rFonts w:eastAsia="Calibri"/>
          <w:lang w:val="en-US"/>
        </w:rPr>
        <w:t xml:space="preserve"> differed significantly from the </w:t>
      </w:r>
      <w:r w:rsidRPr="003F68BC">
        <w:rPr>
          <w:i/>
        </w:rPr>
        <w:t>‘Union Supreme Court’</w:t>
      </w:r>
      <w:r w:rsidRPr="003F68BC">
        <w:rPr>
          <w:rFonts w:eastAsia="Calibri"/>
          <w:lang w:val="en-US"/>
        </w:rPr>
        <w:t xml:space="preserve">. The </w:t>
      </w:r>
      <w:r w:rsidRPr="003F68BC">
        <w:t>‘</w:t>
      </w:r>
      <w:r w:rsidRPr="003F68BC">
        <w:rPr>
          <w:i/>
        </w:rPr>
        <w:t>Abu Dhabi Courts’</w:t>
      </w:r>
      <w:r w:rsidRPr="003F68BC">
        <w:rPr>
          <w:rFonts w:eastAsia="Calibri"/>
          <w:lang w:val="en-US"/>
        </w:rPr>
        <w:t xml:space="preserve"> were significantly </w:t>
      </w:r>
      <w:r w:rsidRPr="003F68BC">
        <w:rPr>
          <w:rFonts w:eastAsia="Calibri"/>
          <w:i/>
          <w:lang w:val="en-US"/>
        </w:rPr>
        <w:t>more likely</w:t>
      </w:r>
      <w:r w:rsidRPr="003F68BC">
        <w:rPr>
          <w:rFonts w:eastAsia="Calibri"/>
          <w:lang w:val="en-US"/>
        </w:rPr>
        <w:t xml:space="preserve"> to nullify prior arbitration awards than the </w:t>
      </w:r>
      <w:r w:rsidRPr="003F68BC">
        <w:rPr>
          <w:i/>
        </w:rPr>
        <w:t>‘Union Supreme Court’</w:t>
      </w:r>
      <w:r w:rsidRPr="003F68BC">
        <w:rPr>
          <w:rFonts w:eastAsia="Calibri"/>
          <w:lang w:val="en-US"/>
        </w:rPr>
        <w:t xml:space="preserve">. By contrast, the </w:t>
      </w:r>
      <w:r w:rsidRPr="003F68BC">
        <w:t>‘</w:t>
      </w:r>
      <w:r w:rsidRPr="003F68BC">
        <w:rPr>
          <w:i/>
        </w:rPr>
        <w:t>DIFC Courts’</w:t>
      </w:r>
      <w:r w:rsidRPr="003F68BC">
        <w:rPr>
          <w:rFonts w:eastAsia="Calibri"/>
          <w:lang w:val="en-US"/>
        </w:rPr>
        <w:t xml:space="preserve"> was significantly </w:t>
      </w:r>
      <w:r w:rsidRPr="003F68BC">
        <w:rPr>
          <w:rFonts w:eastAsia="Calibri"/>
          <w:i/>
          <w:lang w:val="en-US"/>
        </w:rPr>
        <w:t>less likely</w:t>
      </w:r>
      <w:r w:rsidRPr="003F68BC">
        <w:rPr>
          <w:rFonts w:eastAsia="Calibri"/>
          <w:lang w:val="en-US"/>
        </w:rPr>
        <w:t xml:space="preserve"> to nullify prior arbitration awards than the </w:t>
      </w:r>
      <w:r w:rsidRPr="003F68BC">
        <w:rPr>
          <w:i/>
        </w:rPr>
        <w:t>‘Union Supreme Court’</w:t>
      </w:r>
      <w:r w:rsidRPr="003F68BC">
        <w:rPr>
          <w:rFonts w:eastAsia="Calibri"/>
          <w:lang w:val="en-US"/>
        </w:rPr>
        <w:t>.</w:t>
      </w:r>
    </w:p>
    <w:p w14:paraId="780A4202" w14:textId="77777777" w:rsidR="00D96A24" w:rsidRPr="003F68BC" w:rsidRDefault="00D96A24" w:rsidP="00D96A24">
      <w:pPr>
        <w:spacing w:line="480" w:lineRule="auto"/>
        <w:ind w:firstLine="720"/>
        <w:jc w:val="both"/>
        <w:rPr>
          <w:rFonts w:eastAsia="Calibri"/>
          <w:lang w:val="en-US"/>
        </w:rPr>
      </w:pPr>
    </w:p>
    <w:p w14:paraId="088A4CA4" w14:textId="6D051932" w:rsidR="00CB4E4D" w:rsidRDefault="00CB4E4D" w:rsidP="00D96A24">
      <w:pPr>
        <w:spacing w:line="480" w:lineRule="auto"/>
        <w:jc w:val="both"/>
      </w:pPr>
      <w:r>
        <w:t xml:space="preserve">INSERT </w:t>
      </w:r>
      <w:r w:rsidR="00D96A24" w:rsidRPr="003F68BC">
        <w:t xml:space="preserve">Table </w:t>
      </w:r>
      <w:r w:rsidR="005F6AAF">
        <w:t>5</w:t>
      </w:r>
      <w:r>
        <w:t xml:space="preserve"> AROUND HERE</w:t>
      </w:r>
    </w:p>
    <w:p w14:paraId="5DB488D4" w14:textId="77777777" w:rsidR="00D96A24" w:rsidRPr="003F68BC" w:rsidRDefault="00D96A24" w:rsidP="00D96A24">
      <w:pPr>
        <w:spacing w:line="480" w:lineRule="auto"/>
        <w:jc w:val="both"/>
        <w:rPr>
          <w:i/>
        </w:rPr>
      </w:pPr>
    </w:p>
    <w:p w14:paraId="71F20CD9" w14:textId="18580526" w:rsidR="00D96A24" w:rsidRPr="003F68BC" w:rsidRDefault="00D96A24" w:rsidP="00D96A24">
      <w:pPr>
        <w:spacing w:line="480" w:lineRule="auto"/>
        <w:jc w:val="both"/>
      </w:pPr>
      <w:r w:rsidRPr="003F68BC">
        <w:rPr>
          <w:i/>
        </w:rPr>
        <w:t xml:space="preserve">Differential Effects of Predictors across different court categories: </w:t>
      </w:r>
      <w:r w:rsidRPr="003F68BC">
        <w:t xml:space="preserve">Next, the extent decisions made by each court can be attributed to a different reason, taking each predictor individually was undertaken. Table </w:t>
      </w:r>
      <w:r w:rsidR="005F6AAF">
        <w:t>6</w:t>
      </w:r>
      <w:r w:rsidR="005F6AAF" w:rsidRPr="003F68BC">
        <w:t xml:space="preserve"> </w:t>
      </w:r>
      <w:r w:rsidRPr="003F68BC">
        <w:t>shows the results of the effects of individual predictors within each court. The figures shown are Wald Chi-square Values (</w:t>
      </w:r>
      <w:r w:rsidRPr="003F68BC">
        <w:rPr>
          <w:i/>
        </w:rPr>
        <w:t xml:space="preserve">DF </w:t>
      </w:r>
      <w:r w:rsidRPr="003F68BC">
        <w:t xml:space="preserve">= 1). The results indicate that none of the predictors was able to significantly predict </w:t>
      </w:r>
      <w:r w:rsidRPr="003F68BC">
        <w:rPr>
          <w:i/>
        </w:rPr>
        <w:t>vacatur</w:t>
      </w:r>
      <w:r w:rsidRPr="003F68BC">
        <w:t xml:space="preserve"> decision</w:t>
      </w:r>
      <w:r w:rsidR="005B0464">
        <w:t>s</w:t>
      </w:r>
      <w:r w:rsidRPr="003F68BC">
        <w:t xml:space="preserve"> of both the ‘</w:t>
      </w:r>
      <w:r w:rsidRPr="003F68BC">
        <w:rPr>
          <w:bCs/>
          <w:i/>
        </w:rPr>
        <w:t>Abu Dhabi Courts’</w:t>
      </w:r>
      <w:r w:rsidRPr="003F68BC">
        <w:t xml:space="preserve"> or the ‘</w:t>
      </w:r>
      <w:r w:rsidRPr="003F68BC">
        <w:rPr>
          <w:i/>
        </w:rPr>
        <w:t>DIFC Courts’</w:t>
      </w:r>
      <w:r w:rsidRPr="003F68BC">
        <w:t xml:space="preserve">. In contrast, </w:t>
      </w:r>
      <w:r w:rsidRPr="003F68BC">
        <w:rPr>
          <w:rFonts w:eastAsia="Calibri"/>
          <w:lang w:val="en-US"/>
        </w:rPr>
        <w:t>‘</w:t>
      </w:r>
      <w:r w:rsidRPr="003F68BC">
        <w:rPr>
          <w:rFonts w:eastAsia="Calibri"/>
          <w:i/>
          <w:lang w:val="en-US"/>
        </w:rPr>
        <w:t xml:space="preserve">Public </w:t>
      </w:r>
      <w:r w:rsidRPr="003F68BC">
        <w:rPr>
          <w:i/>
        </w:rPr>
        <w:t>policy</w:t>
      </w:r>
      <w:r w:rsidRPr="003F68BC">
        <w:t xml:space="preserve">’, </w:t>
      </w:r>
      <w:r w:rsidRPr="003F68BC">
        <w:rPr>
          <w:i/>
        </w:rPr>
        <w:t xml:space="preserve">‘Arbitrators award’ </w:t>
      </w:r>
      <w:r w:rsidRPr="003F68BC">
        <w:t xml:space="preserve">and </w:t>
      </w:r>
      <w:r w:rsidRPr="003F68BC">
        <w:rPr>
          <w:i/>
        </w:rPr>
        <w:t xml:space="preserve">‘Null, void and cancelled awards’ </w:t>
      </w:r>
      <w:r w:rsidRPr="003F68BC">
        <w:t>were predictive of the decision of both the ‘</w:t>
      </w:r>
      <w:r w:rsidRPr="003F68BC">
        <w:rPr>
          <w:bCs/>
          <w:i/>
        </w:rPr>
        <w:t>Dubai Courts’</w:t>
      </w:r>
      <w:r w:rsidRPr="003F68BC">
        <w:t xml:space="preserve"> and the </w:t>
      </w:r>
      <w:r w:rsidRPr="003F68BC">
        <w:rPr>
          <w:i/>
        </w:rPr>
        <w:t>‘Union Supreme Court’</w:t>
      </w:r>
      <w:r w:rsidRPr="003F68BC">
        <w:t xml:space="preserve">. Additionally, </w:t>
      </w:r>
      <w:r w:rsidRPr="003F68BC">
        <w:rPr>
          <w:i/>
        </w:rPr>
        <w:t>‘Jurisdiction of court’</w:t>
      </w:r>
      <w:r w:rsidRPr="003F68BC">
        <w:t xml:space="preserve"> was predictive of the </w:t>
      </w:r>
      <w:r w:rsidRPr="003F68BC">
        <w:rPr>
          <w:i/>
        </w:rPr>
        <w:t xml:space="preserve">‘Union Supreme Court’ </w:t>
      </w:r>
      <w:r w:rsidRPr="003F68BC">
        <w:t xml:space="preserve">decision. </w:t>
      </w:r>
      <w:r w:rsidRPr="003F68BC">
        <w:lastRenderedPageBreak/>
        <w:t xml:space="preserve">Using the Chi-square value as a measure of individual variables’ predictive value, then </w:t>
      </w:r>
      <w:r w:rsidRPr="003F68BC">
        <w:rPr>
          <w:i/>
        </w:rPr>
        <w:t>‘Null, void and cancelled awards’</w:t>
      </w:r>
      <w:r w:rsidRPr="003F68BC">
        <w:t xml:space="preserve"> appears to be the most valuable individual predictor.</w:t>
      </w:r>
    </w:p>
    <w:p w14:paraId="6DE3C6E2" w14:textId="77777777" w:rsidR="00D96A24" w:rsidRPr="003F68BC" w:rsidRDefault="00D96A24" w:rsidP="00D96A24">
      <w:pPr>
        <w:spacing w:line="480" w:lineRule="auto"/>
        <w:jc w:val="both"/>
      </w:pPr>
    </w:p>
    <w:p w14:paraId="64E9840C" w14:textId="77777777" w:rsidR="00CB4E4D" w:rsidRDefault="00CB4E4D" w:rsidP="00D96A24">
      <w:pPr>
        <w:spacing w:line="480" w:lineRule="auto"/>
        <w:jc w:val="both"/>
      </w:pPr>
      <w:r>
        <w:t xml:space="preserve">INSERT </w:t>
      </w:r>
      <w:r w:rsidR="00D96A24" w:rsidRPr="003F68BC">
        <w:t xml:space="preserve">Table </w:t>
      </w:r>
      <w:r w:rsidR="005F6AAF">
        <w:t>6</w:t>
      </w:r>
      <w:r>
        <w:t xml:space="preserve"> AROUND HERE</w:t>
      </w:r>
    </w:p>
    <w:p w14:paraId="10342B62" w14:textId="77777777" w:rsidR="00CB4E4D" w:rsidRDefault="00CB4E4D" w:rsidP="00D96A24">
      <w:pPr>
        <w:spacing w:line="480" w:lineRule="auto"/>
        <w:jc w:val="both"/>
      </w:pPr>
    </w:p>
    <w:p w14:paraId="3FBA46EF" w14:textId="77D6411C" w:rsidR="00D96A24" w:rsidRPr="003F68BC" w:rsidRDefault="00D96A24" w:rsidP="00D96A24">
      <w:pPr>
        <w:spacing w:line="480" w:lineRule="auto"/>
        <w:jc w:val="both"/>
      </w:pPr>
      <w:r w:rsidRPr="003F68BC">
        <w:t>Finally, multiple logistic regression models to estimate the joint effects of the predictors on the decision made by each court w</w:t>
      </w:r>
      <w:r w:rsidR="005B0464">
        <w:t>ere</w:t>
      </w:r>
      <w:r w:rsidRPr="003F68BC">
        <w:t xml:space="preserve"> conducted. Each model was conducted under the stepwise criterion (entry p-value = 0.1 and stay p-value = 0.05). In each case, the predictors that we had found to be significantly predictive as shown in Table </w:t>
      </w:r>
      <w:r w:rsidR="005F6AAF">
        <w:t>6</w:t>
      </w:r>
      <w:r w:rsidR="005F6AAF" w:rsidRPr="003F68BC">
        <w:t xml:space="preserve"> </w:t>
      </w:r>
      <w:r w:rsidRPr="003F68BC">
        <w:t xml:space="preserve">were specified as candidate variables. Multiple logistics regression models for the </w:t>
      </w:r>
      <w:r w:rsidRPr="003F68BC">
        <w:rPr>
          <w:bCs/>
          <w:i/>
        </w:rPr>
        <w:t>‘Abu Dhabi Courts’</w:t>
      </w:r>
      <w:r w:rsidRPr="003F68BC">
        <w:t xml:space="preserve"> or the </w:t>
      </w:r>
      <w:r w:rsidRPr="003F68BC">
        <w:rPr>
          <w:i/>
        </w:rPr>
        <w:t>’DIFC Courts’</w:t>
      </w:r>
      <w:r w:rsidRPr="003F68BC">
        <w:t xml:space="preserve"> were not undertaken since none of the predictors were</w:t>
      </w:r>
      <w:r w:rsidR="0018111B">
        <w:t>, taken</w:t>
      </w:r>
      <w:r w:rsidRPr="003F68BC">
        <w:t xml:space="preserve"> individually, significantly predictive.</w:t>
      </w:r>
    </w:p>
    <w:p w14:paraId="68400D59" w14:textId="616531FD" w:rsidR="00D96A24" w:rsidRPr="003F68BC" w:rsidRDefault="00D96A24" w:rsidP="00D96A24">
      <w:pPr>
        <w:spacing w:line="480" w:lineRule="auto"/>
        <w:ind w:firstLine="720"/>
        <w:jc w:val="both"/>
      </w:pPr>
      <w:r w:rsidRPr="003F68BC">
        <w:t xml:space="preserve">The multiple logistic regression model for the </w:t>
      </w:r>
      <w:r w:rsidRPr="003F68BC">
        <w:rPr>
          <w:bCs/>
          <w:i/>
        </w:rPr>
        <w:t>‘Dubai Courts’</w:t>
      </w:r>
      <w:r w:rsidRPr="003F68BC">
        <w:t xml:space="preserve"> was a good fit for the data [Wald Likelihood Ratio Chi-square = 20.56 (</w:t>
      </w:r>
      <w:r w:rsidRPr="003F68BC">
        <w:rPr>
          <w:i/>
        </w:rPr>
        <w:t>DF</w:t>
      </w:r>
      <w:r w:rsidRPr="003F68BC">
        <w:t xml:space="preserve"> = 2), p-value &lt; 0.0001; Pseudo R-square value (</w:t>
      </w:r>
      <w:proofErr w:type="spellStart"/>
      <w:r w:rsidRPr="003F68BC">
        <w:t>Nagelkerke</w:t>
      </w:r>
      <w:proofErr w:type="spellEnd"/>
      <w:r w:rsidRPr="003F68BC">
        <w:t xml:space="preserve">) = 0.46; Max-rescaled R-Square = 0.62]. Table </w:t>
      </w:r>
      <w:r w:rsidR="005F6AAF">
        <w:t>7</w:t>
      </w:r>
      <w:r w:rsidR="005F6AAF" w:rsidRPr="003F68BC">
        <w:t xml:space="preserve"> </w:t>
      </w:r>
      <w:r w:rsidRPr="003F68BC">
        <w:t xml:space="preserve">shows the estimated parameters.  Both </w:t>
      </w:r>
      <w:r w:rsidRPr="003F68BC">
        <w:rPr>
          <w:rFonts w:eastAsia="Calibri"/>
          <w:lang w:val="en-US"/>
        </w:rPr>
        <w:t>‘</w:t>
      </w:r>
      <w:r w:rsidRPr="003F68BC">
        <w:rPr>
          <w:rFonts w:eastAsia="Calibri"/>
          <w:i/>
          <w:lang w:val="en-US"/>
        </w:rPr>
        <w:t xml:space="preserve">Public </w:t>
      </w:r>
      <w:r w:rsidRPr="003F68BC">
        <w:rPr>
          <w:i/>
        </w:rPr>
        <w:t>policy</w:t>
      </w:r>
      <w:r w:rsidRPr="003F68BC">
        <w:t>’</w:t>
      </w:r>
      <w:r w:rsidRPr="003F68BC">
        <w:rPr>
          <w:rFonts w:eastAsia="Calibri"/>
          <w:lang w:val="en-US"/>
        </w:rPr>
        <w:t xml:space="preserve"> </w:t>
      </w:r>
      <w:r w:rsidRPr="003F68BC">
        <w:t xml:space="preserve">and </w:t>
      </w:r>
      <w:r w:rsidRPr="003F68BC">
        <w:rPr>
          <w:i/>
        </w:rPr>
        <w:t xml:space="preserve">‘Null, void and cancelled awards’ </w:t>
      </w:r>
      <w:r w:rsidRPr="003F68BC">
        <w:t xml:space="preserve">were retained in the final model as significant predictors. The estimated coefficient suggests the presence of </w:t>
      </w:r>
      <w:r w:rsidRPr="003F68BC">
        <w:rPr>
          <w:i/>
        </w:rPr>
        <w:t xml:space="preserve">‘Null, void and cancelled awards’ </w:t>
      </w:r>
      <w:r w:rsidRPr="003F68BC">
        <w:t xml:space="preserve">in the decision increases the probability of the case being nullified. Similarly, the presence of </w:t>
      </w:r>
      <w:r w:rsidRPr="003F68BC">
        <w:rPr>
          <w:rFonts w:eastAsia="Calibri"/>
          <w:lang w:val="en-US"/>
        </w:rPr>
        <w:t>‘</w:t>
      </w:r>
      <w:r w:rsidRPr="003F68BC">
        <w:rPr>
          <w:rFonts w:eastAsia="Calibri"/>
          <w:i/>
          <w:lang w:val="en-US"/>
        </w:rPr>
        <w:t xml:space="preserve">Public </w:t>
      </w:r>
      <w:r w:rsidRPr="003F68BC">
        <w:rPr>
          <w:i/>
        </w:rPr>
        <w:t>policy</w:t>
      </w:r>
      <w:r w:rsidRPr="003F68BC">
        <w:t>’</w:t>
      </w:r>
      <w:r w:rsidRPr="003F68BC">
        <w:rPr>
          <w:rFonts w:eastAsia="Calibri"/>
          <w:lang w:val="en-US"/>
        </w:rPr>
        <w:t xml:space="preserve"> </w:t>
      </w:r>
      <w:r w:rsidRPr="003F68BC">
        <w:t xml:space="preserve">increases the probability of the case being nullified. The effect of </w:t>
      </w:r>
      <w:r w:rsidRPr="003F68BC">
        <w:rPr>
          <w:i/>
        </w:rPr>
        <w:t xml:space="preserve">‘Null, void and cancelled awards’ </w:t>
      </w:r>
      <w:r w:rsidRPr="003F68BC">
        <w:t xml:space="preserve">is stronger than that of </w:t>
      </w:r>
      <w:r w:rsidRPr="003F68BC">
        <w:rPr>
          <w:rFonts w:eastAsia="Calibri"/>
          <w:lang w:val="en-US"/>
        </w:rPr>
        <w:t>‘</w:t>
      </w:r>
      <w:r w:rsidRPr="003F68BC">
        <w:rPr>
          <w:i/>
        </w:rPr>
        <w:t>Public policy</w:t>
      </w:r>
      <w:r w:rsidRPr="003F68BC">
        <w:t>’.</w:t>
      </w:r>
    </w:p>
    <w:p w14:paraId="7C4CF6F4" w14:textId="77777777" w:rsidR="00D96A24" w:rsidRPr="003F68BC" w:rsidRDefault="00D96A24" w:rsidP="00D96A24">
      <w:pPr>
        <w:spacing w:line="480" w:lineRule="auto"/>
        <w:ind w:firstLine="720"/>
        <w:jc w:val="both"/>
      </w:pPr>
    </w:p>
    <w:p w14:paraId="1FE7B84D" w14:textId="77777777" w:rsidR="00CB4E4D" w:rsidRDefault="00CB4E4D" w:rsidP="00D96A24">
      <w:pPr>
        <w:spacing w:line="480" w:lineRule="auto"/>
        <w:jc w:val="both"/>
      </w:pPr>
      <w:r>
        <w:t xml:space="preserve">INSERT </w:t>
      </w:r>
      <w:r w:rsidR="00D96A24" w:rsidRPr="003F68BC">
        <w:t xml:space="preserve">Table </w:t>
      </w:r>
      <w:r w:rsidR="005F6AAF">
        <w:t>7</w:t>
      </w:r>
      <w:r>
        <w:t xml:space="preserve"> AROUND HERE</w:t>
      </w:r>
    </w:p>
    <w:p w14:paraId="6873B0DF" w14:textId="77777777" w:rsidR="00CB4E4D" w:rsidRDefault="00CB4E4D" w:rsidP="00D96A24">
      <w:pPr>
        <w:spacing w:line="480" w:lineRule="auto"/>
        <w:jc w:val="both"/>
      </w:pPr>
    </w:p>
    <w:p w14:paraId="2C94BB1B" w14:textId="4C9D393F" w:rsidR="00D96A24" w:rsidRPr="003F68BC" w:rsidRDefault="00D96A24" w:rsidP="00D96A24">
      <w:pPr>
        <w:spacing w:line="480" w:lineRule="auto"/>
        <w:jc w:val="both"/>
      </w:pPr>
      <w:r w:rsidRPr="003F68BC">
        <w:lastRenderedPageBreak/>
        <w:t xml:space="preserve">The multiple logistic regression model for the </w:t>
      </w:r>
      <w:r w:rsidRPr="003F68BC">
        <w:rPr>
          <w:i/>
        </w:rPr>
        <w:t xml:space="preserve">‘Union Supreme Court’ </w:t>
      </w:r>
      <w:r w:rsidRPr="003F68BC">
        <w:t>was the best fit for the data [Wald Likelihood Ratio Chi-square = 16.14 (DF = 2), p-value &lt; 0.0001; Pseudo R-square value (</w:t>
      </w:r>
      <w:proofErr w:type="spellStart"/>
      <w:r w:rsidRPr="003F68BC">
        <w:t>Nagelkerke</w:t>
      </w:r>
      <w:proofErr w:type="spellEnd"/>
      <w:r w:rsidRPr="003F68BC">
        <w:t xml:space="preserve">) = 0.54; Max-rescaled R-Square = 0.76]. Table </w:t>
      </w:r>
      <w:r w:rsidR="005F6AAF">
        <w:t>8</w:t>
      </w:r>
      <w:r w:rsidR="005F6AAF" w:rsidRPr="003F68BC">
        <w:t xml:space="preserve"> </w:t>
      </w:r>
      <w:r w:rsidRPr="003F68BC">
        <w:t xml:space="preserve">shows the parameter estimates from the multiple logistic regression model of the </w:t>
      </w:r>
      <w:r w:rsidRPr="003F68BC">
        <w:rPr>
          <w:i/>
        </w:rPr>
        <w:t>‘Union Supreme Court’</w:t>
      </w:r>
      <w:r w:rsidRPr="003F68BC">
        <w:t xml:space="preserve">. As with the </w:t>
      </w:r>
      <w:r w:rsidRPr="003F68BC">
        <w:rPr>
          <w:bCs/>
          <w:i/>
        </w:rPr>
        <w:t>‘Dubai Courts’</w:t>
      </w:r>
      <w:r w:rsidRPr="003F68BC">
        <w:t xml:space="preserve">, both </w:t>
      </w:r>
      <w:r w:rsidRPr="003F68BC">
        <w:rPr>
          <w:rFonts w:eastAsia="Calibri"/>
          <w:lang w:val="en-US"/>
        </w:rPr>
        <w:t>‘</w:t>
      </w:r>
      <w:r w:rsidRPr="003F68BC">
        <w:rPr>
          <w:i/>
        </w:rPr>
        <w:t>Public policy</w:t>
      </w:r>
      <w:r w:rsidRPr="003F68BC">
        <w:t>’</w:t>
      </w:r>
      <w:r w:rsidRPr="003F68BC">
        <w:rPr>
          <w:rFonts w:eastAsia="Calibri"/>
          <w:lang w:val="en-US"/>
        </w:rPr>
        <w:t xml:space="preserve"> </w:t>
      </w:r>
      <w:r w:rsidRPr="003F68BC">
        <w:t xml:space="preserve">and </w:t>
      </w:r>
      <w:r w:rsidRPr="003F68BC">
        <w:rPr>
          <w:i/>
        </w:rPr>
        <w:t xml:space="preserve">‘Null, void and cancelled awards’ </w:t>
      </w:r>
      <w:r w:rsidRPr="003F68BC">
        <w:t xml:space="preserve">were retained in the final model as significant predictors. </w:t>
      </w:r>
    </w:p>
    <w:p w14:paraId="60DABA59" w14:textId="77777777" w:rsidR="00D96A24" w:rsidRPr="003F68BC" w:rsidRDefault="00D96A24" w:rsidP="00D96A24">
      <w:pPr>
        <w:spacing w:line="480" w:lineRule="auto"/>
        <w:jc w:val="both"/>
      </w:pPr>
    </w:p>
    <w:p w14:paraId="0475CDE4" w14:textId="77777777" w:rsidR="00CB4E4D" w:rsidRDefault="00CB4E4D" w:rsidP="00D96A24">
      <w:pPr>
        <w:spacing w:line="480" w:lineRule="auto"/>
        <w:jc w:val="both"/>
      </w:pPr>
      <w:r>
        <w:t xml:space="preserve">INSERT </w:t>
      </w:r>
      <w:r w:rsidR="00D96A24" w:rsidRPr="003F68BC">
        <w:t xml:space="preserve">Table </w:t>
      </w:r>
      <w:r w:rsidR="005F6AAF">
        <w:t>8</w:t>
      </w:r>
      <w:r>
        <w:t xml:space="preserve"> AROUND HERE</w:t>
      </w:r>
    </w:p>
    <w:p w14:paraId="70859E22" w14:textId="77777777" w:rsidR="00CB4E4D" w:rsidRDefault="00CB4E4D" w:rsidP="00D96A24">
      <w:pPr>
        <w:spacing w:line="480" w:lineRule="auto"/>
        <w:jc w:val="both"/>
      </w:pPr>
    </w:p>
    <w:p w14:paraId="79703A74" w14:textId="77777777" w:rsidR="00D96A24" w:rsidRPr="003F68BC" w:rsidRDefault="00D96A24" w:rsidP="00D96A24">
      <w:pPr>
        <w:spacing w:line="480" w:lineRule="auto"/>
        <w:jc w:val="both"/>
      </w:pPr>
      <w:r w:rsidRPr="003F68BC">
        <w:t xml:space="preserve">The estimated coefficient suggests the presence of </w:t>
      </w:r>
      <w:r w:rsidRPr="003F68BC">
        <w:rPr>
          <w:i/>
        </w:rPr>
        <w:t xml:space="preserve">‘Null, void and cancelled awards’ </w:t>
      </w:r>
      <w:r w:rsidRPr="003F68BC">
        <w:t xml:space="preserve">in the decision increases the probability of the case being nullified, as does the presence of </w:t>
      </w:r>
      <w:r w:rsidRPr="003F68BC">
        <w:rPr>
          <w:rFonts w:eastAsia="Calibri"/>
          <w:lang w:val="en-US"/>
        </w:rPr>
        <w:t>‘</w:t>
      </w:r>
      <w:r w:rsidRPr="003F68BC">
        <w:rPr>
          <w:i/>
        </w:rPr>
        <w:t>Public policy</w:t>
      </w:r>
      <w:r w:rsidRPr="003F68BC">
        <w:t>’</w:t>
      </w:r>
      <w:r w:rsidRPr="003F68BC">
        <w:rPr>
          <w:rFonts w:eastAsia="Calibri"/>
          <w:lang w:val="en-US"/>
        </w:rPr>
        <w:t xml:space="preserve"> </w:t>
      </w:r>
      <w:r w:rsidRPr="003F68BC">
        <w:t>although to a lesser extent.</w:t>
      </w:r>
    </w:p>
    <w:p w14:paraId="617F7CBC" w14:textId="77777777" w:rsidR="00D96A24" w:rsidRPr="003F68BC" w:rsidRDefault="00D96A24" w:rsidP="00D96A24">
      <w:pPr>
        <w:spacing w:line="480" w:lineRule="auto"/>
        <w:jc w:val="both"/>
      </w:pPr>
    </w:p>
    <w:p w14:paraId="72E1173A" w14:textId="77777777" w:rsidR="00D96A24" w:rsidRPr="003F68BC" w:rsidRDefault="00D96A24" w:rsidP="00D96A24">
      <w:pPr>
        <w:spacing w:line="480" w:lineRule="auto"/>
        <w:jc w:val="both"/>
        <w:rPr>
          <w:b/>
        </w:rPr>
      </w:pPr>
      <w:r w:rsidRPr="003F68BC">
        <w:rPr>
          <w:b/>
        </w:rPr>
        <w:t xml:space="preserve">5. Discussions </w:t>
      </w:r>
    </w:p>
    <w:p w14:paraId="40451198" w14:textId="77777777" w:rsidR="00D96A24" w:rsidRPr="003F68BC" w:rsidRDefault="00D96A24" w:rsidP="00D96A24">
      <w:pPr>
        <w:spacing w:line="480" w:lineRule="auto"/>
        <w:jc w:val="both"/>
        <w:rPr>
          <w:i/>
        </w:rPr>
      </w:pPr>
      <w:r w:rsidRPr="003F68BC">
        <w:rPr>
          <w:i/>
        </w:rPr>
        <w:t xml:space="preserve">5.1 Intra-national jurisdictional concurrency </w:t>
      </w:r>
    </w:p>
    <w:p w14:paraId="34C0C212" w14:textId="57254860" w:rsidR="00D96A24" w:rsidRPr="003F68BC" w:rsidRDefault="00D96A24" w:rsidP="00D96A24">
      <w:pPr>
        <w:spacing w:line="480" w:lineRule="auto"/>
        <w:jc w:val="both"/>
        <w:rPr>
          <w:rFonts w:eastAsia="Calibri"/>
          <w:lang w:val="en-US"/>
        </w:rPr>
      </w:pPr>
      <w:r w:rsidRPr="003F68BC">
        <w:t xml:space="preserve">The research findings suggest that considerable disparities existed between the different parallel courts that formed the </w:t>
      </w:r>
      <w:r w:rsidRPr="003F68BC">
        <w:rPr>
          <w:rFonts w:eastAsia="Calibri"/>
          <w:i/>
          <w:lang w:val="en-US"/>
        </w:rPr>
        <w:t xml:space="preserve">‘UAE Courts’ </w:t>
      </w:r>
      <w:r w:rsidRPr="003F68BC">
        <w:rPr>
          <w:rFonts w:eastAsia="Calibri"/>
          <w:lang w:val="en-US"/>
        </w:rPr>
        <w:t xml:space="preserve">as relates to the </w:t>
      </w:r>
      <w:r w:rsidRPr="003F68BC">
        <w:t>nullification of arbitration awards</w:t>
      </w:r>
      <w:r w:rsidRPr="003F68BC">
        <w:rPr>
          <w:rFonts w:eastAsia="Calibri"/>
          <w:lang w:val="en-US"/>
        </w:rPr>
        <w:t xml:space="preserve"> that engaged public policy</w:t>
      </w:r>
      <w:r w:rsidRPr="003F68BC">
        <w:rPr>
          <w:rFonts w:eastAsia="Calibri"/>
          <w:i/>
          <w:lang w:val="en-US"/>
        </w:rPr>
        <w:t xml:space="preserve">. </w:t>
      </w:r>
      <w:r w:rsidRPr="003F68BC">
        <w:rPr>
          <w:rFonts w:eastAsia="Calibri"/>
          <w:lang w:val="en-US"/>
        </w:rPr>
        <w:t xml:space="preserve">Generally, the courts sitting in Abu Dhabi, that is the </w:t>
      </w:r>
      <w:r w:rsidRPr="003F68BC">
        <w:t xml:space="preserve">(i) </w:t>
      </w:r>
      <w:r w:rsidRPr="003F68BC">
        <w:rPr>
          <w:i/>
        </w:rPr>
        <w:t>Union Supreme Court</w:t>
      </w:r>
      <w:r w:rsidRPr="003F68BC">
        <w:t xml:space="preserve">, (ii) </w:t>
      </w:r>
      <w:r w:rsidRPr="003F68BC">
        <w:rPr>
          <w:i/>
        </w:rPr>
        <w:t>Abu Dhabi Court of Cassation</w:t>
      </w:r>
      <w:r w:rsidRPr="003F68BC">
        <w:t xml:space="preserve"> (iii) </w:t>
      </w:r>
      <w:r w:rsidRPr="003F68BC">
        <w:rPr>
          <w:i/>
        </w:rPr>
        <w:t>Abu Dhabi Court of First Instance</w:t>
      </w:r>
      <w:r w:rsidRPr="003F68BC">
        <w:t xml:space="preserve"> and the (iv) </w:t>
      </w:r>
      <w:r w:rsidRPr="003F68BC">
        <w:rPr>
          <w:i/>
        </w:rPr>
        <w:t>Abu Dhabi Commercial Court</w:t>
      </w:r>
      <w:r w:rsidRPr="003F68BC">
        <w:t xml:space="preserve"> appeared </w:t>
      </w:r>
      <w:r w:rsidRPr="003F68BC">
        <w:rPr>
          <w:rFonts w:eastAsia="Calibri"/>
          <w:i/>
          <w:lang w:val="en-US"/>
        </w:rPr>
        <w:t>more likely</w:t>
      </w:r>
      <w:r w:rsidRPr="003F68BC">
        <w:rPr>
          <w:rFonts w:eastAsia="Calibri"/>
          <w:lang w:val="en-US"/>
        </w:rPr>
        <w:t xml:space="preserve"> to nullify arbitration awards than courts sitting in Dubai which includes the</w:t>
      </w:r>
      <w:r w:rsidRPr="003F68BC">
        <w:t xml:space="preserve"> </w:t>
      </w:r>
      <w:r w:rsidRPr="003F68BC">
        <w:rPr>
          <w:i/>
        </w:rPr>
        <w:t xml:space="preserve">Dubai Court of Cassation </w:t>
      </w:r>
      <w:r w:rsidRPr="003F68BC">
        <w:t>and the ‘</w:t>
      </w:r>
      <w:r w:rsidRPr="003F68BC">
        <w:rPr>
          <w:i/>
        </w:rPr>
        <w:t>DIFC Courts</w:t>
      </w:r>
      <w:r w:rsidRPr="003F68BC">
        <w:t xml:space="preserve">’. However, there were also differences in terms of a willingness to nullify these awards between the Abu Dhabi Courts (‘Courts of the </w:t>
      </w:r>
      <w:r w:rsidRPr="003F68BC">
        <w:rPr>
          <w:i/>
        </w:rPr>
        <w:t>Emirate</w:t>
      </w:r>
      <w:r w:rsidRPr="003F68BC">
        <w:t xml:space="preserve"> of Abu Dhabi’) and the Union Supreme Court (which sits in Abu Dhabi). </w:t>
      </w:r>
      <w:r w:rsidRPr="003F68BC">
        <w:lastRenderedPageBreak/>
        <w:t xml:space="preserve">We found that the Abu Dhabi Courts were </w:t>
      </w:r>
      <w:r w:rsidRPr="003F68BC">
        <w:rPr>
          <w:rFonts w:eastAsia="Calibri"/>
          <w:lang w:val="en-US"/>
        </w:rPr>
        <w:t xml:space="preserve">significantly </w:t>
      </w:r>
      <w:r w:rsidRPr="003F68BC">
        <w:rPr>
          <w:rFonts w:eastAsia="Calibri"/>
          <w:i/>
          <w:lang w:val="en-US"/>
        </w:rPr>
        <w:t>more likely</w:t>
      </w:r>
      <w:r w:rsidRPr="003F68BC">
        <w:rPr>
          <w:rFonts w:eastAsia="Calibri"/>
          <w:lang w:val="en-US"/>
        </w:rPr>
        <w:t xml:space="preserve"> to nullify prior arbitration awards than the </w:t>
      </w:r>
      <w:r w:rsidRPr="003F68BC">
        <w:t>Union Supreme Court</w:t>
      </w:r>
      <w:r w:rsidRPr="003F68BC">
        <w:rPr>
          <w:rFonts w:eastAsia="Calibri"/>
          <w:lang w:val="en-US"/>
        </w:rPr>
        <w:t xml:space="preserve">. </w:t>
      </w:r>
    </w:p>
    <w:p w14:paraId="61E1FBD0" w14:textId="77777777" w:rsidR="00D96A24" w:rsidRPr="003F68BC" w:rsidRDefault="00D96A24" w:rsidP="00D96A24">
      <w:pPr>
        <w:spacing w:line="480" w:lineRule="auto"/>
        <w:jc w:val="both"/>
        <w:rPr>
          <w:rFonts w:eastAsia="Calibri"/>
          <w:lang w:val="en-US"/>
        </w:rPr>
      </w:pPr>
    </w:p>
    <w:p w14:paraId="35863B25" w14:textId="77777777" w:rsidR="00D96A24" w:rsidRPr="003F68BC" w:rsidRDefault="00D96A24" w:rsidP="00D96A24">
      <w:pPr>
        <w:spacing w:line="480" w:lineRule="auto"/>
        <w:jc w:val="both"/>
        <w:rPr>
          <w:rFonts w:eastAsia="Calibri"/>
          <w:i/>
          <w:lang w:val="en-US"/>
        </w:rPr>
      </w:pPr>
      <w:r w:rsidRPr="003F68BC">
        <w:rPr>
          <w:rFonts w:eastAsia="Calibri"/>
          <w:i/>
          <w:lang w:val="en-US"/>
        </w:rPr>
        <w:t>5.2 Differences in legal traditions – the ‘Dubai Courts’ and ‘DIFC Courts’</w:t>
      </w:r>
    </w:p>
    <w:p w14:paraId="7997D973" w14:textId="4C566D08" w:rsidR="00D96A24" w:rsidRPr="003F68BC" w:rsidRDefault="00D96A24" w:rsidP="00B03680">
      <w:pPr>
        <w:spacing w:line="480" w:lineRule="auto"/>
        <w:jc w:val="both"/>
      </w:pPr>
      <w:r w:rsidRPr="003F68BC">
        <w:t>While the study found that courts within the emirate of Dubai</w:t>
      </w:r>
      <w:r w:rsidR="0018111B">
        <w:t xml:space="preserve">, </w:t>
      </w:r>
      <w:r w:rsidRPr="003F68BC">
        <w:t>consisting of the ‘</w:t>
      </w:r>
      <w:r w:rsidRPr="003F68BC">
        <w:rPr>
          <w:i/>
        </w:rPr>
        <w:t xml:space="preserve">Dubai Courts’ </w:t>
      </w:r>
      <w:r w:rsidRPr="003F68BC">
        <w:rPr>
          <w:rFonts w:eastAsia="Calibri"/>
          <w:lang w:val="en-US"/>
        </w:rPr>
        <w:t>and the</w:t>
      </w:r>
      <w:r w:rsidRPr="003F68BC">
        <w:t>‘</w:t>
      </w:r>
      <w:r w:rsidRPr="003F68BC">
        <w:rPr>
          <w:i/>
        </w:rPr>
        <w:t>DIFC Courts’</w:t>
      </w:r>
      <w:r w:rsidR="0018111B">
        <w:rPr>
          <w:i/>
        </w:rPr>
        <w:t>,</w:t>
      </w:r>
      <w:r w:rsidRPr="003F68BC">
        <w:rPr>
          <w:rFonts w:eastAsia="Calibri"/>
          <w:lang w:val="en-US"/>
        </w:rPr>
        <w:t xml:space="preserve"> appeared less likely to nullify  prior arbitration awards (when compared to the Abu Dhabi courts), no significant differences were found to exist in terms of nullification of such awards based on different construction of </w:t>
      </w:r>
      <w:r w:rsidRPr="003F68BC">
        <w:t>public policy  as construed by either the Dubai Courts or by the DIFC Courts. In effect, this study was unable to ascertain whether the differences between legal traditions (civil law as practiced in the ‘Courts of the UAE’ and common law as practiced in the parallel courts</w:t>
      </w:r>
      <w:r w:rsidR="0018111B">
        <w:t>)</w:t>
      </w:r>
      <w:r w:rsidRPr="003F68BC">
        <w:t xml:space="preserve"> had any impact on decision</w:t>
      </w:r>
      <w:r w:rsidR="0018111B">
        <w:t>s</w:t>
      </w:r>
      <w:r w:rsidRPr="003F68BC">
        <w:t xml:space="preserve"> to nullify arbitration award</w:t>
      </w:r>
      <w:r w:rsidR="0018111B">
        <w:t>s</w:t>
      </w:r>
      <w:r w:rsidRPr="003F68BC">
        <w:rPr>
          <w:rFonts w:eastAsia="Calibri"/>
          <w:lang w:val="en-US"/>
        </w:rPr>
        <w:t xml:space="preserve">. </w:t>
      </w:r>
      <w:r w:rsidRPr="003F68BC">
        <w:t xml:space="preserve">This situation creates a public policy ambiguity </w:t>
      </w:r>
      <w:r w:rsidR="0018111B">
        <w:t>surrounding</w:t>
      </w:r>
      <w:r w:rsidRPr="003F68BC">
        <w:t xml:space="preserve"> whether parallel courts bound by substantively different traditions will arrive at substantively different, inconsistent (and perhaps conflicting), decisions on the same matter. We think that they are likely to. The first reason is drawn from </w:t>
      </w:r>
      <w:proofErr w:type="spellStart"/>
      <w:r w:rsidRPr="003F68BC">
        <w:t>Kanakri</w:t>
      </w:r>
      <w:proofErr w:type="spellEnd"/>
      <w:r w:rsidRPr="003F68BC">
        <w:t xml:space="preserve"> and Massey (2016)</w:t>
      </w:r>
      <w:r w:rsidR="0018111B">
        <w:t>,</w:t>
      </w:r>
      <w:r w:rsidRPr="003F68BC">
        <w:t xml:space="preserve"> who observed considerable differences in terms of how Courts of the UAE and the parallel courts (in this case, the DIFC) conducted arbitration-related proceedings. In addition, there is substantial research suggest</w:t>
      </w:r>
      <w:r w:rsidR="0018111B">
        <w:t>ing</w:t>
      </w:r>
      <w:r w:rsidRPr="003F68BC">
        <w:t xml:space="preserve"> major (but intricate) conceptual differences between civil and common law countries in terms of how they construe public policy (Enonchong, 1993).</w:t>
      </w:r>
    </w:p>
    <w:p w14:paraId="517DF6E7" w14:textId="77777777" w:rsidR="00D96A24" w:rsidRPr="003F68BC" w:rsidRDefault="00D96A24" w:rsidP="00D96A24">
      <w:pPr>
        <w:spacing w:line="480" w:lineRule="auto"/>
        <w:jc w:val="both"/>
      </w:pPr>
    </w:p>
    <w:p w14:paraId="6875EBEF" w14:textId="77777777" w:rsidR="00D96A24" w:rsidRPr="003F68BC" w:rsidRDefault="00D96A24" w:rsidP="00D96A24">
      <w:pPr>
        <w:spacing w:line="480" w:lineRule="auto"/>
        <w:jc w:val="both"/>
        <w:rPr>
          <w:i/>
        </w:rPr>
      </w:pPr>
      <w:r w:rsidRPr="003F68BC">
        <w:rPr>
          <w:i/>
        </w:rPr>
        <w:t>5.3 Exclusive jurisdiction and public policy</w:t>
      </w:r>
    </w:p>
    <w:p w14:paraId="0EE91EDF" w14:textId="6342FFDF" w:rsidR="00D96A24" w:rsidRPr="003F68BC" w:rsidRDefault="00D96A24" w:rsidP="00D96A24">
      <w:pPr>
        <w:spacing w:line="480" w:lineRule="auto"/>
        <w:jc w:val="both"/>
      </w:pPr>
      <w:r w:rsidRPr="003F68BC">
        <w:rPr>
          <w:rFonts w:eastAsia="Calibri"/>
          <w:lang w:val="en-US"/>
        </w:rPr>
        <w:t xml:space="preserve">The presence of </w:t>
      </w:r>
      <w:r w:rsidRPr="003F68BC">
        <w:rPr>
          <w:i/>
        </w:rPr>
        <w:t>‘Jurisdiction of court’</w:t>
      </w:r>
      <w:r w:rsidRPr="003F68BC">
        <w:rPr>
          <w:rFonts w:eastAsia="Calibri"/>
          <w:lang w:val="en-US"/>
        </w:rPr>
        <w:t xml:space="preserve"> in most of the analyzed cases suggested that this factor was </w:t>
      </w:r>
      <w:r w:rsidRPr="003F68BC">
        <w:rPr>
          <w:rFonts w:eastAsia="Calibri"/>
          <w:i/>
          <w:lang w:val="en-US"/>
        </w:rPr>
        <w:t>the</w:t>
      </w:r>
      <w:r w:rsidRPr="003F68BC">
        <w:rPr>
          <w:rFonts w:eastAsia="Calibri"/>
          <w:lang w:val="en-US"/>
        </w:rPr>
        <w:t xml:space="preserve"> major consideration of the UAE Courts when adjudicating on matters that engaged public </w:t>
      </w:r>
      <w:r w:rsidRPr="003F68BC">
        <w:rPr>
          <w:rFonts w:eastAsia="Calibri"/>
          <w:lang w:val="en-US"/>
        </w:rPr>
        <w:lastRenderedPageBreak/>
        <w:t xml:space="preserve">policy. This is a particularly interesting finding </w:t>
      </w:r>
      <w:r w:rsidR="00A27F0C">
        <w:rPr>
          <w:rFonts w:eastAsia="Calibri"/>
          <w:lang w:val="en-US"/>
        </w:rPr>
        <w:t>by</w:t>
      </w:r>
      <w:r w:rsidRPr="003F68BC">
        <w:rPr>
          <w:rFonts w:eastAsia="Calibri"/>
          <w:lang w:val="en-US"/>
        </w:rPr>
        <w:t xml:space="preserve"> confirm</w:t>
      </w:r>
      <w:r w:rsidR="00A27F0C">
        <w:rPr>
          <w:rFonts w:eastAsia="Calibri"/>
          <w:lang w:val="en-US"/>
        </w:rPr>
        <w:t>ing</w:t>
      </w:r>
      <w:r w:rsidRPr="003F68BC">
        <w:rPr>
          <w:rFonts w:eastAsia="Calibri"/>
          <w:lang w:val="en-US"/>
        </w:rPr>
        <w:t xml:space="preserve"> that the UAE Courts will jealously guar</w:t>
      </w:r>
      <w:r w:rsidR="00A27F0C">
        <w:rPr>
          <w:rFonts w:eastAsia="Calibri"/>
          <w:lang w:val="en-US"/>
        </w:rPr>
        <w:t xml:space="preserve">d </w:t>
      </w:r>
      <w:r w:rsidRPr="003F68BC">
        <w:t xml:space="preserve">the extent of </w:t>
      </w:r>
      <w:r w:rsidR="00A27F0C">
        <w:t>their</w:t>
      </w:r>
      <w:r w:rsidRPr="003F68BC">
        <w:t xml:space="preserve"> exclusive power to adjudicate on specific disputes, especially </w:t>
      </w:r>
      <w:r w:rsidR="00A27F0C">
        <w:t>those</w:t>
      </w:r>
      <w:r w:rsidRPr="003F68BC">
        <w:t xml:space="preserve"> that engage public policy. Greco and Meredith (2007) suggest that this attitude is not unusual, especially in countries that have experienced very rapid economic development. </w:t>
      </w:r>
    </w:p>
    <w:p w14:paraId="20520BD5" w14:textId="7521B72C" w:rsidR="00D96A24" w:rsidRPr="003F68BC" w:rsidRDefault="00D96A24" w:rsidP="00D96A24">
      <w:pPr>
        <w:spacing w:line="480" w:lineRule="auto"/>
        <w:ind w:firstLine="720"/>
        <w:jc w:val="both"/>
        <w:rPr>
          <w:rFonts w:eastAsia="Calibri"/>
          <w:lang w:val="en-US"/>
        </w:rPr>
      </w:pPr>
      <w:r w:rsidRPr="003F68BC">
        <w:rPr>
          <w:rFonts w:eastAsia="Calibri"/>
          <w:lang w:val="en-US"/>
        </w:rPr>
        <w:t>The study also found that t</w:t>
      </w:r>
      <w:r w:rsidRPr="003F68BC">
        <w:t>he presence of matters deemed to engage public policy</w:t>
      </w:r>
      <w:r w:rsidRPr="003F68BC">
        <w:rPr>
          <w:rFonts w:eastAsia="Calibri"/>
          <w:lang w:val="en-US"/>
        </w:rPr>
        <w:t xml:space="preserve"> </w:t>
      </w:r>
      <w:r w:rsidRPr="003F68BC">
        <w:t xml:space="preserve">significantly increased the probability of a prior arbitration award </w:t>
      </w:r>
      <w:r w:rsidR="00A27F0C">
        <w:t>being</w:t>
      </w:r>
      <w:r w:rsidRPr="003F68BC">
        <w:t xml:space="preserve"> nullified by the </w:t>
      </w:r>
      <w:r w:rsidRPr="003F68BC">
        <w:rPr>
          <w:rFonts w:eastAsia="Calibri"/>
          <w:lang w:val="en-US"/>
        </w:rPr>
        <w:t xml:space="preserve">UAE Courts. </w:t>
      </w:r>
      <w:r w:rsidRPr="003F68BC">
        <w:t>This finding supports the view that public policy</w:t>
      </w:r>
      <w:r w:rsidRPr="003F68BC">
        <w:rPr>
          <w:rFonts w:eastAsia="Calibri"/>
          <w:lang w:val="en-US"/>
        </w:rPr>
        <w:t xml:space="preserve"> </w:t>
      </w:r>
      <w:r w:rsidRPr="003F68BC">
        <w:t xml:space="preserve">remains a sensitive matter in the UAE. Again, as in the </w:t>
      </w:r>
      <w:r w:rsidRPr="003F68BC">
        <w:rPr>
          <w:i/>
        </w:rPr>
        <w:t xml:space="preserve">Bechtel </w:t>
      </w:r>
      <w:r w:rsidRPr="003F68BC">
        <w:t>case and other cited cases</w:t>
      </w:r>
      <w:r w:rsidR="00A27F0C">
        <w:t>, this</w:t>
      </w:r>
      <w:r w:rsidRPr="003F68BC">
        <w:t xml:space="preserve"> stands as ample risk intelligence </w:t>
      </w:r>
      <w:r w:rsidR="00A27F0C">
        <w:t>information for</w:t>
      </w:r>
      <w:r w:rsidRPr="003F68BC">
        <w:t xml:space="preserve"> the public sector infrastructure project space (and more specifically, </w:t>
      </w:r>
      <w:r w:rsidR="00A27F0C">
        <w:t xml:space="preserve">for </w:t>
      </w:r>
      <w:r w:rsidRPr="003F68BC">
        <w:t>the Professional services project manager)</w:t>
      </w:r>
      <w:r w:rsidR="00A27F0C">
        <w:t>, emphasizing</w:t>
      </w:r>
      <w:r w:rsidRPr="003F68BC">
        <w:t xml:space="preserve"> that the UAE Courts will not tolerate even the slightest infringement of </w:t>
      </w:r>
      <w:r w:rsidRPr="003F68BC">
        <w:rPr>
          <w:rFonts w:eastAsia="Calibri"/>
          <w:lang w:val="en-US"/>
        </w:rPr>
        <w:t xml:space="preserve">public policy. </w:t>
      </w:r>
    </w:p>
    <w:p w14:paraId="069CB469" w14:textId="725E303D" w:rsidR="00D96A24" w:rsidRPr="003F68BC" w:rsidRDefault="00D96A24" w:rsidP="00D96A24">
      <w:pPr>
        <w:spacing w:line="480" w:lineRule="auto"/>
        <w:ind w:firstLine="720"/>
        <w:jc w:val="both"/>
        <w:rPr>
          <w:rFonts w:eastAsia="Calibri"/>
          <w:lang w:val="en-US"/>
        </w:rPr>
      </w:pPr>
      <w:r w:rsidRPr="003F68BC">
        <w:rPr>
          <w:rFonts w:eastAsia="Calibri"/>
          <w:lang w:val="en-US"/>
        </w:rPr>
        <w:t>The regular citation by UAE Courts of exclusive jurisdiction of the court during arbitration nullification applications suggests that the issue</w:t>
      </w:r>
      <w:r w:rsidR="00A27F0C">
        <w:rPr>
          <w:rFonts w:eastAsia="Calibri"/>
          <w:lang w:val="en-US"/>
        </w:rPr>
        <w:t>s</w:t>
      </w:r>
      <w:r w:rsidRPr="003F68BC">
        <w:rPr>
          <w:rFonts w:eastAsia="Calibri"/>
          <w:lang w:val="en-US"/>
        </w:rPr>
        <w:t xml:space="preserve"> of jurisdiction were not discrete matters of contractual attention. It is clear from its regular appearance in nullifications applications </w:t>
      </w:r>
      <w:r w:rsidR="009F4823">
        <w:rPr>
          <w:rFonts w:eastAsia="Calibri"/>
          <w:lang w:val="en-US"/>
        </w:rPr>
        <w:t>that</w:t>
      </w:r>
      <w:r w:rsidR="009F4823" w:rsidRPr="003F68BC">
        <w:rPr>
          <w:rFonts w:eastAsia="Calibri"/>
          <w:lang w:val="en-US"/>
        </w:rPr>
        <w:t xml:space="preserve"> </w:t>
      </w:r>
      <w:r w:rsidRPr="003F68BC">
        <w:rPr>
          <w:rFonts w:eastAsia="Calibri"/>
          <w:lang w:val="en-US"/>
        </w:rPr>
        <w:t xml:space="preserve">this </w:t>
      </w:r>
      <w:r w:rsidR="00A27F0C">
        <w:rPr>
          <w:rFonts w:eastAsia="Calibri"/>
          <w:lang w:val="en-US"/>
        </w:rPr>
        <w:t>matter warrants</w:t>
      </w:r>
      <w:r w:rsidRPr="003F68BC">
        <w:rPr>
          <w:rFonts w:eastAsia="Calibri"/>
          <w:lang w:val="en-US"/>
        </w:rPr>
        <w:t xml:space="preserve"> the close attention of those who are either engaged in </w:t>
      </w:r>
      <w:r w:rsidRPr="003F68BC">
        <w:t>public sector infrastructure project dispute resolution</w:t>
      </w:r>
      <w:r w:rsidR="00A27F0C">
        <w:t>,</w:t>
      </w:r>
      <w:r w:rsidRPr="003F68BC">
        <w:t xml:space="preserve"> </w:t>
      </w:r>
      <w:r w:rsidRPr="003F68BC">
        <w:rPr>
          <w:rFonts w:eastAsia="Calibri"/>
          <w:lang w:val="en-US"/>
        </w:rPr>
        <w:t xml:space="preserve">or who </w:t>
      </w:r>
      <w:r w:rsidR="00A27F0C">
        <w:rPr>
          <w:rFonts w:eastAsia="Calibri"/>
          <w:lang w:val="en-US"/>
        </w:rPr>
        <w:t xml:space="preserve">are contemplating </w:t>
      </w:r>
      <w:r w:rsidRPr="003F68BC">
        <w:rPr>
          <w:rFonts w:eastAsia="Calibri"/>
          <w:lang w:val="en-US"/>
        </w:rPr>
        <w:t xml:space="preserve"> choos</w:t>
      </w:r>
      <w:r w:rsidR="00A27F0C">
        <w:rPr>
          <w:rFonts w:eastAsia="Calibri"/>
          <w:lang w:val="en-US"/>
        </w:rPr>
        <w:t>ing</w:t>
      </w:r>
      <w:r w:rsidRPr="003F68BC">
        <w:rPr>
          <w:rFonts w:eastAsia="Calibri"/>
          <w:lang w:val="en-US"/>
        </w:rPr>
        <w:t xml:space="preserve"> the UAE as a seat of arbitration to settle </w:t>
      </w:r>
      <w:r w:rsidRPr="003F68BC">
        <w:t>public sector infrastructure project disputes</w:t>
      </w:r>
      <w:r w:rsidRPr="003F68BC">
        <w:rPr>
          <w:rFonts w:eastAsia="Calibri"/>
          <w:lang w:val="en-US"/>
        </w:rPr>
        <w:t>.</w:t>
      </w:r>
    </w:p>
    <w:p w14:paraId="44C1E54E" w14:textId="77777777" w:rsidR="00D96A24" w:rsidRPr="003F68BC" w:rsidRDefault="00D96A24" w:rsidP="00D96A24">
      <w:pPr>
        <w:spacing w:line="480" w:lineRule="auto"/>
        <w:jc w:val="both"/>
        <w:rPr>
          <w:rFonts w:eastAsia="Calibri"/>
          <w:lang w:val="en-US"/>
        </w:rPr>
      </w:pPr>
    </w:p>
    <w:p w14:paraId="5D86ADE9" w14:textId="77777777" w:rsidR="00D96A24" w:rsidRPr="003F68BC" w:rsidRDefault="00D96A24" w:rsidP="00D96A24">
      <w:pPr>
        <w:spacing w:line="480" w:lineRule="auto"/>
        <w:jc w:val="both"/>
        <w:rPr>
          <w:rFonts w:eastAsia="Calibri"/>
          <w:i/>
          <w:lang w:val="en-US"/>
        </w:rPr>
      </w:pPr>
      <w:r w:rsidRPr="003F68BC">
        <w:rPr>
          <w:rFonts w:eastAsia="Calibri"/>
          <w:i/>
          <w:lang w:val="en-US"/>
        </w:rPr>
        <w:t>5.4 Why these differences?</w:t>
      </w:r>
    </w:p>
    <w:p w14:paraId="12CAB5EA" w14:textId="2AA1A3CC" w:rsidR="00D96A24" w:rsidRPr="003F68BC" w:rsidRDefault="00D96744" w:rsidP="00D96A24">
      <w:pPr>
        <w:spacing w:line="480" w:lineRule="auto"/>
        <w:jc w:val="both"/>
      </w:pPr>
      <w:r>
        <w:t>Reasons</w:t>
      </w:r>
      <w:r w:rsidR="00D96A24" w:rsidRPr="003F68BC">
        <w:t xml:space="preserve"> for these differences can be gleaned from prior studies. Angell and </w:t>
      </w:r>
      <w:proofErr w:type="spellStart"/>
      <w:r w:rsidR="00D96A24" w:rsidRPr="003F68BC">
        <w:t>Feulner</w:t>
      </w:r>
      <w:proofErr w:type="spellEnd"/>
      <w:r w:rsidR="00D96A24" w:rsidRPr="003F68BC">
        <w:t xml:space="preserve"> (1988) observed major disparities in terms of arbitration practice in the three largest </w:t>
      </w:r>
      <w:r w:rsidR="00D96A24" w:rsidRPr="003F68BC">
        <w:rPr>
          <w:i/>
        </w:rPr>
        <w:t>emirates</w:t>
      </w:r>
      <w:r w:rsidR="00D96A24" w:rsidRPr="003F68BC">
        <w:t xml:space="preserve"> within the UAE; that is Abu Dhabi, Dubai and Sharjah.  For example, in their study, it appeared that courts sitting in Abu Dhabi were more willing to seek to regulate how arbitration proceedings were </w:t>
      </w:r>
      <w:r w:rsidR="00D96A24" w:rsidRPr="003F68BC">
        <w:lastRenderedPageBreak/>
        <w:t>conducted</w:t>
      </w:r>
      <w:r>
        <w:t>,</w:t>
      </w:r>
      <w:r w:rsidR="00D96A24" w:rsidRPr="003F68BC">
        <w:t xml:space="preserve"> while court</w:t>
      </w:r>
      <w:r>
        <w:t>s</w:t>
      </w:r>
      <w:r w:rsidR="00D96A24" w:rsidRPr="003F68BC">
        <w:t xml:space="preserve"> sitting in Dubai appeared more disposed to refuse to interfere with arbitration proceedings where there </w:t>
      </w:r>
      <w:r>
        <w:t>are</w:t>
      </w:r>
      <w:r w:rsidR="00D96A24" w:rsidRPr="003F68BC">
        <w:t xml:space="preserve"> valid arbitration contract</w:t>
      </w:r>
      <w:r>
        <w:t>s</w:t>
      </w:r>
      <w:r w:rsidR="00D96A24" w:rsidRPr="003F68BC">
        <w:t>. This implies</w:t>
      </w:r>
      <w:r>
        <w:t xml:space="preserve">, </w:t>
      </w:r>
      <w:r w:rsidR="00D96A24" w:rsidRPr="003F68BC">
        <w:t>drawing from our earlier discussions</w:t>
      </w:r>
      <w:r>
        <w:t>,</w:t>
      </w:r>
      <w:r w:rsidR="00D96A24" w:rsidRPr="003F68BC">
        <w:t xml:space="preserve"> that arbitration practice in Abu Dhabi is dominated by ‘</w:t>
      </w:r>
      <w:r w:rsidR="00D96A24" w:rsidRPr="003F68BC">
        <w:rPr>
          <w:i/>
        </w:rPr>
        <w:t>jurisdictional theory’</w:t>
      </w:r>
      <w:r>
        <w:rPr>
          <w:i/>
        </w:rPr>
        <w:t>,</w:t>
      </w:r>
      <w:r w:rsidR="00D96A24" w:rsidRPr="003F68BC">
        <w:t xml:space="preserve"> wh</w:t>
      </w:r>
      <w:r>
        <w:t>ereas</w:t>
      </w:r>
      <w:r w:rsidR="00D96A24" w:rsidRPr="003F68BC">
        <w:t xml:space="preserve"> in Dubai, it </w:t>
      </w:r>
      <w:r>
        <w:t>is</w:t>
      </w:r>
      <w:r w:rsidR="00D96A24" w:rsidRPr="003F68BC">
        <w:t xml:space="preserve"> dominated by ‘</w:t>
      </w:r>
      <w:r w:rsidR="00D96A24" w:rsidRPr="003F68BC">
        <w:rPr>
          <w:i/>
        </w:rPr>
        <w:t>hybrid theory’</w:t>
      </w:r>
      <w:r w:rsidR="00D96A24" w:rsidRPr="003F68BC">
        <w:t xml:space="preserve">.  Interestingly, Angell and </w:t>
      </w:r>
      <w:proofErr w:type="spellStart"/>
      <w:r w:rsidR="00D96A24" w:rsidRPr="003F68BC">
        <w:t>Feulner</w:t>
      </w:r>
      <w:proofErr w:type="spellEnd"/>
      <w:r w:rsidR="00D96A24" w:rsidRPr="003F68BC">
        <w:t xml:space="preserve"> (1988) also found that the courts in Sharjah would </w:t>
      </w:r>
      <w:r w:rsidR="00D96A24" w:rsidRPr="003F68BC">
        <w:rPr>
          <w:i/>
        </w:rPr>
        <w:t>stay</w:t>
      </w:r>
      <w:r w:rsidR="00D96A24" w:rsidRPr="003F68BC">
        <w:t>, but not dismiss such applications. The</w:t>
      </w:r>
      <w:r>
        <w:t>re</w:t>
      </w:r>
      <w:r w:rsidR="00D96A24" w:rsidRPr="003F68BC">
        <w:t xml:space="preserve"> could be historical reasons for these findings.  </w:t>
      </w:r>
      <w:r>
        <w:t xml:space="preserve">For example, </w:t>
      </w:r>
      <w:r w:rsidR="00D96A24" w:rsidRPr="003F68BC">
        <w:t>Al-</w:t>
      </w:r>
      <w:proofErr w:type="spellStart"/>
      <w:r w:rsidR="00D96A24" w:rsidRPr="003F68BC">
        <w:t>Muhairi</w:t>
      </w:r>
      <w:proofErr w:type="spellEnd"/>
      <w:r w:rsidR="00D96A24" w:rsidRPr="003F68BC">
        <w:t xml:space="preserve"> (1996a) </w:t>
      </w:r>
      <w:r>
        <w:t>regarded</w:t>
      </w:r>
      <w:r w:rsidR="00D96A24" w:rsidRPr="003F68BC">
        <w:t xml:space="preserve"> Dubai</w:t>
      </w:r>
      <w:r>
        <w:t xml:space="preserve"> as</w:t>
      </w:r>
      <w:r w:rsidR="00D96A24" w:rsidRPr="003F68BC">
        <w:t xml:space="preserve"> drawing upon more secular mechanisms during the establishment and organisation of its courts. It is possible that such secularism has encouraged the Dubai courts to be less willing to interfere with arbitration proceedings and awards. Drawing from the literature, it is safe to suggest that of the other </w:t>
      </w:r>
      <w:r w:rsidR="00D96A24" w:rsidRPr="003F68BC">
        <w:rPr>
          <w:i/>
        </w:rPr>
        <w:t>Emirates</w:t>
      </w:r>
      <w:r w:rsidR="00D96A24" w:rsidRPr="003F68BC">
        <w:t xml:space="preserve"> of Fujairah, Ajman, Ras al Khaimah and Umm al Quwain, Ras al Khaimah is likely to be placed at the same spectrum of doctrinal interpretation of the </w:t>
      </w:r>
      <w:r w:rsidR="00D96A24" w:rsidRPr="003F68BC">
        <w:rPr>
          <w:i/>
        </w:rPr>
        <w:t>finality</w:t>
      </w:r>
      <w:r w:rsidR="00D96A24" w:rsidRPr="003F68BC">
        <w:t xml:space="preserve">, </w:t>
      </w:r>
      <w:r w:rsidR="00D96A24" w:rsidRPr="003F68BC">
        <w:rPr>
          <w:i/>
        </w:rPr>
        <w:t>conclusiveness</w:t>
      </w:r>
      <w:r w:rsidR="00D96A24" w:rsidRPr="003F68BC">
        <w:t xml:space="preserve"> and </w:t>
      </w:r>
      <w:r w:rsidR="00D96A24" w:rsidRPr="003F68BC">
        <w:rPr>
          <w:i/>
        </w:rPr>
        <w:t>binding</w:t>
      </w:r>
      <w:r w:rsidR="00D96A24" w:rsidRPr="003F68BC">
        <w:t xml:space="preserve"> nature of arbitration conducted within the public sector infrastructure project space. Luttrell (2009) had specifically suggested that entities that conduct business in the UAE might be best advised to undertake their commercial activities in either Dubai or Ras al Khaimah. Similarly, our study findings suggest</w:t>
      </w:r>
      <w:r>
        <w:t xml:space="preserve"> </w:t>
      </w:r>
      <w:r w:rsidR="00D96A24" w:rsidRPr="003F68BC">
        <w:t>that private business entities engaged in public sector infrastructure project implementation and delivery in the UAE</w:t>
      </w:r>
      <w:r>
        <w:t>,</w:t>
      </w:r>
      <w:r w:rsidR="00D96A24" w:rsidRPr="003F68BC">
        <w:t xml:space="preserve"> or those seeking to utilise the UAE as the seat of their arbitration</w:t>
      </w:r>
      <w:r>
        <w:t>,</w:t>
      </w:r>
      <w:r w:rsidR="00D96A24" w:rsidRPr="003F68BC">
        <w:t xml:space="preserve"> are best</w:t>
      </w:r>
      <w:r>
        <w:t xml:space="preserve"> advised</w:t>
      </w:r>
      <w:r w:rsidR="00D96A24" w:rsidRPr="003F68BC">
        <w:t xml:space="preserve"> to s</w:t>
      </w:r>
      <w:r w:rsidR="00B9662B">
        <w:t>elect</w:t>
      </w:r>
      <w:r w:rsidR="00D96A24" w:rsidRPr="003F68BC">
        <w:t xml:space="preserve"> the</w:t>
      </w:r>
      <w:r w:rsidR="00B9662B">
        <w:t>ir</w:t>
      </w:r>
      <w:r w:rsidR="00D96A24" w:rsidRPr="003F68BC">
        <w:t xml:space="preserve"> </w:t>
      </w:r>
      <w:r w:rsidR="00B9662B">
        <w:t xml:space="preserve">preferred </w:t>
      </w:r>
      <w:r w:rsidR="00D96A24" w:rsidRPr="003F68BC">
        <w:t xml:space="preserve">seat of arbitration as Dubai (and by implication, also Ras al Khaimah). However, this is only on the condition that their legal strategy </w:t>
      </w:r>
      <w:r w:rsidR="00D96A24" w:rsidRPr="003F68BC">
        <w:rPr>
          <w:i/>
        </w:rPr>
        <w:t>fully</w:t>
      </w:r>
      <w:r w:rsidR="00D96A24" w:rsidRPr="003F68BC">
        <w:t xml:space="preserve"> desires the need for </w:t>
      </w:r>
      <w:r w:rsidR="00D96A24" w:rsidRPr="003F68BC">
        <w:rPr>
          <w:i/>
        </w:rPr>
        <w:t>finality</w:t>
      </w:r>
      <w:r w:rsidR="00D96A24" w:rsidRPr="003F68BC">
        <w:t>,</w:t>
      </w:r>
      <w:r>
        <w:t xml:space="preserve"> as well as</w:t>
      </w:r>
      <w:r w:rsidR="00D96A24" w:rsidRPr="003F68BC">
        <w:t xml:space="preserve"> </w:t>
      </w:r>
      <w:r w:rsidR="00D96A24" w:rsidRPr="003F68BC">
        <w:rPr>
          <w:i/>
        </w:rPr>
        <w:t>conclusive</w:t>
      </w:r>
      <w:r w:rsidR="00D96A24" w:rsidRPr="003F68BC">
        <w:t xml:space="preserve"> and </w:t>
      </w:r>
      <w:r w:rsidR="00D96A24" w:rsidRPr="003F68BC">
        <w:rPr>
          <w:i/>
        </w:rPr>
        <w:t>binding</w:t>
      </w:r>
      <w:r w:rsidR="00D96A24" w:rsidRPr="003F68BC">
        <w:t xml:space="preserve"> arbitration. Conversely, private business entities engaged in public sector infrastructure project implementation and delivery in the UAE</w:t>
      </w:r>
      <w:r w:rsidR="00B9662B">
        <w:t>,</w:t>
      </w:r>
      <w:r w:rsidR="00D96A24" w:rsidRPr="003F68BC">
        <w:t xml:space="preserve"> or parties seeking to utilise the UAE as the</w:t>
      </w:r>
      <w:r w:rsidR="00B9662B">
        <w:t>ir</w:t>
      </w:r>
      <w:r w:rsidR="00D96A24" w:rsidRPr="003F68BC">
        <w:t xml:space="preserve"> seat of their arbitration</w:t>
      </w:r>
      <w:r w:rsidR="00B9662B">
        <w:t>,</w:t>
      </w:r>
      <w:r w:rsidR="00D96A24" w:rsidRPr="003F68BC">
        <w:t xml:space="preserve"> are best </w:t>
      </w:r>
      <w:r w:rsidR="00B9662B">
        <w:t xml:space="preserve">advised </w:t>
      </w:r>
      <w:r w:rsidR="00D96A24" w:rsidRPr="003F68BC">
        <w:t xml:space="preserve">to </w:t>
      </w:r>
      <w:r w:rsidR="00B9662B">
        <w:t>select</w:t>
      </w:r>
      <w:r w:rsidR="00D96A24" w:rsidRPr="003F68BC">
        <w:t xml:space="preserve"> the</w:t>
      </w:r>
      <w:r w:rsidR="00B9662B">
        <w:t>ir preferred</w:t>
      </w:r>
      <w:r w:rsidR="00D96A24" w:rsidRPr="003F68BC">
        <w:t xml:space="preserve"> seat of arbitration as Abu Dhabi (and by implication, also Fujairah, Ajman, and Umm al Quwain). However, this is only on the condition that their legal strategy </w:t>
      </w:r>
      <w:r w:rsidR="00D96A24" w:rsidRPr="003F68BC">
        <w:rPr>
          <w:i/>
        </w:rPr>
        <w:t>does not</w:t>
      </w:r>
      <w:r w:rsidR="00D96A24" w:rsidRPr="003F68BC">
        <w:t xml:space="preserve"> </w:t>
      </w:r>
      <w:r w:rsidR="00B9662B">
        <w:lastRenderedPageBreak/>
        <w:t>place great value on</w:t>
      </w:r>
      <w:r w:rsidR="00D96A24" w:rsidRPr="003F68BC">
        <w:t xml:space="preserve"> the need for </w:t>
      </w:r>
      <w:r w:rsidR="00D96A24" w:rsidRPr="003F68BC">
        <w:rPr>
          <w:i/>
        </w:rPr>
        <w:t>finality</w:t>
      </w:r>
      <w:r w:rsidR="00D96A24" w:rsidRPr="003F68BC">
        <w:t xml:space="preserve">, </w:t>
      </w:r>
      <w:r w:rsidR="00B9662B">
        <w:t xml:space="preserve">as well as for </w:t>
      </w:r>
      <w:r w:rsidR="00D96A24" w:rsidRPr="003F68BC">
        <w:rPr>
          <w:i/>
        </w:rPr>
        <w:t>conclusive</w:t>
      </w:r>
      <w:r w:rsidR="00D96A24" w:rsidRPr="003F68BC">
        <w:t xml:space="preserve"> and </w:t>
      </w:r>
      <w:r w:rsidR="00D96A24" w:rsidRPr="003F68BC">
        <w:rPr>
          <w:i/>
        </w:rPr>
        <w:t>binding</w:t>
      </w:r>
      <w:r w:rsidR="00D96A24" w:rsidRPr="003F68BC">
        <w:t xml:space="preserve"> arbitration. When considered in light of earlier studies by Angell and </w:t>
      </w:r>
      <w:proofErr w:type="spellStart"/>
      <w:r w:rsidR="00D96A24" w:rsidRPr="003F68BC">
        <w:t>Feulner</w:t>
      </w:r>
      <w:proofErr w:type="spellEnd"/>
      <w:r w:rsidR="00D96A24" w:rsidRPr="003F68BC">
        <w:t xml:space="preserve"> (1988), if the legal strategy during dispute resolution conducted within the public sector infrastructure project space entail</w:t>
      </w:r>
      <w:r w:rsidR="00B9662B">
        <w:t>s</w:t>
      </w:r>
      <w:r w:rsidR="00D96A24" w:rsidRPr="003F68BC">
        <w:t xml:space="preserve"> a ‘wait and see’ approach, then it may be best to s</w:t>
      </w:r>
      <w:r w:rsidR="00B9662B">
        <w:t>elect Sharjah as the preferred</w:t>
      </w:r>
      <w:r w:rsidR="00D96A24" w:rsidRPr="003F68BC">
        <w:t xml:space="preserve"> seat of arbitration.  </w:t>
      </w:r>
    </w:p>
    <w:p w14:paraId="05B18590" w14:textId="77777777" w:rsidR="00D96A24" w:rsidRPr="003F68BC" w:rsidRDefault="00D96A24" w:rsidP="00D96A24">
      <w:pPr>
        <w:spacing w:line="480" w:lineRule="auto"/>
        <w:jc w:val="both"/>
      </w:pPr>
    </w:p>
    <w:p w14:paraId="065D9798" w14:textId="77777777" w:rsidR="00D96A24" w:rsidRPr="003F68BC" w:rsidRDefault="00D96A24" w:rsidP="00D96A24">
      <w:pPr>
        <w:spacing w:line="480" w:lineRule="auto"/>
        <w:jc w:val="both"/>
        <w:rPr>
          <w:b/>
        </w:rPr>
      </w:pPr>
      <w:r w:rsidRPr="003F68BC">
        <w:rPr>
          <w:b/>
        </w:rPr>
        <w:t>6. Conclusions</w:t>
      </w:r>
    </w:p>
    <w:p w14:paraId="4F8D5120" w14:textId="5777F1AE" w:rsidR="00D96A24" w:rsidRPr="003F68BC" w:rsidRDefault="00D96A24" w:rsidP="00D96A24">
      <w:pPr>
        <w:spacing w:line="480" w:lineRule="auto"/>
        <w:jc w:val="both"/>
      </w:pPr>
      <w:r w:rsidRPr="003F68BC">
        <w:t>We set out in this paper to draw upon on the legal perspective of public policy</w:t>
      </w:r>
      <w:r w:rsidR="00B9662B">
        <w:t>, in order</w:t>
      </w:r>
      <w:r w:rsidRPr="003F68BC">
        <w:t xml:space="preserve"> to explore how jurisdictional concurrency impact</w:t>
      </w:r>
      <w:r w:rsidR="00B9662B">
        <w:t>s</w:t>
      </w:r>
      <w:r w:rsidRPr="003F68BC">
        <w:t xml:space="preserve"> the finality of arbitration proceedings resolution</w:t>
      </w:r>
      <w:r w:rsidR="00B9662B">
        <w:t>s</w:t>
      </w:r>
      <w:r w:rsidRPr="003F68BC">
        <w:t xml:space="preserve"> </w:t>
      </w:r>
      <w:r w:rsidR="001973C0">
        <w:t>arrived at</w:t>
      </w:r>
      <w:r w:rsidRPr="003F68BC">
        <w:t xml:space="preserve"> within public sector infrastructure project space</w:t>
      </w:r>
      <w:r w:rsidR="00014D73">
        <w:t>s</w:t>
      </w:r>
      <w:r w:rsidRPr="003F68BC">
        <w:t>. In doing so, our study contributes to the developing body of literature focused on the interface between public policy and projects. Our focus on the concept of public policy is representative of its recent emergence in regular project management discourse</w:t>
      </w:r>
      <w:r w:rsidRPr="003F68BC">
        <w:rPr>
          <w:bCs/>
        </w:rPr>
        <w:t>. Three such studies</w:t>
      </w:r>
      <w:r w:rsidR="005E3ED8">
        <w:rPr>
          <w:bCs/>
        </w:rPr>
        <w:t>:</w:t>
      </w:r>
      <w:r w:rsidRPr="003F68BC">
        <w:rPr>
          <w:bCs/>
        </w:rPr>
        <w:t xml:space="preserve"> </w:t>
      </w:r>
      <w:r w:rsidRPr="003F68BC">
        <w:t>Winch and Sanderson (2015), Sanderson and Winch (2017) and Ojiako (2019)</w:t>
      </w:r>
      <w:r w:rsidR="005E3ED8">
        <w:t>,</w:t>
      </w:r>
      <w:r w:rsidRPr="003F68BC">
        <w:t xml:space="preserve"> are particularly relevant. Winch and Sanderson (2015) and Sanderson and Winch (2017)</w:t>
      </w:r>
      <w:r w:rsidR="005E3ED8">
        <w:t>,</w:t>
      </w:r>
      <w:r w:rsidRPr="003F68BC">
        <w:t xml:space="preserve"> for example, identified the relationship between public policy and project management as being exhibited in any of the following eight areas</w:t>
      </w:r>
      <w:r w:rsidR="005E3ED8">
        <w:t>:</w:t>
      </w:r>
      <w:r w:rsidRPr="003F68BC">
        <w:t xml:space="preserve"> (i) infrastructure gap and public policy</w:t>
      </w:r>
      <w:r w:rsidR="005E3ED8">
        <w:t>,</w:t>
      </w:r>
      <w:r w:rsidRPr="003F68BC">
        <w:t xml:space="preserve"> (ii) procurement in the public sector</w:t>
      </w:r>
      <w:r w:rsidR="005E3ED8">
        <w:t>,</w:t>
      </w:r>
      <w:r w:rsidRPr="003F68BC">
        <w:t xml:space="preserve"> (iii) project management standards and bodies of knowledge</w:t>
      </w:r>
      <w:r w:rsidR="005E3ED8">
        <w:t>,</w:t>
      </w:r>
      <w:r w:rsidRPr="003F68BC">
        <w:t xml:space="preserve"> (iv) project and programme governance</w:t>
      </w:r>
      <w:r w:rsidR="005E3ED8">
        <w:t>,</w:t>
      </w:r>
      <w:r w:rsidRPr="003F68BC">
        <w:t xml:space="preserve"> (v) maintenance and improvement of labour standards</w:t>
      </w:r>
      <w:r w:rsidR="005E3ED8">
        <w:t>,</w:t>
      </w:r>
      <w:r w:rsidRPr="003F68BC">
        <w:t xml:space="preserve"> (vi) mechanisms for handling public interest controversies</w:t>
      </w:r>
      <w:r w:rsidR="005E3ED8">
        <w:t>,</w:t>
      </w:r>
      <w:r w:rsidRPr="003F68BC">
        <w:t xml:space="preserve"> (vii) regulatory arrangements</w:t>
      </w:r>
      <w:r w:rsidR="005E3ED8">
        <w:t xml:space="preserve"> and</w:t>
      </w:r>
      <w:r w:rsidRPr="003F68BC">
        <w:t xml:space="preserve"> (viii) public policy projects initiatives. In Ojiako (2019), the legal perspective of public policy was espoused set</w:t>
      </w:r>
      <w:r w:rsidR="00494244">
        <w:t>ting</w:t>
      </w:r>
      <w:r w:rsidRPr="003F68BC">
        <w:t xml:space="preserve"> out relevant enabling frameworks and authoritative context</w:t>
      </w:r>
      <w:r w:rsidR="005E3ED8">
        <w:t>s that</w:t>
      </w:r>
      <w:r w:rsidRPr="003F68BC">
        <w:t xml:space="preserve"> public sector infrastructure projects require for successful implementation and delivery. While these studies </w:t>
      </w:r>
      <w:r w:rsidR="005E3ED8">
        <w:t>offer</w:t>
      </w:r>
      <w:r w:rsidRPr="003F68BC">
        <w:t xml:space="preserve"> particularly </w:t>
      </w:r>
      <w:r w:rsidR="005E3ED8">
        <w:t>important reference points for the ongoing</w:t>
      </w:r>
      <w:r w:rsidRPr="003F68BC">
        <w:t xml:space="preserve"> development of the literature, they are limited in terms of</w:t>
      </w:r>
      <w:r w:rsidR="005E3ED8">
        <w:t xml:space="preserve"> their</w:t>
      </w:r>
      <w:r w:rsidRPr="003F68BC">
        <w:t xml:space="preserve"> application. For one, they are predominantly conceptual </w:t>
      </w:r>
      <w:r w:rsidRPr="003F68BC">
        <w:lastRenderedPageBreak/>
        <w:t>in nature. Thus, in undertaking our empirical study, we sought to supply a more robust foundation upon which public policy and project management discourse could be developed.</w:t>
      </w:r>
    </w:p>
    <w:p w14:paraId="7B6E0739" w14:textId="4B06990A" w:rsidR="00D96A24" w:rsidRPr="003F68BC" w:rsidRDefault="00D96A24" w:rsidP="003F75FE">
      <w:pPr>
        <w:autoSpaceDE w:val="0"/>
        <w:autoSpaceDN w:val="0"/>
        <w:adjustRightInd w:val="0"/>
        <w:spacing w:line="480" w:lineRule="auto"/>
        <w:ind w:firstLine="720"/>
        <w:jc w:val="both"/>
      </w:pPr>
      <w:r w:rsidRPr="003F68BC">
        <w:t>The study findings raised a number of points which should be</w:t>
      </w:r>
      <w:r w:rsidR="006516C6">
        <w:t xml:space="preserve"> of</w:t>
      </w:r>
      <w:r w:rsidRPr="003F68BC">
        <w:t xml:space="preserve"> particular interest to not only project management scholars and commentators, but also to professional services</w:t>
      </w:r>
      <w:r w:rsidR="006516C6">
        <w:t xml:space="preserve"> and</w:t>
      </w:r>
      <w:r w:rsidRPr="003F68BC">
        <w:t xml:space="preserve"> project manage</w:t>
      </w:r>
      <w:r w:rsidR="006516C6">
        <w:t>ment practitioners</w:t>
      </w:r>
      <w:r w:rsidRPr="003F68BC">
        <w:t>. One particular point of interest is the</w:t>
      </w:r>
      <w:r w:rsidR="006516C6">
        <w:t xml:space="preserve"> present study illustrates considerable</w:t>
      </w:r>
      <w:r w:rsidRPr="003F68BC">
        <w:t xml:space="preserve"> potential for professional services project managers to engage in </w:t>
      </w:r>
      <w:r w:rsidR="006516C6">
        <w:t xml:space="preserve">more </w:t>
      </w:r>
      <w:r w:rsidRPr="003F68BC">
        <w:t>arbitration risk intelligence</w:t>
      </w:r>
      <w:r w:rsidR="006516C6">
        <w:t xml:space="preserve"> work</w:t>
      </w:r>
      <w:r w:rsidRPr="003F68BC">
        <w:t xml:space="preserve"> and </w:t>
      </w:r>
      <w:r w:rsidR="006516C6">
        <w:t xml:space="preserve">associated </w:t>
      </w:r>
      <w:r w:rsidRPr="003F68BC">
        <w:t xml:space="preserve">knowledge production. We opine that developing expertise in this area will ultimately enhance mutually beneficial knowledge transfer across the consultant - client interface (Wen et al., 2017). We </w:t>
      </w:r>
      <w:r w:rsidR="006516C6">
        <w:t xml:space="preserve">do </w:t>
      </w:r>
      <w:r w:rsidRPr="003F68BC">
        <w:t>however posit that the call for arbitration risk intelligence and knowledge production does not and should not be viewed as taking project management practitioners outside the realm of their ‘normal’ professional competency. This is because the legal issues are</w:t>
      </w:r>
      <w:r w:rsidR="006516C6">
        <w:t>, we would strongly suggest,</w:t>
      </w:r>
      <w:r w:rsidRPr="003F68BC">
        <w:t xml:space="preserve"> not only part of project management scholarship (</w:t>
      </w:r>
      <w:proofErr w:type="spellStart"/>
      <w:r w:rsidRPr="003F68BC">
        <w:t>Bredillet</w:t>
      </w:r>
      <w:proofErr w:type="spellEnd"/>
      <w:r w:rsidRPr="003F68BC">
        <w:t>, 2008), but also a key determining factor for successful implementation of infrastructure delivery (</w:t>
      </w:r>
      <w:proofErr w:type="spellStart"/>
      <w:r w:rsidRPr="003F68BC">
        <w:t>Padroth</w:t>
      </w:r>
      <w:proofErr w:type="spellEnd"/>
      <w:r w:rsidRPr="003F68BC">
        <w:t xml:space="preserve"> et al., 2017). </w:t>
      </w:r>
      <w:r w:rsidR="006516C6">
        <w:t xml:space="preserve">All project disputes, after all, will have some operational character prior to their becoming legal in nature. </w:t>
      </w:r>
      <w:r w:rsidRPr="003F68BC">
        <w:t xml:space="preserve">Due to the complexity and ambiguities of public sector infrastructure project implementation and delivery, the consequences of any failure and resulting disputes, </w:t>
      </w:r>
      <w:r w:rsidR="006516C6">
        <w:t>some working</w:t>
      </w:r>
      <w:r w:rsidRPr="003F68BC">
        <w:t xml:space="preserve"> understanding of the law is</w:t>
      </w:r>
      <w:r w:rsidR="006516C6">
        <w:t xml:space="preserve"> also, of course,</w:t>
      </w:r>
      <w:r w:rsidRPr="003F68BC">
        <w:t xml:space="preserve"> paramount </w:t>
      </w:r>
      <w:r w:rsidR="006516C6">
        <w:t>for any</w:t>
      </w:r>
      <w:r w:rsidRPr="003F68BC">
        <w:t xml:space="preserve"> project management professional (</w:t>
      </w:r>
      <w:proofErr w:type="spellStart"/>
      <w:r w:rsidRPr="003F68BC">
        <w:t>Padroth</w:t>
      </w:r>
      <w:proofErr w:type="spellEnd"/>
      <w:r w:rsidRPr="003F68BC">
        <w:t xml:space="preserve"> et al. 2017). We are aware that there is a view in the literature that the increasing prevalence of disputes in the public sector infrastructure (and construction) sector might be traced to professional services project managers inadvertently relinquishing on their crucial advisory role in the industry (see Wen et al. 2017). Increasingly</w:t>
      </w:r>
      <w:r w:rsidR="006516C6">
        <w:t>,</w:t>
      </w:r>
      <w:r w:rsidRPr="003F68BC">
        <w:t xml:space="preserve"> lawyers are forming the bulk of the ‘institutional’ practitioners in arbitration (Gaillard, 2015). However, professional services project managers should not necessarily allow</w:t>
      </w:r>
      <w:r w:rsidR="006516C6">
        <w:t>,</w:t>
      </w:r>
      <w:r w:rsidRPr="003F68BC">
        <w:t xml:space="preserve"> by disinterest or</w:t>
      </w:r>
      <w:r w:rsidR="006516C6">
        <w:t xml:space="preserve"> by</w:t>
      </w:r>
      <w:r w:rsidRPr="003F68BC">
        <w:t xml:space="preserve"> perceived lack of </w:t>
      </w:r>
      <w:r w:rsidRPr="003F68BC">
        <w:lastRenderedPageBreak/>
        <w:t xml:space="preserve">relevant skills and competencies, for lawyers to </w:t>
      </w:r>
      <w:proofErr w:type="spellStart"/>
      <w:r w:rsidRPr="003F68BC">
        <w:rPr>
          <w:i/>
        </w:rPr>
        <w:t>juridify</w:t>
      </w:r>
      <w:proofErr w:type="spellEnd"/>
      <w:r w:rsidRPr="003F68BC">
        <w:t xml:space="preserve"> and </w:t>
      </w:r>
      <w:r w:rsidR="006516C6">
        <w:t>excessively</w:t>
      </w:r>
      <w:r w:rsidRPr="003F68BC">
        <w:t xml:space="preserve"> dominate the field of Project management professional services. </w:t>
      </w:r>
      <w:r w:rsidR="006516C6">
        <w:t>Rather, we would suggest that p</w:t>
      </w:r>
      <w:r w:rsidRPr="003F68BC">
        <w:t>rofessional services project managers need to develop more awareness of the potential legal issues that are engaged in their projects</w:t>
      </w:r>
      <w:r w:rsidR="006516C6">
        <w:t xml:space="preserve">, and we have advocated the crystallisation of such knowledge as this </w:t>
      </w:r>
      <w:r w:rsidRPr="003F68BC">
        <w:t>as risk intelligence</w:t>
      </w:r>
      <w:r w:rsidR="006516C6">
        <w:t>. discernible through careful research</w:t>
      </w:r>
      <w:r w:rsidRPr="003F68BC">
        <w:t>. Doing so</w:t>
      </w:r>
      <w:r w:rsidR="006516C6">
        <w:t>, we conclude, may place</w:t>
      </w:r>
      <w:r w:rsidRPr="003F68BC">
        <w:t xml:space="preserve"> them in a much </w:t>
      </w:r>
      <w:r w:rsidR="006516C6">
        <w:t xml:space="preserve">stronger </w:t>
      </w:r>
      <w:r w:rsidR="00932704">
        <w:t xml:space="preserve">(more professionally defined and more readily defensible) </w:t>
      </w:r>
      <w:r w:rsidR="006516C6">
        <w:t>support function position from which to</w:t>
      </w:r>
      <w:r w:rsidRPr="003F68BC">
        <w:t xml:space="preserve"> </w:t>
      </w:r>
      <w:r w:rsidR="00932704">
        <w:t>supply</w:t>
      </w:r>
      <w:r w:rsidRPr="003F68BC">
        <w:t xml:space="preserve"> lawyers </w:t>
      </w:r>
      <w:r w:rsidR="00932704">
        <w:t>more  professionally competent in dealing with</w:t>
      </w:r>
      <w:r w:rsidRPr="003F68BC">
        <w:t xml:space="preserve"> detailed rules relating to</w:t>
      </w:r>
      <w:r w:rsidR="00932704">
        <w:t xml:space="preserve"> specific</w:t>
      </w:r>
      <w:r w:rsidRPr="003F68BC">
        <w:t xml:space="preserve"> dispute</w:t>
      </w:r>
      <w:r w:rsidR="00932704">
        <w:t>s</w:t>
      </w:r>
      <w:r w:rsidRPr="003F68BC">
        <w:t xml:space="preserve">, with the best practical </w:t>
      </w:r>
      <w:r w:rsidR="00932704">
        <w:t xml:space="preserve">evidence-based </w:t>
      </w:r>
      <w:r w:rsidRPr="003F68BC">
        <w:t xml:space="preserve">advice on how to deal with emergent challenges. </w:t>
      </w:r>
    </w:p>
    <w:p w14:paraId="4718044D" w14:textId="5729DF43" w:rsidR="00D96A24" w:rsidRPr="003F68BC" w:rsidRDefault="00D96A24" w:rsidP="00D96A24">
      <w:pPr>
        <w:spacing w:line="480" w:lineRule="auto"/>
        <w:ind w:firstLine="720"/>
        <w:jc w:val="both"/>
      </w:pPr>
      <w:r w:rsidRPr="003F68BC">
        <w:t>Th</w:t>
      </w:r>
      <w:r w:rsidR="00932704">
        <w:t>e present</w:t>
      </w:r>
      <w:r w:rsidRPr="003F68BC">
        <w:t xml:space="preserve"> study </w:t>
      </w:r>
      <w:r w:rsidR="00932704">
        <w:t>offers further</w:t>
      </w:r>
      <w:r w:rsidRPr="003F68BC">
        <w:t xml:space="preserve"> theoretical and practical contributions. In terms of theoretical contributions, the study opened a new area of discourse related to the relationship between public policy and projects by specifically seeking to understand how the legal perspective of public policy is impacted by its authoritative context (jurisdictional concurrency)</w:t>
      </w:r>
      <w:r w:rsidR="00932704">
        <w:t>,</w:t>
      </w:r>
      <w:r w:rsidRPr="003F68BC">
        <w:t xml:space="preserve"> and how their confluence will impact on the successful implementation and delivery of public sector infrastructure projects when explored from the perspective of the need for finality in dispute resolution. </w:t>
      </w:r>
    </w:p>
    <w:p w14:paraId="7F69DBB4" w14:textId="7C66E3E1" w:rsidR="00D96A24" w:rsidRPr="003F68BC" w:rsidRDefault="00D96A24" w:rsidP="00D96A24">
      <w:pPr>
        <w:spacing w:line="480" w:lineRule="auto"/>
        <w:ind w:firstLine="720"/>
        <w:jc w:val="both"/>
      </w:pPr>
      <w:r w:rsidRPr="003F68BC">
        <w:t>In terms of practical implications, the study is not only of relevance to project management scholars who may be interested in the legal perspective of public policy (and resultant frameworks and authoritative context), but also private business entities engaged in public sector infrastructure project disputes in the UAE and those seeking to utilise the UAE as the seat of their arbitration. Our findings suggest</w:t>
      </w:r>
      <w:r w:rsidR="00932704">
        <w:t xml:space="preserve"> the existence of</w:t>
      </w:r>
      <w:r w:rsidRPr="003F68BC">
        <w:t xml:space="preserve"> considerab</w:t>
      </w:r>
      <w:r w:rsidR="00932704">
        <w:t>le</w:t>
      </w:r>
      <w:r w:rsidRPr="003F68BC">
        <w:t xml:space="preserve"> </w:t>
      </w:r>
      <w:r w:rsidRPr="003F68BC">
        <w:rPr>
          <w:i/>
        </w:rPr>
        <w:t>intra</w:t>
      </w:r>
      <w:r w:rsidRPr="003F68BC">
        <w:t xml:space="preserve">-national jurisdictional differences in terms of how public policy is construed across national courts within the UAE. Thus, when determining the seat of arbitration within the UAE, interested parties should be mindful that there are </w:t>
      </w:r>
      <w:r w:rsidRPr="003F68BC">
        <w:lastRenderedPageBreak/>
        <w:t xml:space="preserve">differences in terms of the prevailing philosophy of arbitration across the different emirates within the country. </w:t>
      </w:r>
    </w:p>
    <w:p w14:paraId="1B1E9183" w14:textId="6884D2F3" w:rsidR="00D96A24" w:rsidRDefault="00D96A24" w:rsidP="00B8062A">
      <w:pPr>
        <w:spacing w:line="480" w:lineRule="auto"/>
        <w:ind w:firstLine="720"/>
        <w:jc w:val="both"/>
      </w:pPr>
      <w:r w:rsidRPr="003F68BC">
        <w:t xml:space="preserve">As expected, this study was not without limitations. </w:t>
      </w:r>
      <w:r w:rsidR="00BE1192" w:rsidRPr="003F68BC">
        <w:t xml:space="preserve">The first limitation of this study </w:t>
      </w:r>
      <w:r w:rsidR="00BE1192">
        <w:t xml:space="preserve">relates to the limited nature of </w:t>
      </w:r>
      <w:r w:rsidR="00BE1192" w:rsidRPr="003F68BC">
        <w:t>searches on the portals of the UAE federal courts</w:t>
      </w:r>
      <w:r w:rsidR="00BE1192">
        <w:t xml:space="preserve"> (as earlier highlighted, this was due</w:t>
      </w:r>
      <w:r w:rsidR="00D63787">
        <w:t xml:space="preserve"> partly</w:t>
      </w:r>
      <w:r w:rsidR="00BE1192">
        <w:t xml:space="preserve"> to the main researcher</w:t>
      </w:r>
      <w:r w:rsidR="00D63787">
        <w:t>’</w:t>
      </w:r>
      <w:r w:rsidR="00BE1192">
        <w:t>s unfamiliarity with Arabic</w:t>
      </w:r>
      <w:r w:rsidR="00D63787">
        <w:t>,</w:t>
      </w:r>
      <w:r w:rsidR="00BE1192">
        <w:t xml:space="preserve"> and</w:t>
      </w:r>
      <w:r w:rsidR="00D63787">
        <w:t xml:space="preserve"> also</w:t>
      </w:r>
      <w:r w:rsidR="00BE1192">
        <w:t xml:space="preserve"> </w:t>
      </w:r>
      <w:r w:rsidR="00D63787">
        <w:t xml:space="preserve">because the </w:t>
      </w:r>
      <w:r w:rsidR="00BE1192">
        <w:t>majority of UAE federal court p</w:t>
      </w:r>
      <w:r w:rsidR="00BE1192" w:rsidRPr="003F68BC">
        <w:t xml:space="preserve">ortals </w:t>
      </w:r>
      <w:r w:rsidR="00D63787">
        <w:t>did not</w:t>
      </w:r>
      <w:r w:rsidR="00BE1192">
        <w:t xml:space="preserve"> allow for </w:t>
      </w:r>
      <w:r w:rsidR="00BE1192" w:rsidRPr="003F68BC">
        <w:t xml:space="preserve">general searches </w:t>
      </w:r>
      <w:r w:rsidR="00BE1192">
        <w:t xml:space="preserve">in the absence of specific </w:t>
      </w:r>
      <w:r w:rsidR="00BE1192" w:rsidRPr="003F68BC">
        <w:t>case reference number</w:t>
      </w:r>
      <w:r w:rsidR="00BE1192">
        <w:t xml:space="preserve">s). </w:t>
      </w:r>
      <w:r w:rsidRPr="003F68BC">
        <w:t xml:space="preserve">The </w:t>
      </w:r>
      <w:r w:rsidR="00BE1192">
        <w:t>second</w:t>
      </w:r>
      <w:r w:rsidRPr="003F68BC">
        <w:t xml:space="preserve"> limitation of this study is that </w:t>
      </w:r>
      <w:r w:rsidRPr="003F68BC">
        <w:rPr>
          <w:bCs/>
        </w:rPr>
        <w:t>the case laws analysed were based on cases decided on the ‘old’ UAE Arbitration law as articulated under the relevant arbitration provisions of UAE Federal Law 11 of 1992. However, the UAE promulgated a new standalone arbitration law, Federal Law No. 6 of 2018 on Arbitration, as recently as 3 May 2018 (officially gazetted in June 2018)</w:t>
      </w:r>
      <w:r w:rsidR="005E0303">
        <w:rPr>
          <w:bCs/>
        </w:rPr>
        <w:t>,</w:t>
      </w:r>
      <w:r w:rsidRPr="003F68BC">
        <w:rPr>
          <w:bCs/>
        </w:rPr>
        <w:t xml:space="preserve"> which became law in July 2018</w:t>
      </w:r>
      <w:r w:rsidRPr="003F68BC">
        <w:rPr>
          <w:rStyle w:val="FootnoteReference"/>
          <w:bCs/>
        </w:rPr>
        <w:footnoteReference w:id="10"/>
      </w:r>
      <w:r w:rsidRPr="003F68BC">
        <w:rPr>
          <w:bCs/>
        </w:rPr>
        <w:t xml:space="preserve">. </w:t>
      </w:r>
      <w:r w:rsidRPr="003F68BC">
        <w:t xml:space="preserve">The </w:t>
      </w:r>
      <w:r w:rsidR="00BE1192">
        <w:t>third</w:t>
      </w:r>
      <w:r w:rsidR="00BE1192" w:rsidRPr="003F68BC">
        <w:t xml:space="preserve"> </w:t>
      </w:r>
      <w:r w:rsidRPr="003F68BC">
        <w:t>limitation of this study</w:t>
      </w:r>
      <w:r w:rsidR="005E0303">
        <w:t xml:space="preserve"> resulted</w:t>
      </w:r>
      <w:r w:rsidRPr="003F68BC">
        <w:t xml:space="preserve"> from the use of written judicial decisions for case analysis. For one</w:t>
      </w:r>
      <w:r w:rsidR="005E0303">
        <w:t xml:space="preserve"> thing</w:t>
      </w:r>
      <w:r w:rsidRPr="003F68BC">
        <w:t>, the</w:t>
      </w:r>
      <w:r w:rsidR="005E0303">
        <w:t>se</w:t>
      </w:r>
      <w:r w:rsidRPr="003F68BC">
        <w:t xml:space="preserve"> are retrospective in nature</w:t>
      </w:r>
      <w:r w:rsidR="005E0303">
        <w:t>.</w:t>
      </w:r>
      <w:r w:rsidRPr="003F68BC">
        <w:t xml:space="preserve"> </w:t>
      </w:r>
      <w:r w:rsidR="005E0303">
        <w:t>More o</w:t>
      </w:r>
      <w:r w:rsidRPr="003F68BC">
        <w:t>ften than not,</w:t>
      </w:r>
      <w:r w:rsidR="005E0303">
        <w:t xml:space="preserve"> they are likely to have been formed on the basis of some implicit ideological assumptions and motivations that are unknown to the researchers</w:t>
      </w:r>
      <w:r w:rsidRPr="003F68BC">
        <w:t xml:space="preserve">. </w:t>
      </w:r>
      <w:proofErr w:type="spellStart"/>
      <w:r w:rsidRPr="003F68BC">
        <w:t>Keele</w:t>
      </w:r>
      <w:proofErr w:type="spellEnd"/>
      <w:r w:rsidRPr="003F68BC">
        <w:t xml:space="preserve"> et al. (2009) conducted an assessment of the impact of ideology on unpublished and published (written) judicial opinions,  finding that judges in higher courts (where arbitration appeals will be heard), will base their rulings on their ideological inclinations in published (written) opinions, but not so when such opinions were not published. In effect, published (written) judicial decisions may not necessarily be reflective of the ideology or bias of judges in higher courts. Thus, one main message that emanates </w:t>
      </w:r>
      <w:r w:rsidRPr="00B248BB">
        <w:t xml:space="preserve">from </w:t>
      </w:r>
      <w:proofErr w:type="spellStart"/>
      <w:r w:rsidRPr="00B248BB">
        <w:t>Keele</w:t>
      </w:r>
      <w:proofErr w:type="spellEnd"/>
      <w:r w:rsidRPr="00B248BB">
        <w:t xml:space="preserve"> et al. (2009) is that</w:t>
      </w:r>
      <w:r w:rsidRPr="003F68BC">
        <w:t xml:space="preserve"> scholars undertaking case content analysis of published (written) judicial decisions may actually end up not being able to glean an accurate appreciation of the unwritten reasons that influenced the </w:t>
      </w:r>
      <w:r w:rsidR="005E0303">
        <w:t xml:space="preserve">minds of the </w:t>
      </w:r>
      <w:r w:rsidRPr="003F68BC">
        <w:t>decision</w:t>
      </w:r>
      <w:r w:rsidR="005E0303">
        <w:t>-makers</w:t>
      </w:r>
      <w:r w:rsidRPr="003F68BC">
        <w:t xml:space="preserve">. This view </w:t>
      </w:r>
      <w:r w:rsidRPr="003F68BC">
        <w:lastRenderedPageBreak/>
        <w:t xml:space="preserve">is shared by Frank </w:t>
      </w:r>
      <w:r w:rsidR="005E0303">
        <w:t>(</w:t>
      </w:r>
      <w:r w:rsidRPr="003F68BC">
        <w:t>1932) and Boyd (2015). Frank (1932) opined that written judicial decisions are</w:t>
      </w:r>
      <w:r w:rsidR="005E0303">
        <w:t xml:space="preserve"> commonly significant as</w:t>
      </w:r>
      <w:r w:rsidRPr="003F68BC">
        <w:t xml:space="preserve"> “…</w:t>
      </w:r>
      <w:r w:rsidRPr="003F68BC">
        <w:rPr>
          <w:i/>
        </w:rPr>
        <w:t>censored expositions</w:t>
      </w:r>
      <w:r w:rsidRPr="003F68BC">
        <w:t xml:space="preserve">” (p. 653). The </w:t>
      </w:r>
      <w:r w:rsidR="00BE1192">
        <w:t>fourth limitation</w:t>
      </w:r>
      <w:r w:rsidR="00BE1192" w:rsidRPr="003F68BC">
        <w:t xml:space="preserve"> </w:t>
      </w:r>
      <w:r w:rsidRPr="003F68BC">
        <w:t xml:space="preserve">of this study </w:t>
      </w:r>
      <w:r w:rsidR="005E0303">
        <w:t>concerns</w:t>
      </w:r>
      <w:r w:rsidRPr="003F68BC">
        <w:t xml:space="preserve"> </w:t>
      </w:r>
      <w:r w:rsidR="005E0303">
        <w:t>its</w:t>
      </w:r>
      <w:r w:rsidRPr="003F68BC">
        <w:t xml:space="preserve"> coding approach. Coding had commenced by </w:t>
      </w:r>
      <w:r w:rsidRPr="003F68BC">
        <w:rPr>
          <w:i/>
        </w:rPr>
        <w:t>firstly</w:t>
      </w:r>
      <w:r w:rsidRPr="003F68BC">
        <w:t xml:space="preserve"> making reference to the pre-determined case labels (which were designated as </w:t>
      </w:r>
      <w:r w:rsidRPr="003F68BC">
        <w:rPr>
          <w:i/>
        </w:rPr>
        <w:t>first-order codes</w:t>
      </w:r>
      <w:r w:rsidRPr="003F68BC">
        <w:t>). However, earlier studies warn that the uncritical utilisation of legal databases can negatively impact on the validity of the research findings (see Shapiro, 2008). One cited limitation was that research databases sometimes</w:t>
      </w:r>
      <w:r w:rsidRPr="003F68BC">
        <w:rPr>
          <w:bCs/>
        </w:rPr>
        <w:t xml:space="preserve"> label and categorise cases against a very high level of generality. Within the context of this study, the adopted coding approach therefore did have the potential to under-report the considerable amounts of public policy matters</w:t>
      </w:r>
      <w:r w:rsidRPr="003F68BC">
        <w:t xml:space="preserve"> that </w:t>
      </w:r>
      <w:r w:rsidRPr="003F68BC">
        <w:rPr>
          <w:bCs/>
        </w:rPr>
        <w:t xml:space="preserve">the UAE courts have had to address in the various cases. </w:t>
      </w:r>
      <w:r w:rsidRPr="003F68BC">
        <w:t xml:space="preserve">Furthermore, a major problem with the designated </w:t>
      </w:r>
      <w:r w:rsidRPr="003F68BC">
        <w:rPr>
          <w:i/>
        </w:rPr>
        <w:t>first-order codes</w:t>
      </w:r>
      <w:r w:rsidRPr="003F68BC" w:rsidDel="003C6D6A">
        <w:t xml:space="preserve"> </w:t>
      </w:r>
      <w:r w:rsidRPr="003F68BC">
        <w:t xml:space="preserve">is that neither the </w:t>
      </w:r>
      <w:proofErr w:type="spellStart"/>
      <w:r w:rsidRPr="003F68BC">
        <w:rPr>
          <w:i/>
        </w:rPr>
        <w:t>WestlawGulf</w:t>
      </w:r>
      <w:proofErr w:type="spellEnd"/>
      <w:r w:rsidRPr="003F68BC">
        <w:t xml:space="preserve"> nor the </w:t>
      </w:r>
      <w:r w:rsidRPr="003F68BC">
        <w:rPr>
          <w:i/>
        </w:rPr>
        <w:t>DIFC</w:t>
      </w:r>
      <w:r w:rsidRPr="003F68BC">
        <w:t xml:space="preserve"> case reports provided a tangible explanation on how each keyword (</w:t>
      </w:r>
      <w:r w:rsidRPr="003F68BC">
        <w:rPr>
          <w:i/>
        </w:rPr>
        <w:t>first-order code</w:t>
      </w:r>
      <w:r w:rsidRPr="003F68BC">
        <w:t xml:space="preserve">) was determined. The implication of this is that, in reality, one cannot be certain that all </w:t>
      </w:r>
      <w:r w:rsidR="003B2702">
        <w:t>significant</w:t>
      </w:r>
      <w:r w:rsidRPr="003F68BC">
        <w:t xml:space="preserve"> legal and public policy issues arising from each case w</w:t>
      </w:r>
      <w:r w:rsidR="003B2702">
        <w:t>ere</w:t>
      </w:r>
      <w:r w:rsidRPr="003F68BC">
        <w:t xml:space="preserve"> comprehensively captured.</w:t>
      </w:r>
    </w:p>
    <w:p w14:paraId="78A3C9D2" w14:textId="6D7943D0" w:rsidR="007B7EA9" w:rsidRDefault="007B7EA9" w:rsidP="007B7EA9">
      <w:pPr>
        <w:spacing w:line="480" w:lineRule="auto"/>
        <w:jc w:val="both"/>
      </w:pPr>
    </w:p>
    <w:p w14:paraId="7ED21682" w14:textId="77777777" w:rsidR="007B7EA9" w:rsidRPr="007B7EA9" w:rsidRDefault="007B7EA9" w:rsidP="007B7EA9">
      <w:pPr>
        <w:spacing w:line="480" w:lineRule="auto"/>
        <w:jc w:val="both"/>
        <w:rPr>
          <w:b/>
        </w:rPr>
      </w:pPr>
      <w:r w:rsidRPr="007B7EA9">
        <w:rPr>
          <w:b/>
        </w:rPr>
        <w:t>Data Availability Statement</w:t>
      </w:r>
    </w:p>
    <w:p w14:paraId="300439B1" w14:textId="3BEFF611" w:rsidR="008F566D" w:rsidRDefault="007B7EA9" w:rsidP="007B7EA9">
      <w:pPr>
        <w:spacing w:line="480" w:lineRule="auto"/>
        <w:jc w:val="both"/>
        <w:rPr>
          <w:bCs/>
        </w:rPr>
      </w:pPr>
      <w:r w:rsidRPr="007B7EA9">
        <w:rPr>
          <w:bCs/>
        </w:rPr>
        <w:t>Some or all data, models, or code that support the findings of this study are available from the corresponding author upon reasonable request.</w:t>
      </w:r>
    </w:p>
    <w:p w14:paraId="7FBFD000" w14:textId="77777777" w:rsidR="007B7EA9" w:rsidRDefault="007B7EA9" w:rsidP="00F3776B">
      <w:pPr>
        <w:spacing w:line="480" w:lineRule="auto"/>
        <w:ind w:firstLine="720"/>
        <w:jc w:val="both"/>
        <w:rPr>
          <w:bCs/>
        </w:rPr>
      </w:pPr>
    </w:p>
    <w:p w14:paraId="2D26039C" w14:textId="77777777" w:rsidR="008F566D" w:rsidRPr="00816B9F" w:rsidRDefault="008F566D" w:rsidP="00F3776B">
      <w:pPr>
        <w:spacing w:line="480" w:lineRule="auto"/>
        <w:jc w:val="both"/>
        <w:rPr>
          <w:b/>
        </w:rPr>
      </w:pPr>
      <w:r w:rsidRPr="00816B9F">
        <w:rPr>
          <w:b/>
        </w:rPr>
        <w:t>References</w:t>
      </w:r>
    </w:p>
    <w:p w14:paraId="094D74D4" w14:textId="77777777" w:rsidR="009F4823" w:rsidRPr="00B25CDA" w:rsidRDefault="009F4823" w:rsidP="00F3776B">
      <w:pPr>
        <w:spacing w:line="480" w:lineRule="auto"/>
        <w:ind w:left="540" w:hanging="540"/>
        <w:jc w:val="both"/>
        <w:rPr>
          <w:b/>
          <w:bCs/>
        </w:rPr>
      </w:pPr>
      <w:r w:rsidRPr="00B25CDA">
        <w:rPr>
          <w:b/>
          <w:bCs/>
        </w:rPr>
        <w:t>List of Cases</w:t>
      </w:r>
    </w:p>
    <w:p w14:paraId="515BE3D2" w14:textId="77777777" w:rsidR="00185C41" w:rsidRDefault="00185C41" w:rsidP="000B3963">
      <w:pPr>
        <w:spacing w:line="480" w:lineRule="auto"/>
        <w:ind w:left="540" w:hanging="540"/>
        <w:jc w:val="both"/>
      </w:pPr>
      <w:r w:rsidRPr="00185C41">
        <w:t>Abu Dhabi Court of Cassation, Judgment 433/17 of 1997</w:t>
      </w:r>
    </w:p>
    <w:p w14:paraId="4251EC74" w14:textId="4DC31DD2" w:rsidR="00C62788" w:rsidRDefault="00C62788" w:rsidP="000B3963">
      <w:pPr>
        <w:spacing w:line="480" w:lineRule="auto"/>
        <w:ind w:left="540" w:hanging="540"/>
        <w:jc w:val="both"/>
      </w:pPr>
      <w:proofErr w:type="spellStart"/>
      <w:r>
        <w:t>Evanturel</w:t>
      </w:r>
      <w:proofErr w:type="spellEnd"/>
      <w:r>
        <w:t xml:space="preserve"> v </w:t>
      </w:r>
      <w:proofErr w:type="spellStart"/>
      <w:r>
        <w:t>Evanturel</w:t>
      </w:r>
      <w:proofErr w:type="spellEnd"/>
      <w:r>
        <w:t xml:space="preserve"> (1874) The Law Reports (Privy Council Appeals) 6 PC 1 (England and Wales)</w:t>
      </w:r>
    </w:p>
    <w:p w14:paraId="5BE908B0" w14:textId="77777777" w:rsidR="00C62788" w:rsidRDefault="00C62788" w:rsidP="000B3963">
      <w:pPr>
        <w:spacing w:line="480" w:lineRule="auto"/>
        <w:ind w:left="540" w:hanging="540"/>
        <w:jc w:val="both"/>
      </w:pPr>
      <w:r>
        <w:lastRenderedPageBreak/>
        <w:t>International Bechtel Co. Ltd v Department of Civil Aviation of the Government of Dubai, case No. 503/2003 [Court of Cassation]</w:t>
      </w:r>
    </w:p>
    <w:p w14:paraId="15FF2D05" w14:textId="77777777" w:rsidR="00C62788" w:rsidRDefault="00C62788" w:rsidP="000B3963">
      <w:pPr>
        <w:spacing w:line="480" w:lineRule="auto"/>
        <w:ind w:left="540" w:hanging="540"/>
        <w:jc w:val="both"/>
      </w:pPr>
      <w:r>
        <w:t>International Bechtel Co. Ltd v Department of Civil Aviation of the Government of Dubai, case No. 288/2002 [Court of First Instance]</w:t>
      </w:r>
    </w:p>
    <w:p w14:paraId="2F3BF132" w14:textId="77777777" w:rsidR="00B25CDA" w:rsidRDefault="00B25CDA" w:rsidP="00B25CDA">
      <w:pPr>
        <w:spacing w:line="480" w:lineRule="auto"/>
        <w:ind w:left="540" w:hanging="540"/>
        <w:jc w:val="both"/>
      </w:pPr>
    </w:p>
    <w:p w14:paraId="45BBFDE7" w14:textId="7EED97E0" w:rsidR="009F4823" w:rsidRPr="00B25CDA" w:rsidRDefault="009F4823" w:rsidP="00F3776B">
      <w:pPr>
        <w:spacing w:line="480" w:lineRule="auto"/>
        <w:ind w:left="540" w:hanging="540"/>
        <w:jc w:val="both"/>
        <w:rPr>
          <w:b/>
          <w:bCs/>
        </w:rPr>
      </w:pPr>
      <w:r w:rsidRPr="00B25CDA">
        <w:rPr>
          <w:b/>
          <w:bCs/>
        </w:rPr>
        <w:t>List of Acts and Statutes</w:t>
      </w:r>
    </w:p>
    <w:p w14:paraId="584DA2FF" w14:textId="77777777" w:rsidR="00C62788" w:rsidRDefault="00C62788" w:rsidP="00B25CDA">
      <w:pPr>
        <w:spacing w:line="480" w:lineRule="auto"/>
        <w:ind w:left="540" w:hanging="540"/>
        <w:jc w:val="both"/>
      </w:pPr>
      <w:r w:rsidRPr="00C62788">
        <w:t>Arbitration Act 42 of 1965</w:t>
      </w:r>
      <w:r>
        <w:t xml:space="preserve"> (South Africa</w:t>
      </w:r>
      <w:r w:rsidRPr="00C62788">
        <w:t>)</w:t>
      </w:r>
    </w:p>
    <w:p w14:paraId="3572EE26" w14:textId="77777777" w:rsidR="00C62788" w:rsidRDefault="00C62788" w:rsidP="00B25CDA">
      <w:pPr>
        <w:spacing w:line="480" w:lineRule="auto"/>
        <w:ind w:left="540" w:hanging="540"/>
        <w:jc w:val="both"/>
      </w:pPr>
      <w:r>
        <w:t>Federal Law 11 of 1992 (United Arab Emirates)</w:t>
      </w:r>
    </w:p>
    <w:p w14:paraId="1526F5A8" w14:textId="77777777" w:rsidR="00C62788" w:rsidRDefault="00C62788" w:rsidP="00B25CDA">
      <w:pPr>
        <w:spacing w:line="480" w:lineRule="auto"/>
        <w:ind w:left="540" w:hanging="540"/>
        <w:jc w:val="both"/>
      </w:pPr>
      <w:r w:rsidRPr="00C62788">
        <w:t>Federal Law No. 6 of 2018 on Arbitration</w:t>
      </w:r>
      <w:r>
        <w:t xml:space="preserve"> (United Arab Emirates)</w:t>
      </w:r>
    </w:p>
    <w:p w14:paraId="12AAFD4F" w14:textId="77777777" w:rsidR="00C62788" w:rsidRDefault="00C62788" w:rsidP="00B25CDA">
      <w:pPr>
        <w:spacing w:line="480" w:lineRule="auto"/>
        <w:ind w:left="540" w:hanging="540"/>
        <w:jc w:val="both"/>
      </w:pPr>
      <w:r w:rsidRPr="00C62788">
        <w:t>The Arbitration Act 1996 (New Zealand)</w:t>
      </w:r>
    </w:p>
    <w:p w14:paraId="44C479EB" w14:textId="77777777" w:rsidR="00C62788" w:rsidRDefault="00C62788" w:rsidP="00B25CDA">
      <w:pPr>
        <w:spacing w:line="480" w:lineRule="auto"/>
        <w:ind w:left="540" w:hanging="540"/>
        <w:jc w:val="both"/>
      </w:pPr>
      <w:r w:rsidRPr="00C62788">
        <w:t>The Arbitration Act 1996</w:t>
      </w:r>
      <w:r>
        <w:t xml:space="preserve"> (United Kingdom</w:t>
      </w:r>
      <w:r w:rsidRPr="00C62788">
        <w:t>)</w:t>
      </w:r>
    </w:p>
    <w:p w14:paraId="40860B61" w14:textId="77777777" w:rsidR="00C62788" w:rsidRDefault="00C62788" w:rsidP="00B25CDA">
      <w:pPr>
        <w:spacing w:line="480" w:lineRule="auto"/>
        <w:ind w:left="540" w:hanging="540"/>
        <w:jc w:val="both"/>
      </w:pPr>
      <w:r w:rsidRPr="00C62788">
        <w:t>The Federal Arbitration Act 1925</w:t>
      </w:r>
      <w:r>
        <w:t>(United States</w:t>
      </w:r>
      <w:r w:rsidRPr="00C62788">
        <w:t>)</w:t>
      </w:r>
    </w:p>
    <w:p w14:paraId="2CEE9F9D" w14:textId="77777777" w:rsidR="00C62788" w:rsidRDefault="00C62788" w:rsidP="00B25CDA">
      <w:pPr>
        <w:spacing w:line="480" w:lineRule="auto"/>
        <w:ind w:left="540" w:hanging="540"/>
        <w:jc w:val="both"/>
      </w:pPr>
    </w:p>
    <w:p w14:paraId="4998CB93" w14:textId="77777777" w:rsidR="009F4823" w:rsidRPr="00B25CDA" w:rsidRDefault="009F4823" w:rsidP="00F3776B">
      <w:pPr>
        <w:spacing w:line="480" w:lineRule="auto"/>
        <w:ind w:left="540" w:hanging="540"/>
        <w:jc w:val="both"/>
        <w:rPr>
          <w:b/>
          <w:bCs/>
        </w:rPr>
      </w:pPr>
      <w:r w:rsidRPr="00B25CDA">
        <w:rPr>
          <w:b/>
          <w:bCs/>
        </w:rPr>
        <w:t>Works Cited</w:t>
      </w:r>
    </w:p>
    <w:p w14:paraId="5E7D76A0" w14:textId="41B14B0B" w:rsidR="003742DF" w:rsidRPr="00F3776B" w:rsidRDefault="003742DF" w:rsidP="00F3776B">
      <w:pPr>
        <w:spacing w:line="480" w:lineRule="auto"/>
        <w:ind w:left="540" w:hanging="540"/>
        <w:jc w:val="both"/>
      </w:pPr>
      <w:proofErr w:type="spellStart"/>
      <w:r w:rsidRPr="003742DF">
        <w:t>Abwunza</w:t>
      </w:r>
      <w:proofErr w:type="spellEnd"/>
      <w:r w:rsidRPr="003742DF">
        <w:t xml:space="preserve">, A., Peter, T. and </w:t>
      </w:r>
      <w:proofErr w:type="spellStart"/>
      <w:r w:rsidRPr="003742DF">
        <w:t>Muigua</w:t>
      </w:r>
      <w:proofErr w:type="spellEnd"/>
      <w:r w:rsidRPr="003742DF">
        <w:t>, K. 2019. Effectiveness of Arbitration in Contractual Disputes: Tension betw</w:t>
      </w:r>
      <w:r w:rsidRPr="00F3776B">
        <w:t xml:space="preserve">een Procedural Efficiency and Award Quality. </w:t>
      </w:r>
      <w:r w:rsidRPr="00F3776B">
        <w:rPr>
          <w:i/>
        </w:rPr>
        <w:t>ASCE Journal of Legal Affairs and Dispute Resolution in Engineering and Construction</w:t>
      </w:r>
      <w:r w:rsidRPr="00F3776B">
        <w:t>, 11(2), p.04519003.</w:t>
      </w:r>
    </w:p>
    <w:p w14:paraId="0E3CCDFE" w14:textId="77777777" w:rsidR="003742DF" w:rsidRPr="00F3776B" w:rsidRDefault="003742DF" w:rsidP="00F3776B">
      <w:pPr>
        <w:spacing w:line="480" w:lineRule="auto"/>
        <w:ind w:left="540" w:hanging="540"/>
        <w:jc w:val="both"/>
      </w:pPr>
      <w:r w:rsidRPr="00F3776B">
        <w:t xml:space="preserve">AECOM. 2019. </w:t>
      </w:r>
      <w:r w:rsidRPr="00F3776B">
        <w:rPr>
          <w:i/>
        </w:rPr>
        <w:t>Middle East Property and Construction Handbook</w:t>
      </w:r>
      <w:r w:rsidRPr="00F3776B">
        <w:t xml:space="preserve">. </w:t>
      </w:r>
      <w:hyperlink r:id="rId11" w:history="1">
        <w:r w:rsidRPr="00F3776B">
          <w:rPr>
            <w:rStyle w:val="Hyperlink"/>
          </w:rPr>
          <w:t>https://www.aecom.com/ae/wp-content/uploads/2018/10/Construction-Handbook-2018_19.pdf</w:t>
        </w:r>
      </w:hyperlink>
      <w:r w:rsidRPr="00F3776B">
        <w:t>, accessed 22/06/19.</w:t>
      </w:r>
    </w:p>
    <w:p w14:paraId="2E0E78C6" w14:textId="77777777" w:rsidR="003742DF" w:rsidRPr="00F3776B" w:rsidRDefault="003742DF" w:rsidP="00F3776B">
      <w:pPr>
        <w:spacing w:line="480" w:lineRule="auto"/>
        <w:ind w:left="540" w:hanging="540"/>
        <w:jc w:val="both"/>
      </w:pPr>
      <w:r w:rsidRPr="00F3776B">
        <w:t>Al-</w:t>
      </w:r>
      <w:proofErr w:type="spellStart"/>
      <w:r w:rsidRPr="00F3776B">
        <w:t>Muhairi</w:t>
      </w:r>
      <w:proofErr w:type="spellEnd"/>
      <w:r w:rsidRPr="00F3776B">
        <w:t xml:space="preserve">, B. 1996a. The Development of the UAE Legal System and Unification with the Judicial System. </w:t>
      </w:r>
      <w:r w:rsidRPr="00F3776B">
        <w:rPr>
          <w:i/>
        </w:rPr>
        <w:t>Arab Law Quarterly</w:t>
      </w:r>
      <w:r w:rsidRPr="00F3776B">
        <w:t>, 11 (2), 116-160.</w:t>
      </w:r>
    </w:p>
    <w:p w14:paraId="5FA2CF47" w14:textId="2AED0E38" w:rsidR="003742DF" w:rsidRPr="00F3776B" w:rsidRDefault="003742DF" w:rsidP="00F3776B">
      <w:pPr>
        <w:spacing w:line="480" w:lineRule="auto"/>
        <w:ind w:left="540" w:hanging="540"/>
        <w:jc w:val="both"/>
      </w:pPr>
      <w:r w:rsidRPr="00F3776B">
        <w:lastRenderedPageBreak/>
        <w:t xml:space="preserve">Almutawa, A. and </w:t>
      </w:r>
      <w:proofErr w:type="spellStart"/>
      <w:r w:rsidRPr="00F3776B">
        <w:t>Maniruzzaman</w:t>
      </w:r>
      <w:proofErr w:type="spellEnd"/>
      <w:r w:rsidRPr="00F3776B">
        <w:t xml:space="preserve">, A. 2014. The UAE’s Pilgrimage to International Arbitration Stardom. </w:t>
      </w:r>
      <w:r w:rsidRPr="00F3776B">
        <w:rPr>
          <w:i/>
          <w:iCs/>
        </w:rPr>
        <w:t>Journal of World Investment &amp; Trade</w:t>
      </w:r>
      <w:r w:rsidRPr="00F3776B">
        <w:t>, 15(1-2)</w:t>
      </w:r>
      <w:r w:rsidR="00F3776B" w:rsidRPr="00F3776B">
        <w:t>, 193</w:t>
      </w:r>
      <w:r w:rsidRPr="00F3776B">
        <w:t>-244.</w:t>
      </w:r>
    </w:p>
    <w:p w14:paraId="5CEA27E6" w14:textId="77777777" w:rsidR="003742DF" w:rsidRPr="00816B9F" w:rsidRDefault="003742DF" w:rsidP="00F3776B">
      <w:pPr>
        <w:spacing w:line="480" w:lineRule="auto"/>
        <w:ind w:left="540" w:hanging="540"/>
        <w:jc w:val="both"/>
      </w:pPr>
      <w:r w:rsidRPr="00816B9F">
        <w:t xml:space="preserve">Angell, N. and </w:t>
      </w:r>
      <w:proofErr w:type="spellStart"/>
      <w:r w:rsidRPr="00816B9F">
        <w:t>Feulner</w:t>
      </w:r>
      <w:proofErr w:type="spellEnd"/>
      <w:r w:rsidRPr="00816B9F">
        <w:t xml:space="preserve">, G. 1988. Arbitration of Disputes in the United Arab Emirates. </w:t>
      </w:r>
      <w:r w:rsidRPr="00816B9F">
        <w:rPr>
          <w:i/>
        </w:rPr>
        <w:t>Arab Law Quarterly</w:t>
      </w:r>
      <w:r w:rsidRPr="00816B9F">
        <w:t>, 3 (1), 19-32.</w:t>
      </w:r>
    </w:p>
    <w:p w14:paraId="18343888" w14:textId="77777777" w:rsidR="003742DF" w:rsidRDefault="003742DF" w:rsidP="00F3776B">
      <w:pPr>
        <w:spacing w:line="480" w:lineRule="auto"/>
        <w:ind w:left="540" w:hanging="540"/>
        <w:jc w:val="both"/>
      </w:pPr>
      <w:r w:rsidRPr="004F4792">
        <w:t xml:space="preserve">Arab, H., </w:t>
      </w:r>
      <w:proofErr w:type="spellStart"/>
      <w:r w:rsidRPr="004F4792">
        <w:t>Koleilat-Aranjo</w:t>
      </w:r>
      <w:proofErr w:type="spellEnd"/>
      <w:r w:rsidRPr="004F4792">
        <w:t xml:space="preserve">, S. and Darwish, M. 2019. The Dubai Court of Cassation Rules on the Effect of the Failure to Administer an Oath in Arbitral Proceedings, Al </w:t>
      </w:r>
      <w:proofErr w:type="spellStart"/>
      <w:r w:rsidRPr="004F4792">
        <w:t>Tamimi</w:t>
      </w:r>
      <w:proofErr w:type="spellEnd"/>
      <w:r w:rsidRPr="004F4792">
        <w:t xml:space="preserve"> &amp; Company: </w:t>
      </w:r>
      <w:proofErr w:type="spellStart"/>
      <w:r w:rsidRPr="004F4792">
        <w:t>Lexology</w:t>
      </w:r>
      <w:proofErr w:type="spellEnd"/>
      <w:r w:rsidRPr="004F4792">
        <w:t>, https://www.lexology.com/library/detail.aspx?g=f6ce1c1b-1a48-453f-a075-3e80fbca60de, accessed 07/07/20.</w:t>
      </w:r>
    </w:p>
    <w:p w14:paraId="549FB7F2" w14:textId="77777777" w:rsidR="003742DF" w:rsidRPr="00816B9F" w:rsidRDefault="003742DF" w:rsidP="00F3776B">
      <w:pPr>
        <w:spacing w:line="480" w:lineRule="auto"/>
        <w:ind w:left="540" w:hanging="540"/>
        <w:jc w:val="both"/>
      </w:pPr>
      <w:r w:rsidRPr="00816B9F">
        <w:t xml:space="preserve">Arab, H. 2015. Ground-breaking ruling on public policy by the Abu Dhabi Court of First Instance, </w:t>
      </w:r>
      <w:r w:rsidRPr="00816B9F">
        <w:rPr>
          <w:i/>
        </w:rPr>
        <w:t>Arbitration Newsletter</w:t>
      </w:r>
      <w:r w:rsidRPr="00816B9F">
        <w:t>, 20 (1), 39-42.</w:t>
      </w:r>
    </w:p>
    <w:p w14:paraId="7C5F560B" w14:textId="77777777" w:rsidR="003742DF" w:rsidRPr="00F3776B" w:rsidRDefault="003742DF" w:rsidP="00F3776B">
      <w:pPr>
        <w:spacing w:line="480" w:lineRule="auto"/>
        <w:ind w:left="540" w:hanging="540"/>
        <w:jc w:val="both"/>
      </w:pPr>
      <w:proofErr w:type="spellStart"/>
      <w:r w:rsidRPr="00F3776B">
        <w:t>Befort</w:t>
      </w:r>
      <w:proofErr w:type="spellEnd"/>
      <w:r w:rsidRPr="00F3776B">
        <w:t xml:space="preserve">, S. 2013. An empirical examination of case outcomes under the ADA Amendments Act. </w:t>
      </w:r>
      <w:r w:rsidRPr="00F3776B">
        <w:rPr>
          <w:i/>
        </w:rPr>
        <w:t>Washington and Lee Law Review</w:t>
      </w:r>
      <w:r w:rsidRPr="00F3776B">
        <w:t>, 70 (4), 2027-2072.</w:t>
      </w:r>
    </w:p>
    <w:p w14:paraId="7074D223" w14:textId="77777777" w:rsidR="003742DF" w:rsidRPr="00816B9F" w:rsidRDefault="003742DF" w:rsidP="00F3776B">
      <w:pPr>
        <w:spacing w:line="480" w:lineRule="auto"/>
        <w:ind w:left="540" w:hanging="540"/>
        <w:jc w:val="both"/>
      </w:pPr>
      <w:r w:rsidRPr="00F3776B">
        <w:t xml:space="preserve">Bell, F. 2016. Empirical research in law. </w:t>
      </w:r>
      <w:r w:rsidRPr="00F3776B">
        <w:rPr>
          <w:i/>
        </w:rPr>
        <w:t>Griffith Law Review</w:t>
      </w:r>
      <w:r w:rsidRPr="00F3776B">
        <w:t>, 25(2), 262-282.</w:t>
      </w:r>
    </w:p>
    <w:p w14:paraId="41519C9F" w14:textId="77777777" w:rsidR="008350E8" w:rsidRDefault="008350E8" w:rsidP="008350E8">
      <w:pPr>
        <w:spacing w:line="480" w:lineRule="auto"/>
        <w:ind w:left="540" w:hanging="540"/>
        <w:jc w:val="both"/>
      </w:pPr>
      <w:r>
        <w:t xml:space="preserve">Bernier, J. 1929. Droit Public and Ordre Public. </w:t>
      </w:r>
      <w:r w:rsidRPr="008350E8">
        <w:rPr>
          <w:i/>
          <w:iCs/>
        </w:rPr>
        <w:t>Transactions of the Grotius Society</w:t>
      </w:r>
      <w:r>
        <w:t>, 15, 83-92.</w:t>
      </w:r>
    </w:p>
    <w:p w14:paraId="506C8F5E" w14:textId="77777777" w:rsidR="008350E8" w:rsidRDefault="008350E8" w:rsidP="008350E8">
      <w:pPr>
        <w:spacing w:line="480" w:lineRule="auto"/>
        <w:ind w:left="540" w:hanging="540"/>
        <w:jc w:val="both"/>
      </w:pPr>
      <w:proofErr w:type="spellStart"/>
      <w:r>
        <w:t>Bewes</w:t>
      </w:r>
      <w:proofErr w:type="spellEnd"/>
      <w:r>
        <w:t xml:space="preserve">, W. 1921. Public Order (Ordre Public). </w:t>
      </w:r>
      <w:r w:rsidRPr="008350E8">
        <w:rPr>
          <w:i/>
          <w:iCs/>
        </w:rPr>
        <w:t>Law Quarterly Review</w:t>
      </w:r>
      <w:r>
        <w:t>, 37 (3), 315-322.</w:t>
      </w:r>
    </w:p>
    <w:p w14:paraId="21FF9DEA" w14:textId="77777777" w:rsidR="00F3776B" w:rsidRDefault="00F3776B" w:rsidP="00F3776B">
      <w:pPr>
        <w:spacing w:line="480" w:lineRule="auto"/>
        <w:ind w:left="540" w:hanging="540"/>
        <w:jc w:val="both"/>
      </w:pPr>
      <w:proofErr w:type="spellStart"/>
      <w:r w:rsidRPr="0000466A">
        <w:t>Blanke</w:t>
      </w:r>
      <w:proofErr w:type="spellEnd"/>
      <w:r w:rsidRPr="0000466A">
        <w:t>, G. and Corm-</w:t>
      </w:r>
      <w:proofErr w:type="spellStart"/>
      <w:r w:rsidRPr="0000466A">
        <w:t>Bakhos</w:t>
      </w:r>
      <w:proofErr w:type="spellEnd"/>
      <w:r w:rsidRPr="0000466A">
        <w:t xml:space="preserve">, S. (2012), United Arab Emirates: Enforcement Of New York Convention Awards: Are The UAE Courts Coming </w:t>
      </w:r>
      <w:proofErr w:type="gramStart"/>
      <w:r w:rsidRPr="0000466A">
        <w:t>Of</w:t>
      </w:r>
      <w:proofErr w:type="gramEnd"/>
      <w:r w:rsidRPr="0000466A">
        <w:t xml:space="preserve"> Age?</w:t>
      </w:r>
    </w:p>
    <w:p w14:paraId="32B071E6" w14:textId="77777777" w:rsidR="003742DF" w:rsidRPr="00F3776B" w:rsidRDefault="003742DF" w:rsidP="00F3776B">
      <w:pPr>
        <w:spacing w:line="480" w:lineRule="auto"/>
        <w:ind w:left="540" w:hanging="540"/>
        <w:jc w:val="both"/>
      </w:pPr>
      <w:proofErr w:type="spellStart"/>
      <w:r w:rsidRPr="00F3776B">
        <w:t>Blanke</w:t>
      </w:r>
      <w:proofErr w:type="spellEnd"/>
      <w:r w:rsidRPr="00F3776B">
        <w:t xml:space="preserve">, G. 2018. Free Zone Arbitration in the United Arab Emirates: DIFC v. ADGM:(Part I). </w:t>
      </w:r>
      <w:r w:rsidRPr="00F3776B">
        <w:rPr>
          <w:i/>
        </w:rPr>
        <w:t>Journal of International Arbitration</w:t>
      </w:r>
      <w:r w:rsidRPr="00F3776B">
        <w:t>, 35(5), 541-573.</w:t>
      </w:r>
    </w:p>
    <w:p w14:paraId="1C95EF6F" w14:textId="3894A92A" w:rsidR="00F3776B" w:rsidRPr="00F3776B" w:rsidRDefault="00F3776B" w:rsidP="00F3776B">
      <w:pPr>
        <w:spacing w:line="480" w:lineRule="auto"/>
        <w:ind w:left="540" w:hanging="540"/>
        <w:jc w:val="both"/>
      </w:pPr>
      <w:proofErr w:type="spellStart"/>
      <w:r w:rsidRPr="00F3776B">
        <w:t>Bockstiegel</w:t>
      </w:r>
      <w:proofErr w:type="spellEnd"/>
      <w:r w:rsidRPr="00F3776B">
        <w:t xml:space="preserve">, K. 2008. Public Policy as a Limit to Arbitration and its Enforcement. </w:t>
      </w:r>
      <w:r w:rsidRPr="00F3776B">
        <w:rPr>
          <w:i/>
          <w:iCs/>
        </w:rPr>
        <w:t>Dispute Resolution International</w:t>
      </w:r>
      <w:r w:rsidRPr="00F3776B">
        <w:t xml:space="preserve">, 2 (1), 123-132; </w:t>
      </w:r>
    </w:p>
    <w:p w14:paraId="1FDE7FFF" w14:textId="77777777" w:rsidR="007F5F15" w:rsidRPr="00F3776B" w:rsidRDefault="007F5F15" w:rsidP="00F3776B">
      <w:pPr>
        <w:spacing w:line="480" w:lineRule="auto"/>
        <w:ind w:left="540" w:hanging="540"/>
        <w:jc w:val="both"/>
      </w:pPr>
      <w:r w:rsidRPr="00F3776B">
        <w:t xml:space="preserve">Boyd, C. 2015. In </w:t>
      </w:r>
      <w:proofErr w:type="spellStart"/>
      <w:r w:rsidRPr="00F3776B">
        <w:t>defense</w:t>
      </w:r>
      <w:proofErr w:type="spellEnd"/>
      <w:r w:rsidRPr="00F3776B">
        <w:t xml:space="preserve"> of empirical legal studies. </w:t>
      </w:r>
      <w:r w:rsidRPr="00F3776B">
        <w:rPr>
          <w:i/>
        </w:rPr>
        <w:t>Buffalo Law Review</w:t>
      </w:r>
      <w:r w:rsidRPr="00F3776B">
        <w:t>, 63 (2), 363-378.</w:t>
      </w:r>
    </w:p>
    <w:p w14:paraId="46911510" w14:textId="77777777" w:rsidR="007F5F15" w:rsidRPr="00F3776B" w:rsidRDefault="007F5F15" w:rsidP="00F3776B">
      <w:pPr>
        <w:spacing w:line="480" w:lineRule="auto"/>
        <w:ind w:left="540" w:hanging="540"/>
        <w:jc w:val="both"/>
      </w:pPr>
      <w:proofErr w:type="spellStart"/>
      <w:r w:rsidRPr="00F3776B">
        <w:lastRenderedPageBreak/>
        <w:t>Bredillet</w:t>
      </w:r>
      <w:proofErr w:type="spellEnd"/>
      <w:r w:rsidRPr="00F3776B">
        <w:t xml:space="preserve">, C. 2008. Exploring research in project management: Nine schools of project management research (part 4). </w:t>
      </w:r>
      <w:r w:rsidRPr="00F3776B">
        <w:rPr>
          <w:i/>
        </w:rPr>
        <w:t>Project Management Journal</w:t>
      </w:r>
      <w:r w:rsidRPr="00F3776B">
        <w:t>, 39(1), 2-6.</w:t>
      </w:r>
    </w:p>
    <w:p w14:paraId="176A34C2" w14:textId="77777777" w:rsidR="007F5F15" w:rsidRPr="00F3776B" w:rsidRDefault="007F5F15" w:rsidP="00F3776B">
      <w:pPr>
        <w:spacing w:line="480" w:lineRule="auto"/>
        <w:ind w:left="540" w:hanging="540"/>
        <w:jc w:val="both"/>
      </w:pPr>
      <w:proofErr w:type="spellStart"/>
      <w:r w:rsidRPr="00F3776B">
        <w:t>Brekoulakis</w:t>
      </w:r>
      <w:proofErr w:type="spellEnd"/>
      <w:r w:rsidRPr="00F3776B">
        <w:t xml:space="preserve">, S. 2019. The Historical Treatment of Arbitration under English Law and the Development of the Policy Favouring Arbitration. </w:t>
      </w:r>
      <w:r w:rsidRPr="00F3776B">
        <w:rPr>
          <w:i/>
        </w:rPr>
        <w:t>Oxford Journal of Legal Studies</w:t>
      </w:r>
      <w:r w:rsidRPr="00F3776B">
        <w:t>, 39(1), 124-150.</w:t>
      </w:r>
    </w:p>
    <w:p w14:paraId="0933D282" w14:textId="77777777" w:rsidR="007F5F15" w:rsidRPr="00816B9F" w:rsidRDefault="007F5F15" w:rsidP="00F3776B">
      <w:pPr>
        <w:spacing w:line="480" w:lineRule="auto"/>
        <w:ind w:left="540" w:hanging="540"/>
        <w:jc w:val="both"/>
      </w:pPr>
      <w:r w:rsidRPr="00816B9F">
        <w:t xml:space="preserve">Conley, A. 2015. Promoting Finality: Using Offensive, Nonmutual Collateral Estoppel in Employment Arbitration. </w:t>
      </w:r>
      <w:r w:rsidRPr="00816B9F">
        <w:rPr>
          <w:i/>
        </w:rPr>
        <w:t>UC Irvine Law Review</w:t>
      </w:r>
      <w:r w:rsidRPr="00816B9F">
        <w:t>, 5 (3), 651-682</w:t>
      </w:r>
    </w:p>
    <w:p w14:paraId="7860E821" w14:textId="77777777" w:rsidR="007F5F15" w:rsidRDefault="007F5F15" w:rsidP="00F3776B">
      <w:pPr>
        <w:spacing w:line="480" w:lineRule="auto"/>
        <w:ind w:left="540" w:hanging="540"/>
        <w:jc w:val="both"/>
      </w:pPr>
      <w:proofErr w:type="spellStart"/>
      <w:r>
        <w:t>Dagbanja</w:t>
      </w:r>
      <w:proofErr w:type="spellEnd"/>
      <w:r>
        <w:t xml:space="preserve">, D. 2019. The Scope and Legal Effect of Choice of Law in International Arbitration. </w:t>
      </w:r>
      <w:r w:rsidRPr="005E0A5A">
        <w:rPr>
          <w:i/>
          <w:iCs/>
        </w:rPr>
        <w:t>Cambridge Law Review</w:t>
      </w:r>
      <w:r>
        <w:t>, 4 (1), 59-93.</w:t>
      </w:r>
    </w:p>
    <w:p w14:paraId="65FC57B9" w14:textId="380F0BA0" w:rsidR="00F3776B" w:rsidRPr="00F3776B" w:rsidRDefault="00F3776B" w:rsidP="00F3776B">
      <w:pPr>
        <w:spacing w:line="480" w:lineRule="auto"/>
        <w:ind w:left="540" w:hanging="540"/>
        <w:jc w:val="both"/>
      </w:pPr>
      <w:proofErr w:type="spellStart"/>
      <w:r w:rsidRPr="00F3776B">
        <w:t>Dimitrakopoulos</w:t>
      </w:r>
      <w:proofErr w:type="spellEnd"/>
      <w:r w:rsidRPr="00F3776B">
        <w:t xml:space="preserve">, A. 2001. Arbitration Practice in the UAE. </w:t>
      </w:r>
      <w:r w:rsidRPr="00F3776B">
        <w:rPr>
          <w:i/>
          <w:iCs/>
        </w:rPr>
        <w:t>Arab Law Quarterly</w:t>
      </w:r>
      <w:r w:rsidRPr="00F3776B">
        <w:t xml:space="preserve">, 16(4), 398-403. </w:t>
      </w:r>
    </w:p>
    <w:p w14:paraId="1698733C" w14:textId="77777777" w:rsidR="007F5F15" w:rsidRPr="00F3776B" w:rsidRDefault="007F5F15" w:rsidP="00F3776B">
      <w:pPr>
        <w:spacing w:line="480" w:lineRule="auto"/>
        <w:ind w:left="540" w:hanging="540"/>
        <w:jc w:val="both"/>
      </w:pPr>
      <w:proofErr w:type="spellStart"/>
      <w:r w:rsidRPr="00F3776B">
        <w:t>Drahozal</w:t>
      </w:r>
      <w:proofErr w:type="spellEnd"/>
      <w:r w:rsidRPr="00F3776B">
        <w:t xml:space="preserve">, C. 2006. Is arbitration lawless. </w:t>
      </w:r>
      <w:r w:rsidRPr="00F3776B">
        <w:rPr>
          <w:i/>
        </w:rPr>
        <w:t>Loyola of Los Angeles Law Review</w:t>
      </w:r>
      <w:r w:rsidRPr="00F3776B">
        <w:t>, 40, 187-215.</w:t>
      </w:r>
    </w:p>
    <w:p w14:paraId="71897B0B" w14:textId="77777777" w:rsidR="007F5F15" w:rsidRPr="00F3776B" w:rsidRDefault="007F5F15" w:rsidP="00F3776B">
      <w:pPr>
        <w:spacing w:line="480" w:lineRule="auto"/>
        <w:ind w:left="540" w:hanging="540"/>
        <w:jc w:val="both"/>
      </w:pPr>
      <w:proofErr w:type="spellStart"/>
      <w:r w:rsidRPr="00F3776B">
        <w:t>Drahozal</w:t>
      </w:r>
      <w:proofErr w:type="spellEnd"/>
      <w:r w:rsidRPr="00F3776B">
        <w:t xml:space="preserve">, C. 2016a. The State of Empirical Research on International Commercial Arbitration: 10 Years Later. The Evolution and Future of International Arbitration: The Next 30 Years, </w:t>
      </w:r>
      <w:r w:rsidRPr="00F3776B">
        <w:rPr>
          <w:i/>
        </w:rPr>
        <w:t>Kluwer Law International</w:t>
      </w:r>
      <w:r w:rsidRPr="00F3776B">
        <w:t xml:space="preserve">, </w:t>
      </w:r>
      <w:hyperlink r:id="rId12" w:history="1">
        <w:r w:rsidRPr="00F3776B">
          <w:rPr>
            <w:rStyle w:val="Hyperlink"/>
          </w:rPr>
          <w:t>https://ssrn.com/abstract=2716377</w:t>
        </w:r>
      </w:hyperlink>
      <w:r w:rsidRPr="00F3776B">
        <w:t xml:space="preserve">, accessed 29/09/18. </w:t>
      </w:r>
    </w:p>
    <w:p w14:paraId="42424251" w14:textId="77777777" w:rsidR="007F5F15" w:rsidRPr="00F3776B" w:rsidRDefault="007F5F15" w:rsidP="00F3776B">
      <w:pPr>
        <w:spacing w:line="480" w:lineRule="auto"/>
        <w:ind w:left="540" w:hanging="540"/>
        <w:jc w:val="both"/>
      </w:pPr>
      <w:proofErr w:type="spellStart"/>
      <w:r w:rsidRPr="00F3776B">
        <w:t>Drahozal</w:t>
      </w:r>
      <w:proofErr w:type="spellEnd"/>
      <w:r w:rsidRPr="00F3776B">
        <w:t xml:space="preserve">, C. 2016b. </w:t>
      </w:r>
      <w:r w:rsidRPr="00F3776B">
        <w:rPr>
          <w:i/>
        </w:rPr>
        <w:t>Empirical Findings on International Arbitration: An Overview. Oxford Handbook on International Arbitration</w:t>
      </w:r>
      <w:r w:rsidRPr="00F3776B">
        <w:t xml:space="preserve">. </w:t>
      </w:r>
      <w:hyperlink r:id="rId13" w:history="1">
        <w:r w:rsidRPr="00F3776B">
          <w:rPr>
            <w:rStyle w:val="Hyperlink"/>
          </w:rPr>
          <w:t>https://ssrn.com/abstract=2888552</w:t>
        </w:r>
      </w:hyperlink>
      <w:r w:rsidRPr="00F3776B">
        <w:t>, accessed 29/09/18.</w:t>
      </w:r>
    </w:p>
    <w:p w14:paraId="3C273B9B" w14:textId="0DEE97F1" w:rsidR="00F3776B" w:rsidRPr="00F3776B" w:rsidRDefault="00F3776B" w:rsidP="00F3776B">
      <w:pPr>
        <w:spacing w:line="480" w:lineRule="auto"/>
        <w:ind w:left="540" w:hanging="540"/>
        <w:jc w:val="both"/>
      </w:pPr>
      <w:r w:rsidRPr="00F3776B">
        <w:t xml:space="preserve">Drummonds, H. 2012. The Public Policy Exception to Arbitration Award Enforcement: A Path Through the Bramble Bush. </w:t>
      </w:r>
      <w:r w:rsidRPr="00F3776B">
        <w:rPr>
          <w:i/>
          <w:iCs/>
        </w:rPr>
        <w:t>Willamette Law Review,</w:t>
      </w:r>
      <w:r w:rsidRPr="00F3776B">
        <w:t xml:space="preserve"> 49 (1), 105-164</w:t>
      </w:r>
    </w:p>
    <w:p w14:paraId="710C7A33" w14:textId="77777777" w:rsidR="001D46D0" w:rsidRDefault="001D46D0" w:rsidP="00F3776B">
      <w:pPr>
        <w:spacing w:line="480" w:lineRule="auto"/>
        <w:ind w:left="540" w:hanging="540"/>
        <w:jc w:val="both"/>
      </w:pPr>
      <w:r w:rsidRPr="00816B9F">
        <w:t xml:space="preserve">Enonchong, N. 1993. Public Policy and Ordre Public: The Exclusion of Customary Law in Cameroon. </w:t>
      </w:r>
      <w:r w:rsidRPr="00816B9F">
        <w:rPr>
          <w:i/>
        </w:rPr>
        <w:t>African Journal of International and Comparative Law</w:t>
      </w:r>
      <w:r w:rsidRPr="00816B9F">
        <w:t>, 5 (3), 503-52</w:t>
      </w:r>
      <w:r>
        <w:t>4.</w:t>
      </w:r>
    </w:p>
    <w:p w14:paraId="51C17369" w14:textId="77777777" w:rsidR="001D46D0" w:rsidRPr="00F3776B" w:rsidRDefault="001D46D0" w:rsidP="00F3776B">
      <w:pPr>
        <w:spacing w:line="480" w:lineRule="auto"/>
        <w:ind w:left="540" w:hanging="540"/>
        <w:jc w:val="both"/>
      </w:pPr>
      <w:proofErr w:type="spellStart"/>
      <w:r w:rsidRPr="00F3776B">
        <w:t>Faridi</w:t>
      </w:r>
      <w:proofErr w:type="spellEnd"/>
      <w:r w:rsidRPr="00F3776B">
        <w:t>, A. and El</w:t>
      </w:r>
      <w:r w:rsidRPr="00F3776B">
        <w:rPr>
          <w:rFonts w:ascii="Cambria Math" w:hAnsi="Cambria Math" w:cs="Cambria Math"/>
        </w:rPr>
        <w:t>‐</w:t>
      </w:r>
      <w:r w:rsidRPr="00F3776B">
        <w:t xml:space="preserve">Sayegh, S. 2006. Significant factors causing delay in the UAE construction industry. </w:t>
      </w:r>
      <w:r w:rsidRPr="00F3776B">
        <w:rPr>
          <w:i/>
        </w:rPr>
        <w:t>Construction Management and Economics</w:t>
      </w:r>
      <w:r w:rsidRPr="00F3776B">
        <w:t>, 24(11), 1167-1176.</w:t>
      </w:r>
    </w:p>
    <w:p w14:paraId="0B58D1E6" w14:textId="77777777" w:rsidR="001D46D0" w:rsidRPr="001D46D0" w:rsidRDefault="001D46D0" w:rsidP="00F3776B">
      <w:pPr>
        <w:spacing w:line="480" w:lineRule="auto"/>
        <w:ind w:left="540" w:hanging="540"/>
        <w:jc w:val="both"/>
      </w:pPr>
      <w:proofErr w:type="spellStart"/>
      <w:r w:rsidRPr="001D46D0">
        <w:lastRenderedPageBreak/>
        <w:t>Feinman</w:t>
      </w:r>
      <w:proofErr w:type="spellEnd"/>
      <w:r w:rsidRPr="001D46D0">
        <w:t xml:space="preserve">, J., 1989. The significance of contract theory. </w:t>
      </w:r>
      <w:r w:rsidRPr="001D46D0">
        <w:rPr>
          <w:i/>
        </w:rPr>
        <w:t>University of Cincinnati Law Review</w:t>
      </w:r>
      <w:r w:rsidRPr="001D46D0">
        <w:t>, 58 (4), 1283-1318.</w:t>
      </w:r>
    </w:p>
    <w:p w14:paraId="6979090B" w14:textId="77777777" w:rsidR="001D46D0" w:rsidRPr="00816B9F" w:rsidRDefault="001D46D0" w:rsidP="00F3776B">
      <w:pPr>
        <w:spacing w:line="480" w:lineRule="auto"/>
        <w:ind w:left="540" w:hanging="540"/>
        <w:jc w:val="both"/>
      </w:pPr>
      <w:proofErr w:type="spellStart"/>
      <w:r w:rsidRPr="007F5F15">
        <w:t>Feulner</w:t>
      </w:r>
      <w:proofErr w:type="spellEnd"/>
      <w:r w:rsidRPr="007F5F15">
        <w:t>, G. and Khan,</w:t>
      </w:r>
      <w:r w:rsidRPr="00816B9F">
        <w:t xml:space="preserve"> A. 1986. Dispute Resolution in the United Arab Emirates. </w:t>
      </w:r>
      <w:r w:rsidRPr="00816B9F">
        <w:rPr>
          <w:i/>
        </w:rPr>
        <w:t>Arab Law Quarterly,</w:t>
      </w:r>
      <w:r w:rsidRPr="00816B9F">
        <w:t xml:space="preserve"> 1 (3), 312-318.</w:t>
      </w:r>
    </w:p>
    <w:p w14:paraId="7628DA1F" w14:textId="77777777" w:rsidR="001D46D0" w:rsidRPr="00F3776B" w:rsidRDefault="001D46D0" w:rsidP="00F3776B">
      <w:pPr>
        <w:spacing w:line="480" w:lineRule="auto"/>
        <w:ind w:left="540" w:hanging="540"/>
        <w:jc w:val="both"/>
      </w:pPr>
      <w:r w:rsidRPr="009B304A">
        <w:t xml:space="preserve">Field, M. 2013. Removal Reform: A Solution for Federal Question Jurisdiction, Forum Shopping, and </w:t>
      </w:r>
      <w:r w:rsidRPr="00F3776B">
        <w:t xml:space="preserve">Duplicative State-Federal Litigation. </w:t>
      </w:r>
      <w:r w:rsidRPr="00F3776B">
        <w:rPr>
          <w:i/>
        </w:rPr>
        <w:t>Indiana Law Journal</w:t>
      </w:r>
      <w:r w:rsidRPr="00F3776B">
        <w:t xml:space="preserve">, 88 (2), 611-668. </w:t>
      </w:r>
    </w:p>
    <w:p w14:paraId="1844D1EC" w14:textId="77777777" w:rsidR="001D46D0" w:rsidRPr="00F3776B" w:rsidRDefault="001D46D0" w:rsidP="00F3776B">
      <w:pPr>
        <w:spacing w:line="480" w:lineRule="auto"/>
        <w:ind w:left="540" w:hanging="540"/>
        <w:jc w:val="both"/>
      </w:pPr>
      <w:proofErr w:type="spellStart"/>
      <w:r w:rsidRPr="00F3776B">
        <w:t>Filippini</w:t>
      </w:r>
      <w:proofErr w:type="spellEnd"/>
      <w:r w:rsidRPr="00F3776B">
        <w:t xml:space="preserve">, R. 1997. Operations management research: some reflections on evolution, models and empirical studies in OM. </w:t>
      </w:r>
      <w:r w:rsidRPr="00F3776B">
        <w:rPr>
          <w:i/>
        </w:rPr>
        <w:t>International Journal of Operations &amp; Production Management</w:t>
      </w:r>
      <w:r w:rsidRPr="00F3776B">
        <w:t>, 17(7), 655-670.</w:t>
      </w:r>
    </w:p>
    <w:p w14:paraId="42B9156B" w14:textId="77777777" w:rsidR="001D46D0" w:rsidRPr="00F3776B" w:rsidRDefault="001D46D0" w:rsidP="00F3776B">
      <w:pPr>
        <w:spacing w:line="480" w:lineRule="auto"/>
        <w:ind w:left="540" w:hanging="540"/>
        <w:jc w:val="both"/>
      </w:pPr>
      <w:r w:rsidRPr="00F3776B">
        <w:t xml:space="preserve">Frank, J. 1932. What Courts Do in Fact - Part One. </w:t>
      </w:r>
      <w:r w:rsidRPr="00F3776B">
        <w:rPr>
          <w:i/>
        </w:rPr>
        <w:t>Illinois Law Review</w:t>
      </w:r>
      <w:r w:rsidRPr="00F3776B">
        <w:t>, 26 (6), 645-666.</w:t>
      </w:r>
    </w:p>
    <w:p w14:paraId="3ED6C433" w14:textId="77777777" w:rsidR="001D46D0" w:rsidRPr="00F3776B" w:rsidRDefault="001D46D0" w:rsidP="00F3776B">
      <w:pPr>
        <w:spacing w:line="480" w:lineRule="auto"/>
        <w:ind w:left="540" w:hanging="540"/>
        <w:jc w:val="both"/>
      </w:pPr>
      <w:r w:rsidRPr="00F3776B">
        <w:t xml:space="preserve">Gaillard, E. 2015. Sociology of international arbitration. </w:t>
      </w:r>
      <w:r w:rsidRPr="00F3776B">
        <w:rPr>
          <w:i/>
        </w:rPr>
        <w:t>Arbitration International</w:t>
      </w:r>
      <w:r w:rsidRPr="00F3776B">
        <w:t>, 31(1), 1-17.</w:t>
      </w:r>
    </w:p>
    <w:p w14:paraId="49218F8E" w14:textId="1D27DEFF" w:rsidR="00F3776B" w:rsidRPr="00F3776B" w:rsidRDefault="00F3776B" w:rsidP="00F3776B">
      <w:pPr>
        <w:spacing w:line="480" w:lineRule="auto"/>
        <w:ind w:left="540" w:hanging="540"/>
        <w:jc w:val="both"/>
      </w:pPr>
      <w:r w:rsidRPr="00F3776B">
        <w:t xml:space="preserve">Gentry, T. 2018. The Essence Test: Picking up a Supreme Court Fumble. </w:t>
      </w:r>
      <w:r w:rsidRPr="00F3776B">
        <w:rPr>
          <w:i/>
          <w:iCs/>
        </w:rPr>
        <w:t>Catholic University Law Review</w:t>
      </w:r>
      <w:r w:rsidRPr="00F3776B">
        <w:t>, 67 (4), 737-760.</w:t>
      </w:r>
    </w:p>
    <w:p w14:paraId="0E15D15A" w14:textId="77777777" w:rsidR="001D46D0" w:rsidRPr="00816B9F" w:rsidRDefault="001D46D0" w:rsidP="00F3776B">
      <w:pPr>
        <w:spacing w:line="480" w:lineRule="auto"/>
        <w:ind w:left="540" w:hanging="540"/>
        <w:jc w:val="both"/>
      </w:pPr>
      <w:proofErr w:type="spellStart"/>
      <w:r w:rsidRPr="00816B9F">
        <w:t>Ghodoosi</w:t>
      </w:r>
      <w:proofErr w:type="spellEnd"/>
      <w:r w:rsidRPr="00816B9F">
        <w:t xml:space="preserve">, F. 2016. Arbitrating Public Policy: Why the Buck Should Not Stop at National Courts. </w:t>
      </w:r>
      <w:r w:rsidRPr="00816B9F">
        <w:rPr>
          <w:i/>
        </w:rPr>
        <w:t>Lewis &amp; Clark Law Review</w:t>
      </w:r>
      <w:r w:rsidRPr="00816B9F">
        <w:t>, 20, 237-280.</w:t>
      </w:r>
    </w:p>
    <w:p w14:paraId="22EB4C22" w14:textId="77777777" w:rsidR="008350E8" w:rsidRDefault="008350E8" w:rsidP="008350E8">
      <w:pPr>
        <w:spacing w:line="480" w:lineRule="auto"/>
        <w:ind w:left="540" w:hanging="540"/>
        <w:jc w:val="both"/>
      </w:pPr>
      <w:r>
        <w:t xml:space="preserve">Gibson, C. 2008. Arbitration, civilization and public policy: Seeking counterpoise between arbitral autonomy and the public policy </w:t>
      </w:r>
      <w:proofErr w:type="spellStart"/>
      <w:r>
        <w:t>defense</w:t>
      </w:r>
      <w:proofErr w:type="spellEnd"/>
      <w:r>
        <w:t xml:space="preserve"> in view of foreign mandatory public law. </w:t>
      </w:r>
      <w:r w:rsidRPr="00D97895">
        <w:rPr>
          <w:i/>
          <w:iCs/>
        </w:rPr>
        <w:t>Penn State Law Review</w:t>
      </w:r>
      <w:r>
        <w:t>, 113 (4), 1227-1268.</w:t>
      </w:r>
    </w:p>
    <w:p w14:paraId="74F2CBF8" w14:textId="77777777" w:rsidR="001D46D0" w:rsidRDefault="001D46D0" w:rsidP="00F3776B">
      <w:pPr>
        <w:spacing w:line="480" w:lineRule="auto"/>
        <w:ind w:left="540" w:hanging="540"/>
        <w:jc w:val="both"/>
      </w:pPr>
      <w:r w:rsidRPr="00D50E8E">
        <w:t xml:space="preserve">Greco, M. and Meredith, I. 2007. Getting to Yes Abroad: Arbitration as a tool in effective commercial and political risk management, </w:t>
      </w:r>
      <w:r w:rsidRPr="00D50E8E">
        <w:rPr>
          <w:i/>
        </w:rPr>
        <w:t>Business Law Today</w:t>
      </w:r>
      <w:r w:rsidRPr="00D50E8E">
        <w:t xml:space="preserve">, 16(4), 22-27. </w:t>
      </w:r>
    </w:p>
    <w:p w14:paraId="4995D94A" w14:textId="02B4FCD3" w:rsidR="001D46D0" w:rsidRPr="00816B9F" w:rsidRDefault="001D46D0" w:rsidP="00F3776B">
      <w:pPr>
        <w:spacing w:line="480" w:lineRule="auto"/>
        <w:ind w:left="540" w:hanging="540"/>
        <w:jc w:val="both"/>
      </w:pPr>
      <w:r w:rsidRPr="00816B9F">
        <w:t xml:space="preserve">Hall, M. and Wright, R. 2008. Systematic content analysis of judicial opinions. </w:t>
      </w:r>
      <w:r w:rsidRPr="00816B9F">
        <w:rPr>
          <w:i/>
        </w:rPr>
        <w:t>California Law Review</w:t>
      </w:r>
      <w:r w:rsidRPr="00816B9F">
        <w:t>, 96 (1), 63-122.</w:t>
      </w:r>
    </w:p>
    <w:p w14:paraId="6DB02BA1" w14:textId="29C099D4" w:rsidR="001D46D0" w:rsidRPr="001D46D0" w:rsidRDefault="001D46D0" w:rsidP="00F3776B">
      <w:pPr>
        <w:spacing w:line="480" w:lineRule="auto"/>
        <w:ind w:left="540" w:hanging="540"/>
        <w:jc w:val="both"/>
      </w:pPr>
      <w:r w:rsidRPr="001D46D0">
        <w:lastRenderedPageBreak/>
        <w:t xml:space="preserve">Hayford, S. 1996. Law in disarray: Judicial standards for vacatur of commercial arbitration awards. </w:t>
      </w:r>
      <w:r w:rsidRPr="004A08A1">
        <w:rPr>
          <w:i/>
          <w:iCs/>
        </w:rPr>
        <w:t>Georgia Law Review</w:t>
      </w:r>
      <w:r w:rsidRPr="001D46D0">
        <w:t>, 30(3), 731-842.</w:t>
      </w:r>
    </w:p>
    <w:p w14:paraId="21E01518" w14:textId="77777777" w:rsidR="001D46D0" w:rsidRPr="001D46D0" w:rsidRDefault="001D46D0" w:rsidP="00F3776B">
      <w:pPr>
        <w:spacing w:line="480" w:lineRule="auto"/>
        <w:ind w:left="540" w:hanging="540"/>
        <w:jc w:val="both"/>
      </w:pPr>
      <w:r w:rsidRPr="001D46D0">
        <w:t xml:space="preserve">Hazard, G. 1965. A General Theory of State-Court Jurisdiction. </w:t>
      </w:r>
      <w:r w:rsidRPr="001D46D0">
        <w:rPr>
          <w:i/>
        </w:rPr>
        <w:t>Supreme Court Review</w:t>
      </w:r>
      <w:r w:rsidRPr="001D46D0">
        <w:t>, 165, 241-288.</w:t>
      </w:r>
    </w:p>
    <w:p w14:paraId="7DD49E1F" w14:textId="77777777" w:rsidR="001D46D0" w:rsidRPr="007F5F15" w:rsidRDefault="001D46D0" w:rsidP="00F3776B">
      <w:pPr>
        <w:spacing w:line="480" w:lineRule="auto"/>
        <w:ind w:left="540" w:hanging="540"/>
        <w:jc w:val="both"/>
      </w:pPr>
      <w:proofErr w:type="spellStart"/>
      <w:r w:rsidRPr="001D46D0">
        <w:t>Heise</w:t>
      </w:r>
      <w:proofErr w:type="spellEnd"/>
      <w:r w:rsidRPr="001D46D0">
        <w:t xml:space="preserve">, M. 1999. Importance of Being Empirical. </w:t>
      </w:r>
      <w:r w:rsidRPr="001D46D0">
        <w:rPr>
          <w:i/>
        </w:rPr>
        <w:t>Pepperdine Law Review</w:t>
      </w:r>
      <w:r w:rsidRPr="007F5F15">
        <w:t xml:space="preserve">, 26, 807 - 834.  </w:t>
      </w:r>
    </w:p>
    <w:p w14:paraId="33AAA7AA" w14:textId="77777777" w:rsidR="00747017" w:rsidRPr="00816B9F" w:rsidRDefault="00747017" w:rsidP="00F3776B">
      <w:pPr>
        <w:spacing w:line="480" w:lineRule="auto"/>
        <w:ind w:left="540" w:hanging="540"/>
        <w:jc w:val="both"/>
      </w:pPr>
      <w:r w:rsidRPr="00816B9F">
        <w:t xml:space="preserve">Hollander, P. 2016. Report on the Public Policy Exception in the New York Convention. </w:t>
      </w:r>
      <w:r w:rsidRPr="00816B9F">
        <w:rPr>
          <w:i/>
        </w:rPr>
        <w:t>Dispute Resolution International</w:t>
      </w:r>
      <w:r w:rsidRPr="00816B9F">
        <w:t>, 10, 35-50</w:t>
      </w:r>
    </w:p>
    <w:p w14:paraId="338398FE" w14:textId="77777777" w:rsidR="006C6D64" w:rsidRDefault="006C6D64" w:rsidP="006C6D64">
      <w:pPr>
        <w:spacing w:line="480" w:lineRule="auto"/>
        <w:ind w:left="540" w:hanging="540"/>
        <w:jc w:val="both"/>
      </w:pPr>
      <w:r>
        <w:t xml:space="preserve">Husserl, G. 1938. Public policy and public order. </w:t>
      </w:r>
      <w:r w:rsidRPr="00D97895">
        <w:rPr>
          <w:i/>
          <w:iCs/>
        </w:rPr>
        <w:t>Virginia Law Review</w:t>
      </w:r>
      <w:r>
        <w:t xml:space="preserve">, 25 (1), 37-67. </w:t>
      </w:r>
    </w:p>
    <w:p w14:paraId="7560C92D" w14:textId="1D025CCD" w:rsidR="00747017" w:rsidRPr="001D46D0" w:rsidRDefault="00747017" w:rsidP="00F3776B">
      <w:pPr>
        <w:spacing w:line="480" w:lineRule="auto"/>
        <w:ind w:left="540" w:hanging="540"/>
        <w:jc w:val="both"/>
      </w:pPr>
      <w:r w:rsidRPr="001D46D0">
        <w:t xml:space="preserve">Johnson, R. and Babu, R. </w:t>
      </w:r>
      <w:r w:rsidR="00E2316D">
        <w:t>2020</w:t>
      </w:r>
      <w:r w:rsidRPr="001D46D0">
        <w:t xml:space="preserve">. Time and cost overruns in the UAE construction industry: a critical analysis. </w:t>
      </w:r>
      <w:r w:rsidRPr="001D46D0">
        <w:rPr>
          <w:i/>
        </w:rPr>
        <w:t>International Journal of Construction Management</w:t>
      </w:r>
      <w:r w:rsidRPr="001D46D0">
        <w:t xml:space="preserve">, </w:t>
      </w:r>
      <w:r w:rsidR="00E2316D">
        <w:t xml:space="preserve">20 (3), </w:t>
      </w:r>
      <w:r w:rsidR="004A5498">
        <w:t>402-411</w:t>
      </w:r>
      <w:r w:rsidRPr="001D46D0">
        <w:t>.</w:t>
      </w:r>
    </w:p>
    <w:p w14:paraId="32432444" w14:textId="77777777" w:rsidR="00747017" w:rsidRPr="00F3776B" w:rsidRDefault="00747017" w:rsidP="00F3776B">
      <w:pPr>
        <w:spacing w:line="480" w:lineRule="auto"/>
        <w:ind w:left="540" w:hanging="540"/>
        <w:jc w:val="both"/>
      </w:pPr>
      <w:proofErr w:type="spellStart"/>
      <w:r w:rsidRPr="00747017">
        <w:t>Kanakri</w:t>
      </w:r>
      <w:proofErr w:type="spellEnd"/>
      <w:r w:rsidRPr="00747017">
        <w:t xml:space="preserve">, C., and Massey, A. </w:t>
      </w:r>
      <w:r w:rsidRPr="00F3776B">
        <w:t xml:space="preserve">2016. Comparison of UAE and DIFC-seated arbitrations. </w:t>
      </w:r>
      <w:r w:rsidRPr="00F3776B">
        <w:rPr>
          <w:i/>
        </w:rPr>
        <w:t>Global Arbitration News</w:t>
      </w:r>
      <w:r w:rsidRPr="00F3776B">
        <w:t xml:space="preserve">. Available from: </w:t>
      </w:r>
      <w:hyperlink r:id="rId14" w:history="1">
        <w:r w:rsidRPr="00F3776B">
          <w:rPr>
            <w:rStyle w:val="Hyperlink"/>
          </w:rPr>
          <w:t>https://globalarbitrationnews.com/comparison-uae-difc-seated-arbitrations-20161012/</w:t>
        </w:r>
      </w:hyperlink>
      <w:r w:rsidRPr="00F3776B">
        <w:t>, accessed 07/02/18.</w:t>
      </w:r>
    </w:p>
    <w:p w14:paraId="5DEA2478" w14:textId="067768AD" w:rsidR="00F3776B" w:rsidRPr="00F3776B" w:rsidRDefault="00F3776B" w:rsidP="00F3776B">
      <w:pPr>
        <w:spacing w:line="480" w:lineRule="auto"/>
        <w:ind w:left="540" w:hanging="540"/>
        <w:jc w:val="both"/>
      </w:pPr>
      <w:proofErr w:type="spellStart"/>
      <w:r w:rsidRPr="00F3776B">
        <w:t>Kantaria</w:t>
      </w:r>
      <w:proofErr w:type="spellEnd"/>
      <w:r w:rsidRPr="00F3776B">
        <w:t xml:space="preserve">, S. 2012. The Enforcement of Domestic and Foreign Arbitral Awards in the UAE under the Civil Procedure Code and Proposed Arbitration Law. </w:t>
      </w:r>
      <w:r w:rsidRPr="00F3776B">
        <w:rPr>
          <w:i/>
          <w:iCs/>
        </w:rPr>
        <w:t>International Arbitration Law Review</w:t>
      </w:r>
      <w:r w:rsidRPr="00F3776B">
        <w:t>, 15 (2), 61-66.</w:t>
      </w:r>
    </w:p>
    <w:p w14:paraId="3F45377E" w14:textId="77777777" w:rsidR="00747017" w:rsidRPr="00F3776B" w:rsidRDefault="00747017" w:rsidP="00F3776B">
      <w:pPr>
        <w:spacing w:line="480" w:lineRule="auto"/>
        <w:ind w:left="540" w:hanging="540"/>
        <w:jc w:val="both"/>
      </w:pPr>
      <w:proofErr w:type="spellStart"/>
      <w:r w:rsidRPr="00F3776B">
        <w:t>Keele</w:t>
      </w:r>
      <w:proofErr w:type="spellEnd"/>
      <w:r w:rsidRPr="00F3776B">
        <w:t xml:space="preserve">, D., </w:t>
      </w:r>
      <w:proofErr w:type="spellStart"/>
      <w:r w:rsidRPr="00F3776B">
        <w:t>Malmsheimer</w:t>
      </w:r>
      <w:proofErr w:type="spellEnd"/>
      <w:r w:rsidRPr="00F3776B">
        <w:t xml:space="preserve">, R., Floyd, D. and Zhang, L. 2009. An analysis of ideological effects in published versus unpublished judicial opinions. </w:t>
      </w:r>
      <w:r w:rsidRPr="00F3776B">
        <w:rPr>
          <w:i/>
        </w:rPr>
        <w:t>Journal of Empirical Legal Studies</w:t>
      </w:r>
      <w:r w:rsidRPr="00F3776B">
        <w:t>, 6(1), 213-239.</w:t>
      </w:r>
    </w:p>
    <w:p w14:paraId="1F6A51BA" w14:textId="77777777" w:rsidR="00166E7E" w:rsidRDefault="00166E7E" w:rsidP="00166E7E">
      <w:pPr>
        <w:spacing w:line="480" w:lineRule="auto"/>
        <w:ind w:left="540" w:hanging="540"/>
        <w:jc w:val="both"/>
      </w:pPr>
      <w:proofErr w:type="spellStart"/>
      <w:r>
        <w:t>Kessedjian</w:t>
      </w:r>
      <w:proofErr w:type="spellEnd"/>
      <w:r>
        <w:t xml:space="preserve">, C. 2007. Public Order in European Law. </w:t>
      </w:r>
      <w:r w:rsidRPr="00D97895">
        <w:rPr>
          <w:i/>
          <w:iCs/>
        </w:rPr>
        <w:t>Erasmus Law Review</w:t>
      </w:r>
      <w:r>
        <w:t>, 1 (1), 25-36.</w:t>
      </w:r>
    </w:p>
    <w:p w14:paraId="5F67334C" w14:textId="77777777" w:rsidR="003B1260" w:rsidRPr="00816B9F" w:rsidRDefault="003B1260" w:rsidP="00F3776B">
      <w:pPr>
        <w:spacing w:line="480" w:lineRule="auto"/>
        <w:ind w:left="540" w:hanging="540"/>
        <w:jc w:val="both"/>
      </w:pPr>
      <w:r w:rsidRPr="00816B9F">
        <w:t xml:space="preserve">Knight, W. 1922. Public Policy in English Law. </w:t>
      </w:r>
      <w:r w:rsidRPr="00816B9F">
        <w:rPr>
          <w:i/>
        </w:rPr>
        <w:t>Law Quarterly Review,</w:t>
      </w:r>
      <w:r w:rsidRPr="00816B9F">
        <w:t xml:space="preserve"> 38 (2), 207-219.</w:t>
      </w:r>
    </w:p>
    <w:p w14:paraId="7DDA5E16" w14:textId="77777777" w:rsidR="00166E7E" w:rsidRDefault="00166E7E" w:rsidP="00166E7E">
      <w:pPr>
        <w:spacing w:line="480" w:lineRule="auto"/>
        <w:ind w:left="540" w:hanging="540"/>
        <w:jc w:val="both"/>
      </w:pPr>
      <w:r>
        <w:t xml:space="preserve">Lloyd, D., 1953. </w:t>
      </w:r>
      <w:r w:rsidRPr="00166E7E">
        <w:rPr>
          <w:i/>
          <w:iCs/>
        </w:rPr>
        <w:t>Public Policy. A Comparative Study in English and French Law</w:t>
      </w:r>
      <w:r>
        <w:t xml:space="preserve">. Pub. </w:t>
      </w:r>
      <w:proofErr w:type="spellStart"/>
      <w:r>
        <w:t>Londres</w:t>
      </w:r>
      <w:proofErr w:type="spellEnd"/>
      <w:r>
        <w:t>.</w:t>
      </w:r>
    </w:p>
    <w:p w14:paraId="65C45951" w14:textId="77777777" w:rsidR="003B1260" w:rsidRPr="00816B9F" w:rsidRDefault="003B1260" w:rsidP="00F3776B">
      <w:pPr>
        <w:spacing w:line="480" w:lineRule="auto"/>
        <w:ind w:left="540" w:hanging="540"/>
        <w:jc w:val="both"/>
      </w:pPr>
      <w:r w:rsidRPr="00816B9F">
        <w:t xml:space="preserve">Luttrell, S. 2009. The Changing Lex </w:t>
      </w:r>
      <w:proofErr w:type="spellStart"/>
      <w:r w:rsidRPr="00816B9F">
        <w:t>Arbitri</w:t>
      </w:r>
      <w:proofErr w:type="spellEnd"/>
      <w:r w:rsidRPr="00816B9F">
        <w:t xml:space="preserve"> of the UAE. </w:t>
      </w:r>
      <w:r w:rsidRPr="00816B9F">
        <w:rPr>
          <w:i/>
        </w:rPr>
        <w:t>Arab Law Quarterly</w:t>
      </w:r>
      <w:r w:rsidRPr="00816B9F">
        <w:t>, 23 (2), 139-166</w:t>
      </w:r>
    </w:p>
    <w:p w14:paraId="39E5FC9D" w14:textId="77777777" w:rsidR="00626D1A" w:rsidRPr="00C742CB" w:rsidRDefault="00626D1A" w:rsidP="00F3776B">
      <w:pPr>
        <w:spacing w:line="480" w:lineRule="auto"/>
        <w:ind w:left="540" w:hanging="540"/>
        <w:jc w:val="both"/>
      </w:pPr>
      <w:r w:rsidRPr="003B1260">
        <w:lastRenderedPageBreak/>
        <w:t xml:space="preserve">Marshall, A. and Ojiako, U. 2013. Managing risk through the veil of ignorance. </w:t>
      </w:r>
      <w:r w:rsidRPr="003B1260">
        <w:rPr>
          <w:i/>
        </w:rPr>
        <w:t>Journal of Risk Research</w:t>
      </w:r>
      <w:r w:rsidRPr="00C742CB">
        <w:t>, 16(10), 1225-1239.</w:t>
      </w:r>
    </w:p>
    <w:p w14:paraId="550C786F" w14:textId="77777777" w:rsidR="00626D1A" w:rsidRPr="00C742CB" w:rsidRDefault="00626D1A" w:rsidP="00F3776B">
      <w:pPr>
        <w:spacing w:line="480" w:lineRule="auto"/>
        <w:ind w:left="540" w:hanging="540"/>
        <w:jc w:val="both"/>
      </w:pPr>
      <w:r w:rsidRPr="00C742CB">
        <w:t>Matter, M. 1998. Manifestly Unreasonable: Misapplying the Essence Test Standard of Review of Arbitration Awards in Pennsylvania's Public Sector-Are the Courts Abusing Their Discretion. Dickinson Law Review, Vol. 103, Issue 3 (Spring 1999), pp. 667-692;</w:t>
      </w:r>
    </w:p>
    <w:p w14:paraId="79ED1105" w14:textId="77777777" w:rsidR="00626D1A" w:rsidRDefault="00626D1A" w:rsidP="00F3776B">
      <w:pPr>
        <w:spacing w:line="480" w:lineRule="auto"/>
        <w:ind w:left="540" w:hanging="540"/>
        <w:jc w:val="both"/>
      </w:pPr>
      <w:proofErr w:type="spellStart"/>
      <w:r w:rsidRPr="001D46D0">
        <w:t>McBarnet</w:t>
      </w:r>
      <w:proofErr w:type="spellEnd"/>
      <w:r w:rsidRPr="001D46D0">
        <w:t xml:space="preserve">, D. 1988. Law, Policy, and Legal Avoidance: Can Law Effectively Implement Egalitarian Policies. </w:t>
      </w:r>
      <w:r w:rsidRPr="007F5F15">
        <w:rPr>
          <w:i/>
        </w:rPr>
        <w:t>Journal of Law and Society</w:t>
      </w:r>
      <w:r w:rsidRPr="007F5F15">
        <w:t>, 15 (1), 113-121.</w:t>
      </w:r>
    </w:p>
    <w:p w14:paraId="685E24A9" w14:textId="77777777" w:rsidR="00626D1A" w:rsidRDefault="00626D1A" w:rsidP="00F3776B">
      <w:pPr>
        <w:spacing w:line="480" w:lineRule="auto"/>
        <w:ind w:left="540" w:hanging="540"/>
        <w:jc w:val="both"/>
      </w:pPr>
      <w:proofErr w:type="spellStart"/>
      <w:r>
        <w:t>Mishmish</w:t>
      </w:r>
      <w:proofErr w:type="spellEnd"/>
      <w:r>
        <w:t xml:space="preserve">, M. and El-Sayegh, S. 2018. Causes of claims in road construction projects in the UAE. </w:t>
      </w:r>
      <w:r w:rsidRPr="005D5B16">
        <w:rPr>
          <w:i/>
        </w:rPr>
        <w:t>International Journal of Construction Management</w:t>
      </w:r>
      <w:r>
        <w:t>, 18(1), 26-33.</w:t>
      </w:r>
    </w:p>
    <w:p w14:paraId="492BEA32" w14:textId="77777777" w:rsidR="00626D1A" w:rsidRPr="00816B9F" w:rsidRDefault="00626D1A" w:rsidP="00F3776B">
      <w:pPr>
        <w:spacing w:line="480" w:lineRule="auto"/>
        <w:ind w:left="540" w:hanging="540"/>
        <w:jc w:val="both"/>
      </w:pPr>
      <w:r w:rsidRPr="00816B9F">
        <w:t xml:space="preserve">Morgan, D. 1993. Qualitative content analysis: a guide to paths not taken. </w:t>
      </w:r>
      <w:r w:rsidRPr="00C8419F">
        <w:rPr>
          <w:i/>
        </w:rPr>
        <w:t>Qualitative Health Research</w:t>
      </w:r>
      <w:r w:rsidRPr="00816B9F">
        <w:t>, 3(1), 112-121.</w:t>
      </w:r>
    </w:p>
    <w:p w14:paraId="1BED6DF0" w14:textId="77777777" w:rsidR="00166E7E" w:rsidRDefault="00166E7E" w:rsidP="00166E7E">
      <w:pPr>
        <w:spacing w:line="480" w:lineRule="auto"/>
        <w:ind w:left="540" w:hanging="540"/>
        <w:jc w:val="both"/>
      </w:pPr>
      <w:r>
        <w:t xml:space="preserve">Murphy, K. 1981. The Traditional View of Public Policy and Ordre Public in Private International Law, </w:t>
      </w:r>
      <w:r w:rsidRPr="00166E7E">
        <w:rPr>
          <w:i/>
          <w:iCs/>
        </w:rPr>
        <w:t>Georgia Journal of International and Comparative Law</w:t>
      </w:r>
      <w:r>
        <w:t>, 11 (3), 591-616.</w:t>
      </w:r>
    </w:p>
    <w:p w14:paraId="3026ACAA" w14:textId="77777777" w:rsidR="00FE07BB" w:rsidRPr="00816B9F" w:rsidRDefault="00FE07BB" w:rsidP="00F3776B">
      <w:pPr>
        <w:spacing w:line="480" w:lineRule="auto"/>
        <w:ind w:left="540" w:hanging="540"/>
        <w:jc w:val="both"/>
      </w:pPr>
      <w:r w:rsidRPr="00816B9F">
        <w:t xml:space="preserve">Ojiako, U. 2017. </w:t>
      </w:r>
      <w:r w:rsidRPr="00816B9F">
        <w:rPr>
          <w:i/>
        </w:rPr>
        <w:t>Using Online Dispute Resolution Platforms to Resolve Small and Low-Valued Construction Project Claims Disputes: An Examination of the Rule of Law and Justice Implications</w:t>
      </w:r>
      <w:r w:rsidRPr="00816B9F">
        <w:t xml:space="preserve">. Unpublished LLB Thesis, University of London. </w:t>
      </w:r>
    </w:p>
    <w:p w14:paraId="56BAC807" w14:textId="77777777" w:rsidR="00FE07BB" w:rsidRPr="00816B9F" w:rsidRDefault="00FE07BB" w:rsidP="00F3776B">
      <w:pPr>
        <w:spacing w:line="480" w:lineRule="auto"/>
        <w:ind w:left="540" w:hanging="540"/>
        <w:jc w:val="both"/>
        <w:rPr>
          <w:i/>
        </w:rPr>
      </w:pPr>
      <w:r w:rsidRPr="00816B9F">
        <w:t>Ojiako, U. 2019</w:t>
      </w:r>
      <w:r>
        <w:t>a</w:t>
      </w:r>
      <w:r w:rsidRPr="00816B9F">
        <w:t xml:space="preserve">. </w:t>
      </w:r>
      <w:r w:rsidRPr="00816B9F">
        <w:rPr>
          <w:i/>
        </w:rPr>
        <w:t xml:space="preserve">Public policy as a ground for challenging and vacating domestic arbitral awards in the United Arab Emirates. </w:t>
      </w:r>
      <w:r w:rsidRPr="00816B9F">
        <w:t>Unpublished MPhil Thesis, Aberystwyth University.</w:t>
      </w:r>
    </w:p>
    <w:p w14:paraId="56989F51" w14:textId="77777777" w:rsidR="00FE07BB" w:rsidRDefault="00FE07BB" w:rsidP="00F3776B">
      <w:pPr>
        <w:spacing w:line="480" w:lineRule="auto"/>
        <w:ind w:left="540" w:hanging="540"/>
        <w:jc w:val="both"/>
      </w:pPr>
      <w:r>
        <w:t xml:space="preserve">Ojiako, U. 2019b. </w:t>
      </w:r>
      <w:r w:rsidRPr="00FF4FFA">
        <w:t>Public policy and projects: the legal perspective</w:t>
      </w:r>
      <w:r>
        <w:t xml:space="preserve">. </w:t>
      </w:r>
      <w:r w:rsidRPr="00380549">
        <w:rPr>
          <w:i/>
        </w:rPr>
        <w:t xml:space="preserve">University of Sharjah </w:t>
      </w:r>
      <w:r>
        <w:rPr>
          <w:i/>
        </w:rPr>
        <w:t xml:space="preserve">College of Engineering </w:t>
      </w:r>
      <w:r w:rsidRPr="00380549">
        <w:rPr>
          <w:i/>
        </w:rPr>
        <w:t>Working Papers Series</w:t>
      </w:r>
      <w:r>
        <w:t>, Unpublished.</w:t>
      </w:r>
    </w:p>
    <w:p w14:paraId="3824BA0C" w14:textId="77777777" w:rsidR="00FE07BB" w:rsidRPr="00816B9F" w:rsidRDefault="00FE07BB" w:rsidP="00F3776B">
      <w:pPr>
        <w:spacing w:line="480" w:lineRule="auto"/>
        <w:ind w:left="540" w:hanging="540"/>
        <w:jc w:val="both"/>
      </w:pPr>
      <w:r w:rsidRPr="00816B9F">
        <w:t xml:space="preserve">Ojiako, U., Chipulu, M., Marshall, A., and Williams, T. 2018. An examination of the ‘Rule of law’ and ‘Justice’ implications in Online Dispute Resolution in the Construction Industry, </w:t>
      </w:r>
      <w:r w:rsidRPr="00816B9F">
        <w:rPr>
          <w:i/>
        </w:rPr>
        <w:t>International Journal of Project Management</w:t>
      </w:r>
      <w:r w:rsidRPr="00816B9F">
        <w:t>, 36 (2), 301-316.</w:t>
      </w:r>
    </w:p>
    <w:p w14:paraId="3799BB5A" w14:textId="77777777" w:rsidR="00FE07BB" w:rsidRDefault="00FE07BB" w:rsidP="00F3776B">
      <w:pPr>
        <w:spacing w:line="480" w:lineRule="auto"/>
        <w:ind w:left="540" w:hanging="540"/>
        <w:jc w:val="both"/>
      </w:pPr>
      <w:r w:rsidRPr="00AC35CC">
        <w:lastRenderedPageBreak/>
        <w:t xml:space="preserve">Onyema, E. 2017. The Jurisdictional Tensions between Domestic Courts and Arbitral Tribunals. </w:t>
      </w:r>
      <w:r w:rsidRPr="00AC35CC">
        <w:rPr>
          <w:i/>
        </w:rPr>
        <w:t>International Arbitration and the Rule of Law: Contribution and Conformity</w:t>
      </w:r>
      <w:r w:rsidRPr="00AC35CC">
        <w:t>, ICCA Congress Series no. 19 (Kluwer 2017). Kluwer Law International, pp 481-500.</w:t>
      </w:r>
    </w:p>
    <w:p w14:paraId="3AC90A85" w14:textId="77777777" w:rsidR="00FE07BB" w:rsidRDefault="00FE07BB" w:rsidP="00F3776B">
      <w:pPr>
        <w:spacing w:line="480" w:lineRule="auto"/>
        <w:ind w:left="540" w:hanging="540"/>
        <w:jc w:val="both"/>
      </w:pPr>
      <w:proofErr w:type="spellStart"/>
      <w:r w:rsidRPr="00AE3F95">
        <w:t>Padroth</w:t>
      </w:r>
      <w:proofErr w:type="spellEnd"/>
      <w:r w:rsidRPr="00AE3F95">
        <w:t xml:space="preserve">, C., Davis, P. and Morrissey, M. 2017. Contract information asymmetry: Legal disconnect within the project team. </w:t>
      </w:r>
      <w:r w:rsidRPr="001F3ACC">
        <w:rPr>
          <w:i/>
        </w:rPr>
        <w:t>ASCE Journal of Legal Affairs and Dispute Resolution in Engineering and Construction</w:t>
      </w:r>
      <w:r w:rsidRPr="00AE3F95">
        <w:t>, 9(3), p.04517015.</w:t>
      </w:r>
    </w:p>
    <w:p w14:paraId="564470E2" w14:textId="77777777" w:rsidR="00FE07BB" w:rsidRPr="00816B9F" w:rsidRDefault="00FE07BB" w:rsidP="00F3776B">
      <w:pPr>
        <w:spacing w:line="480" w:lineRule="auto"/>
        <w:ind w:left="540" w:hanging="540"/>
        <w:jc w:val="both"/>
      </w:pPr>
      <w:r w:rsidRPr="00816B9F">
        <w:t xml:space="preserve">Peng, C., Lee, K. and Ingersoll, G. 2002. An introduction to logistic regression analysis and reporting. </w:t>
      </w:r>
      <w:r w:rsidRPr="00816B9F">
        <w:rPr>
          <w:i/>
        </w:rPr>
        <w:t>Journal of Educational Research</w:t>
      </w:r>
      <w:r w:rsidRPr="00816B9F">
        <w:t>, 96(1), 3-14.</w:t>
      </w:r>
    </w:p>
    <w:p w14:paraId="23CD555D" w14:textId="77777777" w:rsidR="00F3776B" w:rsidRDefault="00F3776B" w:rsidP="00F3776B">
      <w:pPr>
        <w:spacing w:line="480" w:lineRule="auto"/>
        <w:ind w:left="540" w:hanging="540"/>
        <w:jc w:val="both"/>
      </w:pPr>
      <w:proofErr w:type="spellStart"/>
      <w:r>
        <w:t>Q</w:t>
      </w:r>
      <w:r w:rsidRPr="00EB44E8">
        <w:t>outeschat</w:t>
      </w:r>
      <w:proofErr w:type="spellEnd"/>
      <w:r w:rsidRPr="00EB44E8">
        <w:t xml:space="preserve">, O. and </w:t>
      </w:r>
      <w:proofErr w:type="spellStart"/>
      <w:r w:rsidRPr="00EB44E8">
        <w:t>Alawamleh</w:t>
      </w:r>
      <w:proofErr w:type="spellEnd"/>
      <w:r w:rsidRPr="00EB44E8">
        <w:t xml:space="preserve">, K. 2017. The enforceability of electronic arbitration agreements before the DIFC Courts and Dubai Courts. </w:t>
      </w:r>
      <w:r w:rsidRPr="00EB44E8">
        <w:rPr>
          <w:i/>
        </w:rPr>
        <w:t>Digital Evidence &amp; Electronic Signature Law Review</w:t>
      </w:r>
      <w:r w:rsidRPr="00EB44E8">
        <w:t>, 14, 47-60.</w:t>
      </w:r>
    </w:p>
    <w:p w14:paraId="477DD8F4" w14:textId="77777777" w:rsidR="00FE07BB" w:rsidRPr="00816B9F" w:rsidRDefault="00FE07BB" w:rsidP="00F3776B">
      <w:pPr>
        <w:spacing w:line="480" w:lineRule="auto"/>
        <w:ind w:left="540" w:hanging="540"/>
        <w:jc w:val="both"/>
      </w:pPr>
      <w:r w:rsidRPr="00816B9F">
        <w:t xml:space="preserve">Rosenfeld, M. 1985. Contract and Justice: The Relation between Classical Contract Law and Social Contract Theory, </w:t>
      </w:r>
      <w:r w:rsidRPr="00816B9F">
        <w:rPr>
          <w:i/>
        </w:rPr>
        <w:t>Iowa Law Review</w:t>
      </w:r>
      <w:r w:rsidRPr="00816B9F">
        <w:t xml:space="preserve">, 70 (4), 769-900. </w:t>
      </w:r>
    </w:p>
    <w:p w14:paraId="52EAE821" w14:textId="77777777" w:rsidR="00FE07BB" w:rsidRDefault="00FE07BB" w:rsidP="00F3776B">
      <w:pPr>
        <w:spacing w:line="480" w:lineRule="auto"/>
        <w:ind w:left="540" w:hanging="540"/>
        <w:jc w:val="both"/>
      </w:pPr>
      <w:r>
        <w:t xml:space="preserve">Sanderson, J. and Winch, G. 2017. Public policy and projects: making connections and starting conversations. </w:t>
      </w:r>
      <w:r w:rsidRPr="00CA163B">
        <w:rPr>
          <w:i/>
        </w:rPr>
        <w:t>International Journal of Project Management</w:t>
      </w:r>
      <w:r>
        <w:t>, 35 (3), 221-223.</w:t>
      </w:r>
    </w:p>
    <w:p w14:paraId="0B0E5177" w14:textId="77777777" w:rsidR="00FE07BB" w:rsidRDefault="00FE07BB" w:rsidP="00F3776B">
      <w:pPr>
        <w:spacing w:line="480" w:lineRule="auto"/>
        <w:ind w:left="540" w:hanging="540"/>
        <w:jc w:val="both"/>
      </w:pPr>
      <w:r>
        <w:t xml:space="preserve">Schulze, H. 1995. Private international law and jurisdictional problems relating to offshore joint venture agreements. </w:t>
      </w:r>
      <w:r w:rsidRPr="00D4697C">
        <w:rPr>
          <w:i/>
        </w:rPr>
        <w:t>The Comparative and International Law Journal of Southern Africa</w:t>
      </w:r>
      <w:r>
        <w:t>, 28 (3), 383-406.</w:t>
      </w:r>
    </w:p>
    <w:p w14:paraId="17041B0B" w14:textId="77777777" w:rsidR="004F1E0B" w:rsidRPr="001A6EB2" w:rsidRDefault="004F1E0B" w:rsidP="00F3776B">
      <w:pPr>
        <w:spacing w:line="480" w:lineRule="auto"/>
        <w:ind w:left="540" w:hanging="540"/>
        <w:jc w:val="both"/>
      </w:pPr>
      <w:r>
        <w:t xml:space="preserve">Seng, H. 2019. Challenging Arbitral Awards in the Construction Industry: Case Study of Infrastructure Disputes. </w:t>
      </w:r>
      <w:r w:rsidRPr="00380549">
        <w:rPr>
          <w:i/>
        </w:rPr>
        <w:t>ASCE Journal of Legal Affairs and Dispute Resolution in Engineering and Construction</w:t>
      </w:r>
      <w:r>
        <w:t>, 11(1), 1-8.</w:t>
      </w:r>
      <w:r w:rsidRPr="001A6EB2">
        <w:t>8.</w:t>
      </w:r>
    </w:p>
    <w:p w14:paraId="48C1B878" w14:textId="77777777" w:rsidR="004F1E0B" w:rsidRPr="00816B9F" w:rsidRDefault="004F1E0B" w:rsidP="00F3776B">
      <w:pPr>
        <w:spacing w:line="480" w:lineRule="auto"/>
        <w:ind w:left="540" w:hanging="540"/>
        <w:jc w:val="both"/>
      </w:pPr>
      <w:r w:rsidRPr="00816B9F">
        <w:t xml:space="preserve">Shapiro, C. 2008. Coding complexity: Bringing law to the empirical analysis of the Supreme Court. </w:t>
      </w:r>
      <w:r w:rsidRPr="00816B9F">
        <w:rPr>
          <w:i/>
        </w:rPr>
        <w:t>Hastings Law Journal</w:t>
      </w:r>
      <w:r w:rsidRPr="00816B9F">
        <w:t>, 60 (3), 477-540.</w:t>
      </w:r>
    </w:p>
    <w:p w14:paraId="4ACEA6FD" w14:textId="77777777" w:rsidR="004F1E0B" w:rsidRDefault="004F1E0B" w:rsidP="00F3776B">
      <w:pPr>
        <w:spacing w:line="480" w:lineRule="auto"/>
        <w:ind w:left="540" w:hanging="540"/>
        <w:jc w:val="both"/>
      </w:pPr>
      <w:r w:rsidRPr="00EB44E8">
        <w:lastRenderedPageBreak/>
        <w:t>Shelton, T. 1928. Concurrent Jurisdiction</w:t>
      </w:r>
      <w:r>
        <w:t xml:space="preserve"> - </w:t>
      </w:r>
      <w:r w:rsidRPr="00EB44E8">
        <w:t xml:space="preserve">Its Necessity and Its Dangers. </w:t>
      </w:r>
      <w:r w:rsidRPr="00EB44E8">
        <w:rPr>
          <w:i/>
        </w:rPr>
        <w:t>Virginia Law Review</w:t>
      </w:r>
      <w:r w:rsidRPr="00EB44E8">
        <w:t>, 15, 137-153</w:t>
      </w:r>
      <w:r>
        <w:t>.</w:t>
      </w:r>
    </w:p>
    <w:p w14:paraId="4C34DBAC" w14:textId="77777777" w:rsidR="004F1E0B" w:rsidRPr="00816B9F" w:rsidRDefault="004F1E0B" w:rsidP="00F3776B">
      <w:pPr>
        <w:spacing w:line="480" w:lineRule="auto"/>
        <w:ind w:left="540" w:hanging="540"/>
        <w:jc w:val="both"/>
      </w:pPr>
      <w:proofErr w:type="spellStart"/>
      <w:r w:rsidRPr="00816B9F">
        <w:t>Sinjakli</w:t>
      </w:r>
      <w:proofErr w:type="spellEnd"/>
      <w:r w:rsidRPr="00816B9F">
        <w:t xml:space="preserve">, A. 2001. Commercial Agency Disputes and Related Court Judgments in the UAE. </w:t>
      </w:r>
      <w:r w:rsidRPr="00816B9F">
        <w:rPr>
          <w:i/>
        </w:rPr>
        <w:t>International Business Lawye</w:t>
      </w:r>
      <w:r w:rsidRPr="00816B9F">
        <w:t>r, 29 (10), 458-461.</w:t>
      </w:r>
    </w:p>
    <w:p w14:paraId="22DC303A" w14:textId="77777777" w:rsidR="004F1E0B" w:rsidRPr="00816B9F" w:rsidRDefault="004F1E0B" w:rsidP="00F3776B">
      <w:pPr>
        <w:spacing w:line="480" w:lineRule="auto"/>
        <w:ind w:left="540" w:hanging="540"/>
        <w:jc w:val="both"/>
      </w:pPr>
      <w:r w:rsidRPr="00816B9F">
        <w:t xml:space="preserve">Sisk, G., </w:t>
      </w:r>
      <w:proofErr w:type="spellStart"/>
      <w:r w:rsidRPr="00816B9F">
        <w:t>Heise</w:t>
      </w:r>
      <w:proofErr w:type="spellEnd"/>
      <w:r w:rsidRPr="00816B9F">
        <w:t xml:space="preserve">, M. and </w:t>
      </w:r>
      <w:proofErr w:type="spellStart"/>
      <w:r w:rsidRPr="00816B9F">
        <w:t>Morriss</w:t>
      </w:r>
      <w:proofErr w:type="spellEnd"/>
      <w:r w:rsidRPr="00816B9F">
        <w:t xml:space="preserve">, A. 1998. Charting the influences on the judicial mind: An empirical study of judicial reasoning. </w:t>
      </w:r>
      <w:r w:rsidRPr="00816B9F">
        <w:rPr>
          <w:i/>
        </w:rPr>
        <w:t>New York University Law Review</w:t>
      </w:r>
      <w:r w:rsidRPr="00816B9F">
        <w:t>, 73 (5), 1377-1500.</w:t>
      </w:r>
    </w:p>
    <w:p w14:paraId="32648C03" w14:textId="77777777" w:rsidR="00166E7E" w:rsidRDefault="00166E7E" w:rsidP="00166E7E">
      <w:pPr>
        <w:spacing w:line="480" w:lineRule="auto"/>
        <w:ind w:left="540" w:hanging="540"/>
        <w:jc w:val="both"/>
      </w:pPr>
      <w:proofErr w:type="spellStart"/>
      <w:r>
        <w:t>Sterk</w:t>
      </w:r>
      <w:proofErr w:type="spellEnd"/>
      <w:r>
        <w:t xml:space="preserve">, S. 1980. Enforceability of agreements to arbitrate: an examination of the public policy </w:t>
      </w:r>
      <w:proofErr w:type="spellStart"/>
      <w:r>
        <w:t>defense</w:t>
      </w:r>
      <w:proofErr w:type="spellEnd"/>
      <w:r>
        <w:t xml:space="preserve">. </w:t>
      </w:r>
      <w:r w:rsidRPr="00166E7E">
        <w:rPr>
          <w:i/>
          <w:iCs/>
        </w:rPr>
        <w:t>Cardozo Law Review</w:t>
      </w:r>
      <w:r>
        <w:t>, 2 (3), 481-544</w:t>
      </w:r>
    </w:p>
    <w:p w14:paraId="04E56D81" w14:textId="61E76456" w:rsidR="0031151E" w:rsidRDefault="0031151E" w:rsidP="00F3776B">
      <w:pPr>
        <w:spacing w:line="480" w:lineRule="auto"/>
        <w:ind w:left="540" w:hanging="540"/>
        <w:jc w:val="both"/>
      </w:pPr>
      <w:r w:rsidRPr="0031151E">
        <w:t xml:space="preserve">Tompkins, J. 2018. Manifest Disregard of the Law: The Continuing Evolution of an Historically Ambiguous Vacatur Standard. </w:t>
      </w:r>
      <w:r w:rsidRPr="00FE07BB">
        <w:rPr>
          <w:i/>
          <w:iCs/>
        </w:rPr>
        <w:t>Dispute Resolution International</w:t>
      </w:r>
      <w:r w:rsidRPr="0031151E">
        <w:t>, 12</w:t>
      </w:r>
      <w:r>
        <w:t xml:space="preserve"> (2), </w:t>
      </w:r>
      <w:r w:rsidRPr="0031151E">
        <w:t>145-164;</w:t>
      </w:r>
    </w:p>
    <w:p w14:paraId="20CD9A4D" w14:textId="12C0AE25" w:rsidR="00CD4F42" w:rsidRPr="00816B9F" w:rsidRDefault="00CD4F42" w:rsidP="00F3776B">
      <w:pPr>
        <w:spacing w:line="480" w:lineRule="auto"/>
        <w:ind w:left="540" w:hanging="540"/>
        <w:jc w:val="both"/>
      </w:pPr>
      <w:proofErr w:type="spellStart"/>
      <w:r w:rsidRPr="00816B9F">
        <w:t>Vaismoradi</w:t>
      </w:r>
      <w:proofErr w:type="spellEnd"/>
      <w:r w:rsidRPr="00816B9F">
        <w:t xml:space="preserve">, M., </w:t>
      </w:r>
      <w:proofErr w:type="spellStart"/>
      <w:r w:rsidRPr="00816B9F">
        <w:t>Turunen</w:t>
      </w:r>
      <w:proofErr w:type="spellEnd"/>
      <w:r w:rsidRPr="00816B9F">
        <w:t xml:space="preserve">, H. and </w:t>
      </w:r>
      <w:proofErr w:type="spellStart"/>
      <w:r w:rsidRPr="00816B9F">
        <w:t>Bondas</w:t>
      </w:r>
      <w:proofErr w:type="spellEnd"/>
      <w:r w:rsidRPr="00816B9F">
        <w:t xml:space="preserve">, T. 2013. Content analysis and thematic analysis: Implications for conducting a qualitative descriptive study. </w:t>
      </w:r>
      <w:r w:rsidRPr="00816B9F">
        <w:rPr>
          <w:i/>
        </w:rPr>
        <w:t>Nursing &amp; Health Sciences,</w:t>
      </w:r>
      <w:r w:rsidRPr="00816B9F">
        <w:t xml:space="preserve"> 15(3), 398-405.</w:t>
      </w:r>
    </w:p>
    <w:p w14:paraId="627F3848" w14:textId="77777777" w:rsidR="00CD4F42" w:rsidRPr="00816B9F" w:rsidRDefault="00CD4F42" w:rsidP="00F3776B">
      <w:pPr>
        <w:spacing w:line="480" w:lineRule="auto"/>
        <w:ind w:left="540" w:hanging="540"/>
        <w:jc w:val="both"/>
      </w:pPr>
      <w:r w:rsidRPr="00816B9F">
        <w:t xml:space="preserve">Veasey, E. and Brown, G. 2014. Overview of the General Counsel's Decision Making on Dispute-Resolution Strategies in Complex Business Transactions. </w:t>
      </w:r>
      <w:r w:rsidRPr="00816B9F">
        <w:rPr>
          <w:i/>
        </w:rPr>
        <w:t>Business Law Journal</w:t>
      </w:r>
      <w:r w:rsidRPr="00816B9F">
        <w:t>, 70 (2), 407-436.</w:t>
      </w:r>
    </w:p>
    <w:p w14:paraId="6ACD04AA" w14:textId="77777777" w:rsidR="00CD4F42" w:rsidRPr="00816B9F" w:rsidRDefault="00CD4F42" w:rsidP="00F3776B">
      <w:pPr>
        <w:spacing w:line="480" w:lineRule="auto"/>
        <w:ind w:left="540" w:hanging="540"/>
        <w:jc w:val="both"/>
      </w:pPr>
      <w:r w:rsidRPr="00816B9F">
        <w:t xml:space="preserve">Wasco, M. 2009. When Less Is More: The International Split Over Expanded Judicial Review in Arbitration. </w:t>
      </w:r>
      <w:r w:rsidRPr="00816B9F">
        <w:rPr>
          <w:i/>
        </w:rPr>
        <w:t>Rutgers Law Review</w:t>
      </w:r>
      <w:r w:rsidRPr="00816B9F">
        <w:t>, 62 (2), 599-626.</w:t>
      </w:r>
    </w:p>
    <w:p w14:paraId="102BD1EF" w14:textId="77777777" w:rsidR="00CD4F42" w:rsidRPr="00816B9F" w:rsidRDefault="00CD4F42" w:rsidP="00F3776B">
      <w:pPr>
        <w:spacing w:line="480" w:lineRule="auto"/>
        <w:ind w:left="540" w:hanging="540"/>
        <w:jc w:val="both"/>
      </w:pPr>
      <w:r w:rsidRPr="00816B9F">
        <w:t xml:space="preserve">Webley, L. 2010. </w:t>
      </w:r>
      <w:r w:rsidRPr="00816B9F">
        <w:rPr>
          <w:i/>
        </w:rPr>
        <w:t>Qualitative approaches to empirical legal research</w:t>
      </w:r>
      <w:r w:rsidRPr="00816B9F">
        <w:t xml:space="preserve">. In Cane, P and </w:t>
      </w:r>
      <w:proofErr w:type="spellStart"/>
      <w:r w:rsidRPr="00816B9F">
        <w:t>Kritzer</w:t>
      </w:r>
      <w:proofErr w:type="spellEnd"/>
      <w:r w:rsidRPr="00816B9F">
        <w:t>, H. (eds), The Oxford Handbook of Empirical Legal Research. Oxford: Oxford University Press, 926-950.</w:t>
      </w:r>
    </w:p>
    <w:p w14:paraId="2935B356" w14:textId="77777777" w:rsidR="00881838" w:rsidRDefault="00881838" w:rsidP="00F3776B">
      <w:pPr>
        <w:spacing w:line="480" w:lineRule="auto"/>
        <w:ind w:left="540" w:hanging="540"/>
        <w:jc w:val="both"/>
      </w:pPr>
      <w:r w:rsidRPr="00881838">
        <w:t xml:space="preserve">Wedel, J., Shore, C., Feldman, G. and Lathrop, S. 2005. Toward an anthropology of public policy. </w:t>
      </w:r>
      <w:r w:rsidRPr="00881838">
        <w:rPr>
          <w:i/>
          <w:iCs/>
        </w:rPr>
        <w:t>Annals of the American Academy of Political and Social Science,</w:t>
      </w:r>
      <w:r w:rsidRPr="00881838">
        <w:t xml:space="preserve"> 600(1), 30-51.</w:t>
      </w:r>
    </w:p>
    <w:p w14:paraId="01A32FFF" w14:textId="77777777" w:rsidR="00CD4F42" w:rsidRPr="00816B9F" w:rsidRDefault="00CD4F42" w:rsidP="00F3776B">
      <w:pPr>
        <w:spacing w:line="480" w:lineRule="auto"/>
        <w:ind w:left="540" w:hanging="540"/>
        <w:jc w:val="both"/>
      </w:pPr>
      <w:r w:rsidRPr="00816B9F">
        <w:lastRenderedPageBreak/>
        <w:t xml:space="preserve">Wen, Q., </w:t>
      </w:r>
      <w:proofErr w:type="spellStart"/>
      <w:r w:rsidRPr="00816B9F">
        <w:t>Qiang</w:t>
      </w:r>
      <w:proofErr w:type="spellEnd"/>
      <w:r w:rsidRPr="00816B9F">
        <w:t xml:space="preserve">, M. and An, N. 2017. Collaborating with construction management consultants in project execution: Responsibility delegation and capability integration. </w:t>
      </w:r>
      <w:r w:rsidRPr="00816B9F">
        <w:rPr>
          <w:i/>
        </w:rPr>
        <w:t>ASCE Journal of Construction Engineering and Management</w:t>
      </w:r>
      <w:r w:rsidRPr="00816B9F">
        <w:t xml:space="preserve">, 143(7), p.04017021. </w:t>
      </w:r>
    </w:p>
    <w:p w14:paraId="266DE991" w14:textId="77777777" w:rsidR="00CD4F42" w:rsidRPr="00816B9F" w:rsidRDefault="00CD4F42" w:rsidP="00F3776B">
      <w:pPr>
        <w:spacing w:line="480" w:lineRule="auto"/>
        <w:ind w:left="540" w:hanging="540"/>
        <w:jc w:val="both"/>
      </w:pPr>
      <w:r w:rsidRPr="00816B9F">
        <w:t xml:space="preserve">Weston, M. 2015. The Clash: Squaring Mandatory Arbitration with Administrative Agency and Representative Recourse. </w:t>
      </w:r>
      <w:r w:rsidRPr="00816B9F">
        <w:rPr>
          <w:i/>
        </w:rPr>
        <w:t>Southern California Law Review</w:t>
      </w:r>
      <w:r w:rsidRPr="00816B9F">
        <w:t>, 89 (1), 103-142.</w:t>
      </w:r>
    </w:p>
    <w:p w14:paraId="7231D3B2" w14:textId="77777777" w:rsidR="00CD4F42" w:rsidRPr="001A6EB2" w:rsidRDefault="00CD4F42" w:rsidP="00F3776B">
      <w:pPr>
        <w:spacing w:line="480" w:lineRule="auto"/>
        <w:ind w:left="540" w:hanging="540"/>
        <w:jc w:val="both"/>
      </w:pPr>
      <w:r w:rsidRPr="001A6EB2">
        <w:t>Winch, G., and Sanderson, J. 2015. Call for Papers - Public policy and projects,</w:t>
      </w:r>
      <w:r w:rsidRPr="001A6EB2">
        <w:rPr>
          <w:i/>
        </w:rPr>
        <w:t xml:space="preserve"> International Journal of Project Management</w:t>
      </w:r>
      <w:r w:rsidRPr="001A6EB2">
        <w:t>, 33 (2), 249-250</w:t>
      </w:r>
      <w:r>
        <w:t>.</w:t>
      </w:r>
    </w:p>
    <w:p w14:paraId="039FC818" w14:textId="77777777" w:rsidR="00166E7E" w:rsidRDefault="00166E7E" w:rsidP="00166E7E">
      <w:pPr>
        <w:spacing w:line="480" w:lineRule="auto"/>
        <w:ind w:left="540" w:hanging="540"/>
        <w:jc w:val="both"/>
      </w:pPr>
      <w:r>
        <w:t xml:space="preserve">Xiao, Y and </w:t>
      </w:r>
      <w:proofErr w:type="spellStart"/>
      <w:r>
        <w:t>Huo</w:t>
      </w:r>
      <w:proofErr w:type="spellEnd"/>
      <w:r>
        <w:t xml:space="preserve">, Z. 2005. Ordre Public in China's Private International Law. </w:t>
      </w:r>
      <w:r w:rsidRPr="00166E7E">
        <w:rPr>
          <w:i/>
          <w:iCs/>
        </w:rPr>
        <w:t>American Journal of Comparative Law</w:t>
      </w:r>
      <w:r>
        <w:t>, 53 (3), 653-678.</w:t>
      </w:r>
    </w:p>
    <w:p w14:paraId="45ED0C93" w14:textId="77777777" w:rsidR="00CD4F42" w:rsidRPr="00816B9F" w:rsidRDefault="00CD4F42" w:rsidP="00F3776B">
      <w:pPr>
        <w:spacing w:line="480" w:lineRule="auto"/>
        <w:ind w:left="540" w:hanging="540"/>
        <w:jc w:val="both"/>
      </w:pPr>
      <w:proofErr w:type="spellStart"/>
      <w:r w:rsidRPr="00816B9F">
        <w:t>Yelpaala</w:t>
      </w:r>
      <w:proofErr w:type="spellEnd"/>
      <w:r w:rsidRPr="00816B9F">
        <w:t xml:space="preserve">, K. 1989. Restraining the Unruly Horse: The Use of Public Policy in Arbitration, Interstate and International Conflict of Laws in California. </w:t>
      </w:r>
      <w:r w:rsidRPr="00816B9F">
        <w:rPr>
          <w:i/>
          <w:iCs/>
        </w:rPr>
        <w:t>Journal of Transnational Law</w:t>
      </w:r>
      <w:r w:rsidRPr="00816B9F">
        <w:t xml:space="preserve">, 2 (2), 379-494. </w:t>
      </w:r>
    </w:p>
    <w:p w14:paraId="4A9106D4" w14:textId="77777777" w:rsidR="00CD4F42" w:rsidRDefault="00CD4F42" w:rsidP="00F3776B">
      <w:pPr>
        <w:spacing w:line="480" w:lineRule="auto"/>
        <w:ind w:left="540" w:hanging="540"/>
        <w:jc w:val="both"/>
      </w:pPr>
      <w:r>
        <w:t xml:space="preserve">Yu, H. 2004. Explore the void - an evaluation of arbitration theories: Part 1. </w:t>
      </w:r>
      <w:r w:rsidRPr="00FB29CA">
        <w:rPr>
          <w:i/>
        </w:rPr>
        <w:t>International Arbitration Law Review</w:t>
      </w:r>
      <w:r>
        <w:t>, 7 (6), 180-190.</w:t>
      </w:r>
    </w:p>
    <w:p w14:paraId="38BFC2E4" w14:textId="77777777" w:rsidR="00CD4F42" w:rsidRDefault="00CD4F42" w:rsidP="00F3776B">
      <w:pPr>
        <w:spacing w:line="480" w:lineRule="auto"/>
        <w:ind w:left="540" w:hanging="540"/>
        <w:jc w:val="both"/>
      </w:pPr>
      <w:r>
        <w:t xml:space="preserve">Yu, H. 2005. Explore the void - an evaluation of arbitration theories: Part 2. </w:t>
      </w:r>
      <w:r w:rsidRPr="00FB29CA">
        <w:rPr>
          <w:i/>
        </w:rPr>
        <w:t>International Arbitration Law Review</w:t>
      </w:r>
      <w:r>
        <w:t>, 8 (1), 14-22.</w:t>
      </w:r>
    </w:p>
    <w:p w14:paraId="2FA4706F" w14:textId="77777777" w:rsidR="00CD4F42" w:rsidRDefault="00CD4F42" w:rsidP="00F3776B">
      <w:pPr>
        <w:spacing w:line="480" w:lineRule="auto"/>
        <w:ind w:left="540" w:hanging="540"/>
        <w:jc w:val="both"/>
      </w:pPr>
      <w:r>
        <w:t xml:space="preserve">Yu, H. 2008. A Theoretical Overview of the Foundations of International Commercial Arbitration. </w:t>
      </w:r>
      <w:r w:rsidRPr="00FB29CA">
        <w:rPr>
          <w:i/>
        </w:rPr>
        <w:t>Contemporary Asia Arbitration Journal</w:t>
      </w:r>
      <w:r>
        <w:t>, 1 (2), 255-286.</w:t>
      </w:r>
    </w:p>
    <w:p w14:paraId="4BCC141B" w14:textId="77777777" w:rsidR="00DC2EF4" w:rsidRDefault="00CD4F42" w:rsidP="00F3776B">
      <w:pPr>
        <w:spacing w:line="480" w:lineRule="auto"/>
        <w:ind w:left="540" w:hanging="540"/>
        <w:jc w:val="both"/>
      </w:pPr>
      <w:proofErr w:type="spellStart"/>
      <w:r w:rsidRPr="00816B9F">
        <w:t>Zaneldin</w:t>
      </w:r>
      <w:proofErr w:type="spellEnd"/>
      <w:r w:rsidRPr="00816B9F">
        <w:t xml:space="preserve">, E. 2006. Construction claims in United Arab Emirates: Types, causes, and frequency. </w:t>
      </w:r>
      <w:r w:rsidRPr="001A6D09">
        <w:rPr>
          <w:i/>
        </w:rPr>
        <w:t>International Journal of Project Management</w:t>
      </w:r>
      <w:r w:rsidRPr="00816B9F">
        <w:t>, 24(5), 453-459</w:t>
      </w:r>
      <w:r w:rsidR="00DC2EF4">
        <w:t>.</w:t>
      </w:r>
    </w:p>
    <w:p w14:paraId="7F15DD7A" w14:textId="77777777" w:rsidR="008350E8" w:rsidRDefault="004A08A1" w:rsidP="004A08A1">
      <w:pPr>
        <w:spacing w:line="480" w:lineRule="auto"/>
        <w:ind w:left="540" w:hanging="540"/>
        <w:jc w:val="both"/>
      </w:pPr>
      <w:r>
        <w:t xml:space="preserve">Zuckerman, S. </w:t>
      </w:r>
      <w:r w:rsidR="00DC2EF4" w:rsidRPr="00DC2EF4">
        <w:t>2007. Comparing cost in construction arbitration &amp; litigation. Dispute Re</w:t>
      </w:r>
      <w:r w:rsidR="00DC2EF4">
        <w:t xml:space="preserve">solution Journal, 62(2), 42, </w:t>
      </w:r>
      <w:r w:rsidR="00DC2EF4" w:rsidRPr="00DC2EF4">
        <w:t>44-4</w:t>
      </w:r>
      <w:r w:rsidR="008350E8">
        <w:t>8.</w:t>
      </w:r>
    </w:p>
    <w:p w14:paraId="08F0929B" w14:textId="77777777" w:rsidR="008350E8" w:rsidRDefault="008350E8" w:rsidP="008350E8">
      <w:pPr>
        <w:spacing w:line="480" w:lineRule="auto"/>
        <w:ind w:left="540" w:hanging="540"/>
        <w:jc w:val="both"/>
      </w:pPr>
    </w:p>
    <w:p w14:paraId="5B6607F1" w14:textId="77777777" w:rsidR="008350E8" w:rsidRDefault="008350E8" w:rsidP="008350E8">
      <w:pPr>
        <w:spacing w:line="480" w:lineRule="auto"/>
        <w:ind w:left="540" w:hanging="540"/>
        <w:jc w:val="both"/>
      </w:pPr>
    </w:p>
    <w:p w14:paraId="33AD71E4" w14:textId="5E868EA7" w:rsidR="00C62788" w:rsidRPr="003F68BC" w:rsidRDefault="00C62788" w:rsidP="00C62788">
      <w:pPr>
        <w:spacing w:line="480" w:lineRule="auto"/>
        <w:jc w:val="both"/>
      </w:pPr>
      <w:r w:rsidRPr="003F68BC">
        <w:t>Table 1: UAE Public policy</w:t>
      </w:r>
      <w:r w:rsidR="003B2702">
        <w:t>,</w:t>
      </w:r>
      <w:r w:rsidRPr="003F68BC">
        <w:t xml:space="preserve"> as relates to public sector infrastructure projects</w:t>
      </w:r>
    </w:p>
    <w:tbl>
      <w:tblPr>
        <w:tblStyle w:val="TableGrid"/>
        <w:tblW w:w="8910" w:type="dxa"/>
        <w:tblInd w:w="265" w:type="dxa"/>
        <w:tblLayout w:type="fixed"/>
        <w:tblLook w:val="04A0" w:firstRow="1" w:lastRow="0" w:firstColumn="1" w:lastColumn="0" w:noHBand="0" w:noVBand="1"/>
      </w:tblPr>
      <w:tblGrid>
        <w:gridCol w:w="4050"/>
        <w:gridCol w:w="2070"/>
        <w:gridCol w:w="1620"/>
        <w:gridCol w:w="1170"/>
      </w:tblGrid>
      <w:tr w:rsidR="00C62788" w:rsidRPr="003F68BC" w14:paraId="26C3D9B8" w14:textId="77777777" w:rsidTr="00047E6C">
        <w:tc>
          <w:tcPr>
            <w:tcW w:w="4050" w:type="dxa"/>
          </w:tcPr>
          <w:p w14:paraId="1FF71185" w14:textId="77777777" w:rsidR="00C62788" w:rsidRPr="003F68BC" w:rsidRDefault="00C62788" w:rsidP="00047E6C">
            <w:pPr>
              <w:spacing w:line="360" w:lineRule="auto"/>
              <w:jc w:val="both"/>
              <w:rPr>
                <w:b/>
                <w:sz w:val="20"/>
                <w:szCs w:val="20"/>
              </w:rPr>
            </w:pPr>
            <w:r w:rsidRPr="003F68BC">
              <w:rPr>
                <w:b/>
                <w:sz w:val="20"/>
                <w:szCs w:val="20"/>
              </w:rPr>
              <w:t>Deemed matters of public policy</w:t>
            </w:r>
          </w:p>
        </w:tc>
        <w:tc>
          <w:tcPr>
            <w:tcW w:w="2070" w:type="dxa"/>
          </w:tcPr>
          <w:p w14:paraId="6467DF0D" w14:textId="77777777" w:rsidR="00C62788" w:rsidRPr="003F68BC" w:rsidRDefault="00C62788" w:rsidP="00047E6C">
            <w:pPr>
              <w:spacing w:line="360" w:lineRule="auto"/>
              <w:rPr>
                <w:b/>
                <w:sz w:val="20"/>
                <w:szCs w:val="20"/>
              </w:rPr>
            </w:pPr>
            <w:r w:rsidRPr="003F68BC">
              <w:rPr>
                <w:b/>
                <w:sz w:val="20"/>
                <w:szCs w:val="20"/>
              </w:rPr>
              <w:t>Court that made ruling</w:t>
            </w:r>
          </w:p>
        </w:tc>
        <w:tc>
          <w:tcPr>
            <w:tcW w:w="1620" w:type="dxa"/>
          </w:tcPr>
          <w:p w14:paraId="7FE4D75A" w14:textId="77777777" w:rsidR="00C62788" w:rsidRPr="003F68BC" w:rsidRDefault="00C62788" w:rsidP="00047E6C">
            <w:pPr>
              <w:spacing w:line="360" w:lineRule="auto"/>
              <w:rPr>
                <w:b/>
                <w:sz w:val="20"/>
                <w:szCs w:val="20"/>
              </w:rPr>
            </w:pPr>
            <w:r w:rsidRPr="003F68BC">
              <w:rPr>
                <w:b/>
                <w:sz w:val="20"/>
                <w:szCs w:val="20"/>
              </w:rPr>
              <w:t>Case reference number</w:t>
            </w:r>
          </w:p>
        </w:tc>
        <w:tc>
          <w:tcPr>
            <w:tcW w:w="1170" w:type="dxa"/>
          </w:tcPr>
          <w:p w14:paraId="09268B8A" w14:textId="77777777" w:rsidR="00C62788" w:rsidRPr="003F68BC" w:rsidRDefault="00C62788" w:rsidP="00047E6C">
            <w:pPr>
              <w:spacing w:line="360" w:lineRule="auto"/>
              <w:rPr>
                <w:b/>
                <w:sz w:val="20"/>
                <w:szCs w:val="20"/>
              </w:rPr>
            </w:pPr>
            <w:r w:rsidRPr="003F68BC">
              <w:rPr>
                <w:b/>
                <w:sz w:val="20"/>
                <w:szCs w:val="20"/>
              </w:rPr>
              <w:t>Date of judgement</w:t>
            </w:r>
          </w:p>
        </w:tc>
      </w:tr>
      <w:tr w:rsidR="00C62788" w:rsidRPr="003F68BC" w14:paraId="4AAF9947" w14:textId="77777777" w:rsidTr="00047E6C">
        <w:tc>
          <w:tcPr>
            <w:tcW w:w="4050" w:type="dxa"/>
            <w:vMerge w:val="restart"/>
          </w:tcPr>
          <w:p w14:paraId="42841E3E" w14:textId="77777777" w:rsidR="00C62788" w:rsidRPr="003F68BC" w:rsidRDefault="00C62788" w:rsidP="00047E6C">
            <w:pPr>
              <w:spacing w:line="360" w:lineRule="auto"/>
              <w:rPr>
                <w:sz w:val="20"/>
                <w:szCs w:val="20"/>
              </w:rPr>
            </w:pPr>
            <w:r w:rsidRPr="003F68BC">
              <w:rPr>
                <w:sz w:val="20"/>
                <w:szCs w:val="20"/>
              </w:rPr>
              <w:t xml:space="preserve">Taking of oath by disputants prior to giving evidence during arbitration. </w:t>
            </w:r>
          </w:p>
        </w:tc>
        <w:tc>
          <w:tcPr>
            <w:tcW w:w="2070" w:type="dxa"/>
          </w:tcPr>
          <w:p w14:paraId="6189056A" w14:textId="77777777" w:rsidR="00C62788" w:rsidRPr="003F68BC" w:rsidRDefault="00C62788" w:rsidP="00047E6C">
            <w:pPr>
              <w:spacing w:line="360" w:lineRule="auto"/>
              <w:rPr>
                <w:sz w:val="20"/>
                <w:szCs w:val="20"/>
              </w:rPr>
            </w:pPr>
            <w:r w:rsidRPr="003F68BC">
              <w:rPr>
                <w:sz w:val="20"/>
                <w:szCs w:val="20"/>
              </w:rPr>
              <w:t>Union Supreme court</w:t>
            </w:r>
          </w:p>
          <w:p w14:paraId="60A1ABFE" w14:textId="77777777" w:rsidR="00C62788" w:rsidRPr="003F68BC" w:rsidRDefault="00C62788" w:rsidP="00047E6C">
            <w:pPr>
              <w:spacing w:line="360" w:lineRule="auto"/>
              <w:rPr>
                <w:sz w:val="20"/>
                <w:szCs w:val="20"/>
              </w:rPr>
            </w:pPr>
          </w:p>
        </w:tc>
        <w:tc>
          <w:tcPr>
            <w:tcW w:w="1620" w:type="dxa"/>
          </w:tcPr>
          <w:p w14:paraId="35500C1C" w14:textId="77777777" w:rsidR="00C62788" w:rsidRPr="003F68BC" w:rsidRDefault="00C62788" w:rsidP="00047E6C">
            <w:pPr>
              <w:spacing w:line="360" w:lineRule="auto"/>
              <w:rPr>
                <w:sz w:val="20"/>
                <w:szCs w:val="20"/>
              </w:rPr>
            </w:pPr>
            <w:r w:rsidRPr="003F68BC">
              <w:rPr>
                <w:sz w:val="20"/>
                <w:szCs w:val="20"/>
              </w:rPr>
              <w:t>225/Judicial Year 23</w:t>
            </w:r>
          </w:p>
          <w:p w14:paraId="5AED6A08" w14:textId="77777777" w:rsidR="00C62788" w:rsidRPr="003F68BC" w:rsidRDefault="00C62788" w:rsidP="00047E6C">
            <w:pPr>
              <w:spacing w:line="360" w:lineRule="auto"/>
              <w:rPr>
                <w:sz w:val="20"/>
                <w:szCs w:val="20"/>
              </w:rPr>
            </w:pPr>
          </w:p>
        </w:tc>
        <w:tc>
          <w:tcPr>
            <w:tcW w:w="1170" w:type="dxa"/>
          </w:tcPr>
          <w:p w14:paraId="6109A945" w14:textId="77777777" w:rsidR="00C62788" w:rsidRPr="003F68BC" w:rsidRDefault="00C62788" w:rsidP="00047E6C">
            <w:pPr>
              <w:spacing w:line="360" w:lineRule="auto"/>
              <w:rPr>
                <w:sz w:val="20"/>
                <w:szCs w:val="20"/>
              </w:rPr>
            </w:pPr>
            <w:r w:rsidRPr="003F68BC">
              <w:rPr>
                <w:sz w:val="20"/>
                <w:szCs w:val="20"/>
              </w:rPr>
              <w:t>03/06/03</w:t>
            </w:r>
          </w:p>
        </w:tc>
      </w:tr>
      <w:tr w:rsidR="00C62788" w:rsidRPr="003F68BC" w14:paraId="79A9DF93" w14:textId="77777777" w:rsidTr="00047E6C">
        <w:tc>
          <w:tcPr>
            <w:tcW w:w="4050" w:type="dxa"/>
            <w:vMerge/>
          </w:tcPr>
          <w:p w14:paraId="4D981122" w14:textId="77777777" w:rsidR="00C62788" w:rsidRPr="003F68BC" w:rsidDel="009861A9" w:rsidRDefault="00C62788" w:rsidP="00047E6C">
            <w:pPr>
              <w:spacing w:line="360" w:lineRule="auto"/>
              <w:rPr>
                <w:sz w:val="20"/>
                <w:szCs w:val="20"/>
              </w:rPr>
            </w:pPr>
          </w:p>
        </w:tc>
        <w:tc>
          <w:tcPr>
            <w:tcW w:w="2070" w:type="dxa"/>
          </w:tcPr>
          <w:p w14:paraId="5DD6251C" w14:textId="77777777" w:rsidR="00C62788" w:rsidRPr="003F68BC" w:rsidRDefault="00C62788" w:rsidP="00047E6C">
            <w:pPr>
              <w:spacing w:line="360" w:lineRule="auto"/>
              <w:rPr>
                <w:sz w:val="20"/>
                <w:szCs w:val="20"/>
              </w:rPr>
            </w:pPr>
            <w:r w:rsidRPr="003F68BC">
              <w:rPr>
                <w:sz w:val="20"/>
                <w:szCs w:val="20"/>
              </w:rPr>
              <w:t xml:space="preserve">Dubai Court of Cassation </w:t>
            </w:r>
          </w:p>
        </w:tc>
        <w:tc>
          <w:tcPr>
            <w:tcW w:w="1620" w:type="dxa"/>
          </w:tcPr>
          <w:p w14:paraId="7B5A8241" w14:textId="77777777" w:rsidR="00C62788" w:rsidRPr="003F68BC" w:rsidRDefault="00C62788" w:rsidP="00047E6C">
            <w:pPr>
              <w:spacing w:line="360" w:lineRule="auto"/>
              <w:rPr>
                <w:sz w:val="20"/>
                <w:szCs w:val="20"/>
              </w:rPr>
            </w:pPr>
            <w:r w:rsidRPr="003F68BC">
              <w:rPr>
                <w:sz w:val="20"/>
                <w:szCs w:val="20"/>
              </w:rPr>
              <w:t>503/2003</w:t>
            </w:r>
          </w:p>
        </w:tc>
        <w:tc>
          <w:tcPr>
            <w:tcW w:w="1170" w:type="dxa"/>
          </w:tcPr>
          <w:p w14:paraId="5A43E4B5" w14:textId="77777777" w:rsidR="00C62788" w:rsidRPr="003F68BC" w:rsidRDefault="00C62788" w:rsidP="00047E6C">
            <w:pPr>
              <w:spacing w:line="360" w:lineRule="auto"/>
              <w:rPr>
                <w:sz w:val="20"/>
                <w:szCs w:val="20"/>
              </w:rPr>
            </w:pPr>
            <w:r w:rsidRPr="003F68BC">
              <w:rPr>
                <w:sz w:val="20"/>
                <w:szCs w:val="20"/>
              </w:rPr>
              <w:t>15/05/05</w:t>
            </w:r>
          </w:p>
        </w:tc>
      </w:tr>
      <w:tr w:rsidR="00C62788" w:rsidRPr="003F68BC" w14:paraId="6E58046A" w14:textId="77777777" w:rsidTr="00047E6C">
        <w:tc>
          <w:tcPr>
            <w:tcW w:w="4050" w:type="dxa"/>
            <w:vMerge w:val="restart"/>
          </w:tcPr>
          <w:p w14:paraId="04F2F2DB" w14:textId="77777777" w:rsidR="00C62788" w:rsidRPr="003F68BC" w:rsidRDefault="00C62788" w:rsidP="00047E6C">
            <w:pPr>
              <w:spacing w:line="360" w:lineRule="auto"/>
              <w:rPr>
                <w:sz w:val="20"/>
                <w:szCs w:val="20"/>
              </w:rPr>
            </w:pPr>
            <w:r w:rsidRPr="003F68BC">
              <w:rPr>
                <w:sz w:val="20"/>
                <w:szCs w:val="20"/>
              </w:rPr>
              <w:t xml:space="preserve">The arbitrator and/or members of the arbitration panel must sign not only the arbitration award, but also all documents consisting of the arbitration award.  </w:t>
            </w:r>
          </w:p>
        </w:tc>
        <w:tc>
          <w:tcPr>
            <w:tcW w:w="2070" w:type="dxa"/>
          </w:tcPr>
          <w:p w14:paraId="775B7720" w14:textId="77777777" w:rsidR="00C62788" w:rsidRPr="003F68BC" w:rsidRDefault="00C62788" w:rsidP="00047E6C">
            <w:pPr>
              <w:spacing w:line="360" w:lineRule="auto"/>
              <w:rPr>
                <w:sz w:val="20"/>
                <w:szCs w:val="20"/>
              </w:rPr>
            </w:pPr>
            <w:r w:rsidRPr="003F68BC">
              <w:rPr>
                <w:sz w:val="20"/>
                <w:szCs w:val="20"/>
              </w:rPr>
              <w:t>Union Supreme court</w:t>
            </w:r>
          </w:p>
        </w:tc>
        <w:tc>
          <w:tcPr>
            <w:tcW w:w="1620" w:type="dxa"/>
          </w:tcPr>
          <w:p w14:paraId="0AF5EFFA" w14:textId="77777777" w:rsidR="00C62788" w:rsidRPr="003F68BC" w:rsidRDefault="00C62788" w:rsidP="00047E6C">
            <w:pPr>
              <w:spacing w:line="360" w:lineRule="auto"/>
              <w:rPr>
                <w:sz w:val="20"/>
                <w:szCs w:val="20"/>
              </w:rPr>
            </w:pPr>
            <w:r w:rsidRPr="003F68BC">
              <w:rPr>
                <w:sz w:val="20"/>
                <w:szCs w:val="20"/>
              </w:rPr>
              <w:t>118/Judicial Year 23</w:t>
            </w:r>
          </w:p>
        </w:tc>
        <w:tc>
          <w:tcPr>
            <w:tcW w:w="1170" w:type="dxa"/>
          </w:tcPr>
          <w:p w14:paraId="18040C49" w14:textId="77777777" w:rsidR="00C62788" w:rsidRPr="003F68BC" w:rsidRDefault="00C62788" w:rsidP="00047E6C">
            <w:pPr>
              <w:spacing w:line="360" w:lineRule="auto"/>
              <w:rPr>
                <w:sz w:val="20"/>
                <w:szCs w:val="20"/>
              </w:rPr>
            </w:pPr>
            <w:r w:rsidRPr="003F68BC">
              <w:rPr>
                <w:sz w:val="20"/>
                <w:szCs w:val="20"/>
              </w:rPr>
              <w:t>21/01/04</w:t>
            </w:r>
          </w:p>
        </w:tc>
      </w:tr>
      <w:tr w:rsidR="00C62788" w:rsidRPr="003F68BC" w14:paraId="1602F3D7" w14:textId="77777777" w:rsidTr="00047E6C">
        <w:tc>
          <w:tcPr>
            <w:tcW w:w="4050" w:type="dxa"/>
            <w:vMerge/>
          </w:tcPr>
          <w:p w14:paraId="41AE43AE" w14:textId="77777777" w:rsidR="00C62788" w:rsidRPr="003F68BC" w:rsidRDefault="00C62788" w:rsidP="00047E6C">
            <w:pPr>
              <w:spacing w:line="360" w:lineRule="auto"/>
              <w:rPr>
                <w:sz w:val="20"/>
                <w:szCs w:val="20"/>
              </w:rPr>
            </w:pPr>
          </w:p>
        </w:tc>
        <w:tc>
          <w:tcPr>
            <w:tcW w:w="2070" w:type="dxa"/>
          </w:tcPr>
          <w:p w14:paraId="556736B6" w14:textId="77777777" w:rsidR="00C62788" w:rsidRPr="003F68BC" w:rsidRDefault="00C62788" w:rsidP="00047E6C">
            <w:pPr>
              <w:spacing w:line="360" w:lineRule="auto"/>
              <w:rPr>
                <w:sz w:val="20"/>
                <w:szCs w:val="20"/>
              </w:rPr>
            </w:pPr>
            <w:r w:rsidRPr="003F68BC">
              <w:rPr>
                <w:sz w:val="20"/>
                <w:szCs w:val="20"/>
              </w:rPr>
              <w:t>Dubai Court of Cassation</w:t>
            </w:r>
          </w:p>
        </w:tc>
        <w:tc>
          <w:tcPr>
            <w:tcW w:w="1620" w:type="dxa"/>
          </w:tcPr>
          <w:p w14:paraId="73AACF69" w14:textId="77777777" w:rsidR="00C62788" w:rsidRPr="003F68BC" w:rsidRDefault="00C62788" w:rsidP="00047E6C">
            <w:pPr>
              <w:spacing w:line="360" w:lineRule="auto"/>
              <w:rPr>
                <w:sz w:val="20"/>
                <w:szCs w:val="20"/>
              </w:rPr>
            </w:pPr>
            <w:r w:rsidRPr="003F68BC">
              <w:rPr>
                <w:sz w:val="20"/>
                <w:szCs w:val="20"/>
              </w:rPr>
              <w:t>156/2009</w:t>
            </w:r>
          </w:p>
        </w:tc>
        <w:tc>
          <w:tcPr>
            <w:tcW w:w="1170" w:type="dxa"/>
          </w:tcPr>
          <w:p w14:paraId="7AE3F38A" w14:textId="77777777" w:rsidR="00C62788" w:rsidRPr="003F68BC" w:rsidRDefault="00C62788" w:rsidP="00047E6C">
            <w:pPr>
              <w:spacing w:line="360" w:lineRule="auto"/>
              <w:rPr>
                <w:sz w:val="20"/>
                <w:szCs w:val="20"/>
              </w:rPr>
            </w:pPr>
            <w:r w:rsidRPr="003F68BC">
              <w:rPr>
                <w:sz w:val="20"/>
                <w:szCs w:val="20"/>
              </w:rPr>
              <w:t>27/10/09</w:t>
            </w:r>
          </w:p>
        </w:tc>
      </w:tr>
      <w:tr w:rsidR="00C62788" w:rsidRPr="003F68BC" w14:paraId="61E81D76" w14:textId="77777777" w:rsidTr="00047E6C">
        <w:tc>
          <w:tcPr>
            <w:tcW w:w="4050" w:type="dxa"/>
            <w:vMerge w:val="restart"/>
          </w:tcPr>
          <w:p w14:paraId="0A513894" w14:textId="77777777" w:rsidR="00C62788" w:rsidRPr="003F68BC" w:rsidRDefault="00C62788" w:rsidP="00047E6C">
            <w:pPr>
              <w:spacing w:line="360" w:lineRule="auto"/>
              <w:rPr>
                <w:sz w:val="20"/>
                <w:szCs w:val="20"/>
              </w:rPr>
            </w:pPr>
            <w:r w:rsidRPr="003F68BC">
              <w:rPr>
                <w:sz w:val="20"/>
                <w:szCs w:val="20"/>
              </w:rPr>
              <w:t>Permissibility of appeals to the courts.</w:t>
            </w:r>
          </w:p>
          <w:p w14:paraId="68F44574" w14:textId="77777777" w:rsidR="00C62788" w:rsidRPr="003F68BC" w:rsidRDefault="00C62788" w:rsidP="00047E6C">
            <w:pPr>
              <w:spacing w:line="360" w:lineRule="auto"/>
              <w:rPr>
                <w:sz w:val="20"/>
                <w:szCs w:val="20"/>
              </w:rPr>
            </w:pPr>
          </w:p>
        </w:tc>
        <w:tc>
          <w:tcPr>
            <w:tcW w:w="2070" w:type="dxa"/>
          </w:tcPr>
          <w:p w14:paraId="7E195C1D" w14:textId="77777777" w:rsidR="00C62788" w:rsidRPr="003F68BC" w:rsidRDefault="00C62788" w:rsidP="00047E6C">
            <w:pPr>
              <w:spacing w:line="360" w:lineRule="auto"/>
              <w:rPr>
                <w:sz w:val="20"/>
                <w:szCs w:val="20"/>
              </w:rPr>
            </w:pPr>
            <w:r w:rsidRPr="003F68BC">
              <w:rPr>
                <w:sz w:val="20"/>
                <w:szCs w:val="20"/>
              </w:rPr>
              <w:t>Dubai Court of Cassation</w:t>
            </w:r>
          </w:p>
        </w:tc>
        <w:tc>
          <w:tcPr>
            <w:tcW w:w="1620" w:type="dxa"/>
          </w:tcPr>
          <w:p w14:paraId="2DEFB0BC" w14:textId="77777777" w:rsidR="00C62788" w:rsidRPr="003F68BC" w:rsidRDefault="00C62788" w:rsidP="00047E6C">
            <w:pPr>
              <w:spacing w:line="360" w:lineRule="auto"/>
              <w:rPr>
                <w:sz w:val="20"/>
                <w:szCs w:val="20"/>
              </w:rPr>
            </w:pPr>
            <w:r w:rsidRPr="003F68BC">
              <w:rPr>
                <w:sz w:val="20"/>
                <w:szCs w:val="20"/>
              </w:rPr>
              <w:t>273/2006</w:t>
            </w:r>
          </w:p>
        </w:tc>
        <w:tc>
          <w:tcPr>
            <w:tcW w:w="1170" w:type="dxa"/>
          </w:tcPr>
          <w:p w14:paraId="5F5BDADC" w14:textId="77777777" w:rsidR="00C62788" w:rsidRPr="003F68BC" w:rsidRDefault="00C62788" w:rsidP="00047E6C">
            <w:pPr>
              <w:spacing w:line="360" w:lineRule="auto"/>
              <w:rPr>
                <w:sz w:val="20"/>
                <w:szCs w:val="20"/>
              </w:rPr>
            </w:pPr>
            <w:r w:rsidRPr="003F68BC">
              <w:rPr>
                <w:sz w:val="20"/>
                <w:szCs w:val="20"/>
              </w:rPr>
              <w:t>04/02/07</w:t>
            </w:r>
          </w:p>
        </w:tc>
      </w:tr>
      <w:tr w:rsidR="00C62788" w:rsidRPr="003F68BC" w14:paraId="76784970" w14:textId="77777777" w:rsidTr="00047E6C">
        <w:tc>
          <w:tcPr>
            <w:tcW w:w="4050" w:type="dxa"/>
            <w:vMerge/>
          </w:tcPr>
          <w:p w14:paraId="20BF1528" w14:textId="77777777" w:rsidR="00C62788" w:rsidRPr="003F68BC" w:rsidRDefault="00C62788" w:rsidP="00047E6C">
            <w:pPr>
              <w:spacing w:line="360" w:lineRule="auto"/>
              <w:rPr>
                <w:sz w:val="20"/>
                <w:szCs w:val="20"/>
              </w:rPr>
            </w:pPr>
          </w:p>
        </w:tc>
        <w:tc>
          <w:tcPr>
            <w:tcW w:w="2070" w:type="dxa"/>
          </w:tcPr>
          <w:p w14:paraId="5D9B587A" w14:textId="77777777" w:rsidR="00C62788" w:rsidRPr="003F68BC" w:rsidRDefault="00C62788" w:rsidP="00047E6C">
            <w:pPr>
              <w:spacing w:line="360" w:lineRule="auto"/>
              <w:rPr>
                <w:sz w:val="20"/>
                <w:szCs w:val="20"/>
              </w:rPr>
            </w:pPr>
            <w:r w:rsidRPr="003F68BC">
              <w:rPr>
                <w:sz w:val="20"/>
                <w:szCs w:val="20"/>
              </w:rPr>
              <w:t>Dubai Court of Cassation</w:t>
            </w:r>
          </w:p>
        </w:tc>
        <w:tc>
          <w:tcPr>
            <w:tcW w:w="1620" w:type="dxa"/>
          </w:tcPr>
          <w:p w14:paraId="2B9E1BF6" w14:textId="77777777" w:rsidR="00C62788" w:rsidRPr="003F68BC" w:rsidRDefault="00C62788" w:rsidP="00047E6C">
            <w:pPr>
              <w:spacing w:line="360" w:lineRule="auto"/>
              <w:rPr>
                <w:sz w:val="20"/>
                <w:szCs w:val="20"/>
              </w:rPr>
            </w:pPr>
            <w:r w:rsidRPr="003F68BC">
              <w:rPr>
                <w:sz w:val="20"/>
                <w:szCs w:val="20"/>
              </w:rPr>
              <w:t>228/2007</w:t>
            </w:r>
          </w:p>
        </w:tc>
        <w:tc>
          <w:tcPr>
            <w:tcW w:w="1170" w:type="dxa"/>
          </w:tcPr>
          <w:p w14:paraId="6BA36576" w14:textId="77777777" w:rsidR="00C62788" w:rsidRPr="003F68BC" w:rsidRDefault="00C62788" w:rsidP="00047E6C">
            <w:pPr>
              <w:spacing w:line="360" w:lineRule="auto"/>
              <w:rPr>
                <w:sz w:val="20"/>
                <w:szCs w:val="20"/>
              </w:rPr>
            </w:pPr>
            <w:r w:rsidRPr="003F68BC">
              <w:rPr>
                <w:sz w:val="20"/>
                <w:szCs w:val="20"/>
              </w:rPr>
              <w:t>24/02/08</w:t>
            </w:r>
          </w:p>
        </w:tc>
      </w:tr>
      <w:tr w:rsidR="00C62788" w:rsidRPr="003F68BC" w14:paraId="5F26C162" w14:textId="77777777" w:rsidTr="00047E6C">
        <w:tc>
          <w:tcPr>
            <w:tcW w:w="4050" w:type="dxa"/>
          </w:tcPr>
          <w:p w14:paraId="7FA64B57" w14:textId="77777777" w:rsidR="00C62788" w:rsidRPr="003F68BC" w:rsidRDefault="00C62788" w:rsidP="00047E6C">
            <w:pPr>
              <w:spacing w:line="360" w:lineRule="auto"/>
              <w:rPr>
                <w:sz w:val="20"/>
                <w:szCs w:val="20"/>
              </w:rPr>
            </w:pPr>
            <w:r w:rsidRPr="003F68BC">
              <w:rPr>
                <w:sz w:val="20"/>
                <w:szCs w:val="20"/>
              </w:rPr>
              <w:t xml:space="preserve">Attempts by any party to rely on an arbitration clause to prevent the court from proceeding with an action on the grounds of the existence of such clause. </w:t>
            </w:r>
          </w:p>
        </w:tc>
        <w:tc>
          <w:tcPr>
            <w:tcW w:w="2070" w:type="dxa"/>
          </w:tcPr>
          <w:p w14:paraId="29A539F9" w14:textId="77777777" w:rsidR="00C62788" w:rsidRPr="003F68BC" w:rsidRDefault="00C62788" w:rsidP="00047E6C">
            <w:pPr>
              <w:spacing w:line="360" w:lineRule="auto"/>
              <w:rPr>
                <w:sz w:val="20"/>
                <w:szCs w:val="20"/>
              </w:rPr>
            </w:pPr>
            <w:r w:rsidRPr="003F68BC">
              <w:rPr>
                <w:sz w:val="20"/>
                <w:szCs w:val="20"/>
              </w:rPr>
              <w:t>Dubai Court of Cassation</w:t>
            </w:r>
          </w:p>
        </w:tc>
        <w:tc>
          <w:tcPr>
            <w:tcW w:w="1620" w:type="dxa"/>
          </w:tcPr>
          <w:p w14:paraId="42ADD88D" w14:textId="77777777" w:rsidR="00C62788" w:rsidRPr="003F68BC" w:rsidRDefault="00C62788" w:rsidP="00047E6C">
            <w:pPr>
              <w:spacing w:line="360" w:lineRule="auto"/>
              <w:rPr>
                <w:sz w:val="20"/>
                <w:szCs w:val="20"/>
              </w:rPr>
            </w:pPr>
            <w:r w:rsidRPr="003F68BC">
              <w:rPr>
                <w:sz w:val="20"/>
                <w:szCs w:val="20"/>
              </w:rPr>
              <w:t>228/2007</w:t>
            </w:r>
          </w:p>
        </w:tc>
        <w:tc>
          <w:tcPr>
            <w:tcW w:w="1170" w:type="dxa"/>
          </w:tcPr>
          <w:p w14:paraId="225983EC" w14:textId="77777777" w:rsidR="00C62788" w:rsidRPr="003F68BC" w:rsidRDefault="00C62788" w:rsidP="00047E6C">
            <w:pPr>
              <w:spacing w:line="360" w:lineRule="auto"/>
              <w:rPr>
                <w:sz w:val="20"/>
                <w:szCs w:val="20"/>
              </w:rPr>
            </w:pPr>
            <w:r w:rsidRPr="003F68BC">
              <w:rPr>
                <w:sz w:val="20"/>
                <w:szCs w:val="20"/>
              </w:rPr>
              <w:t>24/02/08</w:t>
            </w:r>
          </w:p>
        </w:tc>
      </w:tr>
      <w:tr w:rsidR="00C62788" w:rsidRPr="003F68BC" w14:paraId="56DF9173" w14:textId="77777777" w:rsidTr="00047E6C">
        <w:tc>
          <w:tcPr>
            <w:tcW w:w="4050" w:type="dxa"/>
          </w:tcPr>
          <w:p w14:paraId="6CD5C5D5" w14:textId="77777777" w:rsidR="00C62788" w:rsidRPr="003F68BC" w:rsidRDefault="00C62788" w:rsidP="00047E6C">
            <w:pPr>
              <w:spacing w:line="360" w:lineRule="auto"/>
              <w:rPr>
                <w:sz w:val="20"/>
                <w:szCs w:val="20"/>
              </w:rPr>
            </w:pPr>
            <w:r w:rsidRPr="003F68BC">
              <w:rPr>
                <w:sz w:val="20"/>
                <w:szCs w:val="20"/>
              </w:rPr>
              <w:t>The extent to which an appeal against a judgment on cassation is allowable.</w:t>
            </w:r>
          </w:p>
        </w:tc>
        <w:tc>
          <w:tcPr>
            <w:tcW w:w="2070" w:type="dxa"/>
          </w:tcPr>
          <w:p w14:paraId="60137889" w14:textId="77777777" w:rsidR="00C62788" w:rsidRPr="003F68BC" w:rsidRDefault="00C62788" w:rsidP="00047E6C">
            <w:pPr>
              <w:spacing w:line="360" w:lineRule="auto"/>
              <w:rPr>
                <w:sz w:val="20"/>
                <w:szCs w:val="20"/>
              </w:rPr>
            </w:pPr>
            <w:r w:rsidRPr="003F68BC">
              <w:rPr>
                <w:sz w:val="20"/>
                <w:szCs w:val="20"/>
              </w:rPr>
              <w:t>Dubai Court of Cassation</w:t>
            </w:r>
          </w:p>
        </w:tc>
        <w:tc>
          <w:tcPr>
            <w:tcW w:w="1620" w:type="dxa"/>
          </w:tcPr>
          <w:p w14:paraId="6603F8DB" w14:textId="77777777" w:rsidR="00C62788" w:rsidRPr="003F68BC" w:rsidRDefault="00C62788" w:rsidP="00047E6C">
            <w:pPr>
              <w:spacing w:line="360" w:lineRule="auto"/>
              <w:rPr>
                <w:sz w:val="20"/>
                <w:szCs w:val="20"/>
              </w:rPr>
            </w:pPr>
            <w:r w:rsidRPr="003F68BC">
              <w:rPr>
                <w:sz w:val="20"/>
                <w:szCs w:val="20"/>
              </w:rPr>
              <w:t>228/2007</w:t>
            </w:r>
          </w:p>
        </w:tc>
        <w:tc>
          <w:tcPr>
            <w:tcW w:w="1170" w:type="dxa"/>
          </w:tcPr>
          <w:p w14:paraId="416EE8A3" w14:textId="77777777" w:rsidR="00C62788" w:rsidRPr="003F68BC" w:rsidRDefault="00C62788" w:rsidP="00047E6C">
            <w:pPr>
              <w:spacing w:line="360" w:lineRule="auto"/>
              <w:rPr>
                <w:sz w:val="20"/>
                <w:szCs w:val="20"/>
              </w:rPr>
            </w:pPr>
            <w:r w:rsidRPr="003F68BC">
              <w:rPr>
                <w:sz w:val="20"/>
                <w:szCs w:val="20"/>
              </w:rPr>
              <w:t>24/02/08</w:t>
            </w:r>
          </w:p>
        </w:tc>
      </w:tr>
      <w:tr w:rsidR="00C62788" w:rsidRPr="003F68BC" w14:paraId="4DAE09F9" w14:textId="77777777" w:rsidTr="00047E6C">
        <w:tc>
          <w:tcPr>
            <w:tcW w:w="4050" w:type="dxa"/>
          </w:tcPr>
          <w:p w14:paraId="59DBD99E" w14:textId="77777777" w:rsidR="00C62788" w:rsidRPr="003F68BC" w:rsidRDefault="00C62788" w:rsidP="00047E6C">
            <w:pPr>
              <w:spacing w:line="360" w:lineRule="auto"/>
              <w:rPr>
                <w:sz w:val="20"/>
                <w:szCs w:val="20"/>
              </w:rPr>
            </w:pPr>
            <w:r w:rsidRPr="003F68BC">
              <w:rPr>
                <w:sz w:val="20"/>
                <w:szCs w:val="20"/>
              </w:rPr>
              <w:t>The courts when ratifying an arbitration award have an absolute discretion to how they interpret the provisions of an arbitration agreement.</w:t>
            </w:r>
          </w:p>
        </w:tc>
        <w:tc>
          <w:tcPr>
            <w:tcW w:w="2070" w:type="dxa"/>
          </w:tcPr>
          <w:p w14:paraId="6238715E" w14:textId="77777777" w:rsidR="00C62788" w:rsidRPr="003F68BC" w:rsidRDefault="00C62788" w:rsidP="00047E6C">
            <w:pPr>
              <w:spacing w:line="360" w:lineRule="auto"/>
              <w:rPr>
                <w:sz w:val="20"/>
                <w:szCs w:val="20"/>
              </w:rPr>
            </w:pPr>
            <w:r w:rsidRPr="003F68BC">
              <w:rPr>
                <w:sz w:val="20"/>
                <w:szCs w:val="20"/>
              </w:rPr>
              <w:t>Abu Dhabi Court of Cassation</w:t>
            </w:r>
          </w:p>
        </w:tc>
        <w:tc>
          <w:tcPr>
            <w:tcW w:w="1620" w:type="dxa"/>
          </w:tcPr>
          <w:p w14:paraId="2A61FD5D" w14:textId="77777777" w:rsidR="00C62788" w:rsidRPr="003F68BC" w:rsidRDefault="00C62788" w:rsidP="00047E6C">
            <w:pPr>
              <w:spacing w:line="360" w:lineRule="auto"/>
              <w:rPr>
                <w:sz w:val="20"/>
                <w:szCs w:val="20"/>
              </w:rPr>
            </w:pPr>
            <w:r w:rsidRPr="003F68BC">
              <w:rPr>
                <w:sz w:val="20"/>
                <w:szCs w:val="20"/>
              </w:rPr>
              <w:t>486/Judicial Year 2</w:t>
            </w:r>
          </w:p>
        </w:tc>
        <w:tc>
          <w:tcPr>
            <w:tcW w:w="1170" w:type="dxa"/>
          </w:tcPr>
          <w:p w14:paraId="0C41A6F0" w14:textId="77777777" w:rsidR="00C62788" w:rsidRPr="003F68BC" w:rsidRDefault="00C62788" w:rsidP="00047E6C">
            <w:pPr>
              <w:spacing w:line="360" w:lineRule="auto"/>
              <w:rPr>
                <w:sz w:val="20"/>
                <w:szCs w:val="20"/>
              </w:rPr>
            </w:pPr>
            <w:r w:rsidRPr="003F68BC">
              <w:rPr>
                <w:sz w:val="20"/>
                <w:szCs w:val="20"/>
              </w:rPr>
              <w:t>30/10/08</w:t>
            </w:r>
          </w:p>
        </w:tc>
      </w:tr>
      <w:tr w:rsidR="00C62788" w:rsidRPr="003F68BC" w14:paraId="0BDA61C7" w14:textId="77777777" w:rsidTr="00047E6C">
        <w:tc>
          <w:tcPr>
            <w:tcW w:w="4050" w:type="dxa"/>
          </w:tcPr>
          <w:p w14:paraId="28C1658F" w14:textId="77777777" w:rsidR="00C62788" w:rsidRPr="003F68BC" w:rsidRDefault="00C62788" w:rsidP="00047E6C">
            <w:pPr>
              <w:spacing w:line="360" w:lineRule="auto"/>
              <w:rPr>
                <w:sz w:val="20"/>
                <w:szCs w:val="20"/>
              </w:rPr>
            </w:pPr>
            <w:r w:rsidRPr="003F68BC">
              <w:rPr>
                <w:sz w:val="20"/>
                <w:szCs w:val="20"/>
              </w:rPr>
              <w:t>The courts will not validate an arbitration award made in a foreign country if that award is contrary to UAE public policy even if the award is not contrary to public policy in the foreign country that the award originated from.</w:t>
            </w:r>
          </w:p>
        </w:tc>
        <w:tc>
          <w:tcPr>
            <w:tcW w:w="2070" w:type="dxa"/>
          </w:tcPr>
          <w:p w14:paraId="1E61D919" w14:textId="77777777" w:rsidR="00C62788" w:rsidRPr="003F68BC" w:rsidRDefault="00C62788" w:rsidP="00047E6C">
            <w:pPr>
              <w:spacing w:line="360" w:lineRule="auto"/>
              <w:rPr>
                <w:sz w:val="20"/>
                <w:szCs w:val="20"/>
              </w:rPr>
            </w:pPr>
            <w:r w:rsidRPr="003F68BC">
              <w:rPr>
                <w:sz w:val="20"/>
                <w:szCs w:val="20"/>
              </w:rPr>
              <w:t>Dubai Court of Cassation</w:t>
            </w:r>
          </w:p>
        </w:tc>
        <w:tc>
          <w:tcPr>
            <w:tcW w:w="1620" w:type="dxa"/>
          </w:tcPr>
          <w:p w14:paraId="2AD245C3" w14:textId="77777777" w:rsidR="00C62788" w:rsidRPr="003F68BC" w:rsidRDefault="00C62788" w:rsidP="00047E6C">
            <w:pPr>
              <w:spacing w:line="360" w:lineRule="auto"/>
              <w:rPr>
                <w:sz w:val="20"/>
                <w:szCs w:val="20"/>
              </w:rPr>
            </w:pPr>
            <w:r w:rsidRPr="003F68BC">
              <w:rPr>
                <w:sz w:val="20"/>
                <w:szCs w:val="20"/>
              </w:rPr>
              <w:t>146/2008</w:t>
            </w:r>
          </w:p>
        </w:tc>
        <w:tc>
          <w:tcPr>
            <w:tcW w:w="1170" w:type="dxa"/>
          </w:tcPr>
          <w:p w14:paraId="5FCB0DB9" w14:textId="77777777" w:rsidR="00C62788" w:rsidRPr="003F68BC" w:rsidRDefault="00C62788" w:rsidP="00047E6C">
            <w:pPr>
              <w:spacing w:line="360" w:lineRule="auto"/>
              <w:rPr>
                <w:sz w:val="20"/>
                <w:szCs w:val="20"/>
              </w:rPr>
            </w:pPr>
            <w:r w:rsidRPr="003F68BC">
              <w:rPr>
                <w:sz w:val="20"/>
                <w:szCs w:val="20"/>
              </w:rPr>
              <w:t>09/11/08</w:t>
            </w:r>
          </w:p>
        </w:tc>
      </w:tr>
      <w:tr w:rsidR="00C62788" w:rsidRPr="003F68BC" w14:paraId="664CF6FB" w14:textId="77777777" w:rsidTr="00047E6C">
        <w:tc>
          <w:tcPr>
            <w:tcW w:w="4050" w:type="dxa"/>
          </w:tcPr>
          <w:p w14:paraId="53E5D487" w14:textId="73C9C1F4" w:rsidR="00C62788" w:rsidRPr="003F68BC" w:rsidRDefault="00C62788" w:rsidP="00047E6C">
            <w:pPr>
              <w:spacing w:line="360" w:lineRule="auto"/>
              <w:rPr>
                <w:sz w:val="20"/>
                <w:szCs w:val="20"/>
              </w:rPr>
            </w:pPr>
            <w:r w:rsidRPr="003F68BC">
              <w:rPr>
                <w:sz w:val="20"/>
                <w:szCs w:val="20"/>
              </w:rPr>
              <w:t>The rights to opposition and</w:t>
            </w:r>
            <w:r w:rsidR="003B2702">
              <w:rPr>
                <w:sz w:val="20"/>
                <w:szCs w:val="20"/>
              </w:rPr>
              <w:t xml:space="preserve"> to</w:t>
            </w:r>
            <w:r w:rsidRPr="003F68BC">
              <w:rPr>
                <w:sz w:val="20"/>
                <w:szCs w:val="20"/>
              </w:rPr>
              <w:t xml:space="preserve"> a defence during arbitration proceedings.</w:t>
            </w:r>
          </w:p>
        </w:tc>
        <w:tc>
          <w:tcPr>
            <w:tcW w:w="2070" w:type="dxa"/>
          </w:tcPr>
          <w:p w14:paraId="33171297" w14:textId="77777777" w:rsidR="00C62788" w:rsidRPr="003F68BC" w:rsidRDefault="00C62788" w:rsidP="00047E6C">
            <w:pPr>
              <w:spacing w:line="360" w:lineRule="auto"/>
              <w:rPr>
                <w:sz w:val="20"/>
                <w:szCs w:val="20"/>
              </w:rPr>
            </w:pPr>
            <w:r w:rsidRPr="003F68BC">
              <w:rPr>
                <w:sz w:val="20"/>
                <w:szCs w:val="20"/>
              </w:rPr>
              <w:t>Dubai Court of Cassation</w:t>
            </w:r>
          </w:p>
        </w:tc>
        <w:tc>
          <w:tcPr>
            <w:tcW w:w="1620" w:type="dxa"/>
          </w:tcPr>
          <w:p w14:paraId="1730F2A4" w14:textId="77777777" w:rsidR="00C62788" w:rsidRPr="003F68BC" w:rsidRDefault="00C62788" w:rsidP="00047E6C">
            <w:pPr>
              <w:spacing w:line="360" w:lineRule="auto"/>
              <w:rPr>
                <w:sz w:val="20"/>
                <w:szCs w:val="20"/>
              </w:rPr>
            </w:pPr>
            <w:r w:rsidRPr="003F68BC">
              <w:rPr>
                <w:sz w:val="20"/>
                <w:szCs w:val="20"/>
              </w:rPr>
              <w:t>156/2009</w:t>
            </w:r>
          </w:p>
        </w:tc>
        <w:tc>
          <w:tcPr>
            <w:tcW w:w="1170" w:type="dxa"/>
          </w:tcPr>
          <w:p w14:paraId="4BD93181" w14:textId="77777777" w:rsidR="00C62788" w:rsidRPr="003F68BC" w:rsidRDefault="00C62788" w:rsidP="00047E6C">
            <w:pPr>
              <w:spacing w:line="360" w:lineRule="auto"/>
              <w:rPr>
                <w:sz w:val="20"/>
                <w:szCs w:val="20"/>
              </w:rPr>
            </w:pPr>
            <w:r w:rsidRPr="003F68BC">
              <w:rPr>
                <w:sz w:val="20"/>
                <w:szCs w:val="20"/>
              </w:rPr>
              <w:t>27/10/09</w:t>
            </w:r>
          </w:p>
        </w:tc>
      </w:tr>
      <w:tr w:rsidR="00C62788" w:rsidRPr="003F68BC" w14:paraId="12A6B38B" w14:textId="77777777" w:rsidTr="00047E6C">
        <w:tc>
          <w:tcPr>
            <w:tcW w:w="4050" w:type="dxa"/>
          </w:tcPr>
          <w:p w14:paraId="31ABE236" w14:textId="77777777" w:rsidR="00C62788" w:rsidRPr="003F68BC" w:rsidRDefault="00C62788" w:rsidP="00047E6C">
            <w:pPr>
              <w:spacing w:line="360" w:lineRule="auto"/>
              <w:rPr>
                <w:sz w:val="20"/>
                <w:szCs w:val="20"/>
              </w:rPr>
            </w:pPr>
            <w:r w:rsidRPr="003F68BC">
              <w:rPr>
                <w:sz w:val="20"/>
                <w:szCs w:val="20"/>
              </w:rPr>
              <w:lastRenderedPageBreak/>
              <w:t>Arbitration awards made in a foreign country.</w:t>
            </w:r>
          </w:p>
        </w:tc>
        <w:tc>
          <w:tcPr>
            <w:tcW w:w="2070" w:type="dxa"/>
          </w:tcPr>
          <w:p w14:paraId="2A120218" w14:textId="77777777" w:rsidR="00C62788" w:rsidRPr="003F68BC" w:rsidRDefault="00C62788" w:rsidP="00047E6C">
            <w:pPr>
              <w:spacing w:line="360" w:lineRule="auto"/>
              <w:rPr>
                <w:sz w:val="20"/>
                <w:szCs w:val="20"/>
              </w:rPr>
            </w:pPr>
            <w:r w:rsidRPr="003F68BC">
              <w:rPr>
                <w:sz w:val="20"/>
                <w:szCs w:val="20"/>
              </w:rPr>
              <w:t>Judicial Authority of the Dubai International Financial Centre: Court of Appeal</w:t>
            </w:r>
          </w:p>
        </w:tc>
        <w:tc>
          <w:tcPr>
            <w:tcW w:w="1620" w:type="dxa"/>
          </w:tcPr>
          <w:p w14:paraId="0FE70958" w14:textId="77777777" w:rsidR="00C62788" w:rsidRPr="003F68BC" w:rsidRDefault="00C62788" w:rsidP="00047E6C">
            <w:pPr>
              <w:spacing w:line="360" w:lineRule="auto"/>
              <w:rPr>
                <w:sz w:val="20"/>
                <w:szCs w:val="20"/>
              </w:rPr>
            </w:pPr>
            <w:r w:rsidRPr="003F68BC">
              <w:rPr>
                <w:sz w:val="20"/>
                <w:szCs w:val="20"/>
              </w:rPr>
              <w:t>CA 003/2011 (Claim No: CFI 26/2009)</w:t>
            </w:r>
          </w:p>
        </w:tc>
        <w:tc>
          <w:tcPr>
            <w:tcW w:w="1170" w:type="dxa"/>
          </w:tcPr>
          <w:p w14:paraId="2D5E3868" w14:textId="77777777" w:rsidR="00C62788" w:rsidRPr="003F68BC" w:rsidRDefault="00C62788" w:rsidP="00047E6C">
            <w:pPr>
              <w:spacing w:line="360" w:lineRule="auto"/>
              <w:rPr>
                <w:sz w:val="20"/>
                <w:szCs w:val="20"/>
              </w:rPr>
            </w:pPr>
            <w:r w:rsidRPr="003F68BC">
              <w:rPr>
                <w:sz w:val="20"/>
                <w:szCs w:val="20"/>
              </w:rPr>
              <w:t>01/05/12</w:t>
            </w:r>
          </w:p>
        </w:tc>
      </w:tr>
      <w:tr w:rsidR="00C62788" w:rsidRPr="003F68BC" w14:paraId="5E5F7C47" w14:textId="77777777" w:rsidTr="00047E6C">
        <w:tc>
          <w:tcPr>
            <w:tcW w:w="4050" w:type="dxa"/>
          </w:tcPr>
          <w:p w14:paraId="20429318" w14:textId="77777777" w:rsidR="00C62788" w:rsidRPr="003F68BC" w:rsidRDefault="00C62788" w:rsidP="00047E6C">
            <w:pPr>
              <w:spacing w:line="360" w:lineRule="auto"/>
              <w:rPr>
                <w:sz w:val="20"/>
                <w:szCs w:val="20"/>
              </w:rPr>
            </w:pPr>
            <w:r w:rsidRPr="003F68BC">
              <w:rPr>
                <w:sz w:val="20"/>
                <w:szCs w:val="20"/>
              </w:rPr>
              <w:t xml:space="preserve">The circulation of wealth, the rules of private ownership and the rights in rem and the registration rules that are gained therefrom. </w:t>
            </w:r>
          </w:p>
        </w:tc>
        <w:tc>
          <w:tcPr>
            <w:tcW w:w="2070" w:type="dxa"/>
          </w:tcPr>
          <w:p w14:paraId="3511D104" w14:textId="77777777" w:rsidR="00C62788" w:rsidRPr="003F68BC" w:rsidRDefault="00C62788" w:rsidP="00047E6C">
            <w:pPr>
              <w:spacing w:line="360" w:lineRule="auto"/>
              <w:rPr>
                <w:sz w:val="20"/>
                <w:szCs w:val="20"/>
              </w:rPr>
            </w:pPr>
            <w:r w:rsidRPr="003F68BC">
              <w:rPr>
                <w:sz w:val="20"/>
                <w:szCs w:val="20"/>
              </w:rPr>
              <w:t>Abu Dhabi Court of Cassation</w:t>
            </w:r>
          </w:p>
        </w:tc>
        <w:tc>
          <w:tcPr>
            <w:tcW w:w="1620" w:type="dxa"/>
          </w:tcPr>
          <w:p w14:paraId="078C635E" w14:textId="77777777" w:rsidR="00C62788" w:rsidRPr="003F68BC" w:rsidRDefault="00C62788" w:rsidP="00047E6C">
            <w:pPr>
              <w:spacing w:line="360" w:lineRule="auto"/>
              <w:rPr>
                <w:sz w:val="20"/>
                <w:szCs w:val="20"/>
              </w:rPr>
            </w:pPr>
            <w:r w:rsidRPr="003F68BC">
              <w:rPr>
                <w:sz w:val="20"/>
                <w:szCs w:val="20"/>
              </w:rPr>
              <w:t>477/2014 (75)</w:t>
            </w:r>
          </w:p>
        </w:tc>
        <w:tc>
          <w:tcPr>
            <w:tcW w:w="1170" w:type="dxa"/>
          </w:tcPr>
          <w:p w14:paraId="2FCCC99E" w14:textId="77777777" w:rsidR="00C62788" w:rsidRPr="003F68BC" w:rsidRDefault="00C62788" w:rsidP="00047E6C">
            <w:pPr>
              <w:spacing w:line="360" w:lineRule="auto"/>
              <w:rPr>
                <w:sz w:val="20"/>
                <w:szCs w:val="20"/>
              </w:rPr>
            </w:pPr>
            <w:r w:rsidRPr="003F68BC">
              <w:rPr>
                <w:sz w:val="20"/>
                <w:szCs w:val="20"/>
              </w:rPr>
              <w:t>19/03/14</w:t>
            </w:r>
          </w:p>
        </w:tc>
      </w:tr>
      <w:tr w:rsidR="00C62788" w:rsidRPr="003F68BC" w14:paraId="782DEA67" w14:textId="77777777" w:rsidTr="00047E6C">
        <w:tc>
          <w:tcPr>
            <w:tcW w:w="4050" w:type="dxa"/>
          </w:tcPr>
          <w:p w14:paraId="102F8D62" w14:textId="77777777" w:rsidR="00C62788" w:rsidRPr="003F68BC" w:rsidRDefault="00C62788" w:rsidP="00047E6C">
            <w:pPr>
              <w:spacing w:line="360" w:lineRule="auto"/>
              <w:rPr>
                <w:sz w:val="20"/>
                <w:szCs w:val="20"/>
              </w:rPr>
            </w:pPr>
            <w:r w:rsidRPr="003F68BC">
              <w:rPr>
                <w:sz w:val="20"/>
                <w:szCs w:val="20"/>
              </w:rPr>
              <w:t>Matters relating to personal status.</w:t>
            </w:r>
          </w:p>
        </w:tc>
        <w:tc>
          <w:tcPr>
            <w:tcW w:w="2070" w:type="dxa"/>
          </w:tcPr>
          <w:p w14:paraId="0B4F9710" w14:textId="77777777" w:rsidR="00C62788" w:rsidRPr="003F68BC" w:rsidRDefault="00C62788" w:rsidP="00047E6C">
            <w:pPr>
              <w:spacing w:line="360" w:lineRule="auto"/>
              <w:rPr>
                <w:sz w:val="20"/>
                <w:szCs w:val="20"/>
              </w:rPr>
            </w:pPr>
            <w:r w:rsidRPr="003F68BC">
              <w:rPr>
                <w:sz w:val="20"/>
                <w:szCs w:val="20"/>
              </w:rPr>
              <w:t>Abu Dhabi Court of Cassation</w:t>
            </w:r>
          </w:p>
        </w:tc>
        <w:tc>
          <w:tcPr>
            <w:tcW w:w="1620" w:type="dxa"/>
          </w:tcPr>
          <w:p w14:paraId="0762E59B" w14:textId="77777777" w:rsidR="00C62788" w:rsidRPr="003F68BC" w:rsidRDefault="00C62788" w:rsidP="00047E6C">
            <w:pPr>
              <w:spacing w:line="360" w:lineRule="auto"/>
              <w:rPr>
                <w:sz w:val="20"/>
                <w:szCs w:val="20"/>
              </w:rPr>
            </w:pPr>
            <w:r w:rsidRPr="003F68BC">
              <w:rPr>
                <w:sz w:val="20"/>
                <w:szCs w:val="20"/>
              </w:rPr>
              <w:t>313/2014 (129)</w:t>
            </w:r>
          </w:p>
        </w:tc>
        <w:tc>
          <w:tcPr>
            <w:tcW w:w="1170" w:type="dxa"/>
          </w:tcPr>
          <w:p w14:paraId="780F25E6" w14:textId="77777777" w:rsidR="00C62788" w:rsidRPr="003F68BC" w:rsidRDefault="00C62788" w:rsidP="00047E6C">
            <w:pPr>
              <w:spacing w:line="360" w:lineRule="auto"/>
              <w:rPr>
                <w:sz w:val="20"/>
                <w:szCs w:val="20"/>
              </w:rPr>
            </w:pPr>
            <w:r w:rsidRPr="003F68BC">
              <w:rPr>
                <w:sz w:val="20"/>
                <w:szCs w:val="20"/>
              </w:rPr>
              <w:t>27/05/14</w:t>
            </w:r>
          </w:p>
        </w:tc>
      </w:tr>
      <w:tr w:rsidR="00C62788" w:rsidRPr="003F68BC" w14:paraId="0F5DD01F" w14:textId="77777777" w:rsidTr="00047E6C">
        <w:tc>
          <w:tcPr>
            <w:tcW w:w="4050" w:type="dxa"/>
          </w:tcPr>
          <w:p w14:paraId="14866962" w14:textId="77777777" w:rsidR="00C62788" w:rsidRPr="003F68BC" w:rsidRDefault="00C62788" w:rsidP="00047E6C">
            <w:pPr>
              <w:spacing w:line="360" w:lineRule="auto"/>
              <w:rPr>
                <w:sz w:val="20"/>
                <w:szCs w:val="20"/>
              </w:rPr>
            </w:pPr>
            <w:r w:rsidRPr="003F68BC">
              <w:rPr>
                <w:sz w:val="20"/>
                <w:szCs w:val="20"/>
              </w:rPr>
              <w:t>Usurious interest in consideration of the deferment of the payment of a contracted loan.</w:t>
            </w:r>
          </w:p>
        </w:tc>
        <w:tc>
          <w:tcPr>
            <w:tcW w:w="2070" w:type="dxa"/>
          </w:tcPr>
          <w:p w14:paraId="038580BD" w14:textId="77777777" w:rsidR="00C62788" w:rsidRPr="003F68BC" w:rsidRDefault="00C62788" w:rsidP="00047E6C">
            <w:pPr>
              <w:spacing w:line="360" w:lineRule="auto"/>
              <w:rPr>
                <w:sz w:val="20"/>
                <w:szCs w:val="20"/>
              </w:rPr>
            </w:pPr>
            <w:r w:rsidRPr="003F68BC">
              <w:rPr>
                <w:sz w:val="20"/>
                <w:szCs w:val="20"/>
              </w:rPr>
              <w:t>Abu Dhabi Court of Cassation</w:t>
            </w:r>
          </w:p>
        </w:tc>
        <w:tc>
          <w:tcPr>
            <w:tcW w:w="1620" w:type="dxa"/>
          </w:tcPr>
          <w:p w14:paraId="33A8859D" w14:textId="77777777" w:rsidR="00C62788" w:rsidRPr="003F68BC" w:rsidRDefault="00C62788" w:rsidP="00047E6C">
            <w:pPr>
              <w:spacing w:line="360" w:lineRule="auto"/>
              <w:rPr>
                <w:sz w:val="20"/>
                <w:szCs w:val="20"/>
              </w:rPr>
            </w:pPr>
            <w:r w:rsidRPr="003F68BC">
              <w:rPr>
                <w:sz w:val="20"/>
                <w:szCs w:val="20"/>
              </w:rPr>
              <w:t>348/2010 (206)</w:t>
            </w:r>
          </w:p>
        </w:tc>
        <w:tc>
          <w:tcPr>
            <w:tcW w:w="1170" w:type="dxa"/>
          </w:tcPr>
          <w:p w14:paraId="631A9F4A" w14:textId="77777777" w:rsidR="00C62788" w:rsidRPr="003F68BC" w:rsidRDefault="00C62788" w:rsidP="00047E6C">
            <w:pPr>
              <w:spacing w:line="360" w:lineRule="auto"/>
              <w:rPr>
                <w:sz w:val="20"/>
                <w:szCs w:val="20"/>
              </w:rPr>
            </w:pPr>
            <w:r w:rsidRPr="003F68BC">
              <w:rPr>
                <w:sz w:val="20"/>
                <w:szCs w:val="20"/>
              </w:rPr>
              <w:t>27/10/14</w:t>
            </w:r>
          </w:p>
        </w:tc>
      </w:tr>
    </w:tbl>
    <w:p w14:paraId="1D0600DE" w14:textId="77777777" w:rsidR="00C62788" w:rsidRPr="003F68BC" w:rsidRDefault="00C62788" w:rsidP="00C62788">
      <w:pPr>
        <w:spacing w:line="480" w:lineRule="auto"/>
        <w:ind w:firstLine="720"/>
        <w:jc w:val="both"/>
        <w:rPr>
          <w:i/>
          <w:iCs/>
        </w:rPr>
      </w:pPr>
    </w:p>
    <w:p w14:paraId="0F1B3069" w14:textId="77777777" w:rsidR="008350E8" w:rsidRDefault="008350E8" w:rsidP="008350E8">
      <w:pPr>
        <w:spacing w:line="480" w:lineRule="auto"/>
        <w:ind w:left="540" w:hanging="540"/>
        <w:jc w:val="both"/>
      </w:pPr>
    </w:p>
    <w:p w14:paraId="000BD07C" w14:textId="77777777" w:rsidR="00900A6E" w:rsidRDefault="00900A6E" w:rsidP="00900A6E">
      <w:pPr>
        <w:spacing w:line="480" w:lineRule="auto"/>
        <w:jc w:val="both"/>
        <w:rPr>
          <w:rStyle w:val="Heading3Char"/>
          <w:rFonts w:ascii="Times New Roman" w:hAnsi="Times New Roman"/>
          <w:b w:val="0"/>
          <w:bCs w:val="0"/>
          <w:i/>
          <w:iCs/>
          <w:sz w:val="24"/>
          <w:szCs w:val="24"/>
        </w:rPr>
      </w:pPr>
      <w:r w:rsidRPr="003F68BC">
        <w:rPr>
          <w:rStyle w:val="Heading3Char"/>
          <w:rFonts w:ascii="Times New Roman" w:hAnsi="Times New Roman"/>
          <w:b w:val="0"/>
          <w:bCs w:val="0"/>
          <w:sz w:val="24"/>
          <w:szCs w:val="24"/>
        </w:rPr>
        <w:t xml:space="preserve">Table </w:t>
      </w:r>
      <w:r>
        <w:rPr>
          <w:rStyle w:val="Heading3Char"/>
          <w:rFonts w:ascii="Times New Roman" w:hAnsi="Times New Roman"/>
          <w:b w:val="0"/>
          <w:bCs w:val="0"/>
          <w:sz w:val="24"/>
          <w:szCs w:val="24"/>
        </w:rPr>
        <w:t>2</w:t>
      </w:r>
      <w:r w:rsidRPr="003F68BC">
        <w:rPr>
          <w:rStyle w:val="Heading3Char"/>
          <w:rFonts w:ascii="Times New Roman" w:hAnsi="Times New Roman"/>
          <w:b w:val="0"/>
          <w:bCs w:val="0"/>
          <w:sz w:val="24"/>
          <w:szCs w:val="24"/>
        </w:rPr>
        <w:t>: Conceptual differences between ‘</w:t>
      </w:r>
      <w:r w:rsidRPr="003F68BC">
        <w:rPr>
          <w:rStyle w:val="Heading3Char"/>
          <w:rFonts w:ascii="Times New Roman" w:hAnsi="Times New Roman"/>
          <w:b w:val="0"/>
          <w:bCs w:val="0"/>
          <w:i/>
          <w:iCs/>
          <w:sz w:val="24"/>
          <w:szCs w:val="24"/>
        </w:rPr>
        <w:t>Public policy’</w:t>
      </w:r>
      <w:r w:rsidRPr="003F68BC">
        <w:rPr>
          <w:rStyle w:val="Heading3Char"/>
          <w:rFonts w:ascii="Times New Roman" w:hAnsi="Times New Roman"/>
          <w:b w:val="0"/>
          <w:bCs w:val="0"/>
          <w:sz w:val="24"/>
          <w:szCs w:val="24"/>
        </w:rPr>
        <w:t xml:space="preserve"> and ‘</w:t>
      </w:r>
      <w:r w:rsidRPr="003F68BC">
        <w:rPr>
          <w:rStyle w:val="Heading3Char"/>
          <w:rFonts w:ascii="Times New Roman" w:hAnsi="Times New Roman"/>
          <w:b w:val="0"/>
          <w:bCs w:val="0"/>
          <w:i/>
          <w:iCs/>
          <w:sz w:val="24"/>
          <w:szCs w:val="24"/>
        </w:rPr>
        <w:t>Public order’</w:t>
      </w:r>
    </w:p>
    <w:tbl>
      <w:tblPr>
        <w:tblW w:w="489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3254"/>
        <w:gridCol w:w="3645"/>
      </w:tblGrid>
      <w:tr w:rsidR="00900A6E" w:rsidRPr="000E0999" w14:paraId="12CE552C" w14:textId="77777777" w:rsidTr="00047E6C">
        <w:trPr>
          <w:trHeight w:val="300"/>
        </w:trPr>
        <w:tc>
          <w:tcPr>
            <w:tcW w:w="1230" w:type="pct"/>
            <w:shd w:val="clear" w:color="auto" w:fill="auto"/>
            <w:noWrap/>
            <w:hideMark/>
          </w:tcPr>
          <w:p w14:paraId="6049DAEB" w14:textId="77777777" w:rsidR="00900A6E" w:rsidRPr="00125230" w:rsidRDefault="00900A6E" w:rsidP="00047E6C">
            <w:pPr>
              <w:spacing w:line="360" w:lineRule="auto"/>
              <w:jc w:val="both"/>
              <w:rPr>
                <w:b/>
                <w:sz w:val="20"/>
                <w:szCs w:val="20"/>
              </w:rPr>
            </w:pPr>
            <w:r w:rsidRPr="00125230">
              <w:rPr>
                <w:b/>
                <w:sz w:val="20"/>
                <w:szCs w:val="20"/>
              </w:rPr>
              <w:t>Comparator</w:t>
            </w:r>
          </w:p>
        </w:tc>
        <w:tc>
          <w:tcPr>
            <w:tcW w:w="1778" w:type="pct"/>
            <w:shd w:val="clear" w:color="auto" w:fill="auto"/>
            <w:noWrap/>
            <w:hideMark/>
          </w:tcPr>
          <w:p w14:paraId="0C605A38" w14:textId="77777777" w:rsidR="00900A6E" w:rsidRPr="00125230" w:rsidRDefault="00900A6E" w:rsidP="00047E6C">
            <w:pPr>
              <w:spacing w:line="360" w:lineRule="auto"/>
              <w:jc w:val="both"/>
              <w:rPr>
                <w:b/>
                <w:sz w:val="20"/>
                <w:szCs w:val="20"/>
              </w:rPr>
            </w:pPr>
            <w:r w:rsidRPr="00125230">
              <w:rPr>
                <w:b/>
                <w:bCs/>
                <w:i/>
                <w:sz w:val="20"/>
                <w:szCs w:val="20"/>
              </w:rPr>
              <w:t>Public policy</w:t>
            </w:r>
          </w:p>
        </w:tc>
        <w:tc>
          <w:tcPr>
            <w:tcW w:w="1992" w:type="pct"/>
            <w:shd w:val="clear" w:color="auto" w:fill="auto"/>
            <w:noWrap/>
            <w:hideMark/>
          </w:tcPr>
          <w:p w14:paraId="6771C639" w14:textId="77777777" w:rsidR="00900A6E" w:rsidRPr="00125230" w:rsidRDefault="00900A6E" w:rsidP="00047E6C">
            <w:pPr>
              <w:spacing w:line="360" w:lineRule="auto"/>
              <w:jc w:val="both"/>
              <w:rPr>
                <w:b/>
                <w:sz w:val="20"/>
                <w:szCs w:val="20"/>
              </w:rPr>
            </w:pPr>
            <w:r w:rsidRPr="00125230">
              <w:rPr>
                <w:b/>
                <w:bCs/>
                <w:i/>
                <w:sz w:val="20"/>
                <w:szCs w:val="20"/>
              </w:rPr>
              <w:t>Public order</w:t>
            </w:r>
          </w:p>
        </w:tc>
      </w:tr>
      <w:tr w:rsidR="00900A6E" w:rsidRPr="00125230" w14:paraId="1D7978E9" w14:textId="77777777" w:rsidTr="00047E6C">
        <w:trPr>
          <w:trHeight w:val="300"/>
        </w:trPr>
        <w:tc>
          <w:tcPr>
            <w:tcW w:w="1230" w:type="pct"/>
            <w:shd w:val="clear" w:color="auto" w:fill="auto"/>
            <w:noWrap/>
          </w:tcPr>
          <w:p w14:paraId="10A63202" w14:textId="77777777" w:rsidR="00900A6E" w:rsidRPr="00125230" w:rsidRDefault="00900A6E" w:rsidP="00047E6C">
            <w:pPr>
              <w:spacing w:line="360" w:lineRule="auto"/>
              <w:jc w:val="both"/>
              <w:rPr>
                <w:sz w:val="20"/>
                <w:szCs w:val="20"/>
              </w:rPr>
            </w:pPr>
            <w:r w:rsidRPr="00125230">
              <w:rPr>
                <w:sz w:val="20"/>
                <w:szCs w:val="20"/>
              </w:rPr>
              <w:t>Where to be found</w:t>
            </w:r>
          </w:p>
        </w:tc>
        <w:tc>
          <w:tcPr>
            <w:tcW w:w="1778" w:type="pct"/>
            <w:shd w:val="clear" w:color="auto" w:fill="auto"/>
          </w:tcPr>
          <w:p w14:paraId="52D932F8" w14:textId="77777777" w:rsidR="00900A6E" w:rsidRPr="00125230" w:rsidRDefault="00900A6E" w:rsidP="00047E6C">
            <w:pPr>
              <w:spacing w:line="360" w:lineRule="auto"/>
              <w:jc w:val="both"/>
              <w:rPr>
                <w:sz w:val="20"/>
                <w:szCs w:val="20"/>
              </w:rPr>
            </w:pPr>
            <w:r w:rsidRPr="00125230">
              <w:rPr>
                <w:sz w:val="20"/>
                <w:szCs w:val="20"/>
              </w:rPr>
              <w:t>Court judgements; National policy documents.</w:t>
            </w:r>
          </w:p>
        </w:tc>
        <w:tc>
          <w:tcPr>
            <w:tcW w:w="1992" w:type="pct"/>
            <w:shd w:val="clear" w:color="auto" w:fill="auto"/>
            <w:noWrap/>
          </w:tcPr>
          <w:p w14:paraId="71852F6E" w14:textId="77777777" w:rsidR="00900A6E" w:rsidRPr="00125230" w:rsidRDefault="00900A6E" w:rsidP="00047E6C">
            <w:pPr>
              <w:spacing w:line="360" w:lineRule="auto"/>
              <w:jc w:val="both"/>
              <w:rPr>
                <w:sz w:val="20"/>
                <w:szCs w:val="20"/>
              </w:rPr>
            </w:pPr>
            <w:r w:rsidRPr="00125230">
              <w:rPr>
                <w:sz w:val="20"/>
                <w:szCs w:val="20"/>
              </w:rPr>
              <w:t>National legislation</w:t>
            </w:r>
            <w:r>
              <w:rPr>
                <w:sz w:val="20"/>
                <w:szCs w:val="20"/>
              </w:rPr>
              <w:t xml:space="preserve"> (</w:t>
            </w:r>
            <w:r w:rsidRPr="005264E6">
              <w:rPr>
                <w:sz w:val="20"/>
                <w:szCs w:val="20"/>
              </w:rPr>
              <w:t>Murphy</w:t>
            </w:r>
            <w:r>
              <w:rPr>
                <w:sz w:val="20"/>
                <w:szCs w:val="20"/>
              </w:rPr>
              <w:t xml:space="preserve">, </w:t>
            </w:r>
            <w:r w:rsidRPr="005264E6">
              <w:rPr>
                <w:sz w:val="20"/>
                <w:szCs w:val="20"/>
              </w:rPr>
              <w:t>1981</w:t>
            </w:r>
            <w:r>
              <w:rPr>
                <w:sz w:val="20"/>
                <w:szCs w:val="20"/>
              </w:rPr>
              <w:t>)</w:t>
            </w:r>
            <w:r w:rsidRPr="00125230">
              <w:rPr>
                <w:sz w:val="20"/>
                <w:szCs w:val="20"/>
              </w:rPr>
              <w:t>.</w:t>
            </w:r>
          </w:p>
        </w:tc>
      </w:tr>
      <w:tr w:rsidR="00900A6E" w:rsidRPr="00125230" w14:paraId="596AD9E0" w14:textId="77777777" w:rsidTr="00047E6C">
        <w:trPr>
          <w:trHeight w:val="300"/>
        </w:trPr>
        <w:tc>
          <w:tcPr>
            <w:tcW w:w="1230" w:type="pct"/>
            <w:shd w:val="clear" w:color="auto" w:fill="auto"/>
            <w:noWrap/>
          </w:tcPr>
          <w:p w14:paraId="5820567D" w14:textId="77777777" w:rsidR="00900A6E" w:rsidRPr="00125230" w:rsidRDefault="00900A6E" w:rsidP="00047E6C">
            <w:pPr>
              <w:spacing w:line="360" w:lineRule="auto"/>
              <w:jc w:val="both"/>
              <w:rPr>
                <w:sz w:val="20"/>
                <w:szCs w:val="20"/>
              </w:rPr>
            </w:pPr>
            <w:r w:rsidRPr="00125230">
              <w:rPr>
                <w:sz w:val="20"/>
                <w:szCs w:val="20"/>
              </w:rPr>
              <w:t>Conceptualisation</w:t>
            </w:r>
          </w:p>
        </w:tc>
        <w:tc>
          <w:tcPr>
            <w:tcW w:w="1778" w:type="pct"/>
            <w:shd w:val="clear" w:color="auto" w:fill="auto"/>
          </w:tcPr>
          <w:p w14:paraId="6BA2DD10" w14:textId="77777777" w:rsidR="00900A6E" w:rsidRPr="00125230" w:rsidRDefault="00900A6E" w:rsidP="00047E6C">
            <w:pPr>
              <w:spacing w:line="360" w:lineRule="auto"/>
              <w:jc w:val="both"/>
              <w:rPr>
                <w:sz w:val="20"/>
                <w:szCs w:val="20"/>
              </w:rPr>
            </w:pPr>
            <w:r w:rsidRPr="00125230">
              <w:rPr>
                <w:sz w:val="20"/>
                <w:szCs w:val="20"/>
              </w:rPr>
              <w:t>What is ‘</w:t>
            </w:r>
            <w:r w:rsidRPr="00125230">
              <w:rPr>
                <w:i/>
                <w:iCs/>
                <w:sz w:val="20"/>
                <w:szCs w:val="20"/>
              </w:rPr>
              <w:t>Public policy’</w:t>
            </w:r>
            <w:r w:rsidRPr="00125230">
              <w:rPr>
                <w:sz w:val="20"/>
                <w:szCs w:val="20"/>
              </w:rPr>
              <w:t xml:space="preserve"> is seen as vague</w:t>
            </w:r>
            <w:r>
              <w:rPr>
                <w:sz w:val="20"/>
                <w:szCs w:val="20"/>
              </w:rPr>
              <w:t xml:space="preserve"> (</w:t>
            </w:r>
            <w:proofErr w:type="spellStart"/>
            <w:r w:rsidRPr="005264E6">
              <w:rPr>
                <w:sz w:val="20"/>
                <w:szCs w:val="20"/>
              </w:rPr>
              <w:t>Sterk</w:t>
            </w:r>
            <w:proofErr w:type="spellEnd"/>
            <w:r w:rsidRPr="005264E6">
              <w:rPr>
                <w:sz w:val="20"/>
                <w:szCs w:val="20"/>
              </w:rPr>
              <w:t xml:space="preserve"> 1980</w:t>
            </w:r>
            <w:r>
              <w:rPr>
                <w:sz w:val="20"/>
                <w:szCs w:val="20"/>
              </w:rPr>
              <w:t xml:space="preserve">; </w:t>
            </w:r>
            <w:proofErr w:type="spellStart"/>
            <w:r w:rsidRPr="005264E6">
              <w:rPr>
                <w:sz w:val="20"/>
                <w:szCs w:val="20"/>
              </w:rPr>
              <w:t>Yelpaala</w:t>
            </w:r>
            <w:proofErr w:type="spellEnd"/>
            <w:r>
              <w:rPr>
                <w:sz w:val="20"/>
                <w:szCs w:val="20"/>
              </w:rPr>
              <w:t xml:space="preserve"> </w:t>
            </w:r>
            <w:r w:rsidRPr="005264E6">
              <w:rPr>
                <w:sz w:val="20"/>
                <w:szCs w:val="20"/>
              </w:rPr>
              <w:t>1989</w:t>
            </w:r>
            <w:r>
              <w:rPr>
                <w:sz w:val="20"/>
                <w:szCs w:val="20"/>
              </w:rPr>
              <w:t xml:space="preserve">; </w:t>
            </w:r>
            <w:r w:rsidRPr="005264E6">
              <w:rPr>
                <w:sz w:val="20"/>
                <w:szCs w:val="20"/>
              </w:rPr>
              <w:t>Gibson 2008</w:t>
            </w:r>
            <w:r>
              <w:rPr>
                <w:sz w:val="20"/>
                <w:szCs w:val="20"/>
              </w:rPr>
              <w:t>)</w:t>
            </w:r>
            <w:r w:rsidRPr="005264E6">
              <w:rPr>
                <w:sz w:val="20"/>
                <w:szCs w:val="20"/>
              </w:rPr>
              <w:t>.</w:t>
            </w:r>
          </w:p>
        </w:tc>
        <w:tc>
          <w:tcPr>
            <w:tcW w:w="1992" w:type="pct"/>
            <w:shd w:val="clear" w:color="auto" w:fill="auto"/>
            <w:noWrap/>
          </w:tcPr>
          <w:p w14:paraId="62079EFA" w14:textId="77777777" w:rsidR="00900A6E" w:rsidRPr="00125230" w:rsidRDefault="00900A6E" w:rsidP="00047E6C">
            <w:pPr>
              <w:spacing w:line="360" w:lineRule="auto"/>
              <w:jc w:val="both"/>
              <w:rPr>
                <w:sz w:val="20"/>
                <w:szCs w:val="20"/>
              </w:rPr>
            </w:pPr>
            <w:r w:rsidRPr="00125230">
              <w:rPr>
                <w:sz w:val="20"/>
                <w:szCs w:val="20"/>
              </w:rPr>
              <w:t>What is ‘</w:t>
            </w:r>
            <w:r w:rsidRPr="00125230">
              <w:rPr>
                <w:i/>
                <w:iCs/>
                <w:sz w:val="20"/>
                <w:szCs w:val="20"/>
              </w:rPr>
              <w:t>Public order’</w:t>
            </w:r>
            <w:r w:rsidRPr="00125230">
              <w:rPr>
                <w:sz w:val="20"/>
                <w:szCs w:val="20"/>
              </w:rPr>
              <w:t xml:space="preserve"> is seen as vague</w:t>
            </w:r>
            <w:r>
              <w:rPr>
                <w:sz w:val="20"/>
                <w:szCs w:val="20"/>
              </w:rPr>
              <w:t xml:space="preserve"> (</w:t>
            </w:r>
            <w:bookmarkStart w:id="3" w:name="_Hlk51748208"/>
            <w:r w:rsidRPr="005264E6">
              <w:rPr>
                <w:sz w:val="20"/>
                <w:szCs w:val="20"/>
              </w:rPr>
              <w:t>Bernier 1929; Lloyd</w:t>
            </w:r>
            <w:r>
              <w:rPr>
                <w:sz w:val="20"/>
                <w:szCs w:val="20"/>
              </w:rPr>
              <w:t xml:space="preserve"> </w:t>
            </w:r>
            <w:r w:rsidRPr="005264E6">
              <w:rPr>
                <w:sz w:val="20"/>
                <w:szCs w:val="20"/>
              </w:rPr>
              <w:t>1953</w:t>
            </w:r>
            <w:r>
              <w:rPr>
                <w:sz w:val="20"/>
                <w:szCs w:val="20"/>
              </w:rPr>
              <w:t xml:space="preserve">; </w:t>
            </w:r>
            <w:r w:rsidRPr="005264E6">
              <w:rPr>
                <w:sz w:val="20"/>
                <w:szCs w:val="20"/>
              </w:rPr>
              <w:t>Murphy</w:t>
            </w:r>
            <w:r>
              <w:rPr>
                <w:sz w:val="20"/>
                <w:szCs w:val="20"/>
              </w:rPr>
              <w:t xml:space="preserve"> </w:t>
            </w:r>
            <w:r w:rsidRPr="005264E6">
              <w:rPr>
                <w:sz w:val="20"/>
                <w:szCs w:val="20"/>
              </w:rPr>
              <w:t>1981</w:t>
            </w:r>
            <w:r>
              <w:rPr>
                <w:sz w:val="20"/>
                <w:szCs w:val="20"/>
              </w:rPr>
              <w:t xml:space="preserve">; </w:t>
            </w:r>
            <w:r w:rsidRPr="005264E6">
              <w:rPr>
                <w:sz w:val="20"/>
                <w:szCs w:val="20"/>
              </w:rPr>
              <w:t>Xiao</w:t>
            </w:r>
            <w:r>
              <w:rPr>
                <w:sz w:val="20"/>
                <w:szCs w:val="20"/>
              </w:rPr>
              <w:t xml:space="preserve"> </w:t>
            </w:r>
            <w:r w:rsidRPr="005264E6">
              <w:rPr>
                <w:sz w:val="20"/>
                <w:szCs w:val="20"/>
              </w:rPr>
              <w:t xml:space="preserve">and </w:t>
            </w:r>
            <w:proofErr w:type="spellStart"/>
            <w:r w:rsidRPr="005264E6">
              <w:rPr>
                <w:sz w:val="20"/>
                <w:szCs w:val="20"/>
              </w:rPr>
              <w:t>Huo</w:t>
            </w:r>
            <w:proofErr w:type="spellEnd"/>
            <w:r w:rsidRPr="005264E6">
              <w:rPr>
                <w:sz w:val="20"/>
                <w:szCs w:val="20"/>
              </w:rPr>
              <w:t xml:space="preserve"> 2005; Gibson 2008</w:t>
            </w:r>
            <w:r>
              <w:rPr>
                <w:sz w:val="20"/>
                <w:szCs w:val="20"/>
              </w:rPr>
              <w:t>)</w:t>
            </w:r>
            <w:bookmarkEnd w:id="3"/>
          </w:p>
        </w:tc>
      </w:tr>
      <w:tr w:rsidR="00900A6E" w:rsidRPr="00125230" w14:paraId="3CDFB4F8" w14:textId="77777777" w:rsidTr="00047E6C">
        <w:trPr>
          <w:trHeight w:val="300"/>
        </w:trPr>
        <w:tc>
          <w:tcPr>
            <w:tcW w:w="1230" w:type="pct"/>
            <w:shd w:val="clear" w:color="auto" w:fill="auto"/>
            <w:noWrap/>
          </w:tcPr>
          <w:p w14:paraId="73354648" w14:textId="77777777" w:rsidR="00900A6E" w:rsidRPr="00125230" w:rsidRDefault="00900A6E" w:rsidP="00047E6C">
            <w:pPr>
              <w:spacing w:line="360" w:lineRule="auto"/>
              <w:jc w:val="both"/>
              <w:rPr>
                <w:sz w:val="20"/>
                <w:szCs w:val="20"/>
              </w:rPr>
            </w:pPr>
            <w:r w:rsidRPr="00125230">
              <w:rPr>
                <w:sz w:val="20"/>
                <w:szCs w:val="20"/>
              </w:rPr>
              <w:t>Attitude of the courts</w:t>
            </w:r>
          </w:p>
        </w:tc>
        <w:tc>
          <w:tcPr>
            <w:tcW w:w="1778" w:type="pct"/>
            <w:shd w:val="clear" w:color="auto" w:fill="auto"/>
            <w:noWrap/>
          </w:tcPr>
          <w:p w14:paraId="5DD6252D" w14:textId="77777777" w:rsidR="00900A6E" w:rsidRPr="00125230" w:rsidRDefault="00900A6E" w:rsidP="00047E6C">
            <w:pPr>
              <w:spacing w:line="360" w:lineRule="auto"/>
              <w:jc w:val="both"/>
              <w:rPr>
                <w:sz w:val="20"/>
                <w:szCs w:val="20"/>
              </w:rPr>
            </w:pPr>
            <w:r w:rsidRPr="00125230">
              <w:rPr>
                <w:sz w:val="20"/>
                <w:szCs w:val="20"/>
              </w:rPr>
              <w:t xml:space="preserve">National courts will not seek to enforce contractual agreements which are repugnant or pernicious to societal values. </w:t>
            </w:r>
          </w:p>
        </w:tc>
        <w:tc>
          <w:tcPr>
            <w:tcW w:w="1992" w:type="pct"/>
            <w:shd w:val="clear" w:color="auto" w:fill="auto"/>
            <w:noWrap/>
          </w:tcPr>
          <w:p w14:paraId="7B5D1446" w14:textId="77777777" w:rsidR="00900A6E" w:rsidRPr="00125230" w:rsidRDefault="00900A6E" w:rsidP="00047E6C">
            <w:pPr>
              <w:spacing w:line="360" w:lineRule="auto"/>
              <w:jc w:val="both"/>
              <w:rPr>
                <w:sz w:val="20"/>
                <w:szCs w:val="20"/>
              </w:rPr>
            </w:pPr>
            <w:r w:rsidRPr="00125230">
              <w:rPr>
                <w:sz w:val="20"/>
                <w:szCs w:val="20"/>
              </w:rPr>
              <w:t>National courts will</w:t>
            </w:r>
            <w:r>
              <w:rPr>
                <w:sz w:val="20"/>
                <w:szCs w:val="20"/>
              </w:rPr>
              <w:t xml:space="preserve"> </w:t>
            </w:r>
            <w:r w:rsidRPr="00125230">
              <w:rPr>
                <w:sz w:val="20"/>
                <w:szCs w:val="20"/>
              </w:rPr>
              <w:t>not seek to enforce contractual agreements that (i) are likely to repress the interest of the public (ii) override the interest of the public, or (iii) impact upon the manner and form of the way that the state is organised or functions</w:t>
            </w:r>
            <w:r>
              <w:rPr>
                <w:sz w:val="20"/>
                <w:szCs w:val="20"/>
              </w:rPr>
              <w:t xml:space="preserve"> (</w:t>
            </w:r>
            <w:r w:rsidRPr="005C7FA6">
              <w:rPr>
                <w:sz w:val="20"/>
                <w:szCs w:val="20"/>
              </w:rPr>
              <w:t>Bernier, 1929</w:t>
            </w:r>
            <w:r>
              <w:rPr>
                <w:sz w:val="20"/>
                <w:szCs w:val="20"/>
              </w:rPr>
              <w:t>)</w:t>
            </w:r>
            <w:r w:rsidRPr="00125230">
              <w:rPr>
                <w:sz w:val="20"/>
                <w:szCs w:val="20"/>
              </w:rPr>
              <w:t>.</w:t>
            </w:r>
          </w:p>
        </w:tc>
      </w:tr>
      <w:tr w:rsidR="00900A6E" w:rsidRPr="00125230" w14:paraId="3599C4BE" w14:textId="77777777" w:rsidTr="00047E6C">
        <w:trPr>
          <w:trHeight w:val="300"/>
        </w:trPr>
        <w:tc>
          <w:tcPr>
            <w:tcW w:w="1230" w:type="pct"/>
            <w:shd w:val="clear" w:color="auto" w:fill="auto"/>
            <w:noWrap/>
          </w:tcPr>
          <w:p w14:paraId="6D2E6B87" w14:textId="77777777" w:rsidR="00900A6E" w:rsidRPr="00125230" w:rsidRDefault="00900A6E" w:rsidP="00047E6C">
            <w:pPr>
              <w:spacing w:line="360" w:lineRule="auto"/>
              <w:jc w:val="both"/>
              <w:rPr>
                <w:sz w:val="20"/>
                <w:szCs w:val="20"/>
              </w:rPr>
            </w:pPr>
            <w:r w:rsidRPr="00125230">
              <w:rPr>
                <w:sz w:val="20"/>
                <w:szCs w:val="20"/>
              </w:rPr>
              <w:t>Philosophy</w:t>
            </w:r>
          </w:p>
        </w:tc>
        <w:tc>
          <w:tcPr>
            <w:tcW w:w="1778" w:type="pct"/>
            <w:shd w:val="clear" w:color="auto" w:fill="auto"/>
          </w:tcPr>
          <w:p w14:paraId="28E0074A" w14:textId="77777777" w:rsidR="00900A6E" w:rsidRPr="00125230" w:rsidRDefault="00900A6E" w:rsidP="00047E6C">
            <w:pPr>
              <w:spacing w:line="360" w:lineRule="auto"/>
              <w:jc w:val="both"/>
              <w:rPr>
                <w:sz w:val="20"/>
                <w:szCs w:val="20"/>
              </w:rPr>
            </w:pPr>
            <w:r w:rsidRPr="00125230">
              <w:rPr>
                <w:sz w:val="20"/>
                <w:szCs w:val="20"/>
              </w:rPr>
              <w:t>Based on interpretations of societal values</w:t>
            </w:r>
            <w:r>
              <w:rPr>
                <w:sz w:val="20"/>
                <w:szCs w:val="20"/>
              </w:rPr>
              <w:t xml:space="preserve"> (</w:t>
            </w:r>
            <w:r w:rsidRPr="005C7FA6">
              <w:rPr>
                <w:sz w:val="20"/>
                <w:szCs w:val="20"/>
              </w:rPr>
              <w:t>Hollander, 2016</w:t>
            </w:r>
            <w:r>
              <w:rPr>
                <w:sz w:val="20"/>
                <w:szCs w:val="20"/>
              </w:rPr>
              <w:t>)</w:t>
            </w:r>
            <w:r w:rsidRPr="00125230">
              <w:rPr>
                <w:sz w:val="20"/>
                <w:szCs w:val="20"/>
              </w:rPr>
              <w:t>.</w:t>
            </w:r>
          </w:p>
        </w:tc>
        <w:tc>
          <w:tcPr>
            <w:tcW w:w="1992" w:type="pct"/>
            <w:shd w:val="clear" w:color="auto" w:fill="auto"/>
            <w:noWrap/>
          </w:tcPr>
          <w:p w14:paraId="3584756E" w14:textId="77777777" w:rsidR="00900A6E" w:rsidRPr="00125230" w:rsidRDefault="00900A6E" w:rsidP="00047E6C">
            <w:pPr>
              <w:spacing w:line="360" w:lineRule="auto"/>
              <w:jc w:val="both"/>
              <w:rPr>
                <w:sz w:val="20"/>
                <w:szCs w:val="20"/>
              </w:rPr>
            </w:pPr>
            <w:r w:rsidRPr="00125230">
              <w:rPr>
                <w:sz w:val="20"/>
                <w:szCs w:val="20"/>
              </w:rPr>
              <w:t>Based on political, economic, and moral regulation; Organisation and regulation of internal societal order</w:t>
            </w:r>
            <w:r>
              <w:rPr>
                <w:sz w:val="20"/>
                <w:szCs w:val="20"/>
              </w:rPr>
              <w:t xml:space="preserve"> (</w:t>
            </w:r>
            <w:r w:rsidRPr="005C7FA6">
              <w:rPr>
                <w:sz w:val="20"/>
                <w:szCs w:val="20"/>
              </w:rPr>
              <w:t>Wedel</w:t>
            </w:r>
            <w:r>
              <w:rPr>
                <w:sz w:val="20"/>
                <w:szCs w:val="20"/>
              </w:rPr>
              <w:t xml:space="preserve"> et al. 2005)</w:t>
            </w:r>
            <w:r w:rsidRPr="00125230">
              <w:rPr>
                <w:sz w:val="20"/>
                <w:szCs w:val="20"/>
              </w:rPr>
              <w:t>; National perspectives and view of political order and morality</w:t>
            </w:r>
            <w:r>
              <w:rPr>
                <w:sz w:val="20"/>
                <w:szCs w:val="20"/>
              </w:rPr>
              <w:t xml:space="preserve"> (</w:t>
            </w:r>
            <w:r w:rsidRPr="005C7FA6">
              <w:rPr>
                <w:sz w:val="20"/>
                <w:szCs w:val="20"/>
              </w:rPr>
              <w:t>Bernier, 1929</w:t>
            </w:r>
            <w:r>
              <w:rPr>
                <w:sz w:val="20"/>
                <w:szCs w:val="20"/>
              </w:rPr>
              <w:t>)</w:t>
            </w:r>
            <w:r w:rsidRPr="00125230">
              <w:rPr>
                <w:sz w:val="20"/>
                <w:szCs w:val="20"/>
              </w:rPr>
              <w:t>.</w:t>
            </w:r>
          </w:p>
        </w:tc>
      </w:tr>
      <w:tr w:rsidR="00900A6E" w:rsidRPr="000E0999" w14:paraId="030E6736" w14:textId="77777777" w:rsidTr="00047E6C">
        <w:trPr>
          <w:trHeight w:val="300"/>
        </w:trPr>
        <w:tc>
          <w:tcPr>
            <w:tcW w:w="1230" w:type="pct"/>
            <w:shd w:val="clear" w:color="auto" w:fill="auto"/>
            <w:noWrap/>
          </w:tcPr>
          <w:p w14:paraId="671D874F" w14:textId="77777777" w:rsidR="00900A6E" w:rsidRPr="000E0999" w:rsidRDefault="00900A6E" w:rsidP="00047E6C">
            <w:pPr>
              <w:spacing w:line="360" w:lineRule="auto"/>
              <w:jc w:val="both"/>
              <w:rPr>
                <w:sz w:val="22"/>
                <w:szCs w:val="22"/>
              </w:rPr>
            </w:pPr>
            <w:r w:rsidRPr="000E0999">
              <w:rPr>
                <w:sz w:val="22"/>
                <w:szCs w:val="22"/>
              </w:rPr>
              <w:t>How it is interpreted</w:t>
            </w:r>
          </w:p>
        </w:tc>
        <w:tc>
          <w:tcPr>
            <w:tcW w:w="1778" w:type="pct"/>
            <w:shd w:val="clear" w:color="auto" w:fill="auto"/>
          </w:tcPr>
          <w:p w14:paraId="72DCDD2E" w14:textId="77777777" w:rsidR="00900A6E" w:rsidRPr="000E0999" w:rsidRDefault="00900A6E" w:rsidP="00047E6C">
            <w:pPr>
              <w:spacing w:line="360" w:lineRule="auto"/>
              <w:jc w:val="both"/>
              <w:rPr>
                <w:sz w:val="22"/>
                <w:szCs w:val="22"/>
              </w:rPr>
            </w:pPr>
            <w:r w:rsidRPr="000E0999">
              <w:rPr>
                <w:sz w:val="22"/>
                <w:szCs w:val="22"/>
              </w:rPr>
              <w:t>The national courts seek to interpret what societal values are.</w:t>
            </w:r>
          </w:p>
        </w:tc>
        <w:tc>
          <w:tcPr>
            <w:tcW w:w="1992" w:type="pct"/>
            <w:shd w:val="clear" w:color="auto" w:fill="auto"/>
            <w:noWrap/>
          </w:tcPr>
          <w:p w14:paraId="1E1E14BD" w14:textId="77777777" w:rsidR="00900A6E" w:rsidRPr="000E0999" w:rsidRDefault="00900A6E" w:rsidP="00047E6C">
            <w:pPr>
              <w:spacing w:line="360" w:lineRule="auto"/>
              <w:jc w:val="both"/>
              <w:rPr>
                <w:sz w:val="22"/>
                <w:szCs w:val="22"/>
              </w:rPr>
            </w:pPr>
            <w:r w:rsidRPr="000E0999">
              <w:rPr>
                <w:sz w:val="22"/>
                <w:szCs w:val="22"/>
              </w:rPr>
              <w:t xml:space="preserve">The focus is on the state being able to ensure the regulation of society based </w:t>
            </w:r>
            <w:r w:rsidRPr="000E0999">
              <w:rPr>
                <w:sz w:val="22"/>
                <w:szCs w:val="22"/>
              </w:rPr>
              <w:lastRenderedPageBreak/>
              <w:t>on how it (the state) interprets what is required to ensure national harmony.</w:t>
            </w:r>
          </w:p>
        </w:tc>
      </w:tr>
      <w:tr w:rsidR="00900A6E" w:rsidRPr="00125230" w14:paraId="0BEBCDBE" w14:textId="77777777" w:rsidTr="00047E6C">
        <w:trPr>
          <w:trHeight w:val="300"/>
        </w:trPr>
        <w:tc>
          <w:tcPr>
            <w:tcW w:w="1230" w:type="pct"/>
            <w:shd w:val="clear" w:color="auto" w:fill="auto"/>
            <w:noWrap/>
          </w:tcPr>
          <w:p w14:paraId="5A9A4035" w14:textId="77777777" w:rsidR="00900A6E" w:rsidRPr="00125230" w:rsidRDefault="00900A6E" w:rsidP="00047E6C">
            <w:pPr>
              <w:spacing w:line="360" w:lineRule="auto"/>
              <w:jc w:val="both"/>
              <w:rPr>
                <w:sz w:val="20"/>
                <w:szCs w:val="20"/>
              </w:rPr>
            </w:pPr>
            <w:r w:rsidRPr="00125230">
              <w:rPr>
                <w:sz w:val="20"/>
                <w:szCs w:val="20"/>
              </w:rPr>
              <w:lastRenderedPageBreak/>
              <w:t>Derogation</w:t>
            </w:r>
          </w:p>
        </w:tc>
        <w:tc>
          <w:tcPr>
            <w:tcW w:w="1778" w:type="pct"/>
            <w:shd w:val="clear" w:color="auto" w:fill="auto"/>
          </w:tcPr>
          <w:p w14:paraId="6A9E16EF" w14:textId="77777777" w:rsidR="00900A6E" w:rsidRPr="00125230" w:rsidRDefault="00900A6E" w:rsidP="00047E6C">
            <w:pPr>
              <w:spacing w:line="360" w:lineRule="auto"/>
              <w:jc w:val="both"/>
              <w:rPr>
                <w:sz w:val="20"/>
                <w:szCs w:val="20"/>
              </w:rPr>
            </w:pPr>
            <w:r w:rsidRPr="00125230">
              <w:rPr>
                <w:sz w:val="20"/>
                <w:szCs w:val="20"/>
              </w:rPr>
              <w:t>There is freedom to derogate.</w:t>
            </w:r>
          </w:p>
        </w:tc>
        <w:tc>
          <w:tcPr>
            <w:tcW w:w="1992" w:type="pct"/>
            <w:shd w:val="clear" w:color="auto" w:fill="auto"/>
            <w:noWrap/>
          </w:tcPr>
          <w:p w14:paraId="4DE2ABF6" w14:textId="77777777" w:rsidR="00900A6E" w:rsidRPr="00125230" w:rsidRDefault="00900A6E" w:rsidP="00047E6C">
            <w:pPr>
              <w:spacing w:line="360" w:lineRule="auto"/>
              <w:jc w:val="both"/>
              <w:rPr>
                <w:sz w:val="20"/>
                <w:szCs w:val="20"/>
              </w:rPr>
            </w:pPr>
            <w:r w:rsidRPr="00125230">
              <w:rPr>
                <w:sz w:val="20"/>
                <w:szCs w:val="20"/>
              </w:rPr>
              <w:t>Seen as rules, thus no freedom to derogate</w:t>
            </w:r>
            <w:r>
              <w:rPr>
                <w:sz w:val="20"/>
                <w:szCs w:val="20"/>
              </w:rPr>
              <w:t xml:space="preserve"> (</w:t>
            </w:r>
            <w:proofErr w:type="spellStart"/>
            <w:r w:rsidRPr="005C7FA6">
              <w:rPr>
                <w:sz w:val="20"/>
                <w:szCs w:val="20"/>
              </w:rPr>
              <w:t>Kessedjian</w:t>
            </w:r>
            <w:proofErr w:type="spellEnd"/>
            <w:r>
              <w:rPr>
                <w:sz w:val="20"/>
                <w:szCs w:val="20"/>
              </w:rPr>
              <w:t xml:space="preserve">, </w:t>
            </w:r>
            <w:r w:rsidRPr="005C7FA6">
              <w:rPr>
                <w:sz w:val="20"/>
                <w:szCs w:val="20"/>
              </w:rPr>
              <w:t>2007</w:t>
            </w:r>
            <w:r>
              <w:rPr>
                <w:sz w:val="20"/>
                <w:szCs w:val="20"/>
              </w:rPr>
              <w:t>)</w:t>
            </w:r>
            <w:r w:rsidRPr="00125230">
              <w:rPr>
                <w:sz w:val="20"/>
                <w:szCs w:val="20"/>
              </w:rPr>
              <w:t>. This is because the state construes its primary function to be to maintain public order</w:t>
            </w:r>
            <w:r>
              <w:rPr>
                <w:sz w:val="20"/>
                <w:szCs w:val="20"/>
              </w:rPr>
              <w:t xml:space="preserve"> (</w:t>
            </w:r>
            <w:proofErr w:type="spellStart"/>
            <w:r w:rsidRPr="005C7FA6">
              <w:rPr>
                <w:sz w:val="20"/>
                <w:szCs w:val="20"/>
              </w:rPr>
              <w:t>Bewes</w:t>
            </w:r>
            <w:proofErr w:type="spellEnd"/>
            <w:r w:rsidRPr="005C7FA6">
              <w:rPr>
                <w:sz w:val="20"/>
                <w:szCs w:val="20"/>
              </w:rPr>
              <w:t>,</w:t>
            </w:r>
            <w:r>
              <w:rPr>
                <w:sz w:val="20"/>
                <w:szCs w:val="20"/>
              </w:rPr>
              <w:t xml:space="preserve"> </w:t>
            </w:r>
            <w:r w:rsidRPr="005C7FA6">
              <w:rPr>
                <w:sz w:val="20"/>
                <w:szCs w:val="20"/>
              </w:rPr>
              <w:t>1921</w:t>
            </w:r>
            <w:r>
              <w:rPr>
                <w:sz w:val="20"/>
                <w:szCs w:val="20"/>
              </w:rPr>
              <w:t>)</w:t>
            </w:r>
            <w:r w:rsidRPr="00125230">
              <w:rPr>
                <w:sz w:val="20"/>
                <w:szCs w:val="20"/>
              </w:rPr>
              <w:t>.</w:t>
            </w:r>
          </w:p>
        </w:tc>
      </w:tr>
      <w:tr w:rsidR="00900A6E" w:rsidRPr="000E0999" w14:paraId="2B2E7259" w14:textId="77777777" w:rsidTr="00047E6C">
        <w:trPr>
          <w:trHeight w:val="300"/>
        </w:trPr>
        <w:tc>
          <w:tcPr>
            <w:tcW w:w="1230" w:type="pct"/>
            <w:shd w:val="clear" w:color="auto" w:fill="auto"/>
            <w:noWrap/>
            <w:vAlign w:val="bottom"/>
          </w:tcPr>
          <w:p w14:paraId="7040AF89" w14:textId="77777777" w:rsidR="00900A6E" w:rsidRPr="000E0999" w:rsidRDefault="00900A6E" w:rsidP="00047E6C">
            <w:pPr>
              <w:spacing w:line="360" w:lineRule="auto"/>
              <w:jc w:val="both"/>
              <w:rPr>
                <w:sz w:val="22"/>
                <w:szCs w:val="22"/>
              </w:rPr>
            </w:pPr>
            <w:r w:rsidRPr="000E0999">
              <w:rPr>
                <w:sz w:val="22"/>
                <w:szCs w:val="22"/>
              </w:rPr>
              <w:t>Realism</w:t>
            </w:r>
          </w:p>
        </w:tc>
        <w:tc>
          <w:tcPr>
            <w:tcW w:w="1778" w:type="pct"/>
            <w:shd w:val="clear" w:color="auto" w:fill="auto"/>
            <w:noWrap/>
            <w:vAlign w:val="bottom"/>
          </w:tcPr>
          <w:p w14:paraId="7C9B1FD7" w14:textId="77777777" w:rsidR="00900A6E" w:rsidRPr="000E0999" w:rsidRDefault="00900A6E" w:rsidP="00047E6C">
            <w:pPr>
              <w:spacing w:line="360" w:lineRule="auto"/>
              <w:jc w:val="both"/>
              <w:rPr>
                <w:sz w:val="22"/>
                <w:szCs w:val="22"/>
              </w:rPr>
            </w:pPr>
            <w:r w:rsidRPr="000E0999">
              <w:rPr>
                <w:sz w:val="22"/>
                <w:szCs w:val="22"/>
              </w:rPr>
              <w:t>Practical orientation.</w:t>
            </w:r>
          </w:p>
        </w:tc>
        <w:tc>
          <w:tcPr>
            <w:tcW w:w="1992" w:type="pct"/>
            <w:shd w:val="clear" w:color="auto" w:fill="auto"/>
            <w:noWrap/>
            <w:vAlign w:val="bottom"/>
          </w:tcPr>
          <w:p w14:paraId="66216BB8" w14:textId="77777777" w:rsidR="00900A6E" w:rsidRPr="000E0999" w:rsidRDefault="00900A6E" w:rsidP="00047E6C">
            <w:pPr>
              <w:spacing w:line="360" w:lineRule="auto"/>
              <w:jc w:val="both"/>
              <w:rPr>
                <w:sz w:val="22"/>
                <w:szCs w:val="22"/>
              </w:rPr>
            </w:pPr>
            <w:r w:rsidRPr="000E0999">
              <w:rPr>
                <w:sz w:val="22"/>
                <w:szCs w:val="22"/>
              </w:rPr>
              <w:t>Abstract orientation on the ‘ideals’ of peace, order and security.</w:t>
            </w:r>
          </w:p>
        </w:tc>
      </w:tr>
      <w:tr w:rsidR="00900A6E" w:rsidRPr="000E0999" w14:paraId="13259BF9" w14:textId="77777777" w:rsidTr="00047E6C">
        <w:trPr>
          <w:trHeight w:val="300"/>
        </w:trPr>
        <w:tc>
          <w:tcPr>
            <w:tcW w:w="1230" w:type="pct"/>
            <w:shd w:val="clear" w:color="auto" w:fill="auto"/>
            <w:noWrap/>
          </w:tcPr>
          <w:p w14:paraId="2FE58784" w14:textId="77777777" w:rsidR="00900A6E" w:rsidRPr="000E0999" w:rsidRDefault="00900A6E" w:rsidP="00047E6C">
            <w:pPr>
              <w:spacing w:line="360" w:lineRule="auto"/>
              <w:jc w:val="both"/>
              <w:rPr>
                <w:sz w:val="22"/>
                <w:szCs w:val="22"/>
              </w:rPr>
            </w:pPr>
            <w:r w:rsidRPr="000E0999">
              <w:rPr>
                <w:sz w:val="22"/>
                <w:szCs w:val="22"/>
              </w:rPr>
              <w:t>Morality (disputed)</w:t>
            </w:r>
          </w:p>
        </w:tc>
        <w:tc>
          <w:tcPr>
            <w:tcW w:w="1778" w:type="pct"/>
            <w:shd w:val="clear" w:color="auto" w:fill="auto"/>
            <w:noWrap/>
          </w:tcPr>
          <w:p w14:paraId="138C9BDD" w14:textId="77777777" w:rsidR="00900A6E" w:rsidRPr="000E0999" w:rsidRDefault="00900A6E" w:rsidP="00047E6C">
            <w:pPr>
              <w:spacing w:line="360" w:lineRule="auto"/>
              <w:jc w:val="both"/>
              <w:rPr>
                <w:sz w:val="22"/>
                <w:szCs w:val="22"/>
              </w:rPr>
            </w:pPr>
            <w:r w:rsidRPr="000E0999">
              <w:rPr>
                <w:sz w:val="22"/>
                <w:szCs w:val="22"/>
              </w:rPr>
              <w:t>It is disputed in the literature as to whether morality is deemed part of public policy. In some literature, the view is that morality is part of a public policy consideration</w:t>
            </w:r>
            <w:r>
              <w:rPr>
                <w:sz w:val="22"/>
                <w:szCs w:val="22"/>
              </w:rPr>
              <w:t xml:space="preserve"> (</w:t>
            </w:r>
            <w:r w:rsidRPr="005C7FA6">
              <w:rPr>
                <w:sz w:val="22"/>
                <w:szCs w:val="22"/>
              </w:rPr>
              <w:t>Knight, 1922</w:t>
            </w:r>
            <w:r>
              <w:rPr>
                <w:sz w:val="22"/>
                <w:szCs w:val="22"/>
              </w:rPr>
              <w:t>)</w:t>
            </w:r>
            <w:r w:rsidRPr="002F3EB4">
              <w:rPr>
                <w:sz w:val="22"/>
                <w:szCs w:val="22"/>
              </w:rPr>
              <w:t>.</w:t>
            </w:r>
          </w:p>
        </w:tc>
        <w:tc>
          <w:tcPr>
            <w:tcW w:w="1992" w:type="pct"/>
            <w:shd w:val="clear" w:color="auto" w:fill="auto"/>
            <w:noWrap/>
          </w:tcPr>
          <w:p w14:paraId="144416A6" w14:textId="77777777" w:rsidR="00900A6E" w:rsidRPr="000E0999" w:rsidRDefault="00900A6E" w:rsidP="00047E6C">
            <w:pPr>
              <w:spacing w:line="360" w:lineRule="auto"/>
              <w:jc w:val="both"/>
              <w:rPr>
                <w:sz w:val="22"/>
                <w:szCs w:val="22"/>
              </w:rPr>
            </w:pPr>
            <w:r w:rsidRPr="000E0999">
              <w:rPr>
                <w:sz w:val="22"/>
                <w:szCs w:val="22"/>
              </w:rPr>
              <w:t>Any consideration of public order will include morality</w:t>
            </w:r>
            <w:r>
              <w:rPr>
                <w:sz w:val="22"/>
                <w:szCs w:val="22"/>
              </w:rPr>
              <w:t xml:space="preserve"> (</w:t>
            </w:r>
            <w:r w:rsidRPr="005C7FA6">
              <w:rPr>
                <w:sz w:val="22"/>
                <w:szCs w:val="22"/>
              </w:rPr>
              <w:t>Murphy, 1981</w:t>
            </w:r>
            <w:r>
              <w:rPr>
                <w:sz w:val="22"/>
                <w:szCs w:val="22"/>
              </w:rPr>
              <w:t>)</w:t>
            </w:r>
            <w:r w:rsidRPr="002F3EB4">
              <w:rPr>
                <w:sz w:val="22"/>
                <w:szCs w:val="22"/>
              </w:rPr>
              <w:t>.</w:t>
            </w:r>
          </w:p>
        </w:tc>
      </w:tr>
      <w:tr w:rsidR="00900A6E" w:rsidRPr="000E0999" w14:paraId="421A352A" w14:textId="77777777" w:rsidTr="00047E6C">
        <w:trPr>
          <w:trHeight w:val="300"/>
        </w:trPr>
        <w:tc>
          <w:tcPr>
            <w:tcW w:w="1230" w:type="pct"/>
            <w:shd w:val="clear" w:color="auto" w:fill="auto"/>
            <w:noWrap/>
            <w:vAlign w:val="bottom"/>
          </w:tcPr>
          <w:p w14:paraId="24DD65BE" w14:textId="77777777" w:rsidR="00900A6E" w:rsidRPr="000E0999" w:rsidRDefault="00900A6E" w:rsidP="00047E6C">
            <w:pPr>
              <w:spacing w:line="360" w:lineRule="auto"/>
              <w:jc w:val="both"/>
              <w:rPr>
                <w:sz w:val="22"/>
                <w:szCs w:val="22"/>
              </w:rPr>
            </w:pPr>
            <w:r w:rsidRPr="000E0999">
              <w:rPr>
                <w:sz w:val="22"/>
                <w:szCs w:val="22"/>
              </w:rPr>
              <w:t>Broadness (disputed)</w:t>
            </w:r>
          </w:p>
        </w:tc>
        <w:tc>
          <w:tcPr>
            <w:tcW w:w="1778" w:type="pct"/>
            <w:shd w:val="clear" w:color="auto" w:fill="auto"/>
            <w:noWrap/>
            <w:vAlign w:val="bottom"/>
          </w:tcPr>
          <w:p w14:paraId="5C94EC09" w14:textId="78E52575" w:rsidR="00900A6E" w:rsidRPr="000E0999" w:rsidRDefault="00900A6E" w:rsidP="00047E6C">
            <w:pPr>
              <w:spacing w:line="360" w:lineRule="auto"/>
              <w:jc w:val="both"/>
              <w:rPr>
                <w:sz w:val="22"/>
                <w:szCs w:val="22"/>
              </w:rPr>
            </w:pPr>
            <w:r w:rsidRPr="000E0999">
              <w:rPr>
                <w:sz w:val="22"/>
                <w:szCs w:val="22"/>
              </w:rPr>
              <w:t>Public policy is seen to be a much broader concept than public order</w:t>
            </w:r>
            <w:r>
              <w:rPr>
                <w:sz w:val="22"/>
                <w:szCs w:val="22"/>
              </w:rPr>
              <w:t xml:space="preserve"> (</w:t>
            </w:r>
            <w:proofErr w:type="spellStart"/>
            <w:r w:rsidRPr="00900A6E">
              <w:rPr>
                <w:i/>
                <w:iCs/>
                <w:sz w:val="22"/>
                <w:szCs w:val="22"/>
              </w:rPr>
              <w:t>Evanturel</w:t>
            </w:r>
            <w:proofErr w:type="spellEnd"/>
            <w:r w:rsidRPr="00900A6E">
              <w:rPr>
                <w:i/>
                <w:iCs/>
                <w:sz w:val="22"/>
                <w:szCs w:val="22"/>
              </w:rPr>
              <w:t xml:space="preserve"> v </w:t>
            </w:r>
            <w:proofErr w:type="spellStart"/>
            <w:r w:rsidRPr="00900A6E">
              <w:rPr>
                <w:i/>
                <w:iCs/>
                <w:sz w:val="22"/>
                <w:szCs w:val="22"/>
              </w:rPr>
              <w:t>Evanturel</w:t>
            </w:r>
            <w:proofErr w:type="spellEnd"/>
            <w:r w:rsidRPr="00900A6E">
              <w:rPr>
                <w:i/>
                <w:iCs/>
                <w:sz w:val="22"/>
                <w:szCs w:val="22"/>
              </w:rPr>
              <w:t xml:space="preserve"> 1874</w:t>
            </w:r>
            <w:r w:rsidRPr="00900A6E">
              <w:rPr>
                <w:sz w:val="22"/>
                <w:szCs w:val="22"/>
              </w:rPr>
              <w:t>)</w:t>
            </w:r>
            <w:r>
              <w:rPr>
                <w:sz w:val="22"/>
                <w:szCs w:val="22"/>
              </w:rPr>
              <w:t>.</w:t>
            </w:r>
          </w:p>
        </w:tc>
        <w:tc>
          <w:tcPr>
            <w:tcW w:w="1992" w:type="pct"/>
            <w:shd w:val="clear" w:color="auto" w:fill="auto"/>
            <w:noWrap/>
            <w:vAlign w:val="bottom"/>
          </w:tcPr>
          <w:p w14:paraId="582FF015" w14:textId="77777777" w:rsidR="00900A6E" w:rsidRPr="000E0999" w:rsidRDefault="00900A6E" w:rsidP="00047E6C">
            <w:pPr>
              <w:spacing w:line="360" w:lineRule="auto"/>
              <w:jc w:val="both"/>
              <w:rPr>
                <w:sz w:val="22"/>
                <w:szCs w:val="22"/>
              </w:rPr>
            </w:pPr>
            <w:r w:rsidRPr="000E0999">
              <w:rPr>
                <w:sz w:val="22"/>
                <w:szCs w:val="22"/>
              </w:rPr>
              <w:t>Public order is seen to be a much broader concept than public policy</w:t>
            </w:r>
            <w:r>
              <w:rPr>
                <w:sz w:val="22"/>
                <w:szCs w:val="22"/>
              </w:rPr>
              <w:t xml:space="preserve"> (</w:t>
            </w:r>
            <w:r w:rsidRPr="005C7FA6">
              <w:rPr>
                <w:sz w:val="22"/>
                <w:szCs w:val="22"/>
              </w:rPr>
              <w:t>Husserl 1938</w:t>
            </w:r>
            <w:r>
              <w:rPr>
                <w:sz w:val="22"/>
                <w:szCs w:val="22"/>
              </w:rPr>
              <w:t xml:space="preserve">; </w:t>
            </w:r>
            <w:r w:rsidRPr="005C7FA6">
              <w:rPr>
                <w:sz w:val="22"/>
                <w:szCs w:val="22"/>
              </w:rPr>
              <w:t xml:space="preserve">Xiao and </w:t>
            </w:r>
            <w:proofErr w:type="spellStart"/>
            <w:r w:rsidRPr="005C7FA6">
              <w:rPr>
                <w:sz w:val="22"/>
                <w:szCs w:val="22"/>
              </w:rPr>
              <w:t>Huo</w:t>
            </w:r>
            <w:proofErr w:type="spellEnd"/>
            <w:r w:rsidRPr="005C7FA6">
              <w:rPr>
                <w:sz w:val="22"/>
                <w:szCs w:val="22"/>
              </w:rPr>
              <w:t>, 2005</w:t>
            </w:r>
            <w:r>
              <w:rPr>
                <w:sz w:val="22"/>
                <w:szCs w:val="22"/>
              </w:rPr>
              <w:t>)</w:t>
            </w:r>
            <w:r w:rsidRPr="002F3EB4">
              <w:rPr>
                <w:sz w:val="22"/>
                <w:szCs w:val="22"/>
              </w:rPr>
              <w:t>.</w:t>
            </w:r>
          </w:p>
        </w:tc>
      </w:tr>
    </w:tbl>
    <w:p w14:paraId="02765671" w14:textId="77777777" w:rsidR="00900A6E" w:rsidRDefault="00900A6E" w:rsidP="00900A6E">
      <w:pPr>
        <w:spacing w:line="480" w:lineRule="auto"/>
        <w:jc w:val="both"/>
      </w:pPr>
    </w:p>
    <w:p w14:paraId="62428640" w14:textId="77777777" w:rsidR="00CB4E4D" w:rsidRPr="003F68BC" w:rsidRDefault="00CB4E4D" w:rsidP="00CB4E4D">
      <w:pPr>
        <w:spacing w:line="480" w:lineRule="auto"/>
        <w:jc w:val="both"/>
      </w:pPr>
      <w:r w:rsidRPr="003F68BC">
        <w:t xml:space="preserve">Table </w:t>
      </w:r>
      <w:r>
        <w:t>3</w:t>
      </w:r>
      <w:r w:rsidRPr="003F68BC">
        <w:t xml:space="preserve">: Breakdown of cases heard per Court (from the </w:t>
      </w:r>
      <w:proofErr w:type="spellStart"/>
      <w:r w:rsidRPr="003F68BC">
        <w:rPr>
          <w:i/>
        </w:rPr>
        <w:t>WestlawGulf</w:t>
      </w:r>
      <w:proofErr w:type="spellEnd"/>
      <w:r w:rsidRPr="003F68BC">
        <w:t xml:space="preserve"> and </w:t>
      </w:r>
      <w:r w:rsidRPr="003F68BC">
        <w:rPr>
          <w:i/>
        </w:rPr>
        <w:t>DIFC</w:t>
      </w:r>
      <w:r w:rsidRPr="003F68BC">
        <w:t xml:space="preserve"> search)</w:t>
      </w:r>
    </w:p>
    <w:tbl>
      <w:tblPr>
        <w:tblW w:w="76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1890"/>
      </w:tblGrid>
      <w:tr w:rsidR="00CB4E4D" w:rsidRPr="003F68BC" w14:paraId="0D56CCC0" w14:textId="77777777" w:rsidTr="00047E6C">
        <w:tc>
          <w:tcPr>
            <w:tcW w:w="5760" w:type="dxa"/>
            <w:shd w:val="clear" w:color="auto" w:fill="auto"/>
          </w:tcPr>
          <w:p w14:paraId="2D25417C" w14:textId="77777777" w:rsidR="00CB4E4D" w:rsidRPr="003F68BC" w:rsidRDefault="00CB4E4D" w:rsidP="00047E6C">
            <w:pPr>
              <w:spacing w:line="480" w:lineRule="auto"/>
              <w:jc w:val="center"/>
              <w:rPr>
                <w:b/>
                <w:sz w:val="20"/>
                <w:szCs w:val="20"/>
              </w:rPr>
            </w:pPr>
            <w:r w:rsidRPr="003F68BC">
              <w:rPr>
                <w:b/>
                <w:sz w:val="20"/>
                <w:szCs w:val="20"/>
              </w:rPr>
              <w:t>Court</w:t>
            </w:r>
          </w:p>
        </w:tc>
        <w:tc>
          <w:tcPr>
            <w:tcW w:w="1890" w:type="dxa"/>
            <w:shd w:val="clear" w:color="auto" w:fill="auto"/>
          </w:tcPr>
          <w:p w14:paraId="094DEBAC" w14:textId="77777777" w:rsidR="00CB4E4D" w:rsidRPr="003F68BC" w:rsidRDefault="00CB4E4D" w:rsidP="00047E6C">
            <w:pPr>
              <w:spacing w:line="480" w:lineRule="auto"/>
              <w:jc w:val="center"/>
              <w:rPr>
                <w:b/>
                <w:sz w:val="20"/>
                <w:szCs w:val="20"/>
              </w:rPr>
            </w:pPr>
            <w:r w:rsidRPr="003F68BC">
              <w:rPr>
                <w:b/>
                <w:sz w:val="20"/>
                <w:szCs w:val="20"/>
              </w:rPr>
              <w:t>Number of cases</w:t>
            </w:r>
          </w:p>
        </w:tc>
      </w:tr>
      <w:tr w:rsidR="00CB4E4D" w:rsidRPr="003F68BC" w14:paraId="338A975B" w14:textId="77777777" w:rsidTr="00047E6C">
        <w:tc>
          <w:tcPr>
            <w:tcW w:w="5760" w:type="dxa"/>
            <w:shd w:val="clear" w:color="auto" w:fill="auto"/>
          </w:tcPr>
          <w:p w14:paraId="55F99C1E" w14:textId="77777777" w:rsidR="00CB4E4D" w:rsidRPr="003F68BC" w:rsidRDefault="00CB4E4D" w:rsidP="00047E6C">
            <w:pPr>
              <w:spacing w:line="480" w:lineRule="auto"/>
              <w:rPr>
                <w:sz w:val="20"/>
                <w:szCs w:val="20"/>
              </w:rPr>
            </w:pPr>
            <w:r w:rsidRPr="003F68BC">
              <w:rPr>
                <w:i/>
                <w:sz w:val="20"/>
                <w:szCs w:val="20"/>
              </w:rPr>
              <w:t>Union Supreme Court</w:t>
            </w:r>
          </w:p>
        </w:tc>
        <w:tc>
          <w:tcPr>
            <w:tcW w:w="1890" w:type="dxa"/>
            <w:shd w:val="clear" w:color="auto" w:fill="auto"/>
          </w:tcPr>
          <w:p w14:paraId="63E717D8" w14:textId="77777777" w:rsidR="00CB4E4D" w:rsidRPr="003F68BC" w:rsidRDefault="00CB4E4D" w:rsidP="00047E6C">
            <w:pPr>
              <w:spacing w:line="480" w:lineRule="auto"/>
              <w:jc w:val="center"/>
              <w:rPr>
                <w:sz w:val="20"/>
                <w:szCs w:val="20"/>
              </w:rPr>
            </w:pPr>
            <w:r w:rsidRPr="003F68BC">
              <w:rPr>
                <w:sz w:val="20"/>
                <w:szCs w:val="20"/>
              </w:rPr>
              <w:t>51</w:t>
            </w:r>
          </w:p>
        </w:tc>
      </w:tr>
      <w:tr w:rsidR="00CB4E4D" w:rsidRPr="003F68BC" w14:paraId="6B2DBF17" w14:textId="77777777" w:rsidTr="00047E6C">
        <w:tc>
          <w:tcPr>
            <w:tcW w:w="5760" w:type="dxa"/>
            <w:shd w:val="clear" w:color="auto" w:fill="auto"/>
          </w:tcPr>
          <w:p w14:paraId="66DD4863" w14:textId="77777777" w:rsidR="00CB4E4D" w:rsidRPr="003F68BC" w:rsidRDefault="00CB4E4D" w:rsidP="00047E6C">
            <w:pPr>
              <w:spacing w:line="480" w:lineRule="auto"/>
              <w:rPr>
                <w:sz w:val="20"/>
                <w:szCs w:val="20"/>
              </w:rPr>
            </w:pPr>
            <w:r w:rsidRPr="003F68BC">
              <w:rPr>
                <w:i/>
                <w:sz w:val="20"/>
                <w:szCs w:val="20"/>
              </w:rPr>
              <w:t>Abu Dhabi Court of Cassation</w:t>
            </w:r>
          </w:p>
        </w:tc>
        <w:tc>
          <w:tcPr>
            <w:tcW w:w="1890" w:type="dxa"/>
            <w:shd w:val="clear" w:color="auto" w:fill="auto"/>
          </w:tcPr>
          <w:p w14:paraId="522EDEFF" w14:textId="77777777" w:rsidR="00CB4E4D" w:rsidRPr="003F68BC" w:rsidRDefault="00CB4E4D" w:rsidP="00047E6C">
            <w:pPr>
              <w:spacing w:line="480" w:lineRule="auto"/>
              <w:jc w:val="center"/>
              <w:rPr>
                <w:sz w:val="20"/>
                <w:szCs w:val="20"/>
              </w:rPr>
            </w:pPr>
            <w:r w:rsidRPr="003F68BC">
              <w:rPr>
                <w:sz w:val="20"/>
                <w:szCs w:val="20"/>
              </w:rPr>
              <w:t>48</w:t>
            </w:r>
          </w:p>
        </w:tc>
      </w:tr>
      <w:tr w:rsidR="00CB4E4D" w:rsidRPr="003F68BC" w14:paraId="3E7A032C" w14:textId="77777777" w:rsidTr="00047E6C">
        <w:tc>
          <w:tcPr>
            <w:tcW w:w="5760" w:type="dxa"/>
            <w:shd w:val="clear" w:color="auto" w:fill="auto"/>
          </w:tcPr>
          <w:p w14:paraId="5508C91E" w14:textId="77777777" w:rsidR="00CB4E4D" w:rsidRPr="003F68BC" w:rsidRDefault="00CB4E4D" w:rsidP="00047E6C">
            <w:pPr>
              <w:spacing w:line="480" w:lineRule="auto"/>
              <w:rPr>
                <w:sz w:val="20"/>
                <w:szCs w:val="20"/>
              </w:rPr>
            </w:pPr>
            <w:r w:rsidRPr="003F68BC">
              <w:rPr>
                <w:i/>
                <w:sz w:val="20"/>
                <w:szCs w:val="20"/>
              </w:rPr>
              <w:t>Abu Dhabi Court of First Instance</w:t>
            </w:r>
          </w:p>
        </w:tc>
        <w:tc>
          <w:tcPr>
            <w:tcW w:w="1890" w:type="dxa"/>
            <w:shd w:val="clear" w:color="auto" w:fill="auto"/>
          </w:tcPr>
          <w:p w14:paraId="4D18762A" w14:textId="77777777" w:rsidR="00CB4E4D" w:rsidRPr="003F68BC" w:rsidRDefault="00CB4E4D" w:rsidP="00047E6C">
            <w:pPr>
              <w:spacing w:line="480" w:lineRule="auto"/>
              <w:jc w:val="center"/>
              <w:rPr>
                <w:sz w:val="20"/>
                <w:szCs w:val="20"/>
              </w:rPr>
            </w:pPr>
            <w:r w:rsidRPr="003F68BC">
              <w:rPr>
                <w:sz w:val="20"/>
                <w:szCs w:val="20"/>
              </w:rPr>
              <w:t>1</w:t>
            </w:r>
          </w:p>
        </w:tc>
      </w:tr>
      <w:tr w:rsidR="00CB4E4D" w:rsidRPr="003F68BC" w14:paraId="1DE2234B" w14:textId="77777777" w:rsidTr="00047E6C">
        <w:tc>
          <w:tcPr>
            <w:tcW w:w="5760" w:type="dxa"/>
            <w:shd w:val="clear" w:color="auto" w:fill="auto"/>
          </w:tcPr>
          <w:p w14:paraId="69D8879F" w14:textId="77777777" w:rsidR="00CB4E4D" w:rsidRPr="003F68BC" w:rsidRDefault="00CB4E4D" w:rsidP="00047E6C">
            <w:pPr>
              <w:spacing w:line="480" w:lineRule="auto"/>
              <w:rPr>
                <w:sz w:val="20"/>
                <w:szCs w:val="20"/>
              </w:rPr>
            </w:pPr>
            <w:r w:rsidRPr="003F68BC">
              <w:rPr>
                <w:i/>
                <w:sz w:val="20"/>
                <w:szCs w:val="20"/>
              </w:rPr>
              <w:t xml:space="preserve">Abu Dhabi </w:t>
            </w:r>
            <w:r>
              <w:rPr>
                <w:i/>
                <w:sz w:val="20"/>
                <w:szCs w:val="20"/>
              </w:rPr>
              <w:t xml:space="preserve">Commercial </w:t>
            </w:r>
            <w:r w:rsidRPr="003F68BC">
              <w:rPr>
                <w:i/>
                <w:sz w:val="20"/>
                <w:szCs w:val="20"/>
              </w:rPr>
              <w:t>Court</w:t>
            </w:r>
          </w:p>
        </w:tc>
        <w:tc>
          <w:tcPr>
            <w:tcW w:w="1890" w:type="dxa"/>
            <w:shd w:val="clear" w:color="auto" w:fill="auto"/>
          </w:tcPr>
          <w:p w14:paraId="32D7DA65" w14:textId="77777777" w:rsidR="00CB4E4D" w:rsidRPr="003F68BC" w:rsidRDefault="00CB4E4D" w:rsidP="00047E6C">
            <w:pPr>
              <w:spacing w:line="480" w:lineRule="auto"/>
              <w:jc w:val="center"/>
              <w:rPr>
                <w:sz w:val="20"/>
                <w:szCs w:val="20"/>
              </w:rPr>
            </w:pPr>
            <w:r w:rsidRPr="003F68BC">
              <w:rPr>
                <w:sz w:val="20"/>
                <w:szCs w:val="20"/>
              </w:rPr>
              <w:t>1</w:t>
            </w:r>
          </w:p>
        </w:tc>
      </w:tr>
      <w:tr w:rsidR="00CB4E4D" w:rsidRPr="003F68BC" w14:paraId="6B5365D7" w14:textId="77777777" w:rsidTr="00047E6C">
        <w:tc>
          <w:tcPr>
            <w:tcW w:w="5760" w:type="dxa"/>
            <w:shd w:val="clear" w:color="auto" w:fill="auto"/>
          </w:tcPr>
          <w:p w14:paraId="0770BC7B" w14:textId="77777777" w:rsidR="00CB4E4D" w:rsidRPr="003F68BC" w:rsidRDefault="00CB4E4D" w:rsidP="00047E6C">
            <w:pPr>
              <w:spacing w:line="480" w:lineRule="auto"/>
              <w:rPr>
                <w:sz w:val="20"/>
                <w:szCs w:val="20"/>
              </w:rPr>
            </w:pPr>
            <w:r w:rsidRPr="003F68BC">
              <w:rPr>
                <w:i/>
                <w:sz w:val="20"/>
                <w:szCs w:val="20"/>
              </w:rPr>
              <w:t>Dubai Court of Cassation</w:t>
            </w:r>
          </w:p>
        </w:tc>
        <w:tc>
          <w:tcPr>
            <w:tcW w:w="1890" w:type="dxa"/>
            <w:shd w:val="clear" w:color="auto" w:fill="auto"/>
          </w:tcPr>
          <w:p w14:paraId="0AFB720F" w14:textId="77777777" w:rsidR="00CB4E4D" w:rsidRPr="003F68BC" w:rsidRDefault="00CB4E4D" w:rsidP="00047E6C">
            <w:pPr>
              <w:spacing w:line="480" w:lineRule="auto"/>
              <w:jc w:val="center"/>
              <w:rPr>
                <w:sz w:val="20"/>
                <w:szCs w:val="20"/>
              </w:rPr>
            </w:pPr>
            <w:r w:rsidRPr="003F68BC">
              <w:rPr>
                <w:sz w:val="20"/>
                <w:szCs w:val="20"/>
              </w:rPr>
              <w:t>69</w:t>
            </w:r>
          </w:p>
        </w:tc>
      </w:tr>
      <w:tr w:rsidR="00CB4E4D" w:rsidRPr="003F68BC" w14:paraId="4B3A5C4E" w14:textId="77777777" w:rsidTr="00047E6C">
        <w:tc>
          <w:tcPr>
            <w:tcW w:w="5760" w:type="dxa"/>
            <w:shd w:val="clear" w:color="auto" w:fill="auto"/>
          </w:tcPr>
          <w:p w14:paraId="7976D260" w14:textId="77777777" w:rsidR="00CB4E4D" w:rsidRPr="003F68BC" w:rsidRDefault="00CB4E4D" w:rsidP="00047E6C">
            <w:pPr>
              <w:spacing w:line="480" w:lineRule="auto"/>
              <w:rPr>
                <w:sz w:val="20"/>
                <w:szCs w:val="20"/>
              </w:rPr>
            </w:pPr>
            <w:r w:rsidRPr="003F68BC">
              <w:rPr>
                <w:i/>
                <w:sz w:val="20"/>
                <w:szCs w:val="20"/>
              </w:rPr>
              <w:t>Judicial Authority of the Dubai International Financial Centre: Court of Appeal</w:t>
            </w:r>
          </w:p>
        </w:tc>
        <w:tc>
          <w:tcPr>
            <w:tcW w:w="1890" w:type="dxa"/>
            <w:shd w:val="clear" w:color="auto" w:fill="auto"/>
          </w:tcPr>
          <w:p w14:paraId="5E71B505" w14:textId="77777777" w:rsidR="00CB4E4D" w:rsidRPr="003F68BC" w:rsidRDefault="00CB4E4D" w:rsidP="00047E6C">
            <w:pPr>
              <w:spacing w:line="480" w:lineRule="auto"/>
              <w:jc w:val="center"/>
              <w:rPr>
                <w:sz w:val="20"/>
                <w:szCs w:val="20"/>
              </w:rPr>
            </w:pPr>
            <w:r w:rsidRPr="003F68BC">
              <w:rPr>
                <w:sz w:val="20"/>
                <w:szCs w:val="20"/>
              </w:rPr>
              <w:t>12</w:t>
            </w:r>
          </w:p>
        </w:tc>
      </w:tr>
      <w:tr w:rsidR="00CB4E4D" w:rsidRPr="003F68BC" w14:paraId="462B2558" w14:textId="77777777" w:rsidTr="00047E6C">
        <w:tc>
          <w:tcPr>
            <w:tcW w:w="5760" w:type="dxa"/>
            <w:shd w:val="clear" w:color="auto" w:fill="auto"/>
          </w:tcPr>
          <w:p w14:paraId="18F3EDDC" w14:textId="77777777" w:rsidR="00CB4E4D" w:rsidRPr="003F68BC" w:rsidRDefault="00CB4E4D" w:rsidP="00047E6C">
            <w:pPr>
              <w:spacing w:line="480" w:lineRule="auto"/>
              <w:rPr>
                <w:sz w:val="20"/>
                <w:szCs w:val="20"/>
              </w:rPr>
            </w:pPr>
            <w:r w:rsidRPr="003F68BC">
              <w:rPr>
                <w:i/>
                <w:sz w:val="20"/>
                <w:szCs w:val="20"/>
              </w:rPr>
              <w:t>Judicial Authority of the Dubai International Financial Centre: Court of First Instance</w:t>
            </w:r>
          </w:p>
        </w:tc>
        <w:tc>
          <w:tcPr>
            <w:tcW w:w="1890" w:type="dxa"/>
            <w:shd w:val="clear" w:color="auto" w:fill="auto"/>
          </w:tcPr>
          <w:p w14:paraId="60F8DC5F" w14:textId="77777777" w:rsidR="00CB4E4D" w:rsidRPr="003F68BC" w:rsidRDefault="00CB4E4D" w:rsidP="00047E6C">
            <w:pPr>
              <w:spacing w:line="480" w:lineRule="auto"/>
              <w:jc w:val="center"/>
              <w:rPr>
                <w:sz w:val="20"/>
                <w:szCs w:val="20"/>
              </w:rPr>
            </w:pPr>
            <w:r w:rsidRPr="003F68BC">
              <w:rPr>
                <w:sz w:val="20"/>
                <w:szCs w:val="20"/>
              </w:rPr>
              <w:t>33</w:t>
            </w:r>
          </w:p>
        </w:tc>
      </w:tr>
      <w:tr w:rsidR="00CB4E4D" w:rsidRPr="003F68BC" w14:paraId="7B3EE60C" w14:textId="77777777" w:rsidTr="00047E6C">
        <w:tc>
          <w:tcPr>
            <w:tcW w:w="5760" w:type="dxa"/>
            <w:shd w:val="clear" w:color="auto" w:fill="auto"/>
          </w:tcPr>
          <w:p w14:paraId="00446BFA" w14:textId="77777777" w:rsidR="00CB4E4D" w:rsidRPr="003F68BC" w:rsidRDefault="00CB4E4D" w:rsidP="00047E6C">
            <w:pPr>
              <w:spacing w:line="480" w:lineRule="auto"/>
              <w:rPr>
                <w:sz w:val="20"/>
                <w:szCs w:val="20"/>
              </w:rPr>
            </w:pPr>
            <w:r w:rsidRPr="003F68BC">
              <w:rPr>
                <w:i/>
                <w:sz w:val="20"/>
                <w:szCs w:val="20"/>
              </w:rPr>
              <w:lastRenderedPageBreak/>
              <w:t>Judicial Authority of the Dubai International Financial Centre: Joint Judicial Committee of Dubai Courts and DIFC Courts</w:t>
            </w:r>
          </w:p>
        </w:tc>
        <w:tc>
          <w:tcPr>
            <w:tcW w:w="1890" w:type="dxa"/>
            <w:shd w:val="clear" w:color="auto" w:fill="auto"/>
          </w:tcPr>
          <w:p w14:paraId="5BEF027A" w14:textId="77777777" w:rsidR="00CB4E4D" w:rsidRPr="003F68BC" w:rsidRDefault="00CB4E4D" w:rsidP="00047E6C">
            <w:pPr>
              <w:spacing w:line="480" w:lineRule="auto"/>
              <w:jc w:val="center"/>
              <w:rPr>
                <w:sz w:val="20"/>
                <w:szCs w:val="20"/>
              </w:rPr>
            </w:pPr>
            <w:r w:rsidRPr="003F68BC">
              <w:rPr>
                <w:sz w:val="20"/>
                <w:szCs w:val="20"/>
              </w:rPr>
              <w:t>5</w:t>
            </w:r>
          </w:p>
        </w:tc>
      </w:tr>
      <w:tr w:rsidR="00CB4E4D" w:rsidRPr="003F68BC" w14:paraId="246115EB" w14:textId="77777777" w:rsidTr="00047E6C">
        <w:tc>
          <w:tcPr>
            <w:tcW w:w="5760" w:type="dxa"/>
            <w:shd w:val="clear" w:color="auto" w:fill="auto"/>
          </w:tcPr>
          <w:p w14:paraId="370C5FE2" w14:textId="77777777" w:rsidR="00CB4E4D" w:rsidRPr="003F68BC" w:rsidRDefault="00CB4E4D" w:rsidP="00047E6C">
            <w:pPr>
              <w:spacing w:line="480" w:lineRule="auto"/>
              <w:jc w:val="center"/>
              <w:rPr>
                <w:sz w:val="20"/>
                <w:szCs w:val="20"/>
              </w:rPr>
            </w:pPr>
            <w:r w:rsidRPr="003F68BC">
              <w:rPr>
                <w:sz w:val="20"/>
                <w:szCs w:val="20"/>
              </w:rPr>
              <w:t>Total</w:t>
            </w:r>
          </w:p>
        </w:tc>
        <w:tc>
          <w:tcPr>
            <w:tcW w:w="1890" w:type="dxa"/>
            <w:shd w:val="clear" w:color="auto" w:fill="auto"/>
          </w:tcPr>
          <w:p w14:paraId="70C72EF3" w14:textId="77777777" w:rsidR="00CB4E4D" w:rsidRPr="003F68BC" w:rsidRDefault="00CB4E4D" w:rsidP="00047E6C">
            <w:pPr>
              <w:spacing w:line="480" w:lineRule="auto"/>
              <w:jc w:val="center"/>
              <w:rPr>
                <w:sz w:val="20"/>
                <w:szCs w:val="20"/>
              </w:rPr>
            </w:pPr>
            <w:r w:rsidRPr="003F68BC">
              <w:rPr>
                <w:sz w:val="20"/>
                <w:szCs w:val="20"/>
              </w:rPr>
              <w:t>220</w:t>
            </w:r>
          </w:p>
        </w:tc>
      </w:tr>
    </w:tbl>
    <w:p w14:paraId="3B9292BE" w14:textId="77777777" w:rsidR="00CB4E4D" w:rsidRPr="003F68BC" w:rsidRDefault="00CB4E4D" w:rsidP="00CB4E4D">
      <w:pPr>
        <w:spacing w:line="480" w:lineRule="auto"/>
        <w:jc w:val="center"/>
      </w:pPr>
    </w:p>
    <w:p w14:paraId="1C93517F" w14:textId="77777777" w:rsidR="00CB4E4D" w:rsidRPr="003F68BC" w:rsidRDefault="00CB4E4D" w:rsidP="00CB4E4D">
      <w:pPr>
        <w:spacing w:line="480" w:lineRule="auto"/>
        <w:jc w:val="both"/>
      </w:pPr>
      <w:r w:rsidRPr="003F68BC">
        <w:t xml:space="preserve">Table </w:t>
      </w:r>
      <w:r>
        <w:t>4</w:t>
      </w:r>
      <w:r w:rsidRPr="003F68BC">
        <w:t>: Incidence of ‘Second-order Court Category’ codes in court decisions</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1242"/>
        <w:gridCol w:w="1242"/>
        <w:gridCol w:w="1305"/>
      </w:tblGrid>
      <w:tr w:rsidR="00CB4E4D" w:rsidRPr="003F68BC" w14:paraId="6E178F35" w14:textId="77777777" w:rsidTr="00047E6C">
        <w:trPr>
          <w:trHeight w:val="263"/>
        </w:trPr>
        <w:tc>
          <w:tcPr>
            <w:tcW w:w="5121" w:type="dxa"/>
            <w:shd w:val="clear" w:color="auto" w:fill="auto"/>
            <w:noWrap/>
            <w:vAlign w:val="bottom"/>
            <w:hideMark/>
          </w:tcPr>
          <w:p w14:paraId="5AAA3B4E" w14:textId="77777777" w:rsidR="00CB4E4D" w:rsidRPr="003F68BC" w:rsidRDefault="00CB4E4D" w:rsidP="00047E6C">
            <w:pPr>
              <w:spacing w:line="360" w:lineRule="auto"/>
              <w:jc w:val="both"/>
              <w:rPr>
                <w:sz w:val="20"/>
                <w:szCs w:val="20"/>
              </w:rPr>
            </w:pPr>
          </w:p>
        </w:tc>
        <w:tc>
          <w:tcPr>
            <w:tcW w:w="1242" w:type="dxa"/>
            <w:shd w:val="clear" w:color="auto" w:fill="auto"/>
            <w:noWrap/>
            <w:vAlign w:val="bottom"/>
            <w:hideMark/>
          </w:tcPr>
          <w:p w14:paraId="4FB1F970" w14:textId="77777777" w:rsidR="00CB4E4D" w:rsidRPr="003F68BC" w:rsidRDefault="00CB4E4D" w:rsidP="00047E6C">
            <w:pPr>
              <w:spacing w:line="360" w:lineRule="auto"/>
              <w:jc w:val="both"/>
              <w:rPr>
                <w:sz w:val="20"/>
                <w:szCs w:val="20"/>
              </w:rPr>
            </w:pPr>
            <w:r w:rsidRPr="003F68BC">
              <w:rPr>
                <w:sz w:val="20"/>
                <w:szCs w:val="20"/>
              </w:rPr>
              <w:t>Present</w:t>
            </w:r>
          </w:p>
        </w:tc>
        <w:tc>
          <w:tcPr>
            <w:tcW w:w="1242" w:type="dxa"/>
            <w:shd w:val="clear" w:color="auto" w:fill="auto"/>
            <w:noWrap/>
            <w:vAlign w:val="bottom"/>
            <w:hideMark/>
          </w:tcPr>
          <w:p w14:paraId="79BB149A" w14:textId="77777777" w:rsidR="00CB4E4D" w:rsidRPr="003F68BC" w:rsidRDefault="00CB4E4D" w:rsidP="00047E6C">
            <w:pPr>
              <w:spacing w:line="360" w:lineRule="auto"/>
              <w:jc w:val="both"/>
              <w:rPr>
                <w:sz w:val="20"/>
                <w:szCs w:val="20"/>
              </w:rPr>
            </w:pPr>
            <w:r w:rsidRPr="003F68BC">
              <w:rPr>
                <w:sz w:val="20"/>
                <w:szCs w:val="20"/>
              </w:rPr>
              <w:t>Absent</w:t>
            </w:r>
          </w:p>
        </w:tc>
        <w:tc>
          <w:tcPr>
            <w:tcW w:w="1305" w:type="dxa"/>
            <w:shd w:val="clear" w:color="auto" w:fill="auto"/>
            <w:noWrap/>
            <w:vAlign w:val="bottom"/>
            <w:hideMark/>
          </w:tcPr>
          <w:p w14:paraId="19124CC3" w14:textId="77777777" w:rsidR="00CB4E4D" w:rsidRPr="003F68BC" w:rsidRDefault="00CB4E4D" w:rsidP="00047E6C">
            <w:pPr>
              <w:spacing w:line="360" w:lineRule="auto"/>
              <w:jc w:val="both"/>
              <w:rPr>
                <w:sz w:val="20"/>
                <w:szCs w:val="20"/>
              </w:rPr>
            </w:pPr>
            <w:r w:rsidRPr="003F68BC">
              <w:rPr>
                <w:sz w:val="20"/>
                <w:szCs w:val="20"/>
              </w:rPr>
              <w:t>% Incidence</w:t>
            </w:r>
          </w:p>
        </w:tc>
      </w:tr>
      <w:tr w:rsidR="00CB4E4D" w:rsidRPr="003F68BC" w14:paraId="54A74FCA" w14:textId="77777777" w:rsidTr="00047E6C">
        <w:trPr>
          <w:trHeight w:val="263"/>
        </w:trPr>
        <w:tc>
          <w:tcPr>
            <w:tcW w:w="5121" w:type="dxa"/>
            <w:shd w:val="clear" w:color="auto" w:fill="auto"/>
            <w:noWrap/>
            <w:vAlign w:val="bottom"/>
            <w:hideMark/>
          </w:tcPr>
          <w:p w14:paraId="18DDD134" w14:textId="77777777" w:rsidR="00CB4E4D" w:rsidRPr="003F68BC" w:rsidRDefault="00CB4E4D" w:rsidP="00047E6C">
            <w:pPr>
              <w:spacing w:line="360" w:lineRule="auto"/>
              <w:jc w:val="both"/>
              <w:rPr>
                <w:i/>
                <w:sz w:val="20"/>
                <w:szCs w:val="20"/>
              </w:rPr>
            </w:pPr>
            <w:r w:rsidRPr="003F68BC">
              <w:rPr>
                <w:i/>
                <w:sz w:val="20"/>
                <w:szCs w:val="20"/>
              </w:rPr>
              <w:t>‘Abuse of court process’</w:t>
            </w:r>
          </w:p>
        </w:tc>
        <w:tc>
          <w:tcPr>
            <w:tcW w:w="1242" w:type="dxa"/>
            <w:shd w:val="clear" w:color="auto" w:fill="auto"/>
            <w:noWrap/>
            <w:vAlign w:val="bottom"/>
            <w:hideMark/>
          </w:tcPr>
          <w:p w14:paraId="10AF6F91" w14:textId="77777777" w:rsidR="00CB4E4D" w:rsidRPr="003F68BC" w:rsidRDefault="00CB4E4D" w:rsidP="00047E6C">
            <w:pPr>
              <w:spacing w:line="360" w:lineRule="auto"/>
              <w:jc w:val="both"/>
              <w:rPr>
                <w:sz w:val="20"/>
                <w:szCs w:val="20"/>
              </w:rPr>
            </w:pPr>
            <w:r w:rsidRPr="003F68BC">
              <w:rPr>
                <w:sz w:val="20"/>
                <w:szCs w:val="20"/>
              </w:rPr>
              <w:t>37</w:t>
            </w:r>
          </w:p>
        </w:tc>
        <w:tc>
          <w:tcPr>
            <w:tcW w:w="1242" w:type="dxa"/>
            <w:shd w:val="clear" w:color="auto" w:fill="auto"/>
            <w:noWrap/>
            <w:vAlign w:val="bottom"/>
            <w:hideMark/>
          </w:tcPr>
          <w:p w14:paraId="3557BF94" w14:textId="77777777" w:rsidR="00CB4E4D" w:rsidRPr="003F68BC" w:rsidRDefault="00CB4E4D" w:rsidP="00047E6C">
            <w:pPr>
              <w:spacing w:line="360" w:lineRule="auto"/>
              <w:jc w:val="both"/>
              <w:rPr>
                <w:sz w:val="20"/>
                <w:szCs w:val="20"/>
              </w:rPr>
            </w:pPr>
            <w:r w:rsidRPr="003F68BC">
              <w:rPr>
                <w:sz w:val="20"/>
                <w:szCs w:val="20"/>
              </w:rPr>
              <w:t>183</w:t>
            </w:r>
          </w:p>
        </w:tc>
        <w:tc>
          <w:tcPr>
            <w:tcW w:w="1305" w:type="dxa"/>
            <w:shd w:val="clear" w:color="auto" w:fill="auto"/>
            <w:noWrap/>
            <w:vAlign w:val="bottom"/>
            <w:hideMark/>
          </w:tcPr>
          <w:p w14:paraId="025D698F" w14:textId="77777777" w:rsidR="00CB4E4D" w:rsidRPr="003F68BC" w:rsidRDefault="00CB4E4D" w:rsidP="00047E6C">
            <w:pPr>
              <w:spacing w:line="360" w:lineRule="auto"/>
              <w:jc w:val="both"/>
              <w:rPr>
                <w:sz w:val="20"/>
                <w:szCs w:val="20"/>
              </w:rPr>
            </w:pPr>
            <w:r w:rsidRPr="003F68BC">
              <w:rPr>
                <w:sz w:val="20"/>
                <w:szCs w:val="20"/>
              </w:rPr>
              <w:t>17%</w:t>
            </w:r>
          </w:p>
        </w:tc>
      </w:tr>
      <w:tr w:rsidR="00CB4E4D" w:rsidRPr="003F68BC" w14:paraId="6D790D8B" w14:textId="77777777" w:rsidTr="00047E6C">
        <w:trPr>
          <w:trHeight w:val="263"/>
        </w:trPr>
        <w:tc>
          <w:tcPr>
            <w:tcW w:w="5121" w:type="dxa"/>
            <w:shd w:val="clear" w:color="auto" w:fill="auto"/>
            <w:noWrap/>
            <w:vAlign w:val="bottom"/>
            <w:hideMark/>
          </w:tcPr>
          <w:p w14:paraId="31ACE51B" w14:textId="77777777" w:rsidR="00CB4E4D" w:rsidRPr="003F68BC" w:rsidRDefault="00CB4E4D" w:rsidP="00047E6C">
            <w:pPr>
              <w:spacing w:line="360" w:lineRule="auto"/>
              <w:jc w:val="both"/>
              <w:rPr>
                <w:i/>
                <w:sz w:val="20"/>
                <w:szCs w:val="20"/>
              </w:rPr>
            </w:pPr>
            <w:r w:rsidRPr="003F68BC">
              <w:rPr>
                <w:i/>
                <w:sz w:val="20"/>
                <w:szCs w:val="20"/>
              </w:rPr>
              <w:t>‘Appointment of arbitrators’</w:t>
            </w:r>
          </w:p>
        </w:tc>
        <w:tc>
          <w:tcPr>
            <w:tcW w:w="1242" w:type="dxa"/>
            <w:shd w:val="clear" w:color="auto" w:fill="auto"/>
            <w:noWrap/>
            <w:vAlign w:val="bottom"/>
            <w:hideMark/>
          </w:tcPr>
          <w:p w14:paraId="50DE1CCB" w14:textId="77777777" w:rsidR="00CB4E4D" w:rsidRPr="003F68BC" w:rsidRDefault="00CB4E4D" w:rsidP="00047E6C">
            <w:pPr>
              <w:spacing w:line="360" w:lineRule="auto"/>
              <w:jc w:val="both"/>
              <w:rPr>
                <w:sz w:val="20"/>
                <w:szCs w:val="20"/>
              </w:rPr>
            </w:pPr>
            <w:r w:rsidRPr="003F68BC">
              <w:rPr>
                <w:sz w:val="20"/>
                <w:szCs w:val="20"/>
              </w:rPr>
              <w:t>21</w:t>
            </w:r>
          </w:p>
        </w:tc>
        <w:tc>
          <w:tcPr>
            <w:tcW w:w="1242" w:type="dxa"/>
            <w:shd w:val="clear" w:color="auto" w:fill="auto"/>
            <w:noWrap/>
            <w:vAlign w:val="bottom"/>
            <w:hideMark/>
          </w:tcPr>
          <w:p w14:paraId="7403655E" w14:textId="77777777" w:rsidR="00CB4E4D" w:rsidRPr="003F68BC" w:rsidRDefault="00CB4E4D" w:rsidP="00047E6C">
            <w:pPr>
              <w:spacing w:line="360" w:lineRule="auto"/>
              <w:jc w:val="both"/>
              <w:rPr>
                <w:sz w:val="20"/>
                <w:szCs w:val="20"/>
              </w:rPr>
            </w:pPr>
            <w:r w:rsidRPr="003F68BC">
              <w:rPr>
                <w:sz w:val="20"/>
                <w:szCs w:val="20"/>
              </w:rPr>
              <w:t>199</w:t>
            </w:r>
          </w:p>
        </w:tc>
        <w:tc>
          <w:tcPr>
            <w:tcW w:w="1305" w:type="dxa"/>
            <w:shd w:val="clear" w:color="auto" w:fill="auto"/>
            <w:noWrap/>
            <w:vAlign w:val="bottom"/>
            <w:hideMark/>
          </w:tcPr>
          <w:p w14:paraId="4154CE3F" w14:textId="77777777" w:rsidR="00CB4E4D" w:rsidRPr="003F68BC" w:rsidRDefault="00CB4E4D" w:rsidP="00047E6C">
            <w:pPr>
              <w:spacing w:line="360" w:lineRule="auto"/>
              <w:jc w:val="both"/>
              <w:rPr>
                <w:sz w:val="20"/>
                <w:szCs w:val="20"/>
              </w:rPr>
            </w:pPr>
            <w:r w:rsidRPr="003F68BC">
              <w:rPr>
                <w:sz w:val="20"/>
                <w:szCs w:val="20"/>
              </w:rPr>
              <w:t>10%</w:t>
            </w:r>
          </w:p>
        </w:tc>
      </w:tr>
      <w:tr w:rsidR="00CB4E4D" w:rsidRPr="003F68BC" w14:paraId="434F514D" w14:textId="77777777" w:rsidTr="00047E6C">
        <w:trPr>
          <w:trHeight w:val="263"/>
        </w:trPr>
        <w:tc>
          <w:tcPr>
            <w:tcW w:w="5121" w:type="dxa"/>
            <w:shd w:val="clear" w:color="auto" w:fill="auto"/>
            <w:noWrap/>
            <w:vAlign w:val="bottom"/>
            <w:hideMark/>
          </w:tcPr>
          <w:p w14:paraId="58097259" w14:textId="53EB4A77" w:rsidR="00CB4E4D" w:rsidRPr="003F68BC" w:rsidRDefault="00CB4E4D" w:rsidP="00047E6C">
            <w:pPr>
              <w:spacing w:line="360" w:lineRule="auto"/>
              <w:jc w:val="both"/>
              <w:rPr>
                <w:i/>
                <w:sz w:val="20"/>
                <w:szCs w:val="20"/>
              </w:rPr>
            </w:pPr>
            <w:r w:rsidRPr="003F68BC">
              <w:rPr>
                <w:i/>
                <w:sz w:val="20"/>
                <w:szCs w:val="20"/>
              </w:rPr>
              <w:t>‘Arbitrator</w:t>
            </w:r>
            <w:r w:rsidR="003B2702">
              <w:rPr>
                <w:i/>
                <w:sz w:val="20"/>
                <w:szCs w:val="20"/>
              </w:rPr>
              <w:t>’</w:t>
            </w:r>
            <w:r w:rsidRPr="003F68BC">
              <w:rPr>
                <w:i/>
                <w:sz w:val="20"/>
                <w:szCs w:val="20"/>
              </w:rPr>
              <w:t>s award’</w:t>
            </w:r>
          </w:p>
        </w:tc>
        <w:tc>
          <w:tcPr>
            <w:tcW w:w="1242" w:type="dxa"/>
            <w:shd w:val="clear" w:color="auto" w:fill="auto"/>
            <w:noWrap/>
            <w:vAlign w:val="bottom"/>
            <w:hideMark/>
          </w:tcPr>
          <w:p w14:paraId="7D74AD0D" w14:textId="77777777" w:rsidR="00CB4E4D" w:rsidRPr="003F68BC" w:rsidRDefault="00CB4E4D" w:rsidP="00047E6C">
            <w:pPr>
              <w:spacing w:line="360" w:lineRule="auto"/>
              <w:jc w:val="both"/>
              <w:rPr>
                <w:sz w:val="20"/>
                <w:szCs w:val="20"/>
              </w:rPr>
            </w:pPr>
            <w:r w:rsidRPr="003F68BC">
              <w:rPr>
                <w:sz w:val="20"/>
                <w:szCs w:val="20"/>
              </w:rPr>
              <w:t>102</w:t>
            </w:r>
          </w:p>
        </w:tc>
        <w:tc>
          <w:tcPr>
            <w:tcW w:w="1242" w:type="dxa"/>
            <w:shd w:val="clear" w:color="auto" w:fill="auto"/>
            <w:noWrap/>
            <w:vAlign w:val="bottom"/>
            <w:hideMark/>
          </w:tcPr>
          <w:p w14:paraId="001FBB12" w14:textId="77777777" w:rsidR="00CB4E4D" w:rsidRPr="003F68BC" w:rsidRDefault="00CB4E4D" w:rsidP="00047E6C">
            <w:pPr>
              <w:spacing w:line="360" w:lineRule="auto"/>
              <w:jc w:val="both"/>
              <w:rPr>
                <w:sz w:val="20"/>
                <w:szCs w:val="20"/>
              </w:rPr>
            </w:pPr>
            <w:r w:rsidRPr="003F68BC">
              <w:rPr>
                <w:sz w:val="20"/>
                <w:szCs w:val="20"/>
              </w:rPr>
              <w:t>118</w:t>
            </w:r>
          </w:p>
        </w:tc>
        <w:tc>
          <w:tcPr>
            <w:tcW w:w="1305" w:type="dxa"/>
            <w:shd w:val="clear" w:color="auto" w:fill="auto"/>
            <w:noWrap/>
            <w:vAlign w:val="bottom"/>
            <w:hideMark/>
          </w:tcPr>
          <w:p w14:paraId="5C585204" w14:textId="77777777" w:rsidR="00CB4E4D" w:rsidRPr="003F68BC" w:rsidRDefault="00CB4E4D" w:rsidP="00047E6C">
            <w:pPr>
              <w:spacing w:line="360" w:lineRule="auto"/>
              <w:jc w:val="both"/>
              <w:rPr>
                <w:sz w:val="20"/>
                <w:szCs w:val="20"/>
              </w:rPr>
            </w:pPr>
            <w:r w:rsidRPr="003F68BC">
              <w:rPr>
                <w:sz w:val="20"/>
                <w:szCs w:val="20"/>
              </w:rPr>
              <w:t>46%</w:t>
            </w:r>
          </w:p>
        </w:tc>
      </w:tr>
      <w:tr w:rsidR="00CB4E4D" w:rsidRPr="003F68BC" w14:paraId="0DFE164F" w14:textId="77777777" w:rsidTr="00047E6C">
        <w:trPr>
          <w:trHeight w:val="263"/>
        </w:trPr>
        <w:tc>
          <w:tcPr>
            <w:tcW w:w="5121" w:type="dxa"/>
            <w:shd w:val="clear" w:color="auto" w:fill="auto"/>
            <w:noWrap/>
            <w:vAlign w:val="bottom"/>
            <w:hideMark/>
          </w:tcPr>
          <w:p w14:paraId="54EEC3C6" w14:textId="77777777" w:rsidR="00CB4E4D" w:rsidRPr="003F68BC" w:rsidRDefault="00CB4E4D" w:rsidP="00047E6C">
            <w:pPr>
              <w:spacing w:line="360" w:lineRule="auto"/>
              <w:jc w:val="both"/>
              <w:rPr>
                <w:i/>
                <w:sz w:val="20"/>
                <w:szCs w:val="20"/>
              </w:rPr>
            </w:pPr>
            <w:r w:rsidRPr="003F68BC">
              <w:rPr>
                <w:i/>
                <w:sz w:val="20"/>
                <w:szCs w:val="20"/>
              </w:rPr>
              <w:t>‘Arbitration procedure’</w:t>
            </w:r>
          </w:p>
        </w:tc>
        <w:tc>
          <w:tcPr>
            <w:tcW w:w="1242" w:type="dxa"/>
            <w:shd w:val="clear" w:color="auto" w:fill="auto"/>
            <w:noWrap/>
            <w:vAlign w:val="bottom"/>
            <w:hideMark/>
          </w:tcPr>
          <w:p w14:paraId="66D963BC" w14:textId="77777777" w:rsidR="00CB4E4D" w:rsidRPr="003F68BC" w:rsidRDefault="00CB4E4D" w:rsidP="00047E6C">
            <w:pPr>
              <w:spacing w:line="360" w:lineRule="auto"/>
              <w:jc w:val="both"/>
              <w:rPr>
                <w:sz w:val="20"/>
                <w:szCs w:val="20"/>
              </w:rPr>
            </w:pPr>
            <w:r w:rsidRPr="003F68BC">
              <w:rPr>
                <w:sz w:val="20"/>
                <w:szCs w:val="20"/>
              </w:rPr>
              <w:t>101</w:t>
            </w:r>
          </w:p>
        </w:tc>
        <w:tc>
          <w:tcPr>
            <w:tcW w:w="1242" w:type="dxa"/>
            <w:shd w:val="clear" w:color="auto" w:fill="auto"/>
            <w:noWrap/>
            <w:vAlign w:val="bottom"/>
            <w:hideMark/>
          </w:tcPr>
          <w:p w14:paraId="3CD41736" w14:textId="77777777" w:rsidR="00CB4E4D" w:rsidRPr="003F68BC" w:rsidRDefault="00CB4E4D" w:rsidP="00047E6C">
            <w:pPr>
              <w:spacing w:line="360" w:lineRule="auto"/>
              <w:jc w:val="both"/>
              <w:rPr>
                <w:sz w:val="20"/>
                <w:szCs w:val="20"/>
              </w:rPr>
            </w:pPr>
            <w:r w:rsidRPr="003F68BC">
              <w:rPr>
                <w:sz w:val="20"/>
                <w:szCs w:val="20"/>
              </w:rPr>
              <w:t>119</w:t>
            </w:r>
          </w:p>
        </w:tc>
        <w:tc>
          <w:tcPr>
            <w:tcW w:w="1305" w:type="dxa"/>
            <w:shd w:val="clear" w:color="auto" w:fill="auto"/>
            <w:noWrap/>
            <w:vAlign w:val="bottom"/>
            <w:hideMark/>
          </w:tcPr>
          <w:p w14:paraId="2F8B4C62" w14:textId="77777777" w:rsidR="00CB4E4D" w:rsidRPr="003F68BC" w:rsidRDefault="00CB4E4D" w:rsidP="00047E6C">
            <w:pPr>
              <w:spacing w:line="360" w:lineRule="auto"/>
              <w:jc w:val="both"/>
              <w:rPr>
                <w:sz w:val="20"/>
                <w:szCs w:val="20"/>
              </w:rPr>
            </w:pPr>
            <w:r w:rsidRPr="003F68BC">
              <w:rPr>
                <w:sz w:val="20"/>
                <w:szCs w:val="20"/>
              </w:rPr>
              <w:t>46%</w:t>
            </w:r>
          </w:p>
        </w:tc>
      </w:tr>
      <w:tr w:rsidR="00CB4E4D" w:rsidRPr="003F68BC" w14:paraId="7840CF84" w14:textId="77777777" w:rsidTr="00047E6C">
        <w:trPr>
          <w:trHeight w:val="263"/>
        </w:trPr>
        <w:tc>
          <w:tcPr>
            <w:tcW w:w="5121" w:type="dxa"/>
            <w:shd w:val="clear" w:color="auto" w:fill="auto"/>
            <w:noWrap/>
            <w:vAlign w:val="bottom"/>
            <w:hideMark/>
          </w:tcPr>
          <w:p w14:paraId="67AA8BD8" w14:textId="77777777" w:rsidR="00CB4E4D" w:rsidRPr="003F68BC" w:rsidRDefault="00CB4E4D" w:rsidP="00047E6C">
            <w:pPr>
              <w:spacing w:line="360" w:lineRule="auto"/>
              <w:jc w:val="both"/>
              <w:rPr>
                <w:i/>
                <w:sz w:val="20"/>
                <w:szCs w:val="20"/>
              </w:rPr>
            </w:pPr>
            <w:r w:rsidRPr="003F68BC">
              <w:rPr>
                <w:i/>
                <w:sz w:val="20"/>
                <w:szCs w:val="20"/>
              </w:rPr>
              <w:t>‘Determining the subject matter of the arbitration’</w:t>
            </w:r>
          </w:p>
        </w:tc>
        <w:tc>
          <w:tcPr>
            <w:tcW w:w="1242" w:type="dxa"/>
            <w:shd w:val="clear" w:color="auto" w:fill="auto"/>
            <w:noWrap/>
            <w:vAlign w:val="bottom"/>
            <w:hideMark/>
          </w:tcPr>
          <w:p w14:paraId="14C3D1AF" w14:textId="77777777" w:rsidR="00CB4E4D" w:rsidRPr="003F68BC" w:rsidRDefault="00CB4E4D" w:rsidP="00047E6C">
            <w:pPr>
              <w:spacing w:line="360" w:lineRule="auto"/>
              <w:jc w:val="both"/>
              <w:rPr>
                <w:sz w:val="20"/>
                <w:szCs w:val="20"/>
              </w:rPr>
            </w:pPr>
            <w:r w:rsidRPr="003F68BC">
              <w:rPr>
                <w:sz w:val="20"/>
                <w:szCs w:val="20"/>
              </w:rPr>
              <w:t>68</w:t>
            </w:r>
          </w:p>
        </w:tc>
        <w:tc>
          <w:tcPr>
            <w:tcW w:w="1242" w:type="dxa"/>
            <w:shd w:val="clear" w:color="auto" w:fill="auto"/>
            <w:noWrap/>
            <w:vAlign w:val="bottom"/>
            <w:hideMark/>
          </w:tcPr>
          <w:p w14:paraId="374FF5D9" w14:textId="77777777" w:rsidR="00CB4E4D" w:rsidRPr="003F68BC" w:rsidRDefault="00CB4E4D" w:rsidP="00047E6C">
            <w:pPr>
              <w:spacing w:line="360" w:lineRule="auto"/>
              <w:jc w:val="both"/>
              <w:rPr>
                <w:sz w:val="20"/>
                <w:szCs w:val="20"/>
              </w:rPr>
            </w:pPr>
            <w:r w:rsidRPr="003F68BC">
              <w:rPr>
                <w:sz w:val="20"/>
                <w:szCs w:val="20"/>
              </w:rPr>
              <w:t>152</w:t>
            </w:r>
          </w:p>
        </w:tc>
        <w:tc>
          <w:tcPr>
            <w:tcW w:w="1305" w:type="dxa"/>
            <w:shd w:val="clear" w:color="auto" w:fill="auto"/>
            <w:noWrap/>
            <w:vAlign w:val="bottom"/>
            <w:hideMark/>
          </w:tcPr>
          <w:p w14:paraId="1197666B" w14:textId="77777777" w:rsidR="00CB4E4D" w:rsidRPr="003F68BC" w:rsidRDefault="00CB4E4D" w:rsidP="00047E6C">
            <w:pPr>
              <w:spacing w:line="360" w:lineRule="auto"/>
              <w:jc w:val="both"/>
              <w:rPr>
                <w:sz w:val="20"/>
                <w:szCs w:val="20"/>
              </w:rPr>
            </w:pPr>
            <w:r w:rsidRPr="003F68BC">
              <w:rPr>
                <w:sz w:val="20"/>
                <w:szCs w:val="20"/>
              </w:rPr>
              <w:t>31%</w:t>
            </w:r>
          </w:p>
        </w:tc>
      </w:tr>
      <w:tr w:rsidR="00CB4E4D" w:rsidRPr="003F68BC" w14:paraId="6E4AFE25" w14:textId="77777777" w:rsidTr="00047E6C">
        <w:trPr>
          <w:trHeight w:val="263"/>
        </w:trPr>
        <w:tc>
          <w:tcPr>
            <w:tcW w:w="5121" w:type="dxa"/>
            <w:shd w:val="clear" w:color="auto" w:fill="auto"/>
            <w:noWrap/>
            <w:vAlign w:val="bottom"/>
            <w:hideMark/>
          </w:tcPr>
          <w:p w14:paraId="6965E114" w14:textId="77777777" w:rsidR="00CB4E4D" w:rsidRPr="003F68BC" w:rsidRDefault="00CB4E4D" w:rsidP="00047E6C">
            <w:pPr>
              <w:spacing w:line="360" w:lineRule="auto"/>
              <w:jc w:val="both"/>
              <w:rPr>
                <w:i/>
                <w:sz w:val="20"/>
                <w:szCs w:val="20"/>
              </w:rPr>
            </w:pPr>
            <w:r w:rsidRPr="003F68BC">
              <w:rPr>
                <w:i/>
                <w:sz w:val="20"/>
                <w:szCs w:val="20"/>
              </w:rPr>
              <w:t xml:space="preserve">‘Effects and limits of agency’ </w:t>
            </w:r>
          </w:p>
        </w:tc>
        <w:tc>
          <w:tcPr>
            <w:tcW w:w="1242" w:type="dxa"/>
            <w:shd w:val="clear" w:color="auto" w:fill="auto"/>
            <w:noWrap/>
            <w:vAlign w:val="bottom"/>
            <w:hideMark/>
          </w:tcPr>
          <w:p w14:paraId="0478AC4A" w14:textId="77777777" w:rsidR="00CB4E4D" w:rsidRPr="003F68BC" w:rsidRDefault="00CB4E4D" w:rsidP="00047E6C">
            <w:pPr>
              <w:spacing w:line="360" w:lineRule="auto"/>
              <w:jc w:val="both"/>
              <w:rPr>
                <w:sz w:val="20"/>
                <w:szCs w:val="20"/>
              </w:rPr>
            </w:pPr>
            <w:r w:rsidRPr="003F68BC">
              <w:rPr>
                <w:sz w:val="20"/>
                <w:szCs w:val="20"/>
              </w:rPr>
              <w:t>28</w:t>
            </w:r>
          </w:p>
        </w:tc>
        <w:tc>
          <w:tcPr>
            <w:tcW w:w="1242" w:type="dxa"/>
            <w:shd w:val="clear" w:color="auto" w:fill="auto"/>
            <w:noWrap/>
            <w:vAlign w:val="bottom"/>
            <w:hideMark/>
          </w:tcPr>
          <w:p w14:paraId="24763534" w14:textId="77777777" w:rsidR="00CB4E4D" w:rsidRPr="003F68BC" w:rsidRDefault="00CB4E4D" w:rsidP="00047E6C">
            <w:pPr>
              <w:spacing w:line="360" w:lineRule="auto"/>
              <w:jc w:val="both"/>
              <w:rPr>
                <w:sz w:val="20"/>
                <w:szCs w:val="20"/>
              </w:rPr>
            </w:pPr>
            <w:r w:rsidRPr="003F68BC">
              <w:rPr>
                <w:sz w:val="20"/>
                <w:szCs w:val="20"/>
              </w:rPr>
              <w:t>192</w:t>
            </w:r>
          </w:p>
        </w:tc>
        <w:tc>
          <w:tcPr>
            <w:tcW w:w="1305" w:type="dxa"/>
            <w:shd w:val="clear" w:color="auto" w:fill="auto"/>
            <w:noWrap/>
            <w:vAlign w:val="bottom"/>
            <w:hideMark/>
          </w:tcPr>
          <w:p w14:paraId="65E3C6B5" w14:textId="77777777" w:rsidR="00CB4E4D" w:rsidRPr="003F68BC" w:rsidRDefault="00CB4E4D" w:rsidP="00047E6C">
            <w:pPr>
              <w:spacing w:line="360" w:lineRule="auto"/>
              <w:jc w:val="both"/>
              <w:rPr>
                <w:sz w:val="20"/>
                <w:szCs w:val="20"/>
              </w:rPr>
            </w:pPr>
            <w:r w:rsidRPr="003F68BC">
              <w:rPr>
                <w:sz w:val="20"/>
                <w:szCs w:val="20"/>
              </w:rPr>
              <w:t>13%</w:t>
            </w:r>
          </w:p>
        </w:tc>
      </w:tr>
      <w:tr w:rsidR="00CB4E4D" w:rsidRPr="003F68BC" w14:paraId="1FA0F7C4" w14:textId="77777777" w:rsidTr="00E2316D">
        <w:trPr>
          <w:trHeight w:val="263"/>
        </w:trPr>
        <w:tc>
          <w:tcPr>
            <w:tcW w:w="5121" w:type="dxa"/>
            <w:shd w:val="clear" w:color="auto" w:fill="FFFFFF" w:themeFill="background1"/>
            <w:noWrap/>
            <w:vAlign w:val="bottom"/>
            <w:hideMark/>
          </w:tcPr>
          <w:p w14:paraId="4E04BCF7" w14:textId="77777777" w:rsidR="00CB4E4D" w:rsidRPr="00215A24" w:rsidRDefault="00CB4E4D" w:rsidP="00047E6C">
            <w:pPr>
              <w:spacing w:line="360" w:lineRule="auto"/>
              <w:jc w:val="both"/>
              <w:rPr>
                <w:b/>
                <w:bCs/>
                <w:i/>
                <w:sz w:val="20"/>
                <w:szCs w:val="20"/>
              </w:rPr>
            </w:pPr>
            <w:r w:rsidRPr="00215A24">
              <w:rPr>
                <w:b/>
                <w:bCs/>
                <w:i/>
                <w:sz w:val="20"/>
                <w:szCs w:val="20"/>
              </w:rPr>
              <w:t>‘Jurisdiction of court’</w:t>
            </w:r>
          </w:p>
        </w:tc>
        <w:tc>
          <w:tcPr>
            <w:tcW w:w="1242" w:type="dxa"/>
            <w:shd w:val="clear" w:color="auto" w:fill="FFFFFF" w:themeFill="background1"/>
            <w:noWrap/>
            <w:vAlign w:val="bottom"/>
            <w:hideMark/>
          </w:tcPr>
          <w:p w14:paraId="26D21C62" w14:textId="77777777" w:rsidR="00CB4E4D" w:rsidRPr="00215A24" w:rsidRDefault="00CB4E4D" w:rsidP="00047E6C">
            <w:pPr>
              <w:spacing w:line="360" w:lineRule="auto"/>
              <w:jc w:val="both"/>
              <w:rPr>
                <w:b/>
                <w:bCs/>
                <w:sz w:val="20"/>
                <w:szCs w:val="20"/>
              </w:rPr>
            </w:pPr>
            <w:r w:rsidRPr="00215A24">
              <w:rPr>
                <w:b/>
                <w:bCs/>
                <w:sz w:val="20"/>
                <w:szCs w:val="20"/>
              </w:rPr>
              <w:t>175</w:t>
            </w:r>
          </w:p>
        </w:tc>
        <w:tc>
          <w:tcPr>
            <w:tcW w:w="1242" w:type="dxa"/>
            <w:shd w:val="clear" w:color="auto" w:fill="FFFFFF" w:themeFill="background1"/>
            <w:noWrap/>
            <w:vAlign w:val="bottom"/>
            <w:hideMark/>
          </w:tcPr>
          <w:p w14:paraId="6597AE78" w14:textId="77777777" w:rsidR="00CB4E4D" w:rsidRPr="00215A24" w:rsidRDefault="00CB4E4D" w:rsidP="00047E6C">
            <w:pPr>
              <w:spacing w:line="360" w:lineRule="auto"/>
              <w:jc w:val="both"/>
              <w:rPr>
                <w:b/>
                <w:bCs/>
                <w:sz w:val="20"/>
                <w:szCs w:val="20"/>
              </w:rPr>
            </w:pPr>
            <w:r w:rsidRPr="00215A24">
              <w:rPr>
                <w:b/>
                <w:bCs/>
                <w:sz w:val="20"/>
                <w:szCs w:val="20"/>
              </w:rPr>
              <w:t>45</w:t>
            </w:r>
          </w:p>
        </w:tc>
        <w:tc>
          <w:tcPr>
            <w:tcW w:w="1305" w:type="dxa"/>
            <w:shd w:val="clear" w:color="auto" w:fill="FFFFFF" w:themeFill="background1"/>
            <w:noWrap/>
            <w:vAlign w:val="bottom"/>
            <w:hideMark/>
          </w:tcPr>
          <w:p w14:paraId="070D2DC1" w14:textId="77777777" w:rsidR="00CB4E4D" w:rsidRPr="00215A24" w:rsidRDefault="00CB4E4D" w:rsidP="00047E6C">
            <w:pPr>
              <w:spacing w:line="360" w:lineRule="auto"/>
              <w:jc w:val="both"/>
              <w:rPr>
                <w:b/>
                <w:bCs/>
                <w:sz w:val="20"/>
                <w:szCs w:val="20"/>
              </w:rPr>
            </w:pPr>
            <w:r w:rsidRPr="00215A24">
              <w:rPr>
                <w:b/>
                <w:bCs/>
                <w:sz w:val="20"/>
                <w:szCs w:val="20"/>
              </w:rPr>
              <w:t>80%</w:t>
            </w:r>
          </w:p>
        </w:tc>
      </w:tr>
      <w:tr w:rsidR="00CB4E4D" w:rsidRPr="003F68BC" w14:paraId="69BAF09B" w14:textId="77777777" w:rsidTr="00047E6C">
        <w:trPr>
          <w:trHeight w:val="263"/>
        </w:trPr>
        <w:tc>
          <w:tcPr>
            <w:tcW w:w="5121" w:type="dxa"/>
            <w:shd w:val="clear" w:color="auto" w:fill="auto"/>
            <w:noWrap/>
            <w:vAlign w:val="bottom"/>
            <w:hideMark/>
          </w:tcPr>
          <w:p w14:paraId="7D4DEBF2" w14:textId="77777777" w:rsidR="00CB4E4D" w:rsidRPr="003F68BC" w:rsidRDefault="00CB4E4D" w:rsidP="00047E6C">
            <w:pPr>
              <w:spacing w:line="360" w:lineRule="auto"/>
              <w:jc w:val="both"/>
              <w:rPr>
                <w:i/>
                <w:sz w:val="20"/>
                <w:szCs w:val="20"/>
              </w:rPr>
            </w:pPr>
            <w:r w:rsidRPr="003F68BC">
              <w:rPr>
                <w:i/>
                <w:sz w:val="20"/>
                <w:szCs w:val="20"/>
              </w:rPr>
              <w:t>‘Null, void and cancelled awards’</w:t>
            </w:r>
          </w:p>
        </w:tc>
        <w:tc>
          <w:tcPr>
            <w:tcW w:w="1242" w:type="dxa"/>
            <w:shd w:val="clear" w:color="auto" w:fill="auto"/>
            <w:noWrap/>
            <w:vAlign w:val="bottom"/>
            <w:hideMark/>
          </w:tcPr>
          <w:p w14:paraId="3161A9A3" w14:textId="77777777" w:rsidR="00CB4E4D" w:rsidRPr="003F68BC" w:rsidRDefault="00CB4E4D" w:rsidP="00047E6C">
            <w:pPr>
              <w:spacing w:line="360" w:lineRule="auto"/>
              <w:jc w:val="both"/>
              <w:rPr>
                <w:sz w:val="20"/>
                <w:szCs w:val="20"/>
              </w:rPr>
            </w:pPr>
            <w:r w:rsidRPr="003F68BC">
              <w:rPr>
                <w:sz w:val="20"/>
                <w:szCs w:val="20"/>
              </w:rPr>
              <w:t>138</w:t>
            </w:r>
          </w:p>
        </w:tc>
        <w:tc>
          <w:tcPr>
            <w:tcW w:w="1242" w:type="dxa"/>
            <w:shd w:val="clear" w:color="auto" w:fill="auto"/>
            <w:noWrap/>
            <w:vAlign w:val="bottom"/>
            <w:hideMark/>
          </w:tcPr>
          <w:p w14:paraId="0AB59C79" w14:textId="77777777" w:rsidR="00CB4E4D" w:rsidRPr="003F68BC" w:rsidRDefault="00CB4E4D" w:rsidP="00047E6C">
            <w:pPr>
              <w:spacing w:line="360" w:lineRule="auto"/>
              <w:jc w:val="both"/>
              <w:rPr>
                <w:sz w:val="20"/>
                <w:szCs w:val="20"/>
              </w:rPr>
            </w:pPr>
            <w:r w:rsidRPr="003F68BC">
              <w:rPr>
                <w:sz w:val="20"/>
                <w:szCs w:val="20"/>
              </w:rPr>
              <w:t>82</w:t>
            </w:r>
          </w:p>
        </w:tc>
        <w:tc>
          <w:tcPr>
            <w:tcW w:w="1305" w:type="dxa"/>
            <w:shd w:val="clear" w:color="auto" w:fill="auto"/>
            <w:noWrap/>
            <w:vAlign w:val="bottom"/>
            <w:hideMark/>
          </w:tcPr>
          <w:p w14:paraId="744081A8" w14:textId="77777777" w:rsidR="00CB4E4D" w:rsidRPr="003F68BC" w:rsidRDefault="00CB4E4D" w:rsidP="00047E6C">
            <w:pPr>
              <w:spacing w:line="360" w:lineRule="auto"/>
              <w:jc w:val="both"/>
              <w:rPr>
                <w:sz w:val="20"/>
                <w:szCs w:val="20"/>
              </w:rPr>
            </w:pPr>
            <w:r w:rsidRPr="003F68BC">
              <w:rPr>
                <w:sz w:val="20"/>
                <w:szCs w:val="20"/>
              </w:rPr>
              <w:t>63%</w:t>
            </w:r>
          </w:p>
        </w:tc>
      </w:tr>
      <w:tr w:rsidR="00CB4E4D" w:rsidRPr="003F68BC" w14:paraId="19D6D3CB" w14:textId="77777777" w:rsidTr="00047E6C">
        <w:trPr>
          <w:trHeight w:val="263"/>
        </w:trPr>
        <w:tc>
          <w:tcPr>
            <w:tcW w:w="5121" w:type="dxa"/>
            <w:shd w:val="clear" w:color="auto" w:fill="auto"/>
            <w:noWrap/>
            <w:vAlign w:val="bottom"/>
            <w:hideMark/>
          </w:tcPr>
          <w:p w14:paraId="43AD5DC6" w14:textId="77777777" w:rsidR="00CB4E4D" w:rsidRPr="003F68BC" w:rsidRDefault="00CB4E4D" w:rsidP="00047E6C">
            <w:pPr>
              <w:spacing w:line="360" w:lineRule="auto"/>
              <w:jc w:val="both"/>
              <w:rPr>
                <w:i/>
                <w:sz w:val="20"/>
                <w:szCs w:val="20"/>
              </w:rPr>
            </w:pPr>
            <w:r w:rsidRPr="003F68BC">
              <w:rPr>
                <w:i/>
                <w:sz w:val="20"/>
                <w:szCs w:val="20"/>
              </w:rPr>
              <w:t>‘The arbitration contract’</w:t>
            </w:r>
          </w:p>
        </w:tc>
        <w:tc>
          <w:tcPr>
            <w:tcW w:w="1242" w:type="dxa"/>
            <w:shd w:val="clear" w:color="auto" w:fill="auto"/>
            <w:noWrap/>
            <w:vAlign w:val="bottom"/>
            <w:hideMark/>
          </w:tcPr>
          <w:p w14:paraId="6CF34B3F" w14:textId="77777777" w:rsidR="00CB4E4D" w:rsidRPr="003F68BC" w:rsidRDefault="00CB4E4D" w:rsidP="00047E6C">
            <w:pPr>
              <w:spacing w:line="360" w:lineRule="auto"/>
              <w:jc w:val="both"/>
              <w:rPr>
                <w:sz w:val="20"/>
                <w:szCs w:val="20"/>
              </w:rPr>
            </w:pPr>
            <w:r w:rsidRPr="003F68BC">
              <w:rPr>
                <w:sz w:val="20"/>
                <w:szCs w:val="20"/>
              </w:rPr>
              <w:t>59</w:t>
            </w:r>
          </w:p>
        </w:tc>
        <w:tc>
          <w:tcPr>
            <w:tcW w:w="1242" w:type="dxa"/>
            <w:shd w:val="clear" w:color="auto" w:fill="auto"/>
            <w:noWrap/>
            <w:vAlign w:val="bottom"/>
            <w:hideMark/>
          </w:tcPr>
          <w:p w14:paraId="4C9A9351" w14:textId="77777777" w:rsidR="00CB4E4D" w:rsidRPr="003F68BC" w:rsidRDefault="00CB4E4D" w:rsidP="00047E6C">
            <w:pPr>
              <w:spacing w:line="360" w:lineRule="auto"/>
              <w:jc w:val="both"/>
              <w:rPr>
                <w:sz w:val="20"/>
                <w:szCs w:val="20"/>
              </w:rPr>
            </w:pPr>
            <w:r w:rsidRPr="003F68BC">
              <w:rPr>
                <w:sz w:val="20"/>
                <w:szCs w:val="20"/>
              </w:rPr>
              <w:t>161</w:t>
            </w:r>
          </w:p>
        </w:tc>
        <w:tc>
          <w:tcPr>
            <w:tcW w:w="1305" w:type="dxa"/>
            <w:shd w:val="clear" w:color="auto" w:fill="auto"/>
            <w:noWrap/>
            <w:vAlign w:val="bottom"/>
            <w:hideMark/>
          </w:tcPr>
          <w:p w14:paraId="611265C3" w14:textId="77777777" w:rsidR="00CB4E4D" w:rsidRPr="003F68BC" w:rsidRDefault="00CB4E4D" w:rsidP="00047E6C">
            <w:pPr>
              <w:spacing w:line="360" w:lineRule="auto"/>
              <w:jc w:val="both"/>
              <w:rPr>
                <w:sz w:val="20"/>
                <w:szCs w:val="20"/>
              </w:rPr>
            </w:pPr>
            <w:r w:rsidRPr="003F68BC">
              <w:rPr>
                <w:sz w:val="20"/>
                <w:szCs w:val="20"/>
              </w:rPr>
              <w:t>27%</w:t>
            </w:r>
          </w:p>
        </w:tc>
      </w:tr>
    </w:tbl>
    <w:p w14:paraId="6187C013" w14:textId="77777777" w:rsidR="00CB4E4D" w:rsidRPr="003F68BC" w:rsidRDefault="00CB4E4D" w:rsidP="00CB4E4D">
      <w:pPr>
        <w:spacing w:line="360" w:lineRule="auto"/>
        <w:jc w:val="both"/>
        <w:rPr>
          <w:rFonts w:eastAsia="Calibri"/>
          <w:lang w:val="en-US"/>
        </w:rPr>
      </w:pPr>
    </w:p>
    <w:p w14:paraId="2BB043CB" w14:textId="011036B3" w:rsidR="00CB4E4D" w:rsidRDefault="00CB4E4D" w:rsidP="00CB4E4D">
      <w:pPr>
        <w:spacing w:line="480" w:lineRule="auto"/>
        <w:ind w:firstLine="720"/>
        <w:jc w:val="both"/>
        <w:rPr>
          <w:rFonts w:eastAsia="Calibri"/>
          <w:lang w:val="en-US"/>
        </w:rPr>
      </w:pPr>
    </w:p>
    <w:p w14:paraId="660F2866" w14:textId="77777777" w:rsidR="00215A24" w:rsidRPr="003F68BC" w:rsidRDefault="00215A24" w:rsidP="00CB4E4D">
      <w:pPr>
        <w:spacing w:line="480" w:lineRule="auto"/>
        <w:ind w:firstLine="720"/>
        <w:jc w:val="both"/>
        <w:rPr>
          <w:rFonts w:eastAsia="Calibri"/>
          <w:lang w:val="en-US"/>
        </w:rPr>
      </w:pPr>
    </w:p>
    <w:p w14:paraId="242587AF" w14:textId="77777777" w:rsidR="00CB4E4D" w:rsidRPr="003F68BC" w:rsidRDefault="00CB4E4D" w:rsidP="00CB4E4D">
      <w:pPr>
        <w:spacing w:line="480" w:lineRule="auto"/>
        <w:jc w:val="both"/>
        <w:rPr>
          <w:rFonts w:eastAsia="Calibri"/>
          <w:lang w:val="en-US"/>
        </w:rPr>
      </w:pPr>
      <w:r w:rsidRPr="003F68BC">
        <w:t xml:space="preserve">Table </w:t>
      </w:r>
      <w:r>
        <w:t>5</w:t>
      </w:r>
      <w:r w:rsidRPr="003F68BC">
        <w:t>: Analysis of Maximum Likelihood Estimates for Court Categories</w:t>
      </w:r>
    </w:p>
    <w:tbl>
      <w:tblPr>
        <w:tblW w:w="4853"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31"/>
        <w:gridCol w:w="2350"/>
        <w:gridCol w:w="1137"/>
        <w:gridCol w:w="919"/>
        <w:gridCol w:w="1002"/>
        <w:gridCol w:w="1231"/>
        <w:gridCol w:w="1005"/>
      </w:tblGrid>
      <w:tr w:rsidR="00CB4E4D" w:rsidRPr="003F68BC" w14:paraId="60FEC70E" w14:textId="77777777" w:rsidTr="00047E6C">
        <w:trPr>
          <w:trHeight w:val="285"/>
        </w:trPr>
        <w:tc>
          <w:tcPr>
            <w:tcW w:w="794" w:type="pct"/>
            <w:vMerge w:val="restart"/>
            <w:shd w:val="clear" w:color="000000" w:fill="FFFFFF"/>
            <w:hideMark/>
          </w:tcPr>
          <w:p w14:paraId="4ED2FC3F" w14:textId="77777777" w:rsidR="00CB4E4D" w:rsidRPr="003F68BC" w:rsidRDefault="00CB4E4D" w:rsidP="00047E6C">
            <w:pPr>
              <w:spacing w:line="360" w:lineRule="auto"/>
              <w:jc w:val="both"/>
              <w:rPr>
                <w:bCs/>
                <w:sz w:val="20"/>
                <w:szCs w:val="20"/>
              </w:rPr>
            </w:pPr>
            <w:r w:rsidRPr="003F68BC">
              <w:rPr>
                <w:bCs/>
                <w:sz w:val="20"/>
                <w:szCs w:val="20"/>
              </w:rPr>
              <w:t>Parameter</w:t>
            </w:r>
          </w:p>
        </w:tc>
        <w:tc>
          <w:tcPr>
            <w:tcW w:w="1300" w:type="pct"/>
            <w:vMerge w:val="restart"/>
            <w:shd w:val="clear" w:color="000000" w:fill="FFFFFF"/>
            <w:hideMark/>
          </w:tcPr>
          <w:p w14:paraId="0F23D528" w14:textId="77777777" w:rsidR="00CB4E4D" w:rsidRPr="003F68BC" w:rsidRDefault="00CB4E4D" w:rsidP="00047E6C">
            <w:pPr>
              <w:spacing w:line="360" w:lineRule="auto"/>
              <w:jc w:val="both"/>
              <w:rPr>
                <w:bCs/>
                <w:sz w:val="20"/>
                <w:szCs w:val="20"/>
              </w:rPr>
            </w:pPr>
            <w:r w:rsidRPr="003F68BC">
              <w:rPr>
                <w:bCs/>
                <w:sz w:val="20"/>
                <w:szCs w:val="20"/>
              </w:rPr>
              <w:t> Court</w:t>
            </w:r>
          </w:p>
        </w:tc>
        <w:tc>
          <w:tcPr>
            <w:tcW w:w="632" w:type="pct"/>
            <w:vMerge w:val="restart"/>
            <w:shd w:val="clear" w:color="000000" w:fill="FFFFFF"/>
            <w:hideMark/>
          </w:tcPr>
          <w:p w14:paraId="6CB511F5" w14:textId="77777777" w:rsidR="00CB4E4D" w:rsidRPr="003F68BC" w:rsidRDefault="00CB4E4D" w:rsidP="00047E6C">
            <w:pPr>
              <w:spacing w:line="360" w:lineRule="auto"/>
              <w:jc w:val="both"/>
              <w:rPr>
                <w:bCs/>
                <w:sz w:val="20"/>
                <w:szCs w:val="20"/>
              </w:rPr>
            </w:pPr>
            <w:r w:rsidRPr="003F68BC">
              <w:rPr>
                <w:bCs/>
                <w:sz w:val="20"/>
                <w:szCs w:val="20"/>
              </w:rPr>
              <w:t>DF</w:t>
            </w:r>
          </w:p>
        </w:tc>
        <w:tc>
          <w:tcPr>
            <w:tcW w:w="512" w:type="pct"/>
            <w:vMerge w:val="restart"/>
            <w:shd w:val="clear" w:color="000000" w:fill="FFFFFF"/>
            <w:hideMark/>
          </w:tcPr>
          <w:p w14:paraId="797EC735" w14:textId="77777777" w:rsidR="00CB4E4D" w:rsidRPr="003F68BC" w:rsidRDefault="00CB4E4D" w:rsidP="00047E6C">
            <w:pPr>
              <w:spacing w:line="360" w:lineRule="auto"/>
              <w:jc w:val="both"/>
              <w:rPr>
                <w:bCs/>
                <w:sz w:val="20"/>
                <w:szCs w:val="20"/>
              </w:rPr>
            </w:pPr>
            <w:r w:rsidRPr="003F68BC">
              <w:rPr>
                <w:bCs/>
                <w:sz w:val="20"/>
                <w:szCs w:val="20"/>
              </w:rPr>
              <w:t>Estimate</w:t>
            </w:r>
          </w:p>
        </w:tc>
        <w:tc>
          <w:tcPr>
            <w:tcW w:w="557" w:type="pct"/>
            <w:shd w:val="clear" w:color="000000" w:fill="FFFFFF"/>
            <w:hideMark/>
          </w:tcPr>
          <w:p w14:paraId="0FAD28FA" w14:textId="77777777" w:rsidR="00CB4E4D" w:rsidRPr="003F68BC" w:rsidRDefault="00CB4E4D" w:rsidP="00047E6C">
            <w:pPr>
              <w:spacing w:line="360" w:lineRule="auto"/>
              <w:jc w:val="both"/>
              <w:rPr>
                <w:bCs/>
                <w:sz w:val="20"/>
                <w:szCs w:val="20"/>
              </w:rPr>
            </w:pPr>
            <w:r w:rsidRPr="003F68BC">
              <w:rPr>
                <w:bCs/>
                <w:sz w:val="20"/>
                <w:szCs w:val="20"/>
              </w:rPr>
              <w:t>Standard</w:t>
            </w:r>
          </w:p>
        </w:tc>
        <w:tc>
          <w:tcPr>
            <w:tcW w:w="683" w:type="pct"/>
            <w:shd w:val="clear" w:color="000000" w:fill="FFFFFF"/>
            <w:hideMark/>
          </w:tcPr>
          <w:p w14:paraId="0109C7E1" w14:textId="77777777" w:rsidR="00CB4E4D" w:rsidRPr="003F68BC" w:rsidRDefault="00CB4E4D" w:rsidP="00047E6C">
            <w:pPr>
              <w:spacing w:line="360" w:lineRule="auto"/>
              <w:jc w:val="both"/>
              <w:rPr>
                <w:bCs/>
                <w:sz w:val="20"/>
                <w:szCs w:val="20"/>
              </w:rPr>
            </w:pPr>
            <w:r w:rsidRPr="003F68BC">
              <w:rPr>
                <w:bCs/>
                <w:sz w:val="20"/>
                <w:szCs w:val="20"/>
              </w:rPr>
              <w:t>Wald</w:t>
            </w:r>
          </w:p>
        </w:tc>
        <w:tc>
          <w:tcPr>
            <w:tcW w:w="522" w:type="pct"/>
            <w:vMerge w:val="restart"/>
            <w:shd w:val="clear" w:color="000000" w:fill="FFFFFF"/>
            <w:hideMark/>
          </w:tcPr>
          <w:p w14:paraId="6F45BA08" w14:textId="77777777" w:rsidR="00CB4E4D" w:rsidRPr="003F68BC" w:rsidRDefault="00CB4E4D" w:rsidP="00047E6C">
            <w:pPr>
              <w:spacing w:line="360" w:lineRule="auto"/>
              <w:jc w:val="both"/>
              <w:rPr>
                <w:bCs/>
                <w:sz w:val="20"/>
                <w:szCs w:val="20"/>
              </w:rPr>
            </w:pPr>
            <w:proofErr w:type="spellStart"/>
            <w:r w:rsidRPr="003F68BC">
              <w:rPr>
                <w:bCs/>
                <w:sz w:val="20"/>
                <w:szCs w:val="20"/>
              </w:rPr>
              <w:t>Pr</w:t>
            </w:r>
            <w:proofErr w:type="spellEnd"/>
            <w:r w:rsidRPr="003F68BC">
              <w:rPr>
                <w:bCs/>
                <w:sz w:val="20"/>
                <w:szCs w:val="20"/>
              </w:rPr>
              <w:t> &gt; </w:t>
            </w:r>
            <w:proofErr w:type="spellStart"/>
            <w:r w:rsidRPr="003F68BC">
              <w:rPr>
                <w:bCs/>
                <w:sz w:val="20"/>
                <w:szCs w:val="20"/>
              </w:rPr>
              <w:t>ChiSq</w:t>
            </w:r>
            <w:proofErr w:type="spellEnd"/>
          </w:p>
        </w:tc>
      </w:tr>
      <w:tr w:rsidR="00CB4E4D" w:rsidRPr="003F68BC" w14:paraId="3B3D64DC" w14:textId="77777777" w:rsidTr="00047E6C">
        <w:trPr>
          <w:trHeight w:val="285"/>
        </w:trPr>
        <w:tc>
          <w:tcPr>
            <w:tcW w:w="794" w:type="pct"/>
            <w:vMerge/>
            <w:hideMark/>
          </w:tcPr>
          <w:p w14:paraId="29275D19" w14:textId="77777777" w:rsidR="00CB4E4D" w:rsidRPr="003F68BC" w:rsidRDefault="00CB4E4D" w:rsidP="00047E6C">
            <w:pPr>
              <w:spacing w:line="360" w:lineRule="auto"/>
              <w:jc w:val="both"/>
              <w:rPr>
                <w:bCs/>
                <w:sz w:val="20"/>
                <w:szCs w:val="20"/>
              </w:rPr>
            </w:pPr>
          </w:p>
        </w:tc>
        <w:tc>
          <w:tcPr>
            <w:tcW w:w="1300" w:type="pct"/>
            <w:vMerge/>
            <w:hideMark/>
          </w:tcPr>
          <w:p w14:paraId="662B48F8" w14:textId="77777777" w:rsidR="00CB4E4D" w:rsidRPr="003F68BC" w:rsidRDefault="00CB4E4D" w:rsidP="00047E6C">
            <w:pPr>
              <w:spacing w:line="360" w:lineRule="auto"/>
              <w:jc w:val="both"/>
              <w:rPr>
                <w:bCs/>
                <w:sz w:val="20"/>
                <w:szCs w:val="20"/>
              </w:rPr>
            </w:pPr>
          </w:p>
        </w:tc>
        <w:tc>
          <w:tcPr>
            <w:tcW w:w="632" w:type="pct"/>
            <w:vMerge/>
            <w:hideMark/>
          </w:tcPr>
          <w:p w14:paraId="259B3779" w14:textId="77777777" w:rsidR="00CB4E4D" w:rsidRPr="003F68BC" w:rsidRDefault="00CB4E4D" w:rsidP="00047E6C">
            <w:pPr>
              <w:spacing w:line="360" w:lineRule="auto"/>
              <w:jc w:val="both"/>
              <w:rPr>
                <w:bCs/>
                <w:sz w:val="20"/>
                <w:szCs w:val="20"/>
              </w:rPr>
            </w:pPr>
          </w:p>
        </w:tc>
        <w:tc>
          <w:tcPr>
            <w:tcW w:w="512" w:type="pct"/>
            <w:vMerge/>
            <w:hideMark/>
          </w:tcPr>
          <w:p w14:paraId="4EABED94" w14:textId="77777777" w:rsidR="00CB4E4D" w:rsidRPr="003F68BC" w:rsidRDefault="00CB4E4D" w:rsidP="00047E6C">
            <w:pPr>
              <w:spacing w:line="360" w:lineRule="auto"/>
              <w:jc w:val="both"/>
              <w:rPr>
                <w:bCs/>
                <w:sz w:val="20"/>
                <w:szCs w:val="20"/>
              </w:rPr>
            </w:pPr>
          </w:p>
        </w:tc>
        <w:tc>
          <w:tcPr>
            <w:tcW w:w="557" w:type="pct"/>
            <w:shd w:val="clear" w:color="000000" w:fill="FFFFFF"/>
            <w:hideMark/>
          </w:tcPr>
          <w:p w14:paraId="34C631B0" w14:textId="77777777" w:rsidR="00CB4E4D" w:rsidRPr="003F68BC" w:rsidRDefault="00CB4E4D" w:rsidP="00047E6C">
            <w:pPr>
              <w:spacing w:line="360" w:lineRule="auto"/>
              <w:jc w:val="both"/>
              <w:rPr>
                <w:bCs/>
                <w:sz w:val="20"/>
                <w:szCs w:val="20"/>
              </w:rPr>
            </w:pPr>
            <w:r w:rsidRPr="003F68BC">
              <w:rPr>
                <w:bCs/>
                <w:sz w:val="20"/>
                <w:szCs w:val="20"/>
              </w:rPr>
              <w:t>Error</w:t>
            </w:r>
          </w:p>
        </w:tc>
        <w:tc>
          <w:tcPr>
            <w:tcW w:w="683" w:type="pct"/>
            <w:shd w:val="clear" w:color="000000" w:fill="FFFFFF"/>
            <w:hideMark/>
          </w:tcPr>
          <w:p w14:paraId="326D0E7F" w14:textId="77777777" w:rsidR="00CB4E4D" w:rsidRPr="003F68BC" w:rsidRDefault="00CB4E4D" w:rsidP="00047E6C">
            <w:pPr>
              <w:spacing w:line="360" w:lineRule="auto"/>
              <w:jc w:val="both"/>
              <w:rPr>
                <w:bCs/>
                <w:sz w:val="20"/>
                <w:szCs w:val="20"/>
              </w:rPr>
            </w:pPr>
            <w:r w:rsidRPr="003F68BC">
              <w:rPr>
                <w:bCs/>
                <w:sz w:val="20"/>
                <w:szCs w:val="20"/>
              </w:rPr>
              <w:t>Chi-Square</w:t>
            </w:r>
          </w:p>
        </w:tc>
        <w:tc>
          <w:tcPr>
            <w:tcW w:w="522" w:type="pct"/>
            <w:vMerge/>
            <w:hideMark/>
          </w:tcPr>
          <w:p w14:paraId="1CD1E4A6" w14:textId="77777777" w:rsidR="00CB4E4D" w:rsidRPr="003F68BC" w:rsidRDefault="00CB4E4D" w:rsidP="00047E6C">
            <w:pPr>
              <w:spacing w:line="360" w:lineRule="auto"/>
              <w:jc w:val="both"/>
              <w:rPr>
                <w:bCs/>
                <w:sz w:val="20"/>
                <w:szCs w:val="20"/>
              </w:rPr>
            </w:pPr>
          </w:p>
        </w:tc>
      </w:tr>
      <w:tr w:rsidR="00CB4E4D" w:rsidRPr="003F68BC" w14:paraId="159AC718" w14:textId="77777777" w:rsidTr="00047E6C">
        <w:trPr>
          <w:trHeight w:val="285"/>
        </w:trPr>
        <w:tc>
          <w:tcPr>
            <w:tcW w:w="794" w:type="pct"/>
            <w:shd w:val="clear" w:color="000000" w:fill="FFFFFF"/>
            <w:hideMark/>
          </w:tcPr>
          <w:p w14:paraId="3D531A5F" w14:textId="77777777" w:rsidR="00CB4E4D" w:rsidRPr="003F68BC" w:rsidRDefault="00CB4E4D" w:rsidP="00047E6C">
            <w:pPr>
              <w:spacing w:line="360" w:lineRule="auto"/>
              <w:jc w:val="both"/>
              <w:rPr>
                <w:bCs/>
                <w:sz w:val="20"/>
                <w:szCs w:val="20"/>
              </w:rPr>
            </w:pPr>
            <w:r w:rsidRPr="003F68BC">
              <w:rPr>
                <w:bCs/>
                <w:sz w:val="20"/>
                <w:szCs w:val="20"/>
              </w:rPr>
              <w:t>Intercept</w:t>
            </w:r>
          </w:p>
        </w:tc>
        <w:tc>
          <w:tcPr>
            <w:tcW w:w="1300" w:type="pct"/>
            <w:shd w:val="clear" w:color="000000" w:fill="FFFFFF"/>
            <w:hideMark/>
          </w:tcPr>
          <w:p w14:paraId="38278F2C" w14:textId="77777777" w:rsidR="00CB4E4D" w:rsidRPr="003F68BC" w:rsidRDefault="00CB4E4D" w:rsidP="00047E6C">
            <w:pPr>
              <w:spacing w:line="360" w:lineRule="auto"/>
              <w:jc w:val="both"/>
              <w:rPr>
                <w:bCs/>
                <w:sz w:val="20"/>
                <w:szCs w:val="20"/>
              </w:rPr>
            </w:pPr>
            <w:r w:rsidRPr="003F68BC">
              <w:rPr>
                <w:bCs/>
                <w:sz w:val="20"/>
                <w:szCs w:val="20"/>
              </w:rPr>
              <w:t> </w:t>
            </w:r>
          </w:p>
        </w:tc>
        <w:tc>
          <w:tcPr>
            <w:tcW w:w="632" w:type="pct"/>
            <w:shd w:val="clear" w:color="000000" w:fill="FFFFFF"/>
            <w:hideMark/>
          </w:tcPr>
          <w:p w14:paraId="60AC4A99" w14:textId="77777777" w:rsidR="00CB4E4D" w:rsidRPr="003F68BC" w:rsidRDefault="00CB4E4D" w:rsidP="00047E6C">
            <w:pPr>
              <w:spacing w:line="360" w:lineRule="auto"/>
              <w:jc w:val="both"/>
              <w:rPr>
                <w:sz w:val="20"/>
                <w:szCs w:val="20"/>
              </w:rPr>
            </w:pPr>
            <w:r w:rsidRPr="003F68BC">
              <w:rPr>
                <w:sz w:val="20"/>
                <w:szCs w:val="20"/>
              </w:rPr>
              <w:t>1</w:t>
            </w:r>
          </w:p>
        </w:tc>
        <w:tc>
          <w:tcPr>
            <w:tcW w:w="512" w:type="pct"/>
            <w:shd w:val="clear" w:color="000000" w:fill="FFFFFF"/>
            <w:hideMark/>
          </w:tcPr>
          <w:p w14:paraId="4CB6B196" w14:textId="77777777" w:rsidR="00CB4E4D" w:rsidRPr="003F68BC" w:rsidRDefault="00CB4E4D" w:rsidP="00047E6C">
            <w:pPr>
              <w:spacing w:line="360" w:lineRule="auto"/>
              <w:jc w:val="both"/>
              <w:rPr>
                <w:sz w:val="20"/>
                <w:szCs w:val="20"/>
              </w:rPr>
            </w:pPr>
            <w:r w:rsidRPr="003F68BC">
              <w:rPr>
                <w:sz w:val="20"/>
                <w:szCs w:val="20"/>
              </w:rPr>
              <w:t>0.4104</w:t>
            </w:r>
          </w:p>
        </w:tc>
        <w:tc>
          <w:tcPr>
            <w:tcW w:w="557" w:type="pct"/>
            <w:shd w:val="clear" w:color="000000" w:fill="FFFFFF"/>
            <w:hideMark/>
          </w:tcPr>
          <w:p w14:paraId="17C7B7D0" w14:textId="77777777" w:rsidR="00CB4E4D" w:rsidRPr="003F68BC" w:rsidRDefault="00CB4E4D" w:rsidP="00047E6C">
            <w:pPr>
              <w:spacing w:line="360" w:lineRule="auto"/>
              <w:jc w:val="both"/>
              <w:rPr>
                <w:sz w:val="20"/>
                <w:szCs w:val="20"/>
              </w:rPr>
            </w:pPr>
            <w:r w:rsidRPr="003F68BC">
              <w:rPr>
                <w:sz w:val="20"/>
                <w:szCs w:val="20"/>
              </w:rPr>
              <w:t>0.1576</w:t>
            </w:r>
          </w:p>
        </w:tc>
        <w:tc>
          <w:tcPr>
            <w:tcW w:w="683" w:type="pct"/>
            <w:shd w:val="clear" w:color="000000" w:fill="FFFFFF"/>
            <w:hideMark/>
          </w:tcPr>
          <w:p w14:paraId="63E364C0" w14:textId="77777777" w:rsidR="00CB4E4D" w:rsidRPr="003F68BC" w:rsidRDefault="00CB4E4D" w:rsidP="00047E6C">
            <w:pPr>
              <w:spacing w:line="360" w:lineRule="auto"/>
              <w:jc w:val="both"/>
              <w:rPr>
                <w:sz w:val="20"/>
                <w:szCs w:val="20"/>
              </w:rPr>
            </w:pPr>
            <w:r w:rsidRPr="003F68BC">
              <w:rPr>
                <w:sz w:val="20"/>
                <w:szCs w:val="20"/>
              </w:rPr>
              <w:t>6.7817</w:t>
            </w:r>
          </w:p>
        </w:tc>
        <w:tc>
          <w:tcPr>
            <w:tcW w:w="522" w:type="pct"/>
            <w:shd w:val="clear" w:color="000000" w:fill="FFFFFF"/>
            <w:hideMark/>
          </w:tcPr>
          <w:p w14:paraId="259D10D0" w14:textId="77777777" w:rsidR="00CB4E4D" w:rsidRPr="003F68BC" w:rsidRDefault="00CB4E4D" w:rsidP="00047E6C">
            <w:pPr>
              <w:spacing w:line="360" w:lineRule="auto"/>
              <w:jc w:val="both"/>
              <w:rPr>
                <w:sz w:val="20"/>
                <w:szCs w:val="20"/>
              </w:rPr>
            </w:pPr>
            <w:r w:rsidRPr="003F68BC">
              <w:rPr>
                <w:sz w:val="20"/>
                <w:szCs w:val="20"/>
              </w:rPr>
              <w:t>0.0092</w:t>
            </w:r>
          </w:p>
        </w:tc>
      </w:tr>
      <w:tr w:rsidR="00CB4E4D" w:rsidRPr="003F68BC" w14:paraId="3C5E9509" w14:textId="77777777" w:rsidTr="00047E6C">
        <w:trPr>
          <w:trHeight w:val="285"/>
        </w:trPr>
        <w:tc>
          <w:tcPr>
            <w:tcW w:w="794" w:type="pct"/>
            <w:shd w:val="clear" w:color="000000" w:fill="FFFFFF"/>
            <w:hideMark/>
          </w:tcPr>
          <w:p w14:paraId="6DD49ACA" w14:textId="77777777" w:rsidR="00CB4E4D" w:rsidRPr="003F68BC" w:rsidRDefault="00CB4E4D" w:rsidP="00047E6C">
            <w:pPr>
              <w:spacing w:line="360" w:lineRule="auto"/>
              <w:jc w:val="both"/>
              <w:rPr>
                <w:bCs/>
                <w:sz w:val="20"/>
                <w:szCs w:val="20"/>
              </w:rPr>
            </w:pPr>
            <w:r w:rsidRPr="003F68BC">
              <w:rPr>
                <w:bCs/>
                <w:sz w:val="20"/>
                <w:szCs w:val="20"/>
              </w:rPr>
              <w:t>Court Category</w:t>
            </w:r>
          </w:p>
        </w:tc>
        <w:tc>
          <w:tcPr>
            <w:tcW w:w="1300" w:type="pct"/>
            <w:shd w:val="clear" w:color="000000" w:fill="FFFFFF"/>
            <w:hideMark/>
          </w:tcPr>
          <w:p w14:paraId="104324A2" w14:textId="77777777" w:rsidR="00CB4E4D" w:rsidRPr="003F68BC" w:rsidRDefault="00CB4E4D" w:rsidP="00047E6C">
            <w:pPr>
              <w:spacing w:line="360" w:lineRule="auto"/>
              <w:rPr>
                <w:bCs/>
                <w:i/>
                <w:sz w:val="20"/>
                <w:szCs w:val="20"/>
              </w:rPr>
            </w:pPr>
            <w:r w:rsidRPr="003F68BC">
              <w:rPr>
                <w:bCs/>
                <w:i/>
                <w:sz w:val="20"/>
                <w:szCs w:val="20"/>
              </w:rPr>
              <w:t>Abu Dhabi Courts</w:t>
            </w:r>
          </w:p>
        </w:tc>
        <w:tc>
          <w:tcPr>
            <w:tcW w:w="632" w:type="pct"/>
            <w:shd w:val="clear" w:color="000000" w:fill="FFFFFF"/>
            <w:hideMark/>
          </w:tcPr>
          <w:p w14:paraId="7AE10808" w14:textId="77777777" w:rsidR="00CB4E4D" w:rsidRPr="003F68BC" w:rsidRDefault="00CB4E4D" w:rsidP="00047E6C">
            <w:pPr>
              <w:spacing w:line="360" w:lineRule="auto"/>
              <w:jc w:val="both"/>
              <w:rPr>
                <w:sz w:val="20"/>
                <w:szCs w:val="20"/>
              </w:rPr>
            </w:pPr>
            <w:r w:rsidRPr="003F68BC">
              <w:rPr>
                <w:sz w:val="20"/>
                <w:szCs w:val="20"/>
              </w:rPr>
              <w:t>1</w:t>
            </w:r>
          </w:p>
        </w:tc>
        <w:tc>
          <w:tcPr>
            <w:tcW w:w="512" w:type="pct"/>
            <w:shd w:val="clear" w:color="000000" w:fill="FFFFFF"/>
            <w:hideMark/>
          </w:tcPr>
          <w:p w14:paraId="25FE090E" w14:textId="77777777" w:rsidR="00CB4E4D" w:rsidRPr="003F68BC" w:rsidRDefault="00CB4E4D" w:rsidP="00047E6C">
            <w:pPr>
              <w:spacing w:line="360" w:lineRule="auto"/>
              <w:jc w:val="both"/>
              <w:rPr>
                <w:sz w:val="20"/>
                <w:szCs w:val="20"/>
              </w:rPr>
            </w:pPr>
            <w:r w:rsidRPr="003F68BC">
              <w:rPr>
                <w:sz w:val="20"/>
                <w:szCs w:val="20"/>
              </w:rPr>
              <w:t>1.2477</w:t>
            </w:r>
          </w:p>
        </w:tc>
        <w:tc>
          <w:tcPr>
            <w:tcW w:w="557" w:type="pct"/>
            <w:shd w:val="clear" w:color="000000" w:fill="FFFFFF"/>
            <w:hideMark/>
          </w:tcPr>
          <w:p w14:paraId="1DAE122A" w14:textId="77777777" w:rsidR="00CB4E4D" w:rsidRPr="003F68BC" w:rsidRDefault="00CB4E4D" w:rsidP="00047E6C">
            <w:pPr>
              <w:spacing w:line="360" w:lineRule="auto"/>
              <w:jc w:val="both"/>
              <w:rPr>
                <w:sz w:val="20"/>
                <w:szCs w:val="20"/>
              </w:rPr>
            </w:pPr>
            <w:r w:rsidRPr="003F68BC">
              <w:rPr>
                <w:sz w:val="20"/>
                <w:szCs w:val="20"/>
              </w:rPr>
              <w:t>0.315</w:t>
            </w:r>
          </w:p>
        </w:tc>
        <w:tc>
          <w:tcPr>
            <w:tcW w:w="683" w:type="pct"/>
            <w:shd w:val="clear" w:color="000000" w:fill="FFFFFF"/>
            <w:hideMark/>
          </w:tcPr>
          <w:p w14:paraId="39FB91F3" w14:textId="77777777" w:rsidR="00CB4E4D" w:rsidRPr="003F68BC" w:rsidRDefault="00CB4E4D" w:rsidP="00047E6C">
            <w:pPr>
              <w:spacing w:line="360" w:lineRule="auto"/>
              <w:jc w:val="both"/>
              <w:rPr>
                <w:sz w:val="20"/>
                <w:szCs w:val="20"/>
              </w:rPr>
            </w:pPr>
            <w:r w:rsidRPr="003F68BC">
              <w:rPr>
                <w:sz w:val="20"/>
                <w:szCs w:val="20"/>
              </w:rPr>
              <w:t>15.6878</w:t>
            </w:r>
          </w:p>
        </w:tc>
        <w:tc>
          <w:tcPr>
            <w:tcW w:w="522" w:type="pct"/>
            <w:shd w:val="clear" w:color="000000" w:fill="FFFFFF"/>
            <w:hideMark/>
          </w:tcPr>
          <w:p w14:paraId="031AF611" w14:textId="77777777" w:rsidR="00CB4E4D" w:rsidRPr="003F68BC" w:rsidRDefault="00CB4E4D" w:rsidP="00047E6C">
            <w:pPr>
              <w:spacing w:line="360" w:lineRule="auto"/>
              <w:jc w:val="both"/>
              <w:rPr>
                <w:sz w:val="20"/>
                <w:szCs w:val="20"/>
              </w:rPr>
            </w:pPr>
            <w:r w:rsidRPr="003F68BC">
              <w:rPr>
                <w:sz w:val="20"/>
                <w:szCs w:val="20"/>
              </w:rPr>
              <w:t>&lt;.0001</w:t>
            </w:r>
          </w:p>
        </w:tc>
      </w:tr>
      <w:tr w:rsidR="00CB4E4D" w:rsidRPr="003F68BC" w14:paraId="4753DAE7" w14:textId="77777777" w:rsidTr="00047E6C">
        <w:trPr>
          <w:trHeight w:val="579"/>
        </w:trPr>
        <w:tc>
          <w:tcPr>
            <w:tcW w:w="794" w:type="pct"/>
            <w:shd w:val="clear" w:color="000000" w:fill="FFFFFF"/>
            <w:hideMark/>
          </w:tcPr>
          <w:p w14:paraId="13885038" w14:textId="77777777" w:rsidR="00CB4E4D" w:rsidRPr="003F68BC" w:rsidRDefault="00CB4E4D" w:rsidP="00047E6C">
            <w:pPr>
              <w:spacing w:line="360" w:lineRule="auto"/>
              <w:jc w:val="both"/>
              <w:rPr>
                <w:bCs/>
                <w:sz w:val="20"/>
                <w:szCs w:val="20"/>
              </w:rPr>
            </w:pPr>
            <w:r w:rsidRPr="003F68BC">
              <w:rPr>
                <w:bCs/>
                <w:sz w:val="20"/>
                <w:szCs w:val="20"/>
              </w:rPr>
              <w:t>Court Category</w:t>
            </w:r>
          </w:p>
        </w:tc>
        <w:tc>
          <w:tcPr>
            <w:tcW w:w="1300" w:type="pct"/>
            <w:shd w:val="clear" w:color="000000" w:fill="FFFFFF"/>
            <w:hideMark/>
          </w:tcPr>
          <w:p w14:paraId="6F7A2592" w14:textId="77777777" w:rsidR="00CB4E4D" w:rsidRPr="003F68BC" w:rsidRDefault="00CB4E4D" w:rsidP="00047E6C">
            <w:pPr>
              <w:spacing w:line="360" w:lineRule="auto"/>
              <w:rPr>
                <w:bCs/>
                <w:i/>
                <w:sz w:val="20"/>
                <w:szCs w:val="20"/>
              </w:rPr>
            </w:pPr>
            <w:r w:rsidRPr="003F68BC">
              <w:rPr>
                <w:bCs/>
                <w:i/>
                <w:sz w:val="20"/>
                <w:szCs w:val="20"/>
              </w:rPr>
              <w:t>Dubai Courts</w:t>
            </w:r>
          </w:p>
        </w:tc>
        <w:tc>
          <w:tcPr>
            <w:tcW w:w="632" w:type="pct"/>
            <w:shd w:val="clear" w:color="000000" w:fill="FFFFFF"/>
            <w:hideMark/>
          </w:tcPr>
          <w:p w14:paraId="3C0038D7" w14:textId="77777777" w:rsidR="00CB4E4D" w:rsidRPr="003F68BC" w:rsidRDefault="00CB4E4D" w:rsidP="00047E6C">
            <w:pPr>
              <w:spacing w:line="360" w:lineRule="auto"/>
              <w:jc w:val="both"/>
              <w:rPr>
                <w:sz w:val="20"/>
                <w:szCs w:val="20"/>
              </w:rPr>
            </w:pPr>
            <w:r w:rsidRPr="003F68BC">
              <w:rPr>
                <w:sz w:val="20"/>
                <w:szCs w:val="20"/>
              </w:rPr>
              <w:t>1</w:t>
            </w:r>
          </w:p>
        </w:tc>
        <w:tc>
          <w:tcPr>
            <w:tcW w:w="512" w:type="pct"/>
            <w:shd w:val="clear" w:color="000000" w:fill="FFFFFF"/>
            <w:noWrap/>
            <w:hideMark/>
          </w:tcPr>
          <w:p w14:paraId="6F917209" w14:textId="77777777" w:rsidR="00CB4E4D" w:rsidRPr="003F68BC" w:rsidRDefault="00CB4E4D" w:rsidP="00047E6C">
            <w:pPr>
              <w:spacing w:line="360" w:lineRule="auto"/>
              <w:jc w:val="both"/>
              <w:rPr>
                <w:sz w:val="20"/>
                <w:szCs w:val="20"/>
              </w:rPr>
            </w:pPr>
            <w:r w:rsidRPr="003F68BC">
              <w:rPr>
                <w:sz w:val="20"/>
                <w:szCs w:val="20"/>
              </w:rPr>
              <w:t>-0.2652</w:t>
            </w:r>
          </w:p>
        </w:tc>
        <w:tc>
          <w:tcPr>
            <w:tcW w:w="557" w:type="pct"/>
            <w:shd w:val="clear" w:color="000000" w:fill="FFFFFF"/>
            <w:hideMark/>
          </w:tcPr>
          <w:p w14:paraId="39D0AC9F" w14:textId="77777777" w:rsidR="00CB4E4D" w:rsidRPr="003F68BC" w:rsidRDefault="00CB4E4D" w:rsidP="00047E6C">
            <w:pPr>
              <w:spacing w:line="360" w:lineRule="auto"/>
              <w:jc w:val="both"/>
              <w:rPr>
                <w:sz w:val="20"/>
                <w:szCs w:val="20"/>
              </w:rPr>
            </w:pPr>
            <w:r w:rsidRPr="003F68BC">
              <w:rPr>
                <w:sz w:val="20"/>
                <w:szCs w:val="20"/>
              </w:rPr>
              <w:t>0.2323</w:t>
            </w:r>
          </w:p>
        </w:tc>
        <w:tc>
          <w:tcPr>
            <w:tcW w:w="683" w:type="pct"/>
            <w:shd w:val="clear" w:color="000000" w:fill="FFFFFF"/>
            <w:hideMark/>
          </w:tcPr>
          <w:p w14:paraId="157B123A" w14:textId="77777777" w:rsidR="00CB4E4D" w:rsidRPr="003F68BC" w:rsidRDefault="00CB4E4D" w:rsidP="00047E6C">
            <w:pPr>
              <w:spacing w:line="360" w:lineRule="auto"/>
              <w:jc w:val="both"/>
              <w:rPr>
                <w:sz w:val="20"/>
                <w:szCs w:val="20"/>
              </w:rPr>
            </w:pPr>
            <w:r w:rsidRPr="003F68BC">
              <w:rPr>
                <w:sz w:val="20"/>
                <w:szCs w:val="20"/>
              </w:rPr>
              <w:t>1.3032</w:t>
            </w:r>
          </w:p>
        </w:tc>
        <w:tc>
          <w:tcPr>
            <w:tcW w:w="522" w:type="pct"/>
            <w:shd w:val="clear" w:color="000000" w:fill="FFFFFF"/>
            <w:hideMark/>
          </w:tcPr>
          <w:p w14:paraId="2D76F2F8" w14:textId="77777777" w:rsidR="00CB4E4D" w:rsidRPr="003F68BC" w:rsidRDefault="00CB4E4D" w:rsidP="00047E6C">
            <w:pPr>
              <w:spacing w:line="360" w:lineRule="auto"/>
              <w:jc w:val="both"/>
              <w:rPr>
                <w:sz w:val="20"/>
                <w:szCs w:val="20"/>
              </w:rPr>
            </w:pPr>
            <w:r w:rsidRPr="003F68BC">
              <w:rPr>
                <w:sz w:val="20"/>
                <w:szCs w:val="20"/>
              </w:rPr>
              <w:t>0.2536</w:t>
            </w:r>
          </w:p>
        </w:tc>
      </w:tr>
      <w:tr w:rsidR="00CB4E4D" w:rsidRPr="003F68BC" w14:paraId="5FE651FD" w14:textId="77777777" w:rsidTr="00047E6C">
        <w:trPr>
          <w:trHeight w:val="570"/>
        </w:trPr>
        <w:tc>
          <w:tcPr>
            <w:tcW w:w="794" w:type="pct"/>
            <w:shd w:val="clear" w:color="000000" w:fill="FFFFFF"/>
            <w:hideMark/>
          </w:tcPr>
          <w:p w14:paraId="77019C57" w14:textId="77777777" w:rsidR="00CB4E4D" w:rsidRPr="003F68BC" w:rsidRDefault="00CB4E4D" w:rsidP="00047E6C">
            <w:pPr>
              <w:spacing w:line="360" w:lineRule="auto"/>
              <w:jc w:val="both"/>
              <w:rPr>
                <w:bCs/>
                <w:sz w:val="20"/>
                <w:szCs w:val="20"/>
              </w:rPr>
            </w:pPr>
            <w:r w:rsidRPr="003F68BC">
              <w:rPr>
                <w:bCs/>
                <w:sz w:val="20"/>
                <w:szCs w:val="20"/>
              </w:rPr>
              <w:t>Court Category</w:t>
            </w:r>
          </w:p>
        </w:tc>
        <w:tc>
          <w:tcPr>
            <w:tcW w:w="1300" w:type="pct"/>
            <w:shd w:val="clear" w:color="000000" w:fill="FFFFFF"/>
            <w:hideMark/>
          </w:tcPr>
          <w:p w14:paraId="13D7C04D" w14:textId="77777777" w:rsidR="00CB4E4D" w:rsidRPr="003F68BC" w:rsidRDefault="00CB4E4D" w:rsidP="00047E6C">
            <w:pPr>
              <w:spacing w:line="360" w:lineRule="auto"/>
              <w:rPr>
                <w:bCs/>
                <w:sz w:val="20"/>
                <w:szCs w:val="20"/>
              </w:rPr>
            </w:pPr>
            <w:r w:rsidRPr="003F68BC">
              <w:rPr>
                <w:i/>
                <w:sz w:val="20"/>
                <w:szCs w:val="20"/>
              </w:rPr>
              <w:t>DIFC Courts</w:t>
            </w:r>
          </w:p>
        </w:tc>
        <w:tc>
          <w:tcPr>
            <w:tcW w:w="632" w:type="pct"/>
            <w:shd w:val="clear" w:color="000000" w:fill="FFFFFF"/>
            <w:hideMark/>
          </w:tcPr>
          <w:p w14:paraId="56F905D7" w14:textId="77777777" w:rsidR="00CB4E4D" w:rsidRPr="003F68BC" w:rsidRDefault="00CB4E4D" w:rsidP="00047E6C">
            <w:pPr>
              <w:spacing w:line="360" w:lineRule="auto"/>
              <w:jc w:val="both"/>
              <w:rPr>
                <w:sz w:val="20"/>
                <w:szCs w:val="20"/>
              </w:rPr>
            </w:pPr>
            <w:r w:rsidRPr="003F68BC">
              <w:rPr>
                <w:sz w:val="20"/>
                <w:szCs w:val="20"/>
              </w:rPr>
              <w:t>1</w:t>
            </w:r>
          </w:p>
        </w:tc>
        <w:tc>
          <w:tcPr>
            <w:tcW w:w="512" w:type="pct"/>
            <w:shd w:val="clear" w:color="000000" w:fill="FFFFFF"/>
            <w:noWrap/>
            <w:hideMark/>
          </w:tcPr>
          <w:p w14:paraId="2A61E7F7" w14:textId="77777777" w:rsidR="00CB4E4D" w:rsidRPr="003F68BC" w:rsidRDefault="00CB4E4D" w:rsidP="00047E6C">
            <w:pPr>
              <w:spacing w:line="360" w:lineRule="auto"/>
              <w:jc w:val="both"/>
              <w:rPr>
                <w:sz w:val="20"/>
                <w:szCs w:val="20"/>
              </w:rPr>
            </w:pPr>
            <w:r w:rsidRPr="003F68BC">
              <w:rPr>
                <w:sz w:val="20"/>
                <w:szCs w:val="20"/>
              </w:rPr>
              <w:t>-1.3549</w:t>
            </w:r>
          </w:p>
        </w:tc>
        <w:tc>
          <w:tcPr>
            <w:tcW w:w="557" w:type="pct"/>
            <w:shd w:val="clear" w:color="000000" w:fill="FFFFFF"/>
            <w:hideMark/>
          </w:tcPr>
          <w:p w14:paraId="090CC6ED" w14:textId="77777777" w:rsidR="00CB4E4D" w:rsidRPr="003F68BC" w:rsidRDefault="00CB4E4D" w:rsidP="00047E6C">
            <w:pPr>
              <w:spacing w:line="360" w:lineRule="auto"/>
              <w:jc w:val="both"/>
              <w:rPr>
                <w:sz w:val="20"/>
                <w:szCs w:val="20"/>
              </w:rPr>
            </w:pPr>
            <w:r w:rsidRPr="003F68BC">
              <w:rPr>
                <w:sz w:val="20"/>
                <w:szCs w:val="20"/>
              </w:rPr>
              <w:t>0.2728</w:t>
            </w:r>
          </w:p>
        </w:tc>
        <w:tc>
          <w:tcPr>
            <w:tcW w:w="683" w:type="pct"/>
            <w:shd w:val="clear" w:color="000000" w:fill="FFFFFF"/>
            <w:hideMark/>
          </w:tcPr>
          <w:p w14:paraId="4A381D8E" w14:textId="77777777" w:rsidR="00CB4E4D" w:rsidRPr="003F68BC" w:rsidRDefault="00CB4E4D" w:rsidP="00047E6C">
            <w:pPr>
              <w:spacing w:line="360" w:lineRule="auto"/>
              <w:jc w:val="both"/>
              <w:rPr>
                <w:sz w:val="20"/>
                <w:szCs w:val="20"/>
              </w:rPr>
            </w:pPr>
            <w:r w:rsidRPr="003F68BC">
              <w:rPr>
                <w:sz w:val="20"/>
                <w:szCs w:val="20"/>
              </w:rPr>
              <w:t>24.6599</w:t>
            </w:r>
          </w:p>
        </w:tc>
        <w:tc>
          <w:tcPr>
            <w:tcW w:w="522" w:type="pct"/>
            <w:shd w:val="clear" w:color="000000" w:fill="FFFFFF"/>
            <w:hideMark/>
          </w:tcPr>
          <w:p w14:paraId="65D2B7E9" w14:textId="77777777" w:rsidR="00CB4E4D" w:rsidRPr="003F68BC" w:rsidRDefault="00CB4E4D" w:rsidP="00047E6C">
            <w:pPr>
              <w:spacing w:line="360" w:lineRule="auto"/>
              <w:jc w:val="both"/>
              <w:rPr>
                <w:sz w:val="20"/>
                <w:szCs w:val="20"/>
              </w:rPr>
            </w:pPr>
            <w:r w:rsidRPr="003F68BC">
              <w:rPr>
                <w:sz w:val="20"/>
                <w:szCs w:val="20"/>
              </w:rPr>
              <w:t>&lt;.0001</w:t>
            </w:r>
          </w:p>
        </w:tc>
      </w:tr>
    </w:tbl>
    <w:p w14:paraId="21E449C7" w14:textId="77777777" w:rsidR="00CB4E4D" w:rsidRPr="003F68BC" w:rsidRDefault="00CB4E4D" w:rsidP="00CB4E4D">
      <w:pPr>
        <w:spacing w:line="360" w:lineRule="auto"/>
        <w:jc w:val="both"/>
      </w:pPr>
    </w:p>
    <w:p w14:paraId="4DEF1C3A" w14:textId="77777777" w:rsidR="00CB4E4D" w:rsidRPr="003F68BC" w:rsidRDefault="00CB4E4D" w:rsidP="00CB4E4D">
      <w:pPr>
        <w:spacing w:line="480" w:lineRule="auto"/>
        <w:jc w:val="both"/>
        <w:rPr>
          <w:i/>
        </w:rPr>
      </w:pPr>
    </w:p>
    <w:p w14:paraId="391658B1" w14:textId="77777777" w:rsidR="00CB4E4D" w:rsidRPr="003F68BC" w:rsidRDefault="00CB4E4D" w:rsidP="00CB4E4D">
      <w:pPr>
        <w:spacing w:line="480" w:lineRule="auto"/>
        <w:jc w:val="both"/>
      </w:pPr>
      <w:r w:rsidRPr="003F68BC">
        <w:t xml:space="preserve">Table </w:t>
      </w:r>
      <w:r>
        <w:t>6</w:t>
      </w:r>
      <w:r w:rsidRPr="003F68BC">
        <w:t xml:space="preserve">: Effects of individual predictors on decision made within each court </w:t>
      </w:r>
    </w:p>
    <w:tbl>
      <w:tblPr>
        <w:tblStyle w:val="TableGrid"/>
        <w:tblW w:w="4852" w:type="pct"/>
        <w:tblInd w:w="175" w:type="dxa"/>
        <w:tblLayout w:type="fixed"/>
        <w:tblLook w:val="04A0" w:firstRow="1" w:lastRow="0" w:firstColumn="1" w:lastColumn="0" w:noHBand="0" w:noVBand="1"/>
      </w:tblPr>
      <w:tblGrid>
        <w:gridCol w:w="4496"/>
        <w:gridCol w:w="1101"/>
        <w:gridCol w:w="1103"/>
        <w:gridCol w:w="1103"/>
        <w:gridCol w:w="1270"/>
      </w:tblGrid>
      <w:tr w:rsidR="00CB4E4D" w:rsidRPr="003F68BC" w14:paraId="347FA9A4" w14:textId="77777777" w:rsidTr="00047E6C">
        <w:trPr>
          <w:trHeight w:val="300"/>
        </w:trPr>
        <w:tc>
          <w:tcPr>
            <w:tcW w:w="2477" w:type="pct"/>
            <w:noWrap/>
            <w:hideMark/>
          </w:tcPr>
          <w:p w14:paraId="29556182" w14:textId="77777777" w:rsidR="00CB4E4D" w:rsidRPr="003F68BC" w:rsidRDefault="00CB4E4D" w:rsidP="00047E6C">
            <w:pPr>
              <w:spacing w:line="360" w:lineRule="auto"/>
              <w:jc w:val="both"/>
              <w:rPr>
                <w:sz w:val="20"/>
                <w:szCs w:val="20"/>
              </w:rPr>
            </w:pPr>
            <w:r w:rsidRPr="003F68BC">
              <w:rPr>
                <w:sz w:val="20"/>
                <w:szCs w:val="20"/>
              </w:rPr>
              <w:lastRenderedPageBreak/>
              <w:t>Predictor</w:t>
            </w:r>
          </w:p>
        </w:tc>
        <w:tc>
          <w:tcPr>
            <w:tcW w:w="607" w:type="pct"/>
            <w:noWrap/>
            <w:hideMark/>
          </w:tcPr>
          <w:p w14:paraId="4B8A7E95" w14:textId="77777777" w:rsidR="00CB4E4D" w:rsidRPr="003F68BC" w:rsidRDefault="00CB4E4D" w:rsidP="00047E6C">
            <w:pPr>
              <w:spacing w:line="360" w:lineRule="auto"/>
              <w:rPr>
                <w:sz w:val="20"/>
                <w:szCs w:val="20"/>
              </w:rPr>
            </w:pPr>
            <w:r w:rsidRPr="003F68BC">
              <w:rPr>
                <w:bCs/>
                <w:i/>
                <w:sz w:val="20"/>
                <w:szCs w:val="20"/>
              </w:rPr>
              <w:t>Abu Dhabi Courts</w:t>
            </w:r>
          </w:p>
        </w:tc>
        <w:tc>
          <w:tcPr>
            <w:tcW w:w="608" w:type="pct"/>
            <w:noWrap/>
            <w:hideMark/>
          </w:tcPr>
          <w:p w14:paraId="1B27097A" w14:textId="77777777" w:rsidR="00CB4E4D" w:rsidRPr="003F68BC" w:rsidRDefault="00CB4E4D" w:rsidP="00047E6C">
            <w:pPr>
              <w:spacing w:line="360" w:lineRule="auto"/>
              <w:rPr>
                <w:sz w:val="20"/>
                <w:szCs w:val="20"/>
              </w:rPr>
            </w:pPr>
            <w:r w:rsidRPr="003F68BC">
              <w:rPr>
                <w:bCs/>
                <w:i/>
                <w:sz w:val="20"/>
                <w:szCs w:val="20"/>
              </w:rPr>
              <w:t>Dubai Courts</w:t>
            </w:r>
          </w:p>
        </w:tc>
        <w:tc>
          <w:tcPr>
            <w:tcW w:w="608" w:type="pct"/>
            <w:noWrap/>
            <w:hideMark/>
          </w:tcPr>
          <w:p w14:paraId="43A33DA6" w14:textId="77777777" w:rsidR="00CB4E4D" w:rsidRPr="003F68BC" w:rsidRDefault="00CB4E4D" w:rsidP="00047E6C">
            <w:pPr>
              <w:spacing w:line="360" w:lineRule="auto"/>
              <w:rPr>
                <w:sz w:val="20"/>
                <w:szCs w:val="20"/>
              </w:rPr>
            </w:pPr>
            <w:r w:rsidRPr="003F68BC">
              <w:rPr>
                <w:i/>
                <w:sz w:val="20"/>
                <w:szCs w:val="20"/>
              </w:rPr>
              <w:t>DIFC Courts</w:t>
            </w:r>
          </w:p>
        </w:tc>
        <w:tc>
          <w:tcPr>
            <w:tcW w:w="700" w:type="pct"/>
            <w:noWrap/>
            <w:hideMark/>
          </w:tcPr>
          <w:p w14:paraId="6880E936" w14:textId="77777777" w:rsidR="00CB4E4D" w:rsidRPr="003F68BC" w:rsidRDefault="00CB4E4D" w:rsidP="00047E6C">
            <w:pPr>
              <w:spacing w:line="360" w:lineRule="auto"/>
              <w:rPr>
                <w:sz w:val="20"/>
                <w:szCs w:val="20"/>
              </w:rPr>
            </w:pPr>
            <w:r w:rsidRPr="003F68BC">
              <w:rPr>
                <w:i/>
                <w:sz w:val="20"/>
                <w:szCs w:val="20"/>
              </w:rPr>
              <w:t>Union Supreme Court</w:t>
            </w:r>
          </w:p>
        </w:tc>
      </w:tr>
      <w:tr w:rsidR="00CB4E4D" w:rsidRPr="003F68BC" w14:paraId="7210F15C" w14:textId="77777777" w:rsidTr="00047E6C">
        <w:trPr>
          <w:trHeight w:val="300"/>
        </w:trPr>
        <w:tc>
          <w:tcPr>
            <w:tcW w:w="2477" w:type="pct"/>
            <w:noWrap/>
            <w:hideMark/>
          </w:tcPr>
          <w:p w14:paraId="209BB712" w14:textId="77777777" w:rsidR="00CB4E4D" w:rsidRPr="003F68BC" w:rsidRDefault="00CB4E4D" w:rsidP="00047E6C">
            <w:pPr>
              <w:spacing w:line="360" w:lineRule="auto"/>
              <w:jc w:val="both"/>
              <w:rPr>
                <w:sz w:val="20"/>
                <w:szCs w:val="20"/>
              </w:rPr>
            </w:pPr>
            <w:r w:rsidRPr="003F68BC">
              <w:rPr>
                <w:rFonts w:eastAsia="Calibri"/>
                <w:sz w:val="20"/>
                <w:szCs w:val="20"/>
                <w:lang w:val="en-US"/>
              </w:rPr>
              <w:t>‘</w:t>
            </w:r>
            <w:r w:rsidRPr="003F68BC">
              <w:rPr>
                <w:rFonts w:eastAsia="Calibri"/>
                <w:i/>
                <w:sz w:val="20"/>
                <w:szCs w:val="20"/>
                <w:lang w:val="en-US"/>
              </w:rPr>
              <w:t>P</w:t>
            </w:r>
            <w:proofErr w:type="spellStart"/>
            <w:r w:rsidRPr="003F68BC">
              <w:rPr>
                <w:i/>
                <w:sz w:val="20"/>
                <w:szCs w:val="20"/>
              </w:rPr>
              <w:t>ublic</w:t>
            </w:r>
            <w:proofErr w:type="spellEnd"/>
            <w:r w:rsidRPr="003F68BC">
              <w:rPr>
                <w:i/>
                <w:sz w:val="20"/>
                <w:szCs w:val="20"/>
              </w:rPr>
              <w:t xml:space="preserve"> policy</w:t>
            </w:r>
            <w:r w:rsidRPr="003F68BC">
              <w:rPr>
                <w:sz w:val="20"/>
                <w:szCs w:val="20"/>
              </w:rPr>
              <w:t>’</w:t>
            </w:r>
          </w:p>
        </w:tc>
        <w:tc>
          <w:tcPr>
            <w:tcW w:w="607" w:type="pct"/>
            <w:hideMark/>
          </w:tcPr>
          <w:p w14:paraId="10CAF3C0" w14:textId="77777777" w:rsidR="00CB4E4D" w:rsidRPr="003F68BC" w:rsidRDefault="00CB4E4D" w:rsidP="00047E6C">
            <w:pPr>
              <w:spacing w:line="360" w:lineRule="auto"/>
              <w:jc w:val="both"/>
              <w:rPr>
                <w:sz w:val="20"/>
                <w:szCs w:val="20"/>
              </w:rPr>
            </w:pPr>
            <w:r w:rsidRPr="003F68BC">
              <w:rPr>
                <w:sz w:val="20"/>
                <w:szCs w:val="20"/>
              </w:rPr>
              <w:t>1.6</w:t>
            </w:r>
          </w:p>
        </w:tc>
        <w:tc>
          <w:tcPr>
            <w:tcW w:w="608" w:type="pct"/>
            <w:noWrap/>
            <w:hideMark/>
          </w:tcPr>
          <w:p w14:paraId="54F5C7CB" w14:textId="77777777" w:rsidR="00CB4E4D" w:rsidRPr="003F68BC" w:rsidRDefault="00CB4E4D" w:rsidP="00047E6C">
            <w:pPr>
              <w:spacing w:line="360" w:lineRule="auto"/>
              <w:jc w:val="both"/>
              <w:rPr>
                <w:sz w:val="20"/>
                <w:szCs w:val="20"/>
              </w:rPr>
            </w:pPr>
            <w:r w:rsidRPr="003F68BC">
              <w:rPr>
                <w:sz w:val="20"/>
                <w:szCs w:val="20"/>
              </w:rPr>
              <w:t>12.8**</w:t>
            </w:r>
          </w:p>
        </w:tc>
        <w:tc>
          <w:tcPr>
            <w:tcW w:w="608" w:type="pct"/>
            <w:noWrap/>
            <w:hideMark/>
          </w:tcPr>
          <w:p w14:paraId="73FE95AD" w14:textId="77777777" w:rsidR="00CB4E4D" w:rsidRPr="003F68BC" w:rsidRDefault="00CB4E4D" w:rsidP="00047E6C">
            <w:pPr>
              <w:spacing w:line="360" w:lineRule="auto"/>
              <w:jc w:val="both"/>
              <w:rPr>
                <w:sz w:val="20"/>
                <w:szCs w:val="20"/>
              </w:rPr>
            </w:pPr>
            <w:r w:rsidRPr="003F68BC">
              <w:rPr>
                <w:sz w:val="20"/>
                <w:szCs w:val="20"/>
              </w:rPr>
              <w:t>0.0</w:t>
            </w:r>
          </w:p>
        </w:tc>
        <w:tc>
          <w:tcPr>
            <w:tcW w:w="700" w:type="pct"/>
            <w:noWrap/>
            <w:hideMark/>
          </w:tcPr>
          <w:p w14:paraId="08C11360" w14:textId="77777777" w:rsidR="00CB4E4D" w:rsidRPr="003F68BC" w:rsidRDefault="00CB4E4D" w:rsidP="00047E6C">
            <w:pPr>
              <w:spacing w:line="360" w:lineRule="auto"/>
              <w:jc w:val="both"/>
              <w:rPr>
                <w:sz w:val="20"/>
                <w:szCs w:val="20"/>
              </w:rPr>
            </w:pPr>
            <w:r w:rsidRPr="003F68BC">
              <w:rPr>
                <w:sz w:val="20"/>
                <w:szCs w:val="20"/>
              </w:rPr>
              <w:t>5.4*</w:t>
            </w:r>
          </w:p>
        </w:tc>
      </w:tr>
      <w:tr w:rsidR="00CB4E4D" w:rsidRPr="003F68BC" w14:paraId="15607C10" w14:textId="77777777" w:rsidTr="00047E6C">
        <w:trPr>
          <w:trHeight w:val="300"/>
        </w:trPr>
        <w:tc>
          <w:tcPr>
            <w:tcW w:w="2477" w:type="pct"/>
            <w:noWrap/>
            <w:hideMark/>
          </w:tcPr>
          <w:p w14:paraId="0F084C10" w14:textId="77777777" w:rsidR="00CB4E4D" w:rsidRPr="003F68BC" w:rsidRDefault="00CB4E4D" w:rsidP="00047E6C">
            <w:pPr>
              <w:spacing w:line="360" w:lineRule="auto"/>
              <w:jc w:val="both"/>
              <w:rPr>
                <w:sz w:val="20"/>
                <w:szCs w:val="20"/>
              </w:rPr>
            </w:pPr>
            <w:r w:rsidRPr="003F68BC">
              <w:rPr>
                <w:i/>
                <w:sz w:val="20"/>
                <w:szCs w:val="20"/>
              </w:rPr>
              <w:t>‘Abuse of court process’</w:t>
            </w:r>
          </w:p>
        </w:tc>
        <w:tc>
          <w:tcPr>
            <w:tcW w:w="607" w:type="pct"/>
            <w:hideMark/>
          </w:tcPr>
          <w:p w14:paraId="4C5ABC2E" w14:textId="77777777" w:rsidR="00CB4E4D" w:rsidRPr="003F68BC" w:rsidRDefault="00CB4E4D" w:rsidP="00047E6C">
            <w:pPr>
              <w:spacing w:line="360" w:lineRule="auto"/>
              <w:jc w:val="both"/>
              <w:rPr>
                <w:sz w:val="20"/>
                <w:szCs w:val="20"/>
              </w:rPr>
            </w:pPr>
            <w:r w:rsidRPr="003F68BC">
              <w:rPr>
                <w:sz w:val="20"/>
                <w:szCs w:val="20"/>
              </w:rPr>
              <w:t>3.1</w:t>
            </w:r>
          </w:p>
        </w:tc>
        <w:tc>
          <w:tcPr>
            <w:tcW w:w="608" w:type="pct"/>
            <w:noWrap/>
            <w:hideMark/>
          </w:tcPr>
          <w:p w14:paraId="4FF21DA8" w14:textId="77777777" w:rsidR="00CB4E4D" w:rsidRPr="003F68BC" w:rsidRDefault="00CB4E4D" w:rsidP="00047E6C">
            <w:pPr>
              <w:spacing w:line="360" w:lineRule="auto"/>
              <w:jc w:val="both"/>
              <w:rPr>
                <w:sz w:val="20"/>
                <w:szCs w:val="20"/>
              </w:rPr>
            </w:pPr>
            <w:r w:rsidRPr="003F68BC">
              <w:rPr>
                <w:sz w:val="20"/>
                <w:szCs w:val="20"/>
              </w:rPr>
              <w:t>0.0</w:t>
            </w:r>
          </w:p>
        </w:tc>
        <w:tc>
          <w:tcPr>
            <w:tcW w:w="608" w:type="pct"/>
            <w:noWrap/>
            <w:hideMark/>
          </w:tcPr>
          <w:p w14:paraId="166893EB" w14:textId="77777777" w:rsidR="00CB4E4D" w:rsidRPr="003F68BC" w:rsidRDefault="00CB4E4D" w:rsidP="00047E6C">
            <w:pPr>
              <w:spacing w:line="360" w:lineRule="auto"/>
              <w:jc w:val="both"/>
              <w:rPr>
                <w:sz w:val="20"/>
                <w:szCs w:val="20"/>
              </w:rPr>
            </w:pPr>
            <w:r w:rsidRPr="003F68BC">
              <w:rPr>
                <w:sz w:val="20"/>
                <w:szCs w:val="20"/>
              </w:rPr>
              <w:t>0.6</w:t>
            </w:r>
          </w:p>
        </w:tc>
        <w:tc>
          <w:tcPr>
            <w:tcW w:w="700" w:type="pct"/>
            <w:noWrap/>
            <w:hideMark/>
          </w:tcPr>
          <w:p w14:paraId="44FF68B3" w14:textId="77777777" w:rsidR="00CB4E4D" w:rsidRPr="003F68BC" w:rsidRDefault="00CB4E4D" w:rsidP="00047E6C">
            <w:pPr>
              <w:spacing w:line="360" w:lineRule="auto"/>
              <w:jc w:val="both"/>
              <w:rPr>
                <w:sz w:val="20"/>
                <w:szCs w:val="20"/>
              </w:rPr>
            </w:pPr>
            <w:r w:rsidRPr="003F68BC">
              <w:rPr>
                <w:sz w:val="20"/>
                <w:szCs w:val="20"/>
              </w:rPr>
              <w:t>0.6</w:t>
            </w:r>
          </w:p>
        </w:tc>
      </w:tr>
      <w:tr w:rsidR="00CB4E4D" w:rsidRPr="003F68BC" w14:paraId="6850E0C0" w14:textId="77777777" w:rsidTr="00047E6C">
        <w:trPr>
          <w:trHeight w:val="300"/>
        </w:trPr>
        <w:tc>
          <w:tcPr>
            <w:tcW w:w="2477" w:type="pct"/>
            <w:noWrap/>
            <w:hideMark/>
          </w:tcPr>
          <w:p w14:paraId="31842DE8" w14:textId="77777777" w:rsidR="00CB4E4D" w:rsidRPr="003F68BC" w:rsidRDefault="00CB4E4D" w:rsidP="00047E6C">
            <w:pPr>
              <w:spacing w:line="360" w:lineRule="auto"/>
              <w:jc w:val="both"/>
              <w:rPr>
                <w:sz w:val="20"/>
                <w:szCs w:val="20"/>
              </w:rPr>
            </w:pPr>
            <w:r w:rsidRPr="003F68BC">
              <w:rPr>
                <w:i/>
                <w:sz w:val="20"/>
                <w:szCs w:val="20"/>
              </w:rPr>
              <w:t>‘Appointment of arbitrators’</w:t>
            </w:r>
          </w:p>
        </w:tc>
        <w:tc>
          <w:tcPr>
            <w:tcW w:w="607" w:type="pct"/>
            <w:noWrap/>
            <w:hideMark/>
          </w:tcPr>
          <w:p w14:paraId="36E1EAAF" w14:textId="77777777" w:rsidR="00CB4E4D" w:rsidRPr="003F68BC" w:rsidRDefault="00CB4E4D" w:rsidP="00047E6C">
            <w:pPr>
              <w:spacing w:line="360" w:lineRule="auto"/>
              <w:jc w:val="both"/>
              <w:rPr>
                <w:sz w:val="20"/>
                <w:szCs w:val="20"/>
              </w:rPr>
            </w:pPr>
            <w:r w:rsidRPr="003F68BC">
              <w:rPr>
                <w:sz w:val="20"/>
                <w:szCs w:val="20"/>
              </w:rPr>
              <w:t>0.0</w:t>
            </w:r>
          </w:p>
        </w:tc>
        <w:tc>
          <w:tcPr>
            <w:tcW w:w="608" w:type="pct"/>
            <w:noWrap/>
            <w:hideMark/>
          </w:tcPr>
          <w:p w14:paraId="13F50768" w14:textId="77777777" w:rsidR="00CB4E4D" w:rsidRPr="003F68BC" w:rsidRDefault="00CB4E4D" w:rsidP="00047E6C">
            <w:pPr>
              <w:spacing w:line="360" w:lineRule="auto"/>
              <w:jc w:val="both"/>
              <w:rPr>
                <w:sz w:val="20"/>
                <w:szCs w:val="20"/>
              </w:rPr>
            </w:pPr>
            <w:r w:rsidRPr="003F68BC">
              <w:rPr>
                <w:sz w:val="20"/>
                <w:szCs w:val="20"/>
              </w:rPr>
              <w:t>2.1</w:t>
            </w:r>
          </w:p>
        </w:tc>
        <w:tc>
          <w:tcPr>
            <w:tcW w:w="608" w:type="pct"/>
            <w:noWrap/>
            <w:hideMark/>
          </w:tcPr>
          <w:p w14:paraId="3A29CD5D" w14:textId="77777777" w:rsidR="00CB4E4D" w:rsidRPr="003F68BC" w:rsidRDefault="00CB4E4D" w:rsidP="00047E6C">
            <w:pPr>
              <w:spacing w:line="360" w:lineRule="auto"/>
              <w:jc w:val="both"/>
              <w:rPr>
                <w:sz w:val="20"/>
                <w:szCs w:val="20"/>
              </w:rPr>
            </w:pPr>
            <w:r w:rsidRPr="003F68BC">
              <w:rPr>
                <w:sz w:val="20"/>
                <w:szCs w:val="20"/>
              </w:rPr>
              <w:t>0.0</w:t>
            </w:r>
          </w:p>
        </w:tc>
        <w:tc>
          <w:tcPr>
            <w:tcW w:w="700" w:type="pct"/>
            <w:noWrap/>
            <w:hideMark/>
          </w:tcPr>
          <w:p w14:paraId="70B8458B" w14:textId="77777777" w:rsidR="00CB4E4D" w:rsidRPr="003F68BC" w:rsidRDefault="00CB4E4D" w:rsidP="00047E6C">
            <w:pPr>
              <w:spacing w:line="360" w:lineRule="auto"/>
              <w:jc w:val="both"/>
              <w:rPr>
                <w:sz w:val="20"/>
                <w:szCs w:val="20"/>
              </w:rPr>
            </w:pPr>
            <w:r w:rsidRPr="003F68BC">
              <w:rPr>
                <w:sz w:val="20"/>
                <w:szCs w:val="20"/>
              </w:rPr>
              <w:t>0.0</w:t>
            </w:r>
          </w:p>
        </w:tc>
      </w:tr>
      <w:tr w:rsidR="00CB4E4D" w:rsidRPr="003F68BC" w14:paraId="5BD79BDF" w14:textId="77777777" w:rsidTr="00047E6C">
        <w:trPr>
          <w:trHeight w:val="300"/>
        </w:trPr>
        <w:tc>
          <w:tcPr>
            <w:tcW w:w="2477" w:type="pct"/>
            <w:noWrap/>
            <w:vAlign w:val="bottom"/>
            <w:hideMark/>
          </w:tcPr>
          <w:p w14:paraId="01CB1E50" w14:textId="77777777" w:rsidR="00CB4E4D" w:rsidRPr="003F68BC" w:rsidRDefault="00CB4E4D" w:rsidP="00047E6C">
            <w:pPr>
              <w:spacing w:line="360" w:lineRule="auto"/>
              <w:jc w:val="both"/>
              <w:rPr>
                <w:sz w:val="20"/>
                <w:szCs w:val="20"/>
              </w:rPr>
            </w:pPr>
            <w:r w:rsidRPr="003F68BC">
              <w:rPr>
                <w:i/>
                <w:sz w:val="20"/>
                <w:szCs w:val="20"/>
              </w:rPr>
              <w:t>‘Arbitrators award’</w:t>
            </w:r>
          </w:p>
        </w:tc>
        <w:tc>
          <w:tcPr>
            <w:tcW w:w="607" w:type="pct"/>
            <w:noWrap/>
            <w:hideMark/>
          </w:tcPr>
          <w:p w14:paraId="6856A080" w14:textId="77777777" w:rsidR="00CB4E4D" w:rsidRPr="003F68BC" w:rsidRDefault="00CB4E4D" w:rsidP="00047E6C">
            <w:pPr>
              <w:spacing w:line="360" w:lineRule="auto"/>
              <w:jc w:val="both"/>
              <w:rPr>
                <w:sz w:val="20"/>
                <w:szCs w:val="20"/>
              </w:rPr>
            </w:pPr>
            <w:r w:rsidRPr="003F68BC">
              <w:rPr>
                <w:sz w:val="20"/>
                <w:szCs w:val="20"/>
              </w:rPr>
              <w:t>0.1</w:t>
            </w:r>
          </w:p>
        </w:tc>
        <w:tc>
          <w:tcPr>
            <w:tcW w:w="608" w:type="pct"/>
            <w:noWrap/>
            <w:hideMark/>
          </w:tcPr>
          <w:p w14:paraId="5E584C9B" w14:textId="77777777" w:rsidR="00CB4E4D" w:rsidRPr="003F68BC" w:rsidRDefault="00CB4E4D" w:rsidP="00047E6C">
            <w:pPr>
              <w:spacing w:line="360" w:lineRule="auto"/>
              <w:jc w:val="both"/>
              <w:rPr>
                <w:sz w:val="20"/>
                <w:szCs w:val="20"/>
              </w:rPr>
            </w:pPr>
            <w:r w:rsidRPr="003F68BC">
              <w:rPr>
                <w:sz w:val="20"/>
                <w:szCs w:val="20"/>
              </w:rPr>
              <w:t>4.8*</w:t>
            </w:r>
          </w:p>
        </w:tc>
        <w:tc>
          <w:tcPr>
            <w:tcW w:w="608" w:type="pct"/>
            <w:noWrap/>
            <w:hideMark/>
          </w:tcPr>
          <w:p w14:paraId="7C7FBBAF" w14:textId="77777777" w:rsidR="00CB4E4D" w:rsidRPr="003F68BC" w:rsidRDefault="00CB4E4D" w:rsidP="00047E6C">
            <w:pPr>
              <w:spacing w:line="360" w:lineRule="auto"/>
              <w:jc w:val="both"/>
              <w:rPr>
                <w:sz w:val="20"/>
                <w:szCs w:val="20"/>
              </w:rPr>
            </w:pPr>
            <w:r w:rsidRPr="003F68BC">
              <w:rPr>
                <w:sz w:val="20"/>
                <w:szCs w:val="20"/>
              </w:rPr>
              <w:t>2.5</w:t>
            </w:r>
          </w:p>
        </w:tc>
        <w:tc>
          <w:tcPr>
            <w:tcW w:w="700" w:type="pct"/>
            <w:noWrap/>
            <w:hideMark/>
          </w:tcPr>
          <w:p w14:paraId="4B501F8F" w14:textId="77777777" w:rsidR="00CB4E4D" w:rsidRPr="003F68BC" w:rsidRDefault="00CB4E4D" w:rsidP="00047E6C">
            <w:pPr>
              <w:spacing w:line="360" w:lineRule="auto"/>
              <w:jc w:val="both"/>
              <w:rPr>
                <w:sz w:val="20"/>
                <w:szCs w:val="20"/>
              </w:rPr>
            </w:pPr>
            <w:r w:rsidRPr="003F68BC">
              <w:rPr>
                <w:sz w:val="20"/>
                <w:szCs w:val="20"/>
              </w:rPr>
              <w:t>4.0*</w:t>
            </w:r>
          </w:p>
        </w:tc>
      </w:tr>
      <w:tr w:rsidR="00CB4E4D" w:rsidRPr="003F68BC" w14:paraId="795D2963" w14:textId="77777777" w:rsidTr="00047E6C">
        <w:trPr>
          <w:trHeight w:val="300"/>
        </w:trPr>
        <w:tc>
          <w:tcPr>
            <w:tcW w:w="2477" w:type="pct"/>
            <w:noWrap/>
            <w:vAlign w:val="bottom"/>
            <w:hideMark/>
          </w:tcPr>
          <w:p w14:paraId="79839B91" w14:textId="77777777" w:rsidR="00CB4E4D" w:rsidRPr="003F68BC" w:rsidRDefault="00CB4E4D" w:rsidP="00047E6C">
            <w:pPr>
              <w:spacing w:line="360" w:lineRule="auto"/>
              <w:jc w:val="both"/>
              <w:rPr>
                <w:sz w:val="20"/>
                <w:szCs w:val="20"/>
              </w:rPr>
            </w:pPr>
            <w:r w:rsidRPr="003F68BC">
              <w:rPr>
                <w:i/>
                <w:sz w:val="20"/>
                <w:szCs w:val="20"/>
              </w:rPr>
              <w:t>‘Arbitration procedure’</w:t>
            </w:r>
          </w:p>
        </w:tc>
        <w:tc>
          <w:tcPr>
            <w:tcW w:w="607" w:type="pct"/>
            <w:noWrap/>
            <w:hideMark/>
          </w:tcPr>
          <w:p w14:paraId="48F3F68C" w14:textId="77777777" w:rsidR="00CB4E4D" w:rsidRPr="003F68BC" w:rsidRDefault="00CB4E4D" w:rsidP="00047E6C">
            <w:pPr>
              <w:spacing w:line="360" w:lineRule="auto"/>
              <w:jc w:val="both"/>
              <w:rPr>
                <w:sz w:val="20"/>
                <w:szCs w:val="20"/>
              </w:rPr>
            </w:pPr>
            <w:r w:rsidRPr="003F68BC">
              <w:rPr>
                <w:sz w:val="20"/>
                <w:szCs w:val="20"/>
              </w:rPr>
              <w:t>1.6</w:t>
            </w:r>
          </w:p>
        </w:tc>
        <w:tc>
          <w:tcPr>
            <w:tcW w:w="608" w:type="pct"/>
            <w:noWrap/>
            <w:hideMark/>
          </w:tcPr>
          <w:p w14:paraId="52462FDA" w14:textId="77777777" w:rsidR="00CB4E4D" w:rsidRPr="003F68BC" w:rsidRDefault="00CB4E4D" w:rsidP="00047E6C">
            <w:pPr>
              <w:spacing w:line="360" w:lineRule="auto"/>
              <w:jc w:val="both"/>
              <w:rPr>
                <w:sz w:val="20"/>
                <w:szCs w:val="20"/>
              </w:rPr>
            </w:pPr>
            <w:r w:rsidRPr="003F68BC">
              <w:rPr>
                <w:sz w:val="20"/>
                <w:szCs w:val="20"/>
              </w:rPr>
              <w:t>2.0</w:t>
            </w:r>
          </w:p>
        </w:tc>
        <w:tc>
          <w:tcPr>
            <w:tcW w:w="608" w:type="pct"/>
            <w:noWrap/>
            <w:hideMark/>
          </w:tcPr>
          <w:p w14:paraId="69A6939D" w14:textId="77777777" w:rsidR="00CB4E4D" w:rsidRPr="003F68BC" w:rsidRDefault="00CB4E4D" w:rsidP="00047E6C">
            <w:pPr>
              <w:spacing w:line="360" w:lineRule="auto"/>
              <w:jc w:val="both"/>
              <w:rPr>
                <w:sz w:val="20"/>
                <w:szCs w:val="20"/>
              </w:rPr>
            </w:pPr>
            <w:r w:rsidRPr="003F68BC">
              <w:rPr>
                <w:sz w:val="20"/>
                <w:szCs w:val="20"/>
              </w:rPr>
              <w:t>1.0</w:t>
            </w:r>
          </w:p>
        </w:tc>
        <w:tc>
          <w:tcPr>
            <w:tcW w:w="700" w:type="pct"/>
            <w:noWrap/>
            <w:hideMark/>
          </w:tcPr>
          <w:p w14:paraId="3679CA93" w14:textId="77777777" w:rsidR="00CB4E4D" w:rsidRPr="003F68BC" w:rsidRDefault="00CB4E4D" w:rsidP="00047E6C">
            <w:pPr>
              <w:spacing w:line="360" w:lineRule="auto"/>
              <w:jc w:val="both"/>
              <w:rPr>
                <w:sz w:val="20"/>
                <w:szCs w:val="20"/>
              </w:rPr>
            </w:pPr>
            <w:r w:rsidRPr="003F68BC">
              <w:rPr>
                <w:sz w:val="20"/>
                <w:szCs w:val="20"/>
              </w:rPr>
              <w:t>0.0</w:t>
            </w:r>
          </w:p>
        </w:tc>
      </w:tr>
      <w:tr w:rsidR="00CB4E4D" w:rsidRPr="003F68BC" w14:paraId="4B73BB40" w14:textId="77777777" w:rsidTr="00047E6C">
        <w:trPr>
          <w:trHeight w:val="300"/>
        </w:trPr>
        <w:tc>
          <w:tcPr>
            <w:tcW w:w="2477" w:type="pct"/>
            <w:noWrap/>
            <w:vAlign w:val="bottom"/>
            <w:hideMark/>
          </w:tcPr>
          <w:p w14:paraId="0609BFD1" w14:textId="77777777" w:rsidR="00CB4E4D" w:rsidRPr="003F68BC" w:rsidRDefault="00CB4E4D" w:rsidP="00047E6C">
            <w:pPr>
              <w:spacing w:line="360" w:lineRule="auto"/>
              <w:jc w:val="both"/>
              <w:rPr>
                <w:sz w:val="20"/>
                <w:szCs w:val="20"/>
              </w:rPr>
            </w:pPr>
            <w:r w:rsidRPr="003F68BC">
              <w:rPr>
                <w:i/>
                <w:sz w:val="20"/>
                <w:szCs w:val="20"/>
              </w:rPr>
              <w:t>‘Determining the subject matter of the arbitration’</w:t>
            </w:r>
          </w:p>
        </w:tc>
        <w:tc>
          <w:tcPr>
            <w:tcW w:w="607" w:type="pct"/>
            <w:noWrap/>
            <w:hideMark/>
          </w:tcPr>
          <w:p w14:paraId="3F106A5A" w14:textId="77777777" w:rsidR="00CB4E4D" w:rsidRPr="003F68BC" w:rsidRDefault="00CB4E4D" w:rsidP="00047E6C">
            <w:pPr>
              <w:spacing w:line="360" w:lineRule="auto"/>
              <w:jc w:val="both"/>
              <w:rPr>
                <w:sz w:val="20"/>
                <w:szCs w:val="20"/>
              </w:rPr>
            </w:pPr>
            <w:r w:rsidRPr="003F68BC">
              <w:rPr>
                <w:sz w:val="20"/>
                <w:szCs w:val="20"/>
              </w:rPr>
              <w:t>0.7</w:t>
            </w:r>
          </w:p>
        </w:tc>
        <w:tc>
          <w:tcPr>
            <w:tcW w:w="608" w:type="pct"/>
            <w:noWrap/>
            <w:hideMark/>
          </w:tcPr>
          <w:p w14:paraId="73CCC5B9" w14:textId="77777777" w:rsidR="00CB4E4D" w:rsidRPr="003F68BC" w:rsidRDefault="00CB4E4D" w:rsidP="00047E6C">
            <w:pPr>
              <w:spacing w:line="360" w:lineRule="auto"/>
              <w:jc w:val="both"/>
              <w:rPr>
                <w:sz w:val="20"/>
                <w:szCs w:val="20"/>
              </w:rPr>
            </w:pPr>
            <w:r w:rsidRPr="003F68BC">
              <w:rPr>
                <w:sz w:val="20"/>
                <w:szCs w:val="20"/>
              </w:rPr>
              <w:t>1.8</w:t>
            </w:r>
          </w:p>
        </w:tc>
        <w:tc>
          <w:tcPr>
            <w:tcW w:w="608" w:type="pct"/>
            <w:noWrap/>
            <w:hideMark/>
          </w:tcPr>
          <w:p w14:paraId="11CA51E8" w14:textId="77777777" w:rsidR="00CB4E4D" w:rsidRPr="003F68BC" w:rsidRDefault="00CB4E4D" w:rsidP="00047E6C">
            <w:pPr>
              <w:spacing w:line="360" w:lineRule="auto"/>
              <w:jc w:val="both"/>
              <w:rPr>
                <w:sz w:val="20"/>
                <w:szCs w:val="20"/>
              </w:rPr>
            </w:pPr>
            <w:r w:rsidRPr="003F68BC">
              <w:rPr>
                <w:sz w:val="20"/>
                <w:szCs w:val="20"/>
              </w:rPr>
              <w:t>0.0</w:t>
            </w:r>
          </w:p>
        </w:tc>
        <w:tc>
          <w:tcPr>
            <w:tcW w:w="700" w:type="pct"/>
            <w:noWrap/>
            <w:hideMark/>
          </w:tcPr>
          <w:p w14:paraId="19B4E2F6" w14:textId="77777777" w:rsidR="00CB4E4D" w:rsidRPr="003F68BC" w:rsidRDefault="00CB4E4D" w:rsidP="00047E6C">
            <w:pPr>
              <w:spacing w:line="360" w:lineRule="auto"/>
              <w:jc w:val="both"/>
              <w:rPr>
                <w:sz w:val="20"/>
                <w:szCs w:val="20"/>
              </w:rPr>
            </w:pPr>
            <w:r w:rsidRPr="003F68BC">
              <w:rPr>
                <w:sz w:val="20"/>
                <w:szCs w:val="20"/>
              </w:rPr>
              <w:t>0.2</w:t>
            </w:r>
          </w:p>
        </w:tc>
      </w:tr>
      <w:tr w:rsidR="00CB4E4D" w:rsidRPr="003F68BC" w14:paraId="202FE301" w14:textId="77777777" w:rsidTr="00047E6C">
        <w:trPr>
          <w:trHeight w:val="300"/>
        </w:trPr>
        <w:tc>
          <w:tcPr>
            <w:tcW w:w="2477" w:type="pct"/>
            <w:noWrap/>
            <w:vAlign w:val="bottom"/>
            <w:hideMark/>
          </w:tcPr>
          <w:p w14:paraId="31E375D2" w14:textId="77777777" w:rsidR="00CB4E4D" w:rsidRPr="003F68BC" w:rsidRDefault="00CB4E4D" w:rsidP="00047E6C">
            <w:pPr>
              <w:spacing w:line="360" w:lineRule="auto"/>
              <w:jc w:val="both"/>
              <w:rPr>
                <w:sz w:val="20"/>
                <w:szCs w:val="20"/>
              </w:rPr>
            </w:pPr>
            <w:r w:rsidRPr="003F68BC">
              <w:rPr>
                <w:i/>
                <w:sz w:val="20"/>
                <w:szCs w:val="20"/>
              </w:rPr>
              <w:t xml:space="preserve">‘Effects and limits of agency’ </w:t>
            </w:r>
          </w:p>
        </w:tc>
        <w:tc>
          <w:tcPr>
            <w:tcW w:w="607" w:type="pct"/>
            <w:noWrap/>
            <w:hideMark/>
          </w:tcPr>
          <w:p w14:paraId="7E2BBE85" w14:textId="77777777" w:rsidR="00CB4E4D" w:rsidRPr="003F68BC" w:rsidRDefault="00CB4E4D" w:rsidP="00047E6C">
            <w:pPr>
              <w:spacing w:line="360" w:lineRule="auto"/>
              <w:jc w:val="both"/>
              <w:rPr>
                <w:sz w:val="20"/>
                <w:szCs w:val="20"/>
              </w:rPr>
            </w:pPr>
            <w:r w:rsidRPr="003F68BC">
              <w:rPr>
                <w:sz w:val="20"/>
                <w:szCs w:val="20"/>
              </w:rPr>
              <w:t>0.0</w:t>
            </w:r>
          </w:p>
        </w:tc>
        <w:tc>
          <w:tcPr>
            <w:tcW w:w="608" w:type="pct"/>
            <w:noWrap/>
            <w:hideMark/>
          </w:tcPr>
          <w:p w14:paraId="6F38EE39" w14:textId="77777777" w:rsidR="00CB4E4D" w:rsidRPr="003F68BC" w:rsidRDefault="00CB4E4D" w:rsidP="00047E6C">
            <w:pPr>
              <w:spacing w:line="360" w:lineRule="auto"/>
              <w:jc w:val="both"/>
              <w:rPr>
                <w:sz w:val="20"/>
                <w:szCs w:val="20"/>
              </w:rPr>
            </w:pPr>
            <w:r w:rsidRPr="003F68BC">
              <w:rPr>
                <w:sz w:val="20"/>
                <w:szCs w:val="20"/>
              </w:rPr>
              <w:t>1.5</w:t>
            </w:r>
          </w:p>
        </w:tc>
        <w:tc>
          <w:tcPr>
            <w:tcW w:w="608" w:type="pct"/>
            <w:noWrap/>
            <w:hideMark/>
          </w:tcPr>
          <w:p w14:paraId="7617EEEC" w14:textId="77777777" w:rsidR="00CB4E4D" w:rsidRPr="003F68BC" w:rsidRDefault="00CB4E4D" w:rsidP="00047E6C">
            <w:pPr>
              <w:spacing w:line="360" w:lineRule="auto"/>
              <w:jc w:val="both"/>
              <w:rPr>
                <w:sz w:val="20"/>
                <w:szCs w:val="20"/>
              </w:rPr>
            </w:pPr>
            <w:r w:rsidRPr="003F68BC">
              <w:rPr>
                <w:sz w:val="20"/>
                <w:szCs w:val="20"/>
              </w:rPr>
              <w:t>0.0</w:t>
            </w:r>
          </w:p>
        </w:tc>
        <w:tc>
          <w:tcPr>
            <w:tcW w:w="700" w:type="pct"/>
            <w:noWrap/>
            <w:hideMark/>
          </w:tcPr>
          <w:p w14:paraId="0F35DB6F" w14:textId="77777777" w:rsidR="00CB4E4D" w:rsidRPr="003F68BC" w:rsidRDefault="00CB4E4D" w:rsidP="00047E6C">
            <w:pPr>
              <w:spacing w:line="360" w:lineRule="auto"/>
              <w:jc w:val="both"/>
              <w:rPr>
                <w:sz w:val="20"/>
                <w:szCs w:val="20"/>
              </w:rPr>
            </w:pPr>
            <w:r w:rsidRPr="003F68BC">
              <w:rPr>
                <w:sz w:val="20"/>
                <w:szCs w:val="20"/>
              </w:rPr>
              <w:t>0.6</w:t>
            </w:r>
          </w:p>
        </w:tc>
      </w:tr>
      <w:tr w:rsidR="00CB4E4D" w:rsidRPr="003F68BC" w14:paraId="6AF5EC8E" w14:textId="77777777" w:rsidTr="00047E6C">
        <w:trPr>
          <w:trHeight w:val="300"/>
        </w:trPr>
        <w:tc>
          <w:tcPr>
            <w:tcW w:w="2477" w:type="pct"/>
            <w:noWrap/>
            <w:vAlign w:val="bottom"/>
            <w:hideMark/>
          </w:tcPr>
          <w:p w14:paraId="6824613F" w14:textId="77777777" w:rsidR="00CB4E4D" w:rsidRPr="003F68BC" w:rsidRDefault="00CB4E4D" w:rsidP="00047E6C">
            <w:pPr>
              <w:spacing w:line="360" w:lineRule="auto"/>
              <w:jc w:val="both"/>
              <w:rPr>
                <w:sz w:val="20"/>
                <w:szCs w:val="20"/>
              </w:rPr>
            </w:pPr>
            <w:r w:rsidRPr="003F68BC">
              <w:rPr>
                <w:i/>
                <w:sz w:val="20"/>
                <w:szCs w:val="20"/>
              </w:rPr>
              <w:t>‘Jurisdiction of court’</w:t>
            </w:r>
          </w:p>
        </w:tc>
        <w:tc>
          <w:tcPr>
            <w:tcW w:w="607" w:type="pct"/>
            <w:noWrap/>
            <w:hideMark/>
          </w:tcPr>
          <w:p w14:paraId="56B39D74" w14:textId="77777777" w:rsidR="00CB4E4D" w:rsidRPr="003F68BC" w:rsidRDefault="00CB4E4D" w:rsidP="00047E6C">
            <w:pPr>
              <w:spacing w:line="360" w:lineRule="auto"/>
              <w:jc w:val="both"/>
              <w:rPr>
                <w:sz w:val="20"/>
                <w:szCs w:val="20"/>
              </w:rPr>
            </w:pPr>
            <w:r w:rsidRPr="003F68BC">
              <w:rPr>
                <w:sz w:val="20"/>
                <w:szCs w:val="20"/>
              </w:rPr>
              <w:t>0.2</w:t>
            </w:r>
          </w:p>
        </w:tc>
        <w:tc>
          <w:tcPr>
            <w:tcW w:w="608" w:type="pct"/>
            <w:noWrap/>
            <w:hideMark/>
          </w:tcPr>
          <w:p w14:paraId="43AC56BD" w14:textId="77777777" w:rsidR="00CB4E4D" w:rsidRPr="003F68BC" w:rsidRDefault="00CB4E4D" w:rsidP="00047E6C">
            <w:pPr>
              <w:spacing w:line="360" w:lineRule="auto"/>
              <w:jc w:val="both"/>
              <w:rPr>
                <w:sz w:val="20"/>
                <w:szCs w:val="20"/>
              </w:rPr>
            </w:pPr>
            <w:r w:rsidRPr="003F68BC">
              <w:rPr>
                <w:sz w:val="20"/>
                <w:szCs w:val="20"/>
              </w:rPr>
              <w:t>0.4</w:t>
            </w:r>
          </w:p>
        </w:tc>
        <w:tc>
          <w:tcPr>
            <w:tcW w:w="608" w:type="pct"/>
            <w:noWrap/>
            <w:hideMark/>
          </w:tcPr>
          <w:p w14:paraId="45886435" w14:textId="77777777" w:rsidR="00CB4E4D" w:rsidRPr="003F68BC" w:rsidRDefault="00CB4E4D" w:rsidP="00047E6C">
            <w:pPr>
              <w:spacing w:line="360" w:lineRule="auto"/>
              <w:jc w:val="both"/>
              <w:rPr>
                <w:sz w:val="20"/>
                <w:szCs w:val="20"/>
              </w:rPr>
            </w:pPr>
            <w:r w:rsidRPr="003F68BC">
              <w:rPr>
                <w:sz w:val="20"/>
                <w:szCs w:val="20"/>
              </w:rPr>
              <w:t>0.0</w:t>
            </w:r>
          </w:p>
        </w:tc>
        <w:tc>
          <w:tcPr>
            <w:tcW w:w="700" w:type="pct"/>
            <w:noWrap/>
            <w:hideMark/>
          </w:tcPr>
          <w:p w14:paraId="1C790D0A" w14:textId="77777777" w:rsidR="00CB4E4D" w:rsidRPr="003F68BC" w:rsidRDefault="00CB4E4D" w:rsidP="00047E6C">
            <w:pPr>
              <w:spacing w:line="360" w:lineRule="auto"/>
              <w:jc w:val="both"/>
              <w:rPr>
                <w:sz w:val="20"/>
                <w:szCs w:val="20"/>
              </w:rPr>
            </w:pPr>
            <w:r w:rsidRPr="003F68BC">
              <w:rPr>
                <w:sz w:val="20"/>
                <w:szCs w:val="20"/>
              </w:rPr>
              <w:t>4.9*</w:t>
            </w:r>
          </w:p>
        </w:tc>
      </w:tr>
      <w:tr w:rsidR="00CB4E4D" w:rsidRPr="003F68BC" w14:paraId="4E02A81C" w14:textId="77777777" w:rsidTr="00047E6C">
        <w:trPr>
          <w:trHeight w:val="300"/>
        </w:trPr>
        <w:tc>
          <w:tcPr>
            <w:tcW w:w="2477" w:type="pct"/>
            <w:noWrap/>
            <w:vAlign w:val="bottom"/>
            <w:hideMark/>
          </w:tcPr>
          <w:p w14:paraId="7780FF11" w14:textId="77777777" w:rsidR="00CB4E4D" w:rsidRPr="003F68BC" w:rsidRDefault="00CB4E4D" w:rsidP="00047E6C">
            <w:pPr>
              <w:spacing w:line="360" w:lineRule="auto"/>
              <w:jc w:val="both"/>
              <w:rPr>
                <w:sz w:val="20"/>
                <w:szCs w:val="20"/>
              </w:rPr>
            </w:pPr>
            <w:r w:rsidRPr="003F68BC">
              <w:rPr>
                <w:i/>
                <w:sz w:val="20"/>
                <w:szCs w:val="20"/>
              </w:rPr>
              <w:t>‘Null, void and cancelled awards’</w:t>
            </w:r>
          </w:p>
        </w:tc>
        <w:tc>
          <w:tcPr>
            <w:tcW w:w="607" w:type="pct"/>
            <w:noWrap/>
            <w:hideMark/>
          </w:tcPr>
          <w:p w14:paraId="2AC61634" w14:textId="77777777" w:rsidR="00CB4E4D" w:rsidRPr="003F68BC" w:rsidRDefault="00CB4E4D" w:rsidP="00047E6C">
            <w:pPr>
              <w:spacing w:line="360" w:lineRule="auto"/>
              <w:jc w:val="both"/>
              <w:rPr>
                <w:sz w:val="20"/>
                <w:szCs w:val="20"/>
              </w:rPr>
            </w:pPr>
            <w:r w:rsidRPr="003F68BC">
              <w:rPr>
                <w:sz w:val="20"/>
                <w:szCs w:val="20"/>
              </w:rPr>
              <w:t>0.0</w:t>
            </w:r>
          </w:p>
        </w:tc>
        <w:tc>
          <w:tcPr>
            <w:tcW w:w="608" w:type="pct"/>
            <w:noWrap/>
            <w:hideMark/>
          </w:tcPr>
          <w:p w14:paraId="0C4E9971" w14:textId="77777777" w:rsidR="00CB4E4D" w:rsidRPr="003F68BC" w:rsidRDefault="00CB4E4D" w:rsidP="00047E6C">
            <w:pPr>
              <w:spacing w:line="360" w:lineRule="auto"/>
              <w:jc w:val="both"/>
              <w:rPr>
                <w:sz w:val="20"/>
                <w:szCs w:val="20"/>
              </w:rPr>
            </w:pPr>
            <w:r w:rsidRPr="003F68BC">
              <w:rPr>
                <w:sz w:val="20"/>
                <w:szCs w:val="20"/>
              </w:rPr>
              <w:t>23.6**</w:t>
            </w:r>
          </w:p>
        </w:tc>
        <w:tc>
          <w:tcPr>
            <w:tcW w:w="608" w:type="pct"/>
            <w:noWrap/>
            <w:hideMark/>
          </w:tcPr>
          <w:p w14:paraId="3E6141A4" w14:textId="77777777" w:rsidR="00CB4E4D" w:rsidRPr="003F68BC" w:rsidRDefault="00CB4E4D" w:rsidP="00047E6C">
            <w:pPr>
              <w:spacing w:line="360" w:lineRule="auto"/>
              <w:jc w:val="both"/>
              <w:rPr>
                <w:sz w:val="20"/>
                <w:szCs w:val="20"/>
              </w:rPr>
            </w:pPr>
            <w:r w:rsidRPr="003F68BC">
              <w:rPr>
                <w:sz w:val="20"/>
                <w:szCs w:val="20"/>
              </w:rPr>
              <w:t>0.0</w:t>
            </w:r>
          </w:p>
        </w:tc>
        <w:tc>
          <w:tcPr>
            <w:tcW w:w="700" w:type="pct"/>
            <w:noWrap/>
            <w:hideMark/>
          </w:tcPr>
          <w:p w14:paraId="34201642" w14:textId="77777777" w:rsidR="00CB4E4D" w:rsidRPr="003F68BC" w:rsidRDefault="00CB4E4D" w:rsidP="00047E6C">
            <w:pPr>
              <w:spacing w:line="360" w:lineRule="auto"/>
              <w:jc w:val="both"/>
              <w:rPr>
                <w:sz w:val="20"/>
                <w:szCs w:val="20"/>
              </w:rPr>
            </w:pPr>
            <w:r w:rsidRPr="003F68BC">
              <w:rPr>
                <w:sz w:val="20"/>
                <w:szCs w:val="20"/>
              </w:rPr>
              <w:t>16.8**</w:t>
            </w:r>
          </w:p>
        </w:tc>
      </w:tr>
      <w:tr w:rsidR="00CB4E4D" w:rsidRPr="003F68BC" w14:paraId="2FF4C709" w14:textId="77777777" w:rsidTr="00047E6C">
        <w:trPr>
          <w:trHeight w:val="300"/>
        </w:trPr>
        <w:tc>
          <w:tcPr>
            <w:tcW w:w="2477" w:type="pct"/>
            <w:noWrap/>
            <w:vAlign w:val="bottom"/>
            <w:hideMark/>
          </w:tcPr>
          <w:p w14:paraId="56F8149C" w14:textId="77777777" w:rsidR="00CB4E4D" w:rsidRPr="003F68BC" w:rsidRDefault="00CB4E4D" w:rsidP="00047E6C">
            <w:pPr>
              <w:spacing w:line="360" w:lineRule="auto"/>
              <w:jc w:val="both"/>
              <w:rPr>
                <w:sz w:val="20"/>
                <w:szCs w:val="20"/>
              </w:rPr>
            </w:pPr>
            <w:r w:rsidRPr="003F68BC">
              <w:rPr>
                <w:i/>
                <w:sz w:val="20"/>
                <w:szCs w:val="20"/>
              </w:rPr>
              <w:t>‘The arbitration contract’</w:t>
            </w:r>
          </w:p>
        </w:tc>
        <w:tc>
          <w:tcPr>
            <w:tcW w:w="607" w:type="pct"/>
            <w:noWrap/>
            <w:hideMark/>
          </w:tcPr>
          <w:p w14:paraId="063B87BB" w14:textId="77777777" w:rsidR="00CB4E4D" w:rsidRPr="003F68BC" w:rsidRDefault="00CB4E4D" w:rsidP="00047E6C">
            <w:pPr>
              <w:spacing w:line="360" w:lineRule="auto"/>
              <w:jc w:val="both"/>
              <w:rPr>
                <w:sz w:val="20"/>
                <w:szCs w:val="20"/>
              </w:rPr>
            </w:pPr>
            <w:r w:rsidRPr="003F68BC">
              <w:rPr>
                <w:sz w:val="20"/>
                <w:szCs w:val="20"/>
              </w:rPr>
              <w:t>0.0</w:t>
            </w:r>
          </w:p>
        </w:tc>
        <w:tc>
          <w:tcPr>
            <w:tcW w:w="608" w:type="pct"/>
            <w:noWrap/>
            <w:hideMark/>
          </w:tcPr>
          <w:p w14:paraId="34D2C95B" w14:textId="77777777" w:rsidR="00CB4E4D" w:rsidRPr="003F68BC" w:rsidRDefault="00CB4E4D" w:rsidP="00047E6C">
            <w:pPr>
              <w:spacing w:line="360" w:lineRule="auto"/>
              <w:jc w:val="both"/>
              <w:rPr>
                <w:sz w:val="20"/>
                <w:szCs w:val="20"/>
              </w:rPr>
            </w:pPr>
            <w:r w:rsidRPr="003F68BC">
              <w:rPr>
                <w:sz w:val="20"/>
                <w:szCs w:val="20"/>
              </w:rPr>
              <w:t>1.9</w:t>
            </w:r>
          </w:p>
        </w:tc>
        <w:tc>
          <w:tcPr>
            <w:tcW w:w="608" w:type="pct"/>
            <w:noWrap/>
            <w:hideMark/>
          </w:tcPr>
          <w:p w14:paraId="15837949" w14:textId="77777777" w:rsidR="00CB4E4D" w:rsidRPr="003F68BC" w:rsidRDefault="00CB4E4D" w:rsidP="00047E6C">
            <w:pPr>
              <w:spacing w:line="360" w:lineRule="auto"/>
              <w:jc w:val="both"/>
              <w:rPr>
                <w:sz w:val="20"/>
                <w:szCs w:val="20"/>
              </w:rPr>
            </w:pPr>
            <w:r w:rsidRPr="003F68BC">
              <w:rPr>
                <w:sz w:val="20"/>
                <w:szCs w:val="20"/>
              </w:rPr>
              <w:t>0.0</w:t>
            </w:r>
          </w:p>
        </w:tc>
        <w:tc>
          <w:tcPr>
            <w:tcW w:w="700" w:type="pct"/>
            <w:noWrap/>
            <w:hideMark/>
          </w:tcPr>
          <w:p w14:paraId="6FD09519" w14:textId="77777777" w:rsidR="00CB4E4D" w:rsidRPr="003F68BC" w:rsidRDefault="00CB4E4D" w:rsidP="00047E6C">
            <w:pPr>
              <w:spacing w:line="360" w:lineRule="auto"/>
              <w:jc w:val="both"/>
              <w:rPr>
                <w:sz w:val="20"/>
                <w:szCs w:val="20"/>
              </w:rPr>
            </w:pPr>
            <w:r w:rsidRPr="003F68BC">
              <w:rPr>
                <w:sz w:val="20"/>
                <w:szCs w:val="20"/>
              </w:rPr>
              <w:t>0.0</w:t>
            </w:r>
          </w:p>
        </w:tc>
      </w:tr>
      <w:tr w:rsidR="00CB4E4D" w:rsidRPr="003F68BC" w14:paraId="6270E479" w14:textId="77777777" w:rsidTr="00047E6C">
        <w:trPr>
          <w:trHeight w:val="300"/>
        </w:trPr>
        <w:tc>
          <w:tcPr>
            <w:tcW w:w="5000" w:type="pct"/>
            <w:gridSpan w:val="5"/>
            <w:noWrap/>
          </w:tcPr>
          <w:p w14:paraId="5C846DEC" w14:textId="77777777" w:rsidR="00CB4E4D" w:rsidRPr="003F68BC" w:rsidRDefault="00CB4E4D" w:rsidP="00047E6C">
            <w:pPr>
              <w:spacing w:line="360" w:lineRule="auto"/>
              <w:jc w:val="both"/>
              <w:rPr>
                <w:sz w:val="20"/>
                <w:szCs w:val="20"/>
              </w:rPr>
            </w:pPr>
            <w:r w:rsidRPr="003F68BC">
              <w:rPr>
                <w:sz w:val="20"/>
                <w:szCs w:val="20"/>
              </w:rPr>
              <w:t>* p-value &lt; 0.05</w:t>
            </w:r>
          </w:p>
          <w:p w14:paraId="5F79E5C7" w14:textId="77777777" w:rsidR="00CB4E4D" w:rsidRPr="003F68BC" w:rsidRDefault="00CB4E4D" w:rsidP="00047E6C">
            <w:pPr>
              <w:spacing w:line="360" w:lineRule="auto"/>
              <w:jc w:val="both"/>
              <w:rPr>
                <w:sz w:val="20"/>
                <w:szCs w:val="20"/>
              </w:rPr>
            </w:pPr>
            <w:r w:rsidRPr="003F68BC">
              <w:rPr>
                <w:sz w:val="20"/>
                <w:szCs w:val="20"/>
              </w:rPr>
              <w:t>** p-value &lt; 0.01</w:t>
            </w:r>
          </w:p>
        </w:tc>
      </w:tr>
    </w:tbl>
    <w:p w14:paraId="1FF9E65A" w14:textId="77777777" w:rsidR="00CB4E4D" w:rsidRPr="003F68BC" w:rsidRDefault="00CB4E4D" w:rsidP="00CB4E4D">
      <w:pPr>
        <w:spacing w:line="480" w:lineRule="auto"/>
        <w:jc w:val="both"/>
      </w:pPr>
    </w:p>
    <w:p w14:paraId="087F4251" w14:textId="77777777" w:rsidR="00CB4E4D" w:rsidRPr="003F68BC" w:rsidRDefault="00CB4E4D" w:rsidP="00CB4E4D">
      <w:pPr>
        <w:spacing w:line="480" w:lineRule="auto"/>
        <w:jc w:val="both"/>
      </w:pPr>
      <w:r w:rsidRPr="003F68BC">
        <w:t xml:space="preserve">Table </w:t>
      </w:r>
      <w:r>
        <w:t>7</w:t>
      </w:r>
      <w:r w:rsidRPr="003F68BC">
        <w:t xml:space="preserve">: Analysis of Maximum Likelihood Estimates for </w:t>
      </w:r>
      <w:r w:rsidRPr="003F68BC">
        <w:rPr>
          <w:bCs/>
          <w:i/>
        </w:rPr>
        <w:t>Dubai Courts</w:t>
      </w:r>
    </w:p>
    <w:tbl>
      <w:tblPr>
        <w:tblW w:w="4807"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2"/>
        <w:gridCol w:w="849"/>
        <w:gridCol w:w="424"/>
        <w:gridCol w:w="926"/>
        <w:gridCol w:w="911"/>
        <w:gridCol w:w="1258"/>
        <w:gridCol w:w="1059"/>
      </w:tblGrid>
      <w:tr w:rsidR="00CB4E4D" w:rsidRPr="003F68BC" w14:paraId="2127997B" w14:textId="77777777" w:rsidTr="00047E6C">
        <w:trPr>
          <w:trHeight w:val="285"/>
        </w:trPr>
        <w:tc>
          <w:tcPr>
            <w:tcW w:w="1981" w:type="pct"/>
            <w:vMerge w:val="restart"/>
            <w:shd w:val="clear" w:color="000000" w:fill="FFFFFF"/>
            <w:hideMark/>
          </w:tcPr>
          <w:p w14:paraId="151FCFB5" w14:textId="77777777" w:rsidR="00CB4E4D" w:rsidRPr="003F68BC" w:rsidRDefault="00CB4E4D" w:rsidP="00047E6C">
            <w:pPr>
              <w:spacing w:line="360" w:lineRule="auto"/>
              <w:rPr>
                <w:bCs/>
                <w:sz w:val="20"/>
                <w:szCs w:val="20"/>
              </w:rPr>
            </w:pPr>
            <w:r w:rsidRPr="003F68BC">
              <w:rPr>
                <w:bCs/>
                <w:sz w:val="20"/>
                <w:szCs w:val="20"/>
              </w:rPr>
              <w:t>Parameter</w:t>
            </w:r>
          </w:p>
        </w:tc>
        <w:tc>
          <w:tcPr>
            <w:tcW w:w="472" w:type="pct"/>
            <w:vMerge w:val="restart"/>
            <w:shd w:val="clear" w:color="000000" w:fill="FFFFFF"/>
            <w:hideMark/>
          </w:tcPr>
          <w:p w14:paraId="007001AA" w14:textId="77777777" w:rsidR="00CB4E4D" w:rsidRPr="003F68BC" w:rsidRDefault="00CB4E4D" w:rsidP="00047E6C">
            <w:pPr>
              <w:spacing w:line="360" w:lineRule="auto"/>
              <w:jc w:val="both"/>
              <w:rPr>
                <w:bCs/>
                <w:sz w:val="20"/>
                <w:szCs w:val="20"/>
              </w:rPr>
            </w:pPr>
            <w:r w:rsidRPr="003F68BC">
              <w:rPr>
                <w:bCs/>
                <w:sz w:val="20"/>
                <w:szCs w:val="20"/>
              </w:rPr>
              <w:t> </w:t>
            </w:r>
          </w:p>
        </w:tc>
        <w:tc>
          <w:tcPr>
            <w:tcW w:w="236" w:type="pct"/>
            <w:vMerge w:val="restart"/>
            <w:shd w:val="clear" w:color="000000" w:fill="FFFFFF"/>
            <w:hideMark/>
          </w:tcPr>
          <w:p w14:paraId="63FC7EFE" w14:textId="77777777" w:rsidR="00CB4E4D" w:rsidRPr="003F68BC" w:rsidRDefault="00CB4E4D" w:rsidP="00047E6C">
            <w:pPr>
              <w:spacing w:line="360" w:lineRule="auto"/>
              <w:jc w:val="both"/>
              <w:rPr>
                <w:bCs/>
                <w:sz w:val="20"/>
                <w:szCs w:val="20"/>
              </w:rPr>
            </w:pPr>
            <w:r w:rsidRPr="003F68BC">
              <w:rPr>
                <w:bCs/>
                <w:sz w:val="20"/>
                <w:szCs w:val="20"/>
              </w:rPr>
              <w:t>DF</w:t>
            </w:r>
          </w:p>
        </w:tc>
        <w:tc>
          <w:tcPr>
            <w:tcW w:w="515" w:type="pct"/>
            <w:vMerge w:val="restart"/>
            <w:shd w:val="clear" w:color="000000" w:fill="FFFFFF"/>
            <w:hideMark/>
          </w:tcPr>
          <w:p w14:paraId="68A0C4DE" w14:textId="77777777" w:rsidR="00CB4E4D" w:rsidRPr="003F68BC" w:rsidRDefault="00CB4E4D" w:rsidP="00047E6C">
            <w:pPr>
              <w:spacing w:line="360" w:lineRule="auto"/>
              <w:jc w:val="both"/>
              <w:rPr>
                <w:bCs/>
                <w:sz w:val="20"/>
                <w:szCs w:val="20"/>
              </w:rPr>
            </w:pPr>
            <w:r w:rsidRPr="003F68BC">
              <w:rPr>
                <w:bCs/>
                <w:sz w:val="20"/>
                <w:szCs w:val="20"/>
              </w:rPr>
              <w:t>Estimate</w:t>
            </w:r>
          </w:p>
        </w:tc>
        <w:tc>
          <w:tcPr>
            <w:tcW w:w="507" w:type="pct"/>
            <w:shd w:val="clear" w:color="000000" w:fill="FFFFFF"/>
            <w:hideMark/>
          </w:tcPr>
          <w:p w14:paraId="7AAD61D8" w14:textId="77777777" w:rsidR="00CB4E4D" w:rsidRPr="003F68BC" w:rsidRDefault="00CB4E4D" w:rsidP="00047E6C">
            <w:pPr>
              <w:spacing w:line="360" w:lineRule="auto"/>
              <w:jc w:val="both"/>
              <w:rPr>
                <w:bCs/>
                <w:sz w:val="20"/>
                <w:szCs w:val="20"/>
              </w:rPr>
            </w:pPr>
            <w:r w:rsidRPr="003F68BC">
              <w:rPr>
                <w:bCs/>
                <w:sz w:val="20"/>
                <w:szCs w:val="20"/>
              </w:rPr>
              <w:t>Standard</w:t>
            </w:r>
          </w:p>
        </w:tc>
        <w:tc>
          <w:tcPr>
            <w:tcW w:w="700" w:type="pct"/>
            <w:shd w:val="clear" w:color="000000" w:fill="FFFFFF"/>
            <w:hideMark/>
          </w:tcPr>
          <w:p w14:paraId="688F9C91" w14:textId="77777777" w:rsidR="00CB4E4D" w:rsidRPr="003F68BC" w:rsidRDefault="00CB4E4D" w:rsidP="00047E6C">
            <w:pPr>
              <w:spacing w:line="360" w:lineRule="auto"/>
              <w:jc w:val="both"/>
              <w:rPr>
                <w:bCs/>
                <w:sz w:val="20"/>
                <w:szCs w:val="20"/>
              </w:rPr>
            </w:pPr>
            <w:r w:rsidRPr="003F68BC">
              <w:rPr>
                <w:bCs/>
                <w:sz w:val="20"/>
                <w:szCs w:val="20"/>
              </w:rPr>
              <w:t>Wald</w:t>
            </w:r>
          </w:p>
        </w:tc>
        <w:tc>
          <w:tcPr>
            <w:tcW w:w="589" w:type="pct"/>
            <w:vMerge w:val="restart"/>
            <w:shd w:val="clear" w:color="000000" w:fill="FFFFFF"/>
            <w:hideMark/>
          </w:tcPr>
          <w:p w14:paraId="687665AD" w14:textId="77777777" w:rsidR="00CB4E4D" w:rsidRPr="003F68BC" w:rsidRDefault="00CB4E4D" w:rsidP="00047E6C">
            <w:pPr>
              <w:spacing w:line="360" w:lineRule="auto"/>
              <w:jc w:val="both"/>
              <w:rPr>
                <w:bCs/>
                <w:sz w:val="20"/>
                <w:szCs w:val="20"/>
              </w:rPr>
            </w:pPr>
            <w:proofErr w:type="spellStart"/>
            <w:r w:rsidRPr="003F68BC">
              <w:rPr>
                <w:bCs/>
                <w:sz w:val="20"/>
                <w:szCs w:val="20"/>
              </w:rPr>
              <w:t>Pr</w:t>
            </w:r>
            <w:proofErr w:type="spellEnd"/>
            <w:r w:rsidRPr="003F68BC">
              <w:rPr>
                <w:bCs/>
                <w:sz w:val="20"/>
                <w:szCs w:val="20"/>
              </w:rPr>
              <w:t> &gt; </w:t>
            </w:r>
            <w:proofErr w:type="spellStart"/>
            <w:r w:rsidRPr="003F68BC">
              <w:rPr>
                <w:bCs/>
                <w:sz w:val="20"/>
                <w:szCs w:val="20"/>
              </w:rPr>
              <w:t>ChiSq</w:t>
            </w:r>
            <w:proofErr w:type="spellEnd"/>
          </w:p>
        </w:tc>
      </w:tr>
      <w:tr w:rsidR="00CB4E4D" w:rsidRPr="003F68BC" w14:paraId="6CB260EE" w14:textId="77777777" w:rsidTr="00047E6C">
        <w:trPr>
          <w:trHeight w:val="285"/>
        </w:trPr>
        <w:tc>
          <w:tcPr>
            <w:tcW w:w="1981" w:type="pct"/>
            <w:vMerge/>
            <w:hideMark/>
          </w:tcPr>
          <w:p w14:paraId="0737D24A" w14:textId="77777777" w:rsidR="00CB4E4D" w:rsidRPr="003F68BC" w:rsidRDefault="00CB4E4D" w:rsidP="00047E6C">
            <w:pPr>
              <w:spacing w:line="360" w:lineRule="auto"/>
              <w:rPr>
                <w:bCs/>
                <w:sz w:val="20"/>
                <w:szCs w:val="20"/>
              </w:rPr>
            </w:pPr>
          </w:p>
        </w:tc>
        <w:tc>
          <w:tcPr>
            <w:tcW w:w="472" w:type="pct"/>
            <w:vMerge/>
            <w:hideMark/>
          </w:tcPr>
          <w:p w14:paraId="038B02C1" w14:textId="77777777" w:rsidR="00CB4E4D" w:rsidRPr="003F68BC" w:rsidRDefault="00CB4E4D" w:rsidP="00047E6C">
            <w:pPr>
              <w:spacing w:line="360" w:lineRule="auto"/>
              <w:jc w:val="both"/>
              <w:rPr>
                <w:bCs/>
                <w:sz w:val="20"/>
                <w:szCs w:val="20"/>
              </w:rPr>
            </w:pPr>
          </w:p>
        </w:tc>
        <w:tc>
          <w:tcPr>
            <w:tcW w:w="236" w:type="pct"/>
            <w:vMerge/>
            <w:hideMark/>
          </w:tcPr>
          <w:p w14:paraId="06F55D7D" w14:textId="77777777" w:rsidR="00CB4E4D" w:rsidRPr="003F68BC" w:rsidRDefault="00CB4E4D" w:rsidP="00047E6C">
            <w:pPr>
              <w:spacing w:line="360" w:lineRule="auto"/>
              <w:jc w:val="both"/>
              <w:rPr>
                <w:bCs/>
                <w:sz w:val="20"/>
                <w:szCs w:val="20"/>
              </w:rPr>
            </w:pPr>
          </w:p>
        </w:tc>
        <w:tc>
          <w:tcPr>
            <w:tcW w:w="515" w:type="pct"/>
            <w:vMerge/>
            <w:hideMark/>
          </w:tcPr>
          <w:p w14:paraId="0E1040CE" w14:textId="77777777" w:rsidR="00CB4E4D" w:rsidRPr="003F68BC" w:rsidRDefault="00CB4E4D" w:rsidP="00047E6C">
            <w:pPr>
              <w:spacing w:line="360" w:lineRule="auto"/>
              <w:jc w:val="both"/>
              <w:rPr>
                <w:bCs/>
                <w:sz w:val="20"/>
                <w:szCs w:val="20"/>
              </w:rPr>
            </w:pPr>
          </w:p>
        </w:tc>
        <w:tc>
          <w:tcPr>
            <w:tcW w:w="507" w:type="pct"/>
            <w:shd w:val="clear" w:color="000000" w:fill="FFFFFF"/>
            <w:hideMark/>
          </w:tcPr>
          <w:p w14:paraId="2092E1C0" w14:textId="77777777" w:rsidR="00CB4E4D" w:rsidRPr="003F68BC" w:rsidRDefault="00CB4E4D" w:rsidP="00047E6C">
            <w:pPr>
              <w:spacing w:line="360" w:lineRule="auto"/>
              <w:jc w:val="both"/>
              <w:rPr>
                <w:bCs/>
                <w:sz w:val="20"/>
                <w:szCs w:val="20"/>
              </w:rPr>
            </w:pPr>
            <w:r w:rsidRPr="003F68BC">
              <w:rPr>
                <w:bCs/>
                <w:sz w:val="20"/>
                <w:szCs w:val="20"/>
              </w:rPr>
              <w:t>Error</w:t>
            </w:r>
          </w:p>
        </w:tc>
        <w:tc>
          <w:tcPr>
            <w:tcW w:w="700" w:type="pct"/>
            <w:shd w:val="clear" w:color="000000" w:fill="FFFFFF"/>
            <w:hideMark/>
          </w:tcPr>
          <w:p w14:paraId="3DEB3E18" w14:textId="77777777" w:rsidR="00CB4E4D" w:rsidRPr="003F68BC" w:rsidRDefault="00CB4E4D" w:rsidP="00047E6C">
            <w:pPr>
              <w:spacing w:line="360" w:lineRule="auto"/>
              <w:jc w:val="both"/>
              <w:rPr>
                <w:bCs/>
                <w:sz w:val="20"/>
                <w:szCs w:val="20"/>
              </w:rPr>
            </w:pPr>
            <w:r w:rsidRPr="003F68BC">
              <w:rPr>
                <w:bCs/>
                <w:sz w:val="20"/>
                <w:szCs w:val="20"/>
              </w:rPr>
              <w:t>Chi-Square</w:t>
            </w:r>
          </w:p>
        </w:tc>
        <w:tc>
          <w:tcPr>
            <w:tcW w:w="589" w:type="pct"/>
            <w:vMerge/>
            <w:hideMark/>
          </w:tcPr>
          <w:p w14:paraId="04B9F32B" w14:textId="77777777" w:rsidR="00CB4E4D" w:rsidRPr="003F68BC" w:rsidRDefault="00CB4E4D" w:rsidP="00047E6C">
            <w:pPr>
              <w:spacing w:line="360" w:lineRule="auto"/>
              <w:jc w:val="both"/>
              <w:rPr>
                <w:bCs/>
                <w:sz w:val="20"/>
                <w:szCs w:val="20"/>
              </w:rPr>
            </w:pPr>
          </w:p>
        </w:tc>
      </w:tr>
      <w:tr w:rsidR="00CB4E4D" w:rsidRPr="003F68BC" w14:paraId="3E29D86D" w14:textId="77777777" w:rsidTr="00047E6C">
        <w:trPr>
          <w:trHeight w:val="285"/>
        </w:trPr>
        <w:tc>
          <w:tcPr>
            <w:tcW w:w="1981" w:type="pct"/>
            <w:shd w:val="clear" w:color="000000" w:fill="FFFFFF"/>
            <w:hideMark/>
          </w:tcPr>
          <w:p w14:paraId="123D8007" w14:textId="77777777" w:rsidR="00CB4E4D" w:rsidRPr="003F68BC" w:rsidRDefault="00CB4E4D" w:rsidP="00047E6C">
            <w:pPr>
              <w:spacing w:line="360" w:lineRule="auto"/>
              <w:rPr>
                <w:bCs/>
                <w:sz w:val="20"/>
                <w:szCs w:val="20"/>
              </w:rPr>
            </w:pPr>
            <w:r w:rsidRPr="003F68BC">
              <w:rPr>
                <w:sz w:val="20"/>
                <w:szCs w:val="20"/>
              </w:rPr>
              <w:t>Intercept</w:t>
            </w:r>
          </w:p>
        </w:tc>
        <w:tc>
          <w:tcPr>
            <w:tcW w:w="472" w:type="pct"/>
            <w:shd w:val="clear" w:color="000000" w:fill="FFFFFF"/>
            <w:hideMark/>
          </w:tcPr>
          <w:p w14:paraId="5C653FDE" w14:textId="77777777" w:rsidR="00CB4E4D" w:rsidRPr="003F68BC" w:rsidRDefault="00CB4E4D" w:rsidP="00047E6C">
            <w:pPr>
              <w:spacing w:line="360" w:lineRule="auto"/>
              <w:jc w:val="both"/>
              <w:rPr>
                <w:bCs/>
                <w:sz w:val="20"/>
                <w:szCs w:val="20"/>
              </w:rPr>
            </w:pPr>
          </w:p>
        </w:tc>
        <w:tc>
          <w:tcPr>
            <w:tcW w:w="236" w:type="pct"/>
            <w:shd w:val="clear" w:color="000000" w:fill="FFFFFF"/>
            <w:hideMark/>
          </w:tcPr>
          <w:p w14:paraId="335011BF" w14:textId="77777777" w:rsidR="00CB4E4D" w:rsidRPr="003F68BC" w:rsidRDefault="00CB4E4D" w:rsidP="00047E6C">
            <w:pPr>
              <w:spacing w:line="360" w:lineRule="auto"/>
              <w:jc w:val="both"/>
              <w:rPr>
                <w:sz w:val="20"/>
                <w:szCs w:val="20"/>
              </w:rPr>
            </w:pPr>
            <w:r w:rsidRPr="003F68BC">
              <w:rPr>
                <w:sz w:val="20"/>
                <w:szCs w:val="20"/>
              </w:rPr>
              <w:t>1</w:t>
            </w:r>
          </w:p>
        </w:tc>
        <w:tc>
          <w:tcPr>
            <w:tcW w:w="515" w:type="pct"/>
            <w:shd w:val="clear" w:color="000000" w:fill="FFFFFF"/>
            <w:hideMark/>
          </w:tcPr>
          <w:p w14:paraId="21C5AE05" w14:textId="77777777" w:rsidR="00CB4E4D" w:rsidRPr="003F68BC" w:rsidRDefault="00CB4E4D" w:rsidP="00047E6C">
            <w:pPr>
              <w:spacing w:line="360" w:lineRule="auto"/>
              <w:jc w:val="both"/>
              <w:rPr>
                <w:sz w:val="20"/>
                <w:szCs w:val="20"/>
              </w:rPr>
            </w:pPr>
            <w:r w:rsidRPr="003F68BC">
              <w:rPr>
                <w:sz w:val="20"/>
                <w:szCs w:val="20"/>
              </w:rPr>
              <w:t>0.6568</w:t>
            </w:r>
          </w:p>
        </w:tc>
        <w:tc>
          <w:tcPr>
            <w:tcW w:w="507" w:type="pct"/>
            <w:shd w:val="clear" w:color="000000" w:fill="FFFFFF"/>
            <w:hideMark/>
          </w:tcPr>
          <w:p w14:paraId="37B1C34B" w14:textId="77777777" w:rsidR="00CB4E4D" w:rsidRPr="003F68BC" w:rsidRDefault="00CB4E4D" w:rsidP="00047E6C">
            <w:pPr>
              <w:spacing w:line="360" w:lineRule="auto"/>
              <w:jc w:val="both"/>
              <w:rPr>
                <w:sz w:val="20"/>
                <w:szCs w:val="20"/>
              </w:rPr>
            </w:pPr>
            <w:r w:rsidRPr="003F68BC">
              <w:rPr>
                <w:sz w:val="20"/>
                <w:szCs w:val="20"/>
              </w:rPr>
              <w:t>0.4611</w:t>
            </w:r>
          </w:p>
        </w:tc>
        <w:tc>
          <w:tcPr>
            <w:tcW w:w="700" w:type="pct"/>
            <w:shd w:val="clear" w:color="000000" w:fill="FFFFFF"/>
            <w:hideMark/>
          </w:tcPr>
          <w:p w14:paraId="399DE70B" w14:textId="77777777" w:rsidR="00CB4E4D" w:rsidRPr="003F68BC" w:rsidRDefault="00CB4E4D" w:rsidP="00047E6C">
            <w:pPr>
              <w:spacing w:line="360" w:lineRule="auto"/>
              <w:jc w:val="both"/>
              <w:rPr>
                <w:sz w:val="20"/>
                <w:szCs w:val="20"/>
              </w:rPr>
            </w:pPr>
            <w:r w:rsidRPr="003F68BC">
              <w:rPr>
                <w:sz w:val="20"/>
                <w:szCs w:val="20"/>
              </w:rPr>
              <w:t>2.029</w:t>
            </w:r>
          </w:p>
        </w:tc>
        <w:tc>
          <w:tcPr>
            <w:tcW w:w="589" w:type="pct"/>
            <w:shd w:val="clear" w:color="000000" w:fill="FFFFFF"/>
            <w:hideMark/>
          </w:tcPr>
          <w:p w14:paraId="79B55FD1" w14:textId="77777777" w:rsidR="00CB4E4D" w:rsidRPr="003F68BC" w:rsidRDefault="00CB4E4D" w:rsidP="00047E6C">
            <w:pPr>
              <w:spacing w:line="360" w:lineRule="auto"/>
              <w:jc w:val="both"/>
              <w:rPr>
                <w:sz w:val="20"/>
                <w:szCs w:val="20"/>
              </w:rPr>
            </w:pPr>
            <w:r w:rsidRPr="003F68BC">
              <w:rPr>
                <w:sz w:val="20"/>
                <w:szCs w:val="20"/>
              </w:rPr>
              <w:t>0.1543</w:t>
            </w:r>
          </w:p>
        </w:tc>
      </w:tr>
      <w:tr w:rsidR="00CB4E4D" w:rsidRPr="003F68BC" w14:paraId="64ADD234" w14:textId="77777777" w:rsidTr="00047E6C">
        <w:trPr>
          <w:trHeight w:val="285"/>
        </w:trPr>
        <w:tc>
          <w:tcPr>
            <w:tcW w:w="1981" w:type="pct"/>
            <w:shd w:val="clear" w:color="000000" w:fill="FFFFFF"/>
            <w:hideMark/>
          </w:tcPr>
          <w:p w14:paraId="66609F0B" w14:textId="77777777" w:rsidR="00CB4E4D" w:rsidRPr="003F68BC" w:rsidRDefault="00CB4E4D" w:rsidP="00047E6C">
            <w:pPr>
              <w:spacing w:line="360" w:lineRule="auto"/>
              <w:rPr>
                <w:bCs/>
                <w:sz w:val="20"/>
                <w:szCs w:val="20"/>
              </w:rPr>
            </w:pPr>
            <w:r w:rsidRPr="003F68BC">
              <w:rPr>
                <w:i/>
                <w:sz w:val="20"/>
                <w:szCs w:val="20"/>
              </w:rPr>
              <w:t>‘Null, void and cancelled awards’</w:t>
            </w:r>
          </w:p>
        </w:tc>
        <w:tc>
          <w:tcPr>
            <w:tcW w:w="472" w:type="pct"/>
            <w:shd w:val="clear" w:color="000000" w:fill="FFFFFF"/>
            <w:hideMark/>
          </w:tcPr>
          <w:p w14:paraId="23C253D9" w14:textId="77777777" w:rsidR="00CB4E4D" w:rsidRPr="003F68BC" w:rsidRDefault="00CB4E4D" w:rsidP="00047E6C">
            <w:pPr>
              <w:spacing w:line="360" w:lineRule="auto"/>
              <w:jc w:val="both"/>
              <w:rPr>
                <w:bCs/>
                <w:sz w:val="20"/>
                <w:szCs w:val="20"/>
              </w:rPr>
            </w:pPr>
            <w:r w:rsidRPr="003F68BC">
              <w:rPr>
                <w:sz w:val="20"/>
                <w:szCs w:val="20"/>
              </w:rPr>
              <w:t>Absent</w:t>
            </w:r>
          </w:p>
        </w:tc>
        <w:tc>
          <w:tcPr>
            <w:tcW w:w="236" w:type="pct"/>
            <w:shd w:val="clear" w:color="000000" w:fill="FFFFFF"/>
            <w:hideMark/>
          </w:tcPr>
          <w:p w14:paraId="7117600E" w14:textId="77777777" w:rsidR="00CB4E4D" w:rsidRPr="003F68BC" w:rsidRDefault="00CB4E4D" w:rsidP="00047E6C">
            <w:pPr>
              <w:spacing w:line="360" w:lineRule="auto"/>
              <w:jc w:val="both"/>
              <w:rPr>
                <w:sz w:val="20"/>
                <w:szCs w:val="20"/>
              </w:rPr>
            </w:pPr>
            <w:r w:rsidRPr="003F68BC">
              <w:rPr>
                <w:sz w:val="20"/>
                <w:szCs w:val="20"/>
              </w:rPr>
              <w:t>1</w:t>
            </w:r>
          </w:p>
        </w:tc>
        <w:tc>
          <w:tcPr>
            <w:tcW w:w="515" w:type="pct"/>
            <w:shd w:val="clear" w:color="000000" w:fill="FFFFFF"/>
            <w:hideMark/>
          </w:tcPr>
          <w:p w14:paraId="28CCEA14" w14:textId="77777777" w:rsidR="00CB4E4D" w:rsidRPr="003F68BC" w:rsidRDefault="00CB4E4D" w:rsidP="00047E6C">
            <w:pPr>
              <w:spacing w:line="360" w:lineRule="auto"/>
              <w:jc w:val="both"/>
              <w:rPr>
                <w:sz w:val="20"/>
                <w:szCs w:val="20"/>
              </w:rPr>
            </w:pPr>
            <w:r w:rsidRPr="003F68BC">
              <w:rPr>
                <w:sz w:val="20"/>
                <w:szCs w:val="20"/>
              </w:rPr>
              <w:t>-1.5217</w:t>
            </w:r>
          </w:p>
        </w:tc>
        <w:tc>
          <w:tcPr>
            <w:tcW w:w="507" w:type="pct"/>
            <w:shd w:val="clear" w:color="000000" w:fill="FFFFFF"/>
            <w:hideMark/>
          </w:tcPr>
          <w:p w14:paraId="583CD7CF" w14:textId="77777777" w:rsidR="00CB4E4D" w:rsidRPr="003F68BC" w:rsidRDefault="00CB4E4D" w:rsidP="00047E6C">
            <w:pPr>
              <w:spacing w:line="360" w:lineRule="auto"/>
              <w:jc w:val="both"/>
              <w:rPr>
                <w:sz w:val="20"/>
                <w:szCs w:val="20"/>
              </w:rPr>
            </w:pPr>
            <w:r w:rsidRPr="003F68BC">
              <w:rPr>
                <w:sz w:val="20"/>
                <w:szCs w:val="20"/>
              </w:rPr>
              <w:t>0.3703</w:t>
            </w:r>
          </w:p>
        </w:tc>
        <w:tc>
          <w:tcPr>
            <w:tcW w:w="700" w:type="pct"/>
            <w:shd w:val="clear" w:color="000000" w:fill="FFFFFF"/>
            <w:hideMark/>
          </w:tcPr>
          <w:p w14:paraId="312FF22C" w14:textId="77777777" w:rsidR="00CB4E4D" w:rsidRPr="003F68BC" w:rsidRDefault="00CB4E4D" w:rsidP="00047E6C">
            <w:pPr>
              <w:spacing w:line="360" w:lineRule="auto"/>
              <w:jc w:val="both"/>
              <w:rPr>
                <w:sz w:val="20"/>
                <w:szCs w:val="20"/>
              </w:rPr>
            </w:pPr>
            <w:r w:rsidRPr="003F68BC">
              <w:rPr>
                <w:sz w:val="20"/>
                <w:szCs w:val="20"/>
              </w:rPr>
              <w:t>16.8846</w:t>
            </w:r>
          </w:p>
        </w:tc>
        <w:tc>
          <w:tcPr>
            <w:tcW w:w="589" w:type="pct"/>
            <w:shd w:val="clear" w:color="000000" w:fill="FFFFFF"/>
            <w:hideMark/>
          </w:tcPr>
          <w:p w14:paraId="176A50E3" w14:textId="77777777" w:rsidR="00CB4E4D" w:rsidRPr="003F68BC" w:rsidRDefault="00CB4E4D" w:rsidP="00047E6C">
            <w:pPr>
              <w:spacing w:line="360" w:lineRule="auto"/>
              <w:jc w:val="both"/>
              <w:rPr>
                <w:sz w:val="20"/>
                <w:szCs w:val="20"/>
              </w:rPr>
            </w:pPr>
            <w:r w:rsidRPr="003F68BC">
              <w:rPr>
                <w:sz w:val="20"/>
                <w:szCs w:val="20"/>
              </w:rPr>
              <w:t>&lt;.0001</w:t>
            </w:r>
          </w:p>
        </w:tc>
      </w:tr>
      <w:tr w:rsidR="00CB4E4D" w:rsidRPr="003F68BC" w14:paraId="32EDFB83" w14:textId="77777777" w:rsidTr="00047E6C">
        <w:trPr>
          <w:trHeight w:val="285"/>
        </w:trPr>
        <w:tc>
          <w:tcPr>
            <w:tcW w:w="1981" w:type="pct"/>
            <w:shd w:val="clear" w:color="000000" w:fill="FFFFFF"/>
            <w:hideMark/>
          </w:tcPr>
          <w:p w14:paraId="7B660880" w14:textId="77777777" w:rsidR="00CB4E4D" w:rsidRPr="003F68BC" w:rsidRDefault="00CB4E4D" w:rsidP="00047E6C">
            <w:pPr>
              <w:spacing w:line="360" w:lineRule="auto"/>
              <w:rPr>
                <w:bCs/>
                <w:sz w:val="20"/>
                <w:szCs w:val="20"/>
              </w:rPr>
            </w:pPr>
            <w:r w:rsidRPr="003F68BC">
              <w:rPr>
                <w:rFonts w:eastAsia="Calibri"/>
                <w:sz w:val="20"/>
                <w:szCs w:val="20"/>
                <w:lang w:val="en-US"/>
              </w:rPr>
              <w:t>‘</w:t>
            </w:r>
            <w:r w:rsidRPr="003F68BC">
              <w:rPr>
                <w:i/>
                <w:sz w:val="20"/>
                <w:szCs w:val="20"/>
              </w:rPr>
              <w:t>Public policy</w:t>
            </w:r>
            <w:r w:rsidRPr="003F68BC">
              <w:rPr>
                <w:sz w:val="20"/>
                <w:szCs w:val="20"/>
              </w:rPr>
              <w:t>’</w:t>
            </w:r>
          </w:p>
        </w:tc>
        <w:tc>
          <w:tcPr>
            <w:tcW w:w="472" w:type="pct"/>
            <w:shd w:val="clear" w:color="000000" w:fill="FFFFFF"/>
            <w:hideMark/>
          </w:tcPr>
          <w:p w14:paraId="1461211F" w14:textId="77777777" w:rsidR="00CB4E4D" w:rsidRPr="003F68BC" w:rsidRDefault="00CB4E4D" w:rsidP="00047E6C">
            <w:pPr>
              <w:spacing w:line="360" w:lineRule="auto"/>
              <w:jc w:val="both"/>
              <w:rPr>
                <w:bCs/>
                <w:sz w:val="20"/>
                <w:szCs w:val="20"/>
              </w:rPr>
            </w:pPr>
            <w:r w:rsidRPr="003F68BC">
              <w:rPr>
                <w:sz w:val="20"/>
                <w:szCs w:val="20"/>
              </w:rPr>
              <w:t>No</w:t>
            </w:r>
          </w:p>
        </w:tc>
        <w:tc>
          <w:tcPr>
            <w:tcW w:w="236" w:type="pct"/>
            <w:shd w:val="clear" w:color="000000" w:fill="FFFFFF"/>
            <w:hideMark/>
          </w:tcPr>
          <w:p w14:paraId="6D40573C" w14:textId="77777777" w:rsidR="00CB4E4D" w:rsidRPr="003F68BC" w:rsidRDefault="00CB4E4D" w:rsidP="00047E6C">
            <w:pPr>
              <w:spacing w:line="360" w:lineRule="auto"/>
              <w:jc w:val="both"/>
              <w:rPr>
                <w:sz w:val="20"/>
                <w:szCs w:val="20"/>
              </w:rPr>
            </w:pPr>
            <w:r w:rsidRPr="003F68BC">
              <w:rPr>
                <w:sz w:val="20"/>
                <w:szCs w:val="20"/>
              </w:rPr>
              <w:t>1</w:t>
            </w:r>
          </w:p>
        </w:tc>
        <w:tc>
          <w:tcPr>
            <w:tcW w:w="515" w:type="pct"/>
            <w:shd w:val="clear" w:color="000000" w:fill="FFFFFF"/>
            <w:noWrap/>
            <w:hideMark/>
          </w:tcPr>
          <w:p w14:paraId="585F82BF" w14:textId="77777777" w:rsidR="00CB4E4D" w:rsidRPr="003F68BC" w:rsidRDefault="00CB4E4D" w:rsidP="00047E6C">
            <w:pPr>
              <w:spacing w:line="360" w:lineRule="auto"/>
              <w:jc w:val="both"/>
              <w:rPr>
                <w:sz w:val="20"/>
                <w:szCs w:val="20"/>
              </w:rPr>
            </w:pPr>
            <w:r w:rsidRPr="003F68BC">
              <w:rPr>
                <w:sz w:val="20"/>
                <w:szCs w:val="20"/>
              </w:rPr>
              <w:t>-1.3761</w:t>
            </w:r>
          </w:p>
        </w:tc>
        <w:tc>
          <w:tcPr>
            <w:tcW w:w="507" w:type="pct"/>
            <w:shd w:val="clear" w:color="000000" w:fill="FFFFFF"/>
            <w:hideMark/>
          </w:tcPr>
          <w:p w14:paraId="6327AD3B" w14:textId="77777777" w:rsidR="00CB4E4D" w:rsidRPr="003F68BC" w:rsidRDefault="00CB4E4D" w:rsidP="00047E6C">
            <w:pPr>
              <w:spacing w:line="360" w:lineRule="auto"/>
              <w:jc w:val="both"/>
              <w:rPr>
                <w:sz w:val="20"/>
                <w:szCs w:val="20"/>
              </w:rPr>
            </w:pPr>
            <w:r w:rsidRPr="003F68BC">
              <w:rPr>
                <w:sz w:val="20"/>
                <w:szCs w:val="20"/>
              </w:rPr>
              <w:t>0.4764</w:t>
            </w:r>
          </w:p>
        </w:tc>
        <w:tc>
          <w:tcPr>
            <w:tcW w:w="700" w:type="pct"/>
            <w:shd w:val="clear" w:color="000000" w:fill="FFFFFF"/>
            <w:hideMark/>
          </w:tcPr>
          <w:p w14:paraId="042D9418" w14:textId="77777777" w:rsidR="00CB4E4D" w:rsidRPr="003F68BC" w:rsidRDefault="00CB4E4D" w:rsidP="00047E6C">
            <w:pPr>
              <w:spacing w:line="360" w:lineRule="auto"/>
              <w:jc w:val="both"/>
              <w:rPr>
                <w:sz w:val="20"/>
                <w:szCs w:val="20"/>
              </w:rPr>
            </w:pPr>
            <w:r w:rsidRPr="003F68BC">
              <w:rPr>
                <w:sz w:val="20"/>
                <w:szCs w:val="20"/>
              </w:rPr>
              <w:t>8.3423</w:t>
            </w:r>
          </w:p>
        </w:tc>
        <w:tc>
          <w:tcPr>
            <w:tcW w:w="589" w:type="pct"/>
            <w:shd w:val="clear" w:color="000000" w:fill="FFFFFF"/>
            <w:hideMark/>
          </w:tcPr>
          <w:p w14:paraId="63970028" w14:textId="77777777" w:rsidR="00CB4E4D" w:rsidRPr="003F68BC" w:rsidRDefault="00CB4E4D" w:rsidP="00047E6C">
            <w:pPr>
              <w:spacing w:line="360" w:lineRule="auto"/>
              <w:jc w:val="both"/>
              <w:rPr>
                <w:sz w:val="20"/>
                <w:szCs w:val="20"/>
              </w:rPr>
            </w:pPr>
            <w:r w:rsidRPr="003F68BC">
              <w:rPr>
                <w:sz w:val="20"/>
                <w:szCs w:val="20"/>
              </w:rPr>
              <w:t>0.0039</w:t>
            </w:r>
          </w:p>
        </w:tc>
      </w:tr>
    </w:tbl>
    <w:p w14:paraId="6ED6A987" w14:textId="77777777" w:rsidR="00CB4E4D" w:rsidRPr="003F68BC" w:rsidRDefault="00CB4E4D" w:rsidP="00CB4E4D">
      <w:pPr>
        <w:spacing w:line="360" w:lineRule="auto"/>
        <w:jc w:val="both"/>
      </w:pPr>
    </w:p>
    <w:p w14:paraId="2EA07D0F" w14:textId="77777777" w:rsidR="00CB4E4D" w:rsidRPr="003F68BC" w:rsidRDefault="00CB4E4D" w:rsidP="00CB4E4D">
      <w:pPr>
        <w:spacing w:line="480" w:lineRule="auto"/>
        <w:jc w:val="both"/>
      </w:pPr>
      <w:r w:rsidRPr="003F68BC">
        <w:t xml:space="preserve">Table </w:t>
      </w:r>
      <w:r>
        <w:t>8</w:t>
      </w:r>
      <w:r w:rsidRPr="003F68BC">
        <w:t xml:space="preserve">: Analysis of Maximum Likelihood Estimates for </w:t>
      </w:r>
      <w:r w:rsidRPr="003F68BC">
        <w:rPr>
          <w:i/>
        </w:rPr>
        <w:t>Union Supreme Court</w:t>
      </w:r>
    </w:p>
    <w:tbl>
      <w:tblPr>
        <w:tblW w:w="4814"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91"/>
        <w:gridCol w:w="923"/>
        <w:gridCol w:w="415"/>
        <w:gridCol w:w="923"/>
        <w:gridCol w:w="923"/>
        <w:gridCol w:w="922"/>
        <w:gridCol w:w="1005"/>
      </w:tblGrid>
      <w:tr w:rsidR="00CB4E4D" w:rsidRPr="003F68BC" w14:paraId="6070E23D" w14:textId="77777777" w:rsidTr="00047E6C">
        <w:trPr>
          <w:trHeight w:val="285"/>
        </w:trPr>
        <w:tc>
          <w:tcPr>
            <w:tcW w:w="2167" w:type="pct"/>
            <w:vMerge w:val="restart"/>
            <w:shd w:val="clear" w:color="000000" w:fill="FFFFFF"/>
            <w:hideMark/>
          </w:tcPr>
          <w:p w14:paraId="5DEA7001" w14:textId="77777777" w:rsidR="00CB4E4D" w:rsidRPr="003F68BC" w:rsidRDefault="00CB4E4D" w:rsidP="00047E6C">
            <w:pPr>
              <w:spacing w:line="360" w:lineRule="auto"/>
              <w:jc w:val="both"/>
              <w:rPr>
                <w:bCs/>
                <w:sz w:val="20"/>
                <w:szCs w:val="20"/>
              </w:rPr>
            </w:pPr>
            <w:r w:rsidRPr="003F68BC">
              <w:rPr>
                <w:bCs/>
                <w:sz w:val="20"/>
                <w:szCs w:val="20"/>
              </w:rPr>
              <w:t>Parameter</w:t>
            </w:r>
          </w:p>
        </w:tc>
        <w:tc>
          <w:tcPr>
            <w:tcW w:w="518" w:type="pct"/>
            <w:vMerge w:val="restart"/>
            <w:shd w:val="clear" w:color="000000" w:fill="FFFFFF"/>
            <w:hideMark/>
          </w:tcPr>
          <w:p w14:paraId="05D7C21D" w14:textId="77777777" w:rsidR="00CB4E4D" w:rsidRPr="003F68BC" w:rsidRDefault="00CB4E4D" w:rsidP="00047E6C">
            <w:pPr>
              <w:spacing w:line="360" w:lineRule="auto"/>
              <w:jc w:val="both"/>
              <w:rPr>
                <w:bCs/>
                <w:sz w:val="20"/>
                <w:szCs w:val="20"/>
              </w:rPr>
            </w:pPr>
            <w:r w:rsidRPr="003F68BC">
              <w:rPr>
                <w:bCs/>
                <w:sz w:val="20"/>
                <w:szCs w:val="20"/>
              </w:rPr>
              <w:t> </w:t>
            </w:r>
          </w:p>
        </w:tc>
        <w:tc>
          <w:tcPr>
            <w:tcW w:w="236" w:type="pct"/>
            <w:vMerge w:val="restart"/>
            <w:shd w:val="clear" w:color="000000" w:fill="FFFFFF"/>
            <w:hideMark/>
          </w:tcPr>
          <w:p w14:paraId="413E8DA7" w14:textId="77777777" w:rsidR="00CB4E4D" w:rsidRPr="003F68BC" w:rsidRDefault="00CB4E4D" w:rsidP="00047E6C">
            <w:pPr>
              <w:spacing w:line="360" w:lineRule="auto"/>
              <w:jc w:val="both"/>
              <w:rPr>
                <w:bCs/>
                <w:sz w:val="20"/>
                <w:szCs w:val="20"/>
              </w:rPr>
            </w:pPr>
            <w:r w:rsidRPr="003F68BC">
              <w:rPr>
                <w:bCs/>
                <w:sz w:val="20"/>
                <w:szCs w:val="20"/>
              </w:rPr>
              <w:t>DF</w:t>
            </w:r>
          </w:p>
        </w:tc>
        <w:tc>
          <w:tcPr>
            <w:tcW w:w="518" w:type="pct"/>
            <w:vMerge w:val="restart"/>
            <w:shd w:val="clear" w:color="000000" w:fill="FFFFFF"/>
            <w:hideMark/>
          </w:tcPr>
          <w:p w14:paraId="17CD2593" w14:textId="77777777" w:rsidR="00CB4E4D" w:rsidRPr="003F68BC" w:rsidRDefault="00CB4E4D" w:rsidP="00047E6C">
            <w:pPr>
              <w:spacing w:line="360" w:lineRule="auto"/>
              <w:jc w:val="both"/>
              <w:rPr>
                <w:bCs/>
                <w:sz w:val="20"/>
                <w:szCs w:val="20"/>
              </w:rPr>
            </w:pPr>
            <w:r w:rsidRPr="003F68BC">
              <w:rPr>
                <w:bCs/>
                <w:sz w:val="20"/>
                <w:szCs w:val="20"/>
              </w:rPr>
              <w:t>Estimate</w:t>
            </w:r>
          </w:p>
        </w:tc>
        <w:tc>
          <w:tcPr>
            <w:tcW w:w="518" w:type="pct"/>
            <w:shd w:val="clear" w:color="000000" w:fill="FFFFFF"/>
            <w:hideMark/>
          </w:tcPr>
          <w:p w14:paraId="34272D14" w14:textId="77777777" w:rsidR="00CB4E4D" w:rsidRPr="003F68BC" w:rsidRDefault="00CB4E4D" w:rsidP="00047E6C">
            <w:pPr>
              <w:spacing w:line="360" w:lineRule="auto"/>
              <w:jc w:val="both"/>
              <w:rPr>
                <w:bCs/>
                <w:sz w:val="20"/>
                <w:szCs w:val="20"/>
              </w:rPr>
            </w:pPr>
            <w:r w:rsidRPr="003F68BC">
              <w:rPr>
                <w:bCs/>
                <w:sz w:val="20"/>
                <w:szCs w:val="20"/>
              </w:rPr>
              <w:t>Standard</w:t>
            </w:r>
          </w:p>
        </w:tc>
        <w:tc>
          <w:tcPr>
            <w:tcW w:w="517" w:type="pct"/>
            <w:shd w:val="clear" w:color="000000" w:fill="FFFFFF"/>
            <w:hideMark/>
          </w:tcPr>
          <w:p w14:paraId="5DF92657" w14:textId="77777777" w:rsidR="00CB4E4D" w:rsidRPr="003F68BC" w:rsidRDefault="00CB4E4D" w:rsidP="00047E6C">
            <w:pPr>
              <w:spacing w:line="360" w:lineRule="auto"/>
              <w:jc w:val="both"/>
              <w:rPr>
                <w:bCs/>
                <w:sz w:val="20"/>
                <w:szCs w:val="20"/>
              </w:rPr>
            </w:pPr>
            <w:r w:rsidRPr="003F68BC">
              <w:rPr>
                <w:bCs/>
                <w:sz w:val="20"/>
                <w:szCs w:val="20"/>
              </w:rPr>
              <w:t>Wald</w:t>
            </w:r>
          </w:p>
        </w:tc>
        <w:tc>
          <w:tcPr>
            <w:tcW w:w="526" w:type="pct"/>
            <w:vMerge w:val="restart"/>
            <w:shd w:val="clear" w:color="000000" w:fill="FFFFFF"/>
            <w:hideMark/>
          </w:tcPr>
          <w:p w14:paraId="3A40BBC9" w14:textId="77777777" w:rsidR="00CB4E4D" w:rsidRPr="003F68BC" w:rsidRDefault="00CB4E4D" w:rsidP="00047E6C">
            <w:pPr>
              <w:spacing w:line="360" w:lineRule="auto"/>
              <w:jc w:val="both"/>
              <w:rPr>
                <w:bCs/>
                <w:sz w:val="20"/>
                <w:szCs w:val="20"/>
              </w:rPr>
            </w:pPr>
            <w:proofErr w:type="spellStart"/>
            <w:r w:rsidRPr="003F68BC">
              <w:rPr>
                <w:bCs/>
                <w:sz w:val="20"/>
                <w:szCs w:val="20"/>
              </w:rPr>
              <w:t>Pr</w:t>
            </w:r>
            <w:proofErr w:type="spellEnd"/>
            <w:r w:rsidRPr="003F68BC">
              <w:rPr>
                <w:bCs/>
                <w:sz w:val="20"/>
                <w:szCs w:val="20"/>
              </w:rPr>
              <w:t> &gt; </w:t>
            </w:r>
            <w:proofErr w:type="spellStart"/>
            <w:r w:rsidRPr="003F68BC">
              <w:rPr>
                <w:bCs/>
                <w:sz w:val="20"/>
                <w:szCs w:val="20"/>
              </w:rPr>
              <w:t>ChiSq</w:t>
            </w:r>
            <w:proofErr w:type="spellEnd"/>
          </w:p>
        </w:tc>
      </w:tr>
      <w:tr w:rsidR="00CB4E4D" w:rsidRPr="003F68BC" w14:paraId="74F2E2F2" w14:textId="77777777" w:rsidTr="00047E6C">
        <w:trPr>
          <w:trHeight w:val="285"/>
        </w:trPr>
        <w:tc>
          <w:tcPr>
            <w:tcW w:w="2167" w:type="pct"/>
            <w:vMerge/>
            <w:hideMark/>
          </w:tcPr>
          <w:p w14:paraId="65A41E4B" w14:textId="77777777" w:rsidR="00CB4E4D" w:rsidRPr="003F68BC" w:rsidRDefault="00CB4E4D" w:rsidP="00047E6C">
            <w:pPr>
              <w:spacing w:line="360" w:lineRule="auto"/>
              <w:jc w:val="both"/>
              <w:rPr>
                <w:bCs/>
                <w:sz w:val="20"/>
                <w:szCs w:val="20"/>
              </w:rPr>
            </w:pPr>
          </w:p>
        </w:tc>
        <w:tc>
          <w:tcPr>
            <w:tcW w:w="518" w:type="pct"/>
            <w:vMerge/>
            <w:hideMark/>
          </w:tcPr>
          <w:p w14:paraId="642AFECE" w14:textId="77777777" w:rsidR="00CB4E4D" w:rsidRPr="003F68BC" w:rsidRDefault="00CB4E4D" w:rsidP="00047E6C">
            <w:pPr>
              <w:spacing w:line="360" w:lineRule="auto"/>
              <w:jc w:val="both"/>
              <w:rPr>
                <w:bCs/>
                <w:sz w:val="20"/>
                <w:szCs w:val="20"/>
              </w:rPr>
            </w:pPr>
          </w:p>
        </w:tc>
        <w:tc>
          <w:tcPr>
            <w:tcW w:w="236" w:type="pct"/>
            <w:vMerge/>
            <w:hideMark/>
          </w:tcPr>
          <w:p w14:paraId="607E23B0" w14:textId="77777777" w:rsidR="00CB4E4D" w:rsidRPr="003F68BC" w:rsidRDefault="00CB4E4D" w:rsidP="00047E6C">
            <w:pPr>
              <w:spacing w:line="360" w:lineRule="auto"/>
              <w:jc w:val="both"/>
              <w:rPr>
                <w:bCs/>
                <w:sz w:val="20"/>
                <w:szCs w:val="20"/>
              </w:rPr>
            </w:pPr>
          </w:p>
        </w:tc>
        <w:tc>
          <w:tcPr>
            <w:tcW w:w="518" w:type="pct"/>
            <w:vMerge/>
            <w:hideMark/>
          </w:tcPr>
          <w:p w14:paraId="622C04A1" w14:textId="77777777" w:rsidR="00CB4E4D" w:rsidRPr="003F68BC" w:rsidRDefault="00CB4E4D" w:rsidP="00047E6C">
            <w:pPr>
              <w:spacing w:line="360" w:lineRule="auto"/>
              <w:jc w:val="both"/>
              <w:rPr>
                <w:bCs/>
                <w:sz w:val="20"/>
                <w:szCs w:val="20"/>
              </w:rPr>
            </w:pPr>
          </w:p>
        </w:tc>
        <w:tc>
          <w:tcPr>
            <w:tcW w:w="518" w:type="pct"/>
            <w:shd w:val="clear" w:color="000000" w:fill="FFFFFF"/>
            <w:hideMark/>
          </w:tcPr>
          <w:p w14:paraId="4DBA91B1" w14:textId="77777777" w:rsidR="00CB4E4D" w:rsidRPr="003F68BC" w:rsidRDefault="00CB4E4D" w:rsidP="00047E6C">
            <w:pPr>
              <w:spacing w:line="360" w:lineRule="auto"/>
              <w:jc w:val="both"/>
              <w:rPr>
                <w:bCs/>
                <w:sz w:val="20"/>
                <w:szCs w:val="20"/>
              </w:rPr>
            </w:pPr>
            <w:r w:rsidRPr="003F68BC">
              <w:rPr>
                <w:bCs/>
                <w:sz w:val="20"/>
                <w:szCs w:val="20"/>
              </w:rPr>
              <w:t>Error</w:t>
            </w:r>
          </w:p>
        </w:tc>
        <w:tc>
          <w:tcPr>
            <w:tcW w:w="517" w:type="pct"/>
            <w:shd w:val="clear" w:color="000000" w:fill="FFFFFF"/>
            <w:hideMark/>
          </w:tcPr>
          <w:p w14:paraId="09742126" w14:textId="77777777" w:rsidR="00CB4E4D" w:rsidRPr="003F68BC" w:rsidRDefault="00CB4E4D" w:rsidP="00047E6C">
            <w:pPr>
              <w:spacing w:line="360" w:lineRule="auto"/>
              <w:jc w:val="both"/>
              <w:rPr>
                <w:bCs/>
                <w:sz w:val="20"/>
                <w:szCs w:val="20"/>
              </w:rPr>
            </w:pPr>
            <w:r w:rsidRPr="003F68BC">
              <w:rPr>
                <w:bCs/>
                <w:sz w:val="20"/>
                <w:szCs w:val="20"/>
              </w:rPr>
              <w:t>Chi-Square</w:t>
            </w:r>
          </w:p>
        </w:tc>
        <w:tc>
          <w:tcPr>
            <w:tcW w:w="526" w:type="pct"/>
            <w:vMerge/>
            <w:hideMark/>
          </w:tcPr>
          <w:p w14:paraId="47286D38" w14:textId="77777777" w:rsidR="00CB4E4D" w:rsidRPr="003F68BC" w:rsidRDefault="00CB4E4D" w:rsidP="00047E6C">
            <w:pPr>
              <w:spacing w:line="360" w:lineRule="auto"/>
              <w:jc w:val="both"/>
              <w:rPr>
                <w:bCs/>
                <w:sz w:val="20"/>
                <w:szCs w:val="20"/>
              </w:rPr>
            </w:pPr>
          </w:p>
        </w:tc>
      </w:tr>
      <w:tr w:rsidR="00CB4E4D" w:rsidRPr="003F68BC" w14:paraId="5004BF99" w14:textId="77777777" w:rsidTr="00047E6C">
        <w:trPr>
          <w:trHeight w:val="285"/>
        </w:trPr>
        <w:tc>
          <w:tcPr>
            <w:tcW w:w="2167" w:type="pct"/>
            <w:shd w:val="clear" w:color="000000" w:fill="FFFFFF"/>
            <w:hideMark/>
          </w:tcPr>
          <w:p w14:paraId="24F94372" w14:textId="77777777" w:rsidR="00CB4E4D" w:rsidRPr="003F68BC" w:rsidRDefault="00CB4E4D" w:rsidP="00047E6C">
            <w:pPr>
              <w:spacing w:line="360" w:lineRule="auto"/>
              <w:jc w:val="both"/>
              <w:rPr>
                <w:bCs/>
                <w:sz w:val="20"/>
                <w:szCs w:val="20"/>
              </w:rPr>
            </w:pPr>
            <w:r w:rsidRPr="003F68BC">
              <w:rPr>
                <w:sz w:val="20"/>
                <w:szCs w:val="20"/>
              </w:rPr>
              <w:t>Intercept</w:t>
            </w:r>
          </w:p>
        </w:tc>
        <w:tc>
          <w:tcPr>
            <w:tcW w:w="518" w:type="pct"/>
            <w:shd w:val="clear" w:color="000000" w:fill="FFFFFF"/>
            <w:hideMark/>
          </w:tcPr>
          <w:p w14:paraId="099D24B0" w14:textId="77777777" w:rsidR="00CB4E4D" w:rsidRPr="003F68BC" w:rsidRDefault="00CB4E4D" w:rsidP="00047E6C">
            <w:pPr>
              <w:spacing w:line="360" w:lineRule="auto"/>
              <w:jc w:val="both"/>
              <w:rPr>
                <w:bCs/>
                <w:sz w:val="20"/>
                <w:szCs w:val="20"/>
              </w:rPr>
            </w:pPr>
          </w:p>
        </w:tc>
        <w:tc>
          <w:tcPr>
            <w:tcW w:w="236" w:type="pct"/>
            <w:shd w:val="clear" w:color="000000" w:fill="FFFFFF"/>
            <w:hideMark/>
          </w:tcPr>
          <w:p w14:paraId="6C953739" w14:textId="77777777" w:rsidR="00CB4E4D" w:rsidRPr="003F68BC" w:rsidRDefault="00CB4E4D" w:rsidP="00047E6C">
            <w:pPr>
              <w:spacing w:line="360" w:lineRule="auto"/>
              <w:jc w:val="both"/>
              <w:rPr>
                <w:sz w:val="20"/>
                <w:szCs w:val="20"/>
              </w:rPr>
            </w:pPr>
            <w:r w:rsidRPr="003F68BC">
              <w:rPr>
                <w:sz w:val="20"/>
                <w:szCs w:val="20"/>
              </w:rPr>
              <w:t>1</w:t>
            </w:r>
          </w:p>
        </w:tc>
        <w:tc>
          <w:tcPr>
            <w:tcW w:w="518" w:type="pct"/>
            <w:shd w:val="clear" w:color="000000" w:fill="FFFFFF"/>
            <w:hideMark/>
          </w:tcPr>
          <w:p w14:paraId="337463E5" w14:textId="77777777" w:rsidR="00CB4E4D" w:rsidRPr="003F68BC" w:rsidRDefault="00CB4E4D" w:rsidP="00047E6C">
            <w:pPr>
              <w:spacing w:line="360" w:lineRule="auto"/>
              <w:jc w:val="both"/>
              <w:rPr>
                <w:sz w:val="20"/>
                <w:szCs w:val="20"/>
              </w:rPr>
            </w:pPr>
            <w:r w:rsidRPr="003F68BC">
              <w:rPr>
                <w:sz w:val="20"/>
                <w:szCs w:val="20"/>
              </w:rPr>
              <w:t>1.8282</w:t>
            </w:r>
          </w:p>
        </w:tc>
        <w:tc>
          <w:tcPr>
            <w:tcW w:w="518" w:type="pct"/>
            <w:shd w:val="clear" w:color="000000" w:fill="FFFFFF"/>
            <w:hideMark/>
          </w:tcPr>
          <w:p w14:paraId="1329081C" w14:textId="77777777" w:rsidR="00CB4E4D" w:rsidRPr="003F68BC" w:rsidRDefault="00CB4E4D" w:rsidP="00047E6C">
            <w:pPr>
              <w:spacing w:line="360" w:lineRule="auto"/>
              <w:jc w:val="both"/>
              <w:rPr>
                <w:sz w:val="20"/>
                <w:szCs w:val="20"/>
              </w:rPr>
            </w:pPr>
            <w:r w:rsidRPr="003F68BC">
              <w:rPr>
                <w:sz w:val="20"/>
                <w:szCs w:val="20"/>
              </w:rPr>
              <w:t>0.7665</w:t>
            </w:r>
          </w:p>
        </w:tc>
        <w:tc>
          <w:tcPr>
            <w:tcW w:w="517" w:type="pct"/>
            <w:shd w:val="clear" w:color="000000" w:fill="FFFFFF"/>
            <w:hideMark/>
          </w:tcPr>
          <w:p w14:paraId="2828CB54" w14:textId="77777777" w:rsidR="00CB4E4D" w:rsidRPr="003F68BC" w:rsidRDefault="00CB4E4D" w:rsidP="00047E6C">
            <w:pPr>
              <w:spacing w:line="360" w:lineRule="auto"/>
              <w:jc w:val="both"/>
              <w:rPr>
                <w:sz w:val="20"/>
                <w:szCs w:val="20"/>
              </w:rPr>
            </w:pPr>
            <w:r w:rsidRPr="003F68BC">
              <w:rPr>
                <w:sz w:val="20"/>
                <w:szCs w:val="20"/>
              </w:rPr>
              <w:t>5.6893</w:t>
            </w:r>
          </w:p>
        </w:tc>
        <w:tc>
          <w:tcPr>
            <w:tcW w:w="526" w:type="pct"/>
            <w:shd w:val="clear" w:color="000000" w:fill="FFFFFF"/>
            <w:hideMark/>
          </w:tcPr>
          <w:p w14:paraId="400D0EFC" w14:textId="77777777" w:rsidR="00CB4E4D" w:rsidRPr="003F68BC" w:rsidRDefault="00CB4E4D" w:rsidP="00047E6C">
            <w:pPr>
              <w:spacing w:line="360" w:lineRule="auto"/>
              <w:jc w:val="both"/>
              <w:rPr>
                <w:sz w:val="20"/>
                <w:szCs w:val="20"/>
              </w:rPr>
            </w:pPr>
            <w:r w:rsidRPr="003F68BC">
              <w:rPr>
                <w:sz w:val="20"/>
                <w:szCs w:val="20"/>
              </w:rPr>
              <w:t>0.0171</w:t>
            </w:r>
          </w:p>
        </w:tc>
      </w:tr>
      <w:tr w:rsidR="00CB4E4D" w:rsidRPr="003F68BC" w14:paraId="0432D8A0" w14:textId="77777777" w:rsidTr="00047E6C">
        <w:trPr>
          <w:trHeight w:val="285"/>
        </w:trPr>
        <w:tc>
          <w:tcPr>
            <w:tcW w:w="2167" w:type="pct"/>
            <w:shd w:val="clear" w:color="000000" w:fill="FFFFFF"/>
            <w:hideMark/>
          </w:tcPr>
          <w:p w14:paraId="6137398E" w14:textId="77777777" w:rsidR="00CB4E4D" w:rsidRPr="003F68BC" w:rsidRDefault="00CB4E4D" w:rsidP="00047E6C">
            <w:pPr>
              <w:spacing w:line="360" w:lineRule="auto"/>
              <w:rPr>
                <w:bCs/>
                <w:sz w:val="20"/>
                <w:szCs w:val="20"/>
              </w:rPr>
            </w:pPr>
            <w:r w:rsidRPr="003F68BC">
              <w:rPr>
                <w:i/>
                <w:sz w:val="20"/>
                <w:szCs w:val="20"/>
              </w:rPr>
              <w:t>‘Null, void and cancelled awards’</w:t>
            </w:r>
          </w:p>
        </w:tc>
        <w:tc>
          <w:tcPr>
            <w:tcW w:w="518" w:type="pct"/>
            <w:shd w:val="clear" w:color="000000" w:fill="FFFFFF"/>
            <w:hideMark/>
          </w:tcPr>
          <w:p w14:paraId="1EA7E8C9" w14:textId="77777777" w:rsidR="00CB4E4D" w:rsidRPr="003F68BC" w:rsidRDefault="00CB4E4D" w:rsidP="00047E6C">
            <w:pPr>
              <w:spacing w:line="360" w:lineRule="auto"/>
              <w:jc w:val="both"/>
              <w:rPr>
                <w:bCs/>
                <w:sz w:val="20"/>
                <w:szCs w:val="20"/>
              </w:rPr>
            </w:pPr>
            <w:r w:rsidRPr="003F68BC">
              <w:rPr>
                <w:sz w:val="20"/>
                <w:szCs w:val="20"/>
              </w:rPr>
              <w:t>Absent</w:t>
            </w:r>
          </w:p>
        </w:tc>
        <w:tc>
          <w:tcPr>
            <w:tcW w:w="236" w:type="pct"/>
            <w:shd w:val="clear" w:color="000000" w:fill="FFFFFF"/>
            <w:hideMark/>
          </w:tcPr>
          <w:p w14:paraId="2A9A2596" w14:textId="77777777" w:rsidR="00CB4E4D" w:rsidRPr="003F68BC" w:rsidRDefault="00CB4E4D" w:rsidP="00047E6C">
            <w:pPr>
              <w:spacing w:line="360" w:lineRule="auto"/>
              <w:jc w:val="both"/>
              <w:rPr>
                <w:sz w:val="20"/>
                <w:szCs w:val="20"/>
              </w:rPr>
            </w:pPr>
            <w:r w:rsidRPr="003F68BC">
              <w:rPr>
                <w:sz w:val="20"/>
                <w:szCs w:val="20"/>
              </w:rPr>
              <w:t>1</w:t>
            </w:r>
          </w:p>
        </w:tc>
        <w:tc>
          <w:tcPr>
            <w:tcW w:w="518" w:type="pct"/>
            <w:shd w:val="clear" w:color="000000" w:fill="FFFFFF"/>
            <w:hideMark/>
          </w:tcPr>
          <w:p w14:paraId="76A0B8AA" w14:textId="77777777" w:rsidR="00CB4E4D" w:rsidRPr="003F68BC" w:rsidRDefault="00CB4E4D" w:rsidP="00047E6C">
            <w:pPr>
              <w:spacing w:line="360" w:lineRule="auto"/>
              <w:jc w:val="both"/>
              <w:rPr>
                <w:sz w:val="20"/>
                <w:szCs w:val="20"/>
              </w:rPr>
            </w:pPr>
            <w:r w:rsidRPr="003F68BC">
              <w:rPr>
                <w:sz w:val="20"/>
                <w:szCs w:val="20"/>
              </w:rPr>
              <w:t>-2.431</w:t>
            </w:r>
          </w:p>
        </w:tc>
        <w:tc>
          <w:tcPr>
            <w:tcW w:w="518" w:type="pct"/>
            <w:shd w:val="clear" w:color="000000" w:fill="FFFFFF"/>
            <w:hideMark/>
          </w:tcPr>
          <w:p w14:paraId="0ED95569" w14:textId="77777777" w:rsidR="00CB4E4D" w:rsidRPr="003F68BC" w:rsidRDefault="00CB4E4D" w:rsidP="00047E6C">
            <w:pPr>
              <w:spacing w:line="360" w:lineRule="auto"/>
              <w:jc w:val="both"/>
              <w:rPr>
                <w:sz w:val="20"/>
                <w:szCs w:val="20"/>
              </w:rPr>
            </w:pPr>
            <w:r w:rsidRPr="003F68BC">
              <w:rPr>
                <w:sz w:val="20"/>
                <w:szCs w:val="20"/>
              </w:rPr>
              <w:t>0.6269</w:t>
            </w:r>
          </w:p>
        </w:tc>
        <w:tc>
          <w:tcPr>
            <w:tcW w:w="517" w:type="pct"/>
            <w:shd w:val="clear" w:color="000000" w:fill="FFFFFF"/>
            <w:hideMark/>
          </w:tcPr>
          <w:p w14:paraId="42AE562A" w14:textId="77777777" w:rsidR="00CB4E4D" w:rsidRPr="003F68BC" w:rsidRDefault="00CB4E4D" w:rsidP="00047E6C">
            <w:pPr>
              <w:spacing w:line="360" w:lineRule="auto"/>
              <w:jc w:val="both"/>
              <w:rPr>
                <w:sz w:val="20"/>
                <w:szCs w:val="20"/>
              </w:rPr>
            </w:pPr>
            <w:r w:rsidRPr="003F68BC">
              <w:rPr>
                <w:sz w:val="20"/>
                <w:szCs w:val="20"/>
              </w:rPr>
              <w:t>15.0396</w:t>
            </w:r>
          </w:p>
        </w:tc>
        <w:tc>
          <w:tcPr>
            <w:tcW w:w="526" w:type="pct"/>
            <w:shd w:val="clear" w:color="000000" w:fill="FFFFFF"/>
            <w:hideMark/>
          </w:tcPr>
          <w:p w14:paraId="352C6BDD" w14:textId="77777777" w:rsidR="00CB4E4D" w:rsidRPr="003F68BC" w:rsidRDefault="00CB4E4D" w:rsidP="00047E6C">
            <w:pPr>
              <w:spacing w:line="360" w:lineRule="auto"/>
              <w:jc w:val="both"/>
              <w:rPr>
                <w:sz w:val="20"/>
                <w:szCs w:val="20"/>
              </w:rPr>
            </w:pPr>
            <w:r w:rsidRPr="003F68BC">
              <w:rPr>
                <w:sz w:val="20"/>
                <w:szCs w:val="20"/>
              </w:rPr>
              <w:t>0.0001</w:t>
            </w:r>
          </w:p>
        </w:tc>
      </w:tr>
      <w:tr w:rsidR="00CB4E4D" w:rsidRPr="003F68BC" w14:paraId="6575D749" w14:textId="77777777" w:rsidTr="00047E6C">
        <w:trPr>
          <w:trHeight w:val="285"/>
        </w:trPr>
        <w:tc>
          <w:tcPr>
            <w:tcW w:w="2167" w:type="pct"/>
            <w:shd w:val="clear" w:color="000000" w:fill="FFFFFF"/>
            <w:hideMark/>
          </w:tcPr>
          <w:p w14:paraId="2DAD35B6" w14:textId="77777777" w:rsidR="00CB4E4D" w:rsidRPr="003F68BC" w:rsidRDefault="00CB4E4D" w:rsidP="00047E6C">
            <w:pPr>
              <w:spacing w:line="360" w:lineRule="auto"/>
              <w:rPr>
                <w:bCs/>
                <w:sz w:val="20"/>
                <w:szCs w:val="20"/>
              </w:rPr>
            </w:pPr>
            <w:r w:rsidRPr="003F68BC">
              <w:rPr>
                <w:rFonts w:eastAsia="Calibri"/>
                <w:sz w:val="20"/>
                <w:szCs w:val="20"/>
                <w:lang w:val="en-US"/>
              </w:rPr>
              <w:t>‘</w:t>
            </w:r>
            <w:r w:rsidRPr="003F68BC">
              <w:rPr>
                <w:i/>
                <w:sz w:val="20"/>
                <w:szCs w:val="20"/>
              </w:rPr>
              <w:t>Public policy</w:t>
            </w:r>
            <w:r w:rsidRPr="003F68BC">
              <w:rPr>
                <w:sz w:val="20"/>
                <w:szCs w:val="20"/>
              </w:rPr>
              <w:t>’</w:t>
            </w:r>
          </w:p>
        </w:tc>
        <w:tc>
          <w:tcPr>
            <w:tcW w:w="518" w:type="pct"/>
            <w:shd w:val="clear" w:color="000000" w:fill="FFFFFF"/>
            <w:hideMark/>
          </w:tcPr>
          <w:p w14:paraId="68F25ACF" w14:textId="77777777" w:rsidR="00CB4E4D" w:rsidRPr="003F68BC" w:rsidRDefault="00CB4E4D" w:rsidP="00047E6C">
            <w:pPr>
              <w:spacing w:line="360" w:lineRule="auto"/>
              <w:jc w:val="both"/>
              <w:rPr>
                <w:bCs/>
                <w:sz w:val="20"/>
                <w:szCs w:val="20"/>
              </w:rPr>
            </w:pPr>
            <w:r w:rsidRPr="003F68BC">
              <w:rPr>
                <w:sz w:val="20"/>
                <w:szCs w:val="20"/>
              </w:rPr>
              <w:t>No</w:t>
            </w:r>
          </w:p>
        </w:tc>
        <w:tc>
          <w:tcPr>
            <w:tcW w:w="236" w:type="pct"/>
            <w:shd w:val="clear" w:color="000000" w:fill="FFFFFF"/>
            <w:hideMark/>
          </w:tcPr>
          <w:p w14:paraId="3492B348" w14:textId="77777777" w:rsidR="00CB4E4D" w:rsidRPr="003F68BC" w:rsidRDefault="00CB4E4D" w:rsidP="00047E6C">
            <w:pPr>
              <w:spacing w:line="360" w:lineRule="auto"/>
              <w:jc w:val="both"/>
              <w:rPr>
                <w:sz w:val="20"/>
                <w:szCs w:val="20"/>
              </w:rPr>
            </w:pPr>
            <w:r w:rsidRPr="003F68BC">
              <w:rPr>
                <w:sz w:val="20"/>
                <w:szCs w:val="20"/>
              </w:rPr>
              <w:t>1</w:t>
            </w:r>
          </w:p>
        </w:tc>
        <w:tc>
          <w:tcPr>
            <w:tcW w:w="518" w:type="pct"/>
            <w:shd w:val="clear" w:color="000000" w:fill="FFFFFF"/>
            <w:noWrap/>
            <w:hideMark/>
          </w:tcPr>
          <w:p w14:paraId="7AF4A333" w14:textId="77777777" w:rsidR="00CB4E4D" w:rsidRPr="003F68BC" w:rsidRDefault="00CB4E4D" w:rsidP="00047E6C">
            <w:pPr>
              <w:spacing w:line="360" w:lineRule="auto"/>
              <w:jc w:val="both"/>
              <w:rPr>
                <w:sz w:val="20"/>
                <w:szCs w:val="20"/>
              </w:rPr>
            </w:pPr>
            <w:r w:rsidRPr="003F68BC">
              <w:rPr>
                <w:sz w:val="20"/>
                <w:szCs w:val="20"/>
              </w:rPr>
              <w:t>-1.3719</w:t>
            </w:r>
          </w:p>
        </w:tc>
        <w:tc>
          <w:tcPr>
            <w:tcW w:w="518" w:type="pct"/>
            <w:shd w:val="clear" w:color="000000" w:fill="FFFFFF"/>
            <w:hideMark/>
          </w:tcPr>
          <w:p w14:paraId="1625D7C3" w14:textId="77777777" w:rsidR="00CB4E4D" w:rsidRPr="003F68BC" w:rsidRDefault="00CB4E4D" w:rsidP="00047E6C">
            <w:pPr>
              <w:spacing w:line="360" w:lineRule="auto"/>
              <w:jc w:val="both"/>
              <w:rPr>
                <w:sz w:val="20"/>
                <w:szCs w:val="20"/>
              </w:rPr>
            </w:pPr>
            <w:r w:rsidRPr="003F68BC">
              <w:rPr>
                <w:sz w:val="20"/>
                <w:szCs w:val="20"/>
              </w:rPr>
              <w:t>0.6948</w:t>
            </w:r>
          </w:p>
        </w:tc>
        <w:tc>
          <w:tcPr>
            <w:tcW w:w="517" w:type="pct"/>
            <w:shd w:val="clear" w:color="000000" w:fill="FFFFFF"/>
            <w:hideMark/>
          </w:tcPr>
          <w:p w14:paraId="44D30D9C" w14:textId="77777777" w:rsidR="00CB4E4D" w:rsidRPr="003F68BC" w:rsidRDefault="00CB4E4D" w:rsidP="00047E6C">
            <w:pPr>
              <w:spacing w:line="360" w:lineRule="auto"/>
              <w:jc w:val="both"/>
              <w:rPr>
                <w:sz w:val="20"/>
                <w:szCs w:val="20"/>
              </w:rPr>
            </w:pPr>
            <w:r w:rsidRPr="003F68BC">
              <w:rPr>
                <w:sz w:val="20"/>
                <w:szCs w:val="20"/>
              </w:rPr>
              <w:t>3.8994</w:t>
            </w:r>
          </w:p>
        </w:tc>
        <w:tc>
          <w:tcPr>
            <w:tcW w:w="526" w:type="pct"/>
            <w:shd w:val="clear" w:color="000000" w:fill="FFFFFF"/>
            <w:hideMark/>
          </w:tcPr>
          <w:p w14:paraId="6FBDF53B" w14:textId="77777777" w:rsidR="00CB4E4D" w:rsidRPr="003F68BC" w:rsidRDefault="00CB4E4D" w:rsidP="00047E6C">
            <w:pPr>
              <w:spacing w:line="360" w:lineRule="auto"/>
              <w:jc w:val="both"/>
              <w:rPr>
                <w:sz w:val="20"/>
                <w:szCs w:val="20"/>
              </w:rPr>
            </w:pPr>
            <w:r w:rsidRPr="003F68BC">
              <w:rPr>
                <w:sz w:val="20"/>
                <w:szCs w:val="20"/>
              </w:rPr>
              <w:t>0.0483</w:t>
            </w:r>
          </w:p>
        </w:tc>
      </w:tr>
    </w:tbl>
    <w:p w14:paraId="74D0F949" w14:textId="77777777" w:rsidR="00CB4E4D" w:rsidRPr="003F68BC" w:rsidRDefault="00CB4E4D" w:rsidP="00CB4E4D">
      <w:pPr>
        <w:spacing w:line="360" w:lineRule="auto"/>
        <w:jc w:val="both"/>
      </w:pPr>
    </w:p>
    <w:p w14:paraId="7048892F" w14:textId="61AB98E5" w:rsidR="007A6882" w:rsidRDefault="007A6882" w:rsidP="00D9215A">
      <w:pPr>
        <w:spacing w:line="480" w:lineRule="auto"/>
        <w:ind w:left="540" w:hanging="540"/>
        <w:jc w:val="both"/>
      </w:pPr>
    </w:p>
    <w:sectPr w:rsidR="007A6882" w:rsidSect="00C75A18">
      <w:footerReference w:type="default" r:id="rId1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760E6" w14:textId="77777777" w:rsidR="00DF4F38" w:rsidRDefault="00DF4F38" w:rsidP="008F566D">
      <w:r>
        <w:separator/>
      </w:r>
    </w:p>
  </w:endnote>
  <w:endnote w:type="continuationSeparator" w:id="0">
    <w:p w14:paraId="116A3884" w14:textId="77777777" w:rsidR="00DF4F38" w:rsidRDefault="00DF4F38" w:rsidP="008F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ITC Garamond">
    <w:altName w:val="Garamon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A2A82" w14:textId="5CC2D04A" w:rsidR="00BA3CAD" w:rsidRPr="00BA3CAD" w:rsidRDefault="00BA3CAD">
    <w:pPr>
      <w:pStyle w:val="Footer"/>
      <w:rPr>
        <w:sz w:val="18"/>
        <w:szCs w:val="18"/>
      </w:rPr>
    </w:pPr>
    <w:r w:rsidRPr="00BA3CAD">
      <w:rPr>
        <w:sz w:val="18"/>
        <w:szCs w:val="18"/>
      </w:rPr>
      <w:t>Accepted in ASCE Journal of Legal Affairs and Dispute Resolution in Construction</w:t>
    </w:r>
  </w:p>
  <w:p w14:paraId="1FC45D76" w14:textId="77777777" w:rsidR="00AB7C21" w:rsidRDefault="00AB7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687D4" w14:textId="77777777" w:rsidR="00DF4F38" w:rsidRDefault="00DF4F38" w:rsidP="008F566D">
      <w:r>
        <w:separator/>
      </w:r>
    </w:p>
  </w:footnote>
  <w:footnote w:type="continuationSeparator" w:id="0">
    <w:p w14:paraId="73088AD0" w14:textId="77777777" w:rsidR="00DF4F38" w:rsidRDefault="00DF4F38" w:rsidP="008F566D">
      <w:r>
        <w:continuationSeparator/>
      </w:r>
    </w:p>
  </w:footnote>
  <w:footnote w:id="1">
    <w:p w14:paraId="043D7382" w14:textId="77777777" w:rsidR="00AB7C21" w:rsidRPr="00274E7B" w:rsidRDefault="00AB7C21" w:rsidP="003E3B11">
      <w:pPr>
        <w:pStyle w:val="FootnoteText"/>
        <w:rPr>
          <w:lang w:val="en-US"/>
        </w:rPr>
      </w:pPr>
      <w:r>
        <w:rPr>
          <w:rStyle w:val="FootnoteReference"/>
        </w:rPr>
        <w:footnoteRef/>
      </w:r>
      <w:r>
        <w:t xml:space="preserve"> </w:t>
      </w:r>
      <w:r w:rsidRPr="009D5577">
        <w:t>International Bechtel Co. Ltd v Department of Civil Aviation of the Government of Dubai, case No. 503/2003 [Court of Cassation]</w:t>
      </w:r>
    </w:p>
  </w:footnote>
  <w:footnote w:id="2">
    <w:p w14:paraId="07B14345" w14:textId="77777777" w:rsidR="00AB7C21" w:rsidRPr="0027522C" w:rsidRDefault="00AB7C21" w:rsidP="00ED524E">
      <w:pPr>
        <w:pStyle w:val="FootnoteText"/>
        <w:rPr>
          <w:lang w:val="en-US"/>
        </w:rPr>
      </w:pPr>
      <w:r>
        <w:rPr>
          <w:rStyle w:val="FootnoteReference"/>
        </w:rPr>
        <w:footnoteRef/>
      </w:r>
      <w:r>
        <w:t xml:space="preserve"> </w:t>
      </w:r>
      <w:r w:rsidRPr="00BF49D2">
        <w:t>International Bechtel Co. Ltd v Department of Civil Aviation of the Government of Dubai, case No. 288/2002 [Court of First Instance]</w:t>
      </w:r>
    </w:p>
  </w:footnote>
  <w:footnote w:id="3">
    <w:p w14:paraId="5ACD638D" w14:textId="77777777" w:rsidR="00B34644" w:rsidRPr="00274E7B" w:rsidRDefault="00B34644" w:rsidP="00B34644">
      <w:pPr>
        <w:pStyle w:val="FootnoteText"/>
        <w:rPr>
          <w:lang w:val="en-US"/>
        </w:rPr>
      </w:pPr>
      <w:r>
        <w:rPr>
          <w:rStyle w:val="FootnoteReference"/>
        </w:rPr>
        <w:footnoteRef/>
      </w:r>
      <w:r>
        <w:t xml:space="preserve"> </w:t>
      </w:r>
      <w:r w:rsidRPr="009D5577">
        <w:t>International Bechtel Co. Ltd v Department of Civil Aviation of the Government of Dubai, case No. 503/2003 [Court of Cassation]</w:t>
      </w:r>
    </w:p>
  </w:footnote>
  <w:footnote w:id="4">
    <w:p w14:paraId="52CAC2A1" w14:textId="77777777" w:rsidR="00AB7C21" w:rsidRPr="00274E7B" w:rsidRDefault="00AB7C21" w:rsidP="00D96A24">
      <w:pPr>
        <w:pStyle w:val="FootnoteText"/>
        <w:rPr>
          <w:lang w:val="en-US"/>
        </w:rPr>
      </w:pPr>
      <w:r>
        <w:rPr>
          <w:rStyle w:val="FootnoteReference"/>
        </w:rPr>
        <w:footnoteRef/>
      </w:r>
      <w:r>
        <w:t xml:space="preserve"> </w:t>
      </w:r>
      <w:r w:rsidRPr="009D5577">
        <w:t>International Bechtel Co. Ltd v Department of Civil Aviation of the Government of Dubai, case No. 503/2003 [Court of Cassation]</w:t>
      </w:r>
    </w:p>
  </w:footnote>
  <w:footnote w:id="5">
    <w:p w14:paraId="479977D9" w14:textId="77777777" w:rsidR="00AB7C21" w:rsidRPr="00F301F6" w:rsidRDefault="00AB7C21" w:rsidP="00D96A24">
      <w:pPr>
        <w:pStyle w:val="FootnoteText"/>
      </w:pPr>
      <w:r>
        <w:rPr>
          <w:rStyle w:val="FootnoteReference"/>
        </w:rPr>
        <w:footnoteRef/>
      </w:r>
      <w:r>
        <w:t xml:space="preserve"> </w:t>
      </w:r>
      <w:r w:rsidRPr="00F301F6">
        <w:t>Abu Dhabi Court of Cassation</w:t>
      </w:r>
      <w:r>
        <w:t xml:space="preserve">, </w:t>
      </w:r>
      <w:r w:rsidRPr="00F301F6">
        <w:t>Judgment 433/17 of 1997</w:t>
      </w:r>
    </w:p>
  </w:footnote>
  <w:footnote w:id="6">
    <w:p w14:paraId="6597A61B" w14:textId="7EAEE31C" w:rsidR="00AB7C21" w:rsidRPr="007F73D8" w:rsidRDefault="00AB7C21" w:rsidP="00D96A24">
      <w:pPr>
        <w:pStyle w:val="FootnoteText"/>
        <w:jc w:val="both"/>
      </w:pPr>
      <w:r>
        <w:rPr>
          <w:rStyle w:val="FootnoteReference"/>
        </w:rPr>
        <w:footnoteRef/>
      </w:r>
      <w:r>
        <w:t xml:space="preserve"> </w:t>
      </w:r>
      <w:r w:rsidRPr="007F73D8">
        <w:t>The Judicial Committee of the Privy Council</w:t>
      </w:r>
      <w:r>
        <w:t xml:space="preserve"> was established in 1833 as the court of last resort for all appeals across the British Empire. At present, it still remains the last court of appeal for a number of Commonwealth countries and </w:t>
      </w:r>
      <w:r w:rsidRPr="007F73D8">
        <w:t>British territories</w:t>
      </w:r>
      <w:r>
        <w:t>.</w:t>
      </w:r>
    </w:p>
  </w:footnote>
  <w:footnote w:id="7">
    <w:p w14:paraId="05CC57B1" w14:textId="77777777" w:rsidR="00AB7C21" w:rsidRPr="0032757A" w:rsidRDefault="00AB7C21" w:rsidP="00D96A24">
      <w:pPr>
        <w:pStyle w:val="FootnoteText"/>
        <w:jc w:val="both"/>
        <w:rPr>
          <w:lang w:val="en-US"/>
        </w:rPr>
      </w:pPr>
      <w:r>
        <w:rPr>
          <w:rStyle w:val="FootnoteReference"/>
        </w:rPr>
        <w:footnoteRef/>
      </w:r>
      <w:r>
        <w:t xml:space="preserve"> </w:t>
      </w:r>
      <w:bookmarkStart w:id="2" w:name="_Hlk51755615"/>
      <w:r w:rsidRPr="00E40D9D">
        <w:rPr>
          <w:i/>
          <w:iCs/>
        </w:rPr>
        <w:t>Evanturel</w:t>
      </w:r>
      <w:r w:rsidRPr="0032757A">
        <w:t xml:space="preserve"> v </w:t>
      </w:r>
      <w:r w:rsidRPr="00E40D9D">
        <w:rPr>
          <w:i/>
          <w:iCs/>
        </w:rPr>
        <w:t>Evanturel</w:t>
      </w:r>
      <w:r w:rsidRPr="0032757A">
        <w:t xml:space="preserve"> (1874) The Law Reports (Privy Council Appeals) 6 PC 1</w:t>
      </w:r>
      <w:bookmarkEnd w:id="2"/>
    </w:p>
  </w:footnote>
  <w:footnote w:id="8">
    <w:p w14:paraId="0B4CDAC6" w14:textId="5DBEE6EE" w:rsidR="00AB7C21" w:rsidRPr="00D00BF4" w:rsidRDefault="00AB7C21" w:rsidP="00D96A24">
      <w:pPr>
        <w:pStyle w:val="FootnoteText"/>
        <w:jc w:val="both"/>
        <w:rPr>
          <w:lang w:val="en-US"/>
        </w:rPr>
      </w:pPr>
      <w:r>
        <w:rPr>
          <w:rStyle w:val="FootnoteReference"/>
        </w:rPr>
        <w:footnoteRef/>
      </w:r>
      <w:r>
        <w:t xml:space="preserve"> For example, in a reported interview, </w:t>
      </w:r>
      <w:r w:rsidRPr="004616DC">
        <w:t>Philip Punwar</w:t>
      </w:r>
      <w:r>
        <w:t xml:space="preserve"> (of Baker Botts LLP) suggested that there was a fear following the </w:t>
      </w:r>
      <w:r w:rsidRPr="004616DC">
        <w:t>Dubai Court of Cassation in Judgement 503 of 2003</w:t>
      </w:r>
      <w:r>
        <w:t xml:space="preserve"> (</w:t>
      </w:r>
      <w:r w:rsidRPr="004616DC">
        <w:t>International Bechtel Co. Ltd v Department of Civil Aviation of the Government of Dubai</w:t>
      </w:r>
      <w:r>
        <w:t>) that “…</w:t>
      </w:r>
      <w:r w:rsidRPr="0051361A">
        <w:rPr>
          <w:i/>
        </w:rPr>
        <w:t>when an arbitration award is issued, it will be struck down by the courts – for one reason</w:t>
      </w:r>
      <w:r>
        <w:rPr>
          <w:i/>
        </w:rPr>
        <w:t xml:space="preserve"> </w:t>
      </w:r>
      <w:r w:rsidRPr="0051361A">
        <w:rPr>
          <w:i/>
        </w:rPr>
        <w:t>or the other</w:t>
      </w:r>
      <w:r>
        <w:t>.”</w:t>
      </w:r>
    </w:p>
  </w:footnote>
  <w:footnote w:id="9">
    <w:p w14:paraId="1E719D9F" w14:textId="164BA3AF" w:rsidR="00AB7C21" w:rsidRPr="00505BA4" w:rsidRDefault="00AB7C21" w:rsidP="00D96A24">
      <w:pPr>
        <w:pStyle w:val="FootnoteText"/>
        <w:jc w:val="both"/>
        <w:rPr>
          <w:lang w:val="en-US"/>
        </w:rPr>
      </w:pPr>
      <w:r>
        <w:rPr>
          <w:rStyle w:val="FootnoteReference"/>
        </w:rPr>
        <w:footnoteRef/>
      </w:r>
      <w:r>
        <w:t xml:space="preserve"> These free zones are, in effect, ‘free trade zones’ and they exist in the different </w:t>
      </w:r>
      <w:r w:rsidRPr="00505BA4">
        <w:rPr>
          <w:i/>
        </w:rPr>
        <w:t>emirates</w:t>
      </w:r>
      <w:r>
        <w:t xml:space="preserve"> within the UAE. These include the </w:t>
      </w:r>
      <w:r w:rsidRPr="008852C0">
        <w:t xml:space="preserve">Khalifa Industrial Zone Abu Dhabi </w:t>
      </w:r>
      <w:r>
        <w:t xml:space="preserve">and </w:t>
      </w:r>
      <w:r w:rsidRPr="008852C0">
        <w:t xml:space="preserve">Masdar City Free Zone and Science and Technology Park </w:t>
      </w:r>
      <w:r>
        <w:t xml:space="preserve"> (situated within the </w:t>
      </w:r>
      <w:r w:rsidRPr="00505BA4">
        <w:rPr>
          <w:i/>
        </w:rPr>
        <w:t>emirate</w:t>
      </w:r>
      <w:r>
        <w:t xml:space="preserve"> of </w:t>
      </w:r>
      <w:r w:rsidRPr="008852C0">
        <w:t>Abu Dhabi</w:t>
      </w:r>
      <w:r>
        <w:t xml:space="preserve">), Ajman Free Zone (situated within the </w:t>
      </w:r>
      <w:r w:rsidRPr="00505BA4">
        <w:rPr>
          <w:i/>
        </w:rPr>
        <w:t>emirate</w:t>
      </w:r>
      <w:r>
        <w:t xml:space="preserve"> of Ajman), Dubai International Academic City, Dubai Internet City and Dubai Media City (all situated within the </w:t>
      </w:r>
      <w:r w:rsidRPr="00505BA4">
        <w:rPr>
          <w:i/>
        </w:rPr>
        <w:t>emirate</w:t>
      </w:r>
      <w:r>
        <w:t xml:space="preserve"> of Dubai), Fujairah Free Trade Zone (situated within the </w:t>
      </w:r>
      <w:r w:rsidRPr="00505BA4">
        <w:rPr>
          <w:i/>
        </w:rPr>
        <w:t>emirate</w:t>
      </w:r>
      <w:r>
        <w:t xml:space="preserve"> of Fujairah), Ras al Khaimah Free Zone (situated within the </w:t>
      </w:r>
      <w:r w:rsidRPr="00505BA4">
        <w:rPr>
          <w:i/>
        </w:rPr>
        <w:t>emirate</w:t>
      </w:r>
      <w:r>
        <w:t xml:space="preserve"> of Ras al Khaimah), Sharjah Airport Free Zone and Sharjah Hamriya Free Zone (all situated within the </w:t>
      </w:r>
      <w:r w:rsidRPr="00505BA4">
        <w:rPr>
          <w:i/>
        </w:rPr>
        <w:t>emirate</w:t>
      </w:r>
      <w:r>
        <w:t xml:space="preserve"> of Sharjah), and the Umm al Quwain Free Zone (situated within the </w:t>
      </w:r>
      <w:r w:rsidRPr="00505BA4">
        <w:rPr>
          <w:i/>
        </w:rPr>
        <w:t>emirate</w:t>
      </w:r>
      <w:r>
        <w:t xml:space="preserve"> of </w:t>
      </w:r>
      <w:r w:rsidRPr="00C440DE">
        <w:t>Umm al</w:t>
      </w:r>
      <w:r>
        <w:t xml:space="preserve"> </w:t>
      </w:r>
      <w:r w:rsidRPr="00C440DE">
        <w:t>Quwain</w:t>
      </w:r>
      <w:r>
        <w:t>).</w:t>
      </w:r>
    </w:p>
  </w:footnote>
  <w:footnote w:id="10">
    <w:p w14:paraId="07B89F60" w14:textId="77777777" w:rsidR="00AB7C21" w:rsidRPr="00D96A24" w:rsidRDefault="00AB7C21" w:rsidP="00D96A24">
      <w:pPr>
        <w:pStyle w:val="FootnoteText"/>
        <w:rPr>
          <w:lang w:val="en-US"/>
        </w:rPr>
      </w:pPr>
      <w:r>
        <w:rPr>
          <w:rStyle w:val="FootnoteReference"/>
        </w:rPr>
        <w:footnoteRef/>
      </w:r>
      <w:r>
        <w:t xml:space="preserve"> </w:t>
      </w:r>
      <w:r>
        <w:rPr>
          <w:lang w:val="en-US"/>
        </w:rPr>
        <w:t>The study was completed in July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C710E"/>
    <w:multiLevelType w:val="hybridMultilevel"/>
    <w:tmpl w:val="FE1AC928"/>
    <w:lvl w:ilvl="0" w:tplc="069AB87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05345"/>
    <w:multiLevelType w:val="hybridMultilevel"/>
    <w:tmpl w:val="A8BCD3D0"/>
    <w:lvl w:ilvl="0" w:tplc="069AB8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8351F"/>
    <w:multiLevelType w:val="hybridMultilevel"/>
    <w:tmpl w:val="8EA85A90"/>
    <w:lvl w:ilvl="0" w:tplc="9C14478E">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DB0306A"/>
    <w:multiLevelType w:val="hybridMultilevel"/>
    <w:tmpl w:val="76703FD6"/>
    <w:lvl w:ilvl="0" w:tplc="C680C8B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21BA1237"/>
    <w:multiLevelType w:val="hybridMultilevel"/>
    <w:tmpl w:val="D152AF98"/>
    <w:lvl w:ilvl="0" w:tplc="83E465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E3727C"/>
    <w:multiLevelType w:val="hybridMultilevel"/>
    <w:tmpl w:val="A8ECF106"/>
    <w:lvl w:ilvl="0" w:tplc="069AB8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CC0908"/>
    <w:multiLevelType w:val="hybridMultilevel"/>
    <w:tmpl w:val="DB6E861A"/>
    <w:lvl w:ilvl="0" w:tplc="19204470">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7" w15:restartNumberingAfterBreak="0">
    <w:nsid w:val="2FD06F76"/>
    <w:multiLevelType w:val="hybridMultilevel"/>
    <w:tmpl w:val="BA141304"/>
    <w:lvl w:ilvl="0" w:tplc="069AB87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1071C5D"/>
    <w:multiLevelType w:val="hybridMultilevel"/>
    <w:tmpl w:val="221E49AE"/>
    <w:lvl w:ilvl="0" w:tplc="069AB8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EF520E"/>
    <w:multiLevelType w:val="hybridMultilevel"/>
    <w:tmpl w:val="EF8666E6"/>
    <w:lvl w:ilvl="0" w:tplc="069AB870">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32D13041"/>
    <w:multiLevelType w:val="hybridMultilevel"/>
    <w:tmpl w:val="EF8666E6"/>
    <w:lvl w:ilvl="0" w:tplc="069AB870">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331E40CC"/>
    <w:multiLevelType w:val="hybridMultilevel"/>
    <w:tmpl w:val="F06854CA"/>
    <w:lvl w:ilvl="0" w:tplc="A7062E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32155C"/>
    <w:multiLevelType w:val="hybridMultilevel"/>
    <w:tmpl w:val="2A50943E"/>
    <w:lvl w:ilvl="0" w:tplc="069AB8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C5240D"/>
    <w:multiLevelType w:val="hybridMultilevel"/>
    <w:tmpl w:val="199254F2"/>
    <w:lvl w:ilvl="0" w:tplc="73B6A5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B7D23"/>
    <w:multiLevelType w:val="hybridMultilevel"/>
    <w:tmpl w:val="6E541240"/>
    <w:lvl w:ilvl="0" w:tplc="600295FC">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5" w15:restartNumberingAfterBreak="0">
    <w:nsid w:val="396A5356"/>
    <w:multiLevelType w:val="hybridMultilevel"/>
    <w:tmpl w:val="89C02996"/>
    <w:lvl w:ilvl="0" w:tplc="069AB8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884068"/>
    <w:multiLevelType w:val="hybridMultilevel"/>
    <w:tmpl w:val="07DE0F1E"/>
    <w:lvl w:ilvl="0" w:tplc="E884A25E">
      <w:start w:val="1"/>
      <w:numFmt w:val="lowerRoman"/>
      <w:lvlText w:val="(%1)"/>
      <w:lvlJc w:val="left"/>
      <w:pPr>
        <w:ind w:left="1500" w:hanging="720"/>
      </w:pPr>
      <w:rPr>
        <w:rFonts w:hint="default"/>
      </w:rPr>
    </w:lvl>
    <w:lvl w:ilvl="1" w:tplc="0FF6A21C">
      <w:start w:val="1"/>
      <w:numFmt w:val="lowerLetter"/>
      <w:lvlText w:val="%2)"/>
      <w:lvlJc w:val="left"/>
      <w:pPr>
        <w:ind w:left="2025" w:hanging="525"/>
      </w:pPr>
      <w:rPr>
        <w:rFonts w:hint="default"/>
      </w:rPr>
    </w:lvl>
    <w:lvl w:ilvl="2" w:tplc="5E78A7CA">
      <w:start w:val="1"/>
      <w:numFmt w:val="lowerRoman"/>
      <w:lvlText w:val="%3."/>
      <w:lvlJc w:val="left"/>
      <w:pPr>
        <w:ind w:left="3120" w:hanging="720"/>
      </w:pPr>
      <w:rPr>
        <w:rFonts w:hint="default"/>
      </w:r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7" w15:restartNumberingAfterBreak="0">
    <w:nsid w:val="3F2A76BB"/>
    <w:multiLevelType w:val="hybridMultilevel"/>
    <w:tmpl w:val="857C6DE8"/>
    <w:lvl w:ilvl="0" w:tplc="069AB870">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A55E64"/>
    <w:multiLevelType w:val="hybridMultilevel"/>
    <w:tmpl w:val="D2405A58"/>
    <w:lvl w:ilvl="0" w:tplc="069AB8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09546E"/>
    <w:multiLevelType w:val="hybridMultilevel"/>
    <w:tmpl w:val="29B69614"/>
    <w:lvl w:ilvl="0" w:tplc="C88E9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305EBA"/>
    <w:multiLevelType w:val="hybridMultilevel"/>
    <w:tmpl w:val="F06854CA"/>
    <w:lvl w:ilvl="0" w:tplc="A7062E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A2065D"/>
    <w:multiLevelType w:val="hybridMultilevel"/>
    <w:tmpl w:val="38D2394E"/>
    <w:lvl w:ilvl="0" w:tplc="CAA82B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CB4C41"/>
    <w:multiLevelType w:val="hybridMultilevel"/>
    <w:tmpl w:val="2610BB5E"/>
    <w:lvl w:ilvl="0" w:tplc="069AB870">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7C06429E"/>
    <w:multiLevelType w:val="multilevel"/>
    <w:tmpl w:val="E2A43F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19"/>
  </w:num>
  <w:num w:numId="3">
    <w:abstractNumId w:val="2"/>
  </w:num>
  <w:num w:numId="4">
    <w:abstractNumId w:val="21"/>
  </w:num>
  <w:num w:numId="5">
    <w:abstractNumId w:val="14"/>
  </w:num>
  <w:num w:numId="6">
    <w:abstractNumId w:val="3"/>
  </w:num>
  <w:num w:numId="7">
    <w:abstractNumId w:val="7"/>
  </w:num>
  <w:num w:numId="8">
    <w:abstractNumId w:val="6"/>
  </w:num>
  <w:num w:numId="9">
    <w:abstractNumId w:val="16"/>
  </w:num>
  <w:num w:numId="10">
    <w:abstractNumId w:val="13"/>
  </w:num>
  <w:num w:numId="11">
    <w:abstractNumId w:val="4"/>
  </w:num>
  <w:num w:numId="12">
    <w:abstractNumId w:val="15"/>
  </w:num>
  <w:num w:numId="13">
    <w:abstractNumId w:val="1"/>
  </w:num>
  <w:num w:numId="14">
    <w:abstractNumId w:val="22"/>
  </w:num>
  <w:num w:numId="15">
    <w:abstractNumId w:val="10"/>
  </w:num>
  <w:num w:numId="16">
    <w:abstractNumId w:val="5"/>
  </w:num>
  <w:num w:numId="17">
    <w:abstractNumId w:val="0"/>
  </w:num>
  <w:num w:numId="18">
    <w:abstractNumId w:val="18"/>
  </w:num>
  <w:num w:numId="19">
    <w:abstractNumId w:val="12"/>
  </w:num>
  <w:num w:numId="20">
    <w:abstractNumId w:val="17"/>
  </w:num>
  <w:num w:numId="21">
    <w:abstractNumId w:val="23"/>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6D"/>
    <w:rsid w:val="0000466A"/>
    <w:rsid w:val="00011549"/>
    <w:rsid w:val="00014D73"/>
    <w:rsid w:val="00037A80"/>
    <w:rsid w:val="000406EC"/>
    <w:rsid w:val="00045CDA"/>
    <w:rsid w:val="00047E6C"/>
    <w:rsid w:val="00051E2A"/>
    <w:rsid w:val="00055282"/>
    <w:rsid w:val="00064455"/>
    <w:rsid w:val="00071610"/>
    <w:rsid w:val="00076538"/>
    <w:rsid w:val="000A4A8B"/>
    <w:rsid w:val="000A4E9D"/>
    <w:rsid w:val="000A591E"/>
    <w:rsid w:val="000B3963"/>
    <w:rsid w:val="000B7D1E"/>
    <w:rsid w:val="000C1F85"/>
    <w:rsid w:val="000C4AE0"/>
    <w:rsid w:val="000C5512"/>
    <w:rsid w:val="000C63C0"/>
    <w:rsid w:val="000D4ECA"/>
    <w:rsid w:val="000E412E"/>
    <w:rsid w:val="00114D5F"/>
    <w:rsid w:val="00146739"/>
    <w:rsid w:val="00147713"/>
    <w:rsid w:val="0014793D"/>
    <w:rsid w:val="00150C01"/>
    <w:rsid w:val="001512F0"/>
    <w:rsid w:val="0016129B"/>
    <w:rsid w:val="00166E7E"/>
    <w:rsid w:val="001744D4"/>
    <w:rsid w:val="0018111B"/>
    <w:rsid w:val="00185C41"/>
    <w:rsid w:val="001973C0"/>
    <w:rsid w:val="001A3FBE"/>
    <w:rsid w:val="001A73FA"/>
    <w:rsid w:val="001B1EC0"/>
    <w:rsid w:val="001C11F1"/>
    <w:rsid w:val="001C2DE0"/>
    <w:rsid w:val="001D17D6"/>
    <w:rsid w:val="001D187A"/>
    <w:rsid w:val="001D31DA"/>
    <w:rsid w:val="001D46D0"/>
    <w:rsid w:val="001D5B02"/>
    <w:rsid w:val="001E4528"/>
    <w:rsid w:val="001F7EFC"/>
    <w:rsid w:val="00200D75"/>
    <w:rsid w:val="00207041"/>
    <w:rsid w:val="00214498"/>
    <w:rsid w:val="00215A24"/>
    <w:rsid w:val="0023729D"/>
    <w:rsid w:val="002445BC"/>
    <w:rsid w:val="00247CA1"/>
    <w:rsid w:val="0025731E"/>
    <w:rsid w:val="00261EC8"/>
    <w:rsid w:val="002769D6"/>
    <w:rsid w:val="00280041"/>
    <w:rsid w:val="00280A25"/>
    <w:rsid w:val="00295E42"/>
    <w:rsid w:val="002A2682"/>
    <w:rsid w:val="002A282C"/>
    <w:rsid w:val="002A3397"/>
    <w:rsid w:val="002A3D59"/>
    <w:rsid w:val="002B5FA7"/>
    <w:rsid w:val="002C626D"/>
    <w:rsid w:val="002C73D3"/>
    <w:rsid w:val="002D128C"/>
    <w:rsid w:val="002D23B0"/>
    <w:rsid w:val="002D5550"/>
    <w:rsid w:val="002E03A2"/>
    <w:rsid w:val="002E0528"/>
    <w:rsid w:val="002E2A15"/>
    <w:rsid w:val="002E2D8A"/>
    <w:rsid w:val="002E5150"/>
    <w:rsid w:val="00301CF1"/>
    <w:rsid w:val="0031151E"/>
    <w:rsid w:val="00313740"/>
    <w:rsid w:val="003233D1"/>
    <w:rsid w:val="003323EB"/>
    <w:rsid w:val="00336ACE"/>
    <w:rsid w:val="00352F67"/>
    <w:rsid w:val="00353F30"/>
    <w:rsid w:val="00355A75"/>
    <w:rsid w:val="00356876"/>
    <w:rsid w:val="003742DF"/>
    <w:rsid w:val="00383215"/>
    <w:rsid w:val="00383D46"/>
    <w:rsid w:val="00392FAC"/>
    <w:rsid w:val="00395B18"/>
    <w:rsid w:val="003963EA"/>
    <w:rsid w:val="003A062D"/>
    <w:rsid w:val="003A4540"/>
    <w:rsid w:val="003B1260"/>
    <w:rsid w:val="003B2702"/>
    <w:rsid w:val="003B4F68"/>
    <w:rsid w:val="003B6BC2"/>
    <w:rsid w:val="003C1C6F"/>
    <w:rsid w:val="003C1DDC"/>
    <w:rsid w:val="003E3B11"/>
    <w:rsid w:val="003E4896"/>
    <w:rsid w:val="003F16E5"/>
    <w:rsid w:val="003F2D33"/>
    <w:rsid w:val="003F75FE"/>
    <w:rsid w:val="00407688"/>
    <w:rsid w:val="00412589"/>
    <w:rsid w:val="0041604C"/>
    <w:rsid w:val="004340B0"/>
    <w:rsid w:val="00434B8E"/>
    <w:rsid w:val="00452B89"/>
    <w:rsid w:val="00472F72"/>
    <w:rsid w:val="00494244"/>
    <w:rsid w:val="00494477"/>
    <w:rsid w:val="004A08A1"/>
    <w:rsid w:val="004A5498"/>
    <w:rsid w:val="004A71CB"/>
    <w:rsid w:val="004B4993"/>
    <w:rsid w:val="004B66FE"/>
    <w:rsid w:val="004C061C"/>
    <w:rsid w:val="004C4A5D"/>
    <w:rsid w:val="004C7936"/>
    <w:rsid w:val="004D4A94"/>
    <w:rsid w:val="004E4711"/>
    <w:rsid w:val="004F1E0B"/>
    <w:rsid w:val="004F4792"/>
    <w:rsid w:val="004F502F"/>
    <w:rsid w:val="00503A51"/>
    <w:rsid w:val="005135DB"/>
    <w:rsid w:val="0051397C"/>
    <w:rsid w:val="005165E8"/>
    <w:rsid w:val="005203F4"/>
    <w:rsid w:val="005264E6"/>
    <w:rsid w:val="00535764"/>
    <w:rsid w:val="00541321"/>
    <w:rsid w:val="005473BA"/>
    <w:rsid w:val="00550155"/>
    <w:rsid w:val="00551C3A"/>
    <w:rsid w:val="005669CC"/>
    <w:rsid w:val="00576352"/>
    <w:rsid w:val="005857F0"/>
    <w:rsid w:val="00592E83"/>
    <w:rsid w:val="0059500B"/>
    <w:rsid w:val="005B0464"/>
    <w:rsid w:val="005B4A7D"/>
    <w:rsid w:val="005C46BC"/>
    <w:rsid w:val="005C7FA6"/>
    <w:rsid w:val="005D0373"/>
    <w:rsid w:val="005D220C"/>
    <w:rsid w:val="005E0303"/>
    <w:rsid w:val="005E0A5A"/>
    <w:rsid w:val="005E2F03"/>
    <w:rsid w:val="005E3ED8"/>
    <w:rsid w:val="005E6C45"/>
    <w:rsid w:val="005F33AA"/>
    <w:rsid w:val="005F4EC7"/>
    <w:rsid w:val="005F6AAF"/>
    <w:rsid w:val="00600EF8"/>
    <w:rsid w:val="0060573E"/>
    <w:rsid w:val="00613A50"/>
    <w:rsid w:val="00614D6F"/>
    <w:rsid w:val="00623379"/>
    <w:rsid w:val="00623F83"/>
    <w:rsid w:val="006247E0"/>
    <w:rsid w:val="00626C63"/>
    <w:rsid w:val="00626D1A"/>
    <w:rsid w:val="0064089E"/>
    <w:rsid w:val="006516C6"/>
    <w:rsid w:val="006535A6"/>
    <w:rsid w:val="006564FB"/>
    <w:rsid w:val="0067318F"/>
    <w:rsid w:val="00677598"/>
    <w:rsid w:val="00687A20"/>
    <w:rsid w:val="006B2412"/>
    <w:rsid w:val="006C20B0"/>
    <w:rsid w:val="006C5AAF"/>
    <w:rsid w:val="006C6D64"/>
    <w:rsid w:val="006D0685"/>
    <w:rsid w:val="006E0B48"/>
    <w:rsid w:val="006F1F15"/>
    <w:rsid w:val="006F49AE"/>
    <w:rsid w:val="006F7945"/>
    <w:rsid w:val="00711B5B"/>
    <w:rsid w:val="00721B26"/>
    <w:rsid w:val="0073366F"/>
    <w:rsid w:val="00735185"/>
    <w:rsid w:val="00740EE7"/>
    <w:rsid w:val="00747017"/>
    <w:rsid w:val="007515A6"/>
    <w:rsid w:val="00754C70"/>
    <w:rsid w:val="007837C0"/>
    <w:rsid w:val="00786518"/>
    <w:rsid w:val="00786D2F"/>
    <w:rsid w:val="00791D9B"/>
    <w:rsid w:val="007A6882"/>
    <w:rsid w:val="007B7EA9"/>
    <w:rsid w:val="007C11AE"/>
    <w:rsid w:val="007D3319"/>
    <w:rsid w:val="007F2347"/>
    <w:rsid w:val="007F5F15"/>
    <w:rsid w:val="007F73D8"/>
    <w:rsid w:val="00802D47"/>
    <w:rsid w:val="0081058A"/>
    <w:rsid w:val="00811C09"/>
    <w:rsid w:val="00811C64"/>
    <w:rsid w:val="008206CD"/>
    <w:rsid w:val="00826406"/>
    <w:rsid w:val="00830F02"/>
    <w:rsid w:val="008350E8"/>
    <w:rsid w:val="00840310"/>
    <w:rsid w:val="00846CA3"/>
    <w:rsid w:val="008538C9"/>
    <w:rsid w:val="008574E6"/>
    <w:rsid w:val="00881838"/>
    <w:rsid w:val="00882315"/>
    <w:rsid w:val="00895CF5"/>
    <w:rsid w:val="008A495D"/>
    <w:rsid w:val="008B4283"/>
    <w:rsid w:val="008B7258"/>
    <w:rsid w:val="008B79D4"/>
    <w:rsid w:val="008D5638"/>
    <w:rsid w:val="008F33D6"/>
    <w:rsid w:val="008F566D"/>
    <w:rsid w:val="008F676B"/>
    <w:rsid w:val="00900A6E"/>
    <w:rsid w:val="0090618D"/>
    <w:rsid w:val="00910E28"/>
    <w:rsid w:val="00916C66"/>
    <w:rsid w:val="0092780E"/>
    <w:rsid w:val="00930B87"/>
    <w:rsid w:val="00930C17"/>
    <w:rsid w:val="0093128F"/>
    <w:rsid w:val="00932704"/>
    <w:rsid w:val="00943397"/>
    <w:rsid w:val="009463E6"/>
    <w:rsid w:val="00950DFD"/>
    <w:rsid w:val="00953732"/>
    <w:rsid w:val="00960CA0"/>
    <w:rsid w:val="0096633F"/>
    <w:rsid w:val="00982986"/>
    <w:rsid w:val="00986AF0"/>
    <w:rsid w:val="009958A5"/>
    <w:rsid w:val="009973D7"/>
    <w:rsid w:val="009A2325"/>
    <w:rsid w:val="009A382A"/>
    <w:rsid w:val="009A4EBC"/>
    <w:rsid w:val="009A6E60"/>
    <w:rsid w:val="009D5F5A"/>
    <w:rsid w:val="009F461C"/>
    <w:rsid w:val="009F4823"/>
    <w:rsid w:val="00A12802"/>
    <w:rsid w:val="00A146F6"/>
    <w:rsid w:val="00A23C37"/>
    <w:rsid w:val="00A27F0C"/>
    <w:rsid w:val="00A34947"/>
    <w:rsid w:val="00A41A3D"/>
    <w:rsid w:val="00A45D04"/>
    <w:rsid w:val="00A50695"/>
    <w:rsid w:val="00A72AA9"/>
    <w:rsid w:val="00A80749"/>
    <w:rsid w:val="00A84AFD"/>
    <w:rsid w:val="00A9288D"/>
    <w:rsid w:val="00A96BFD"/>
    <w:rsid w:val="00A976E6"/>
    <w:rsid w:val="00AA67FF"/>
    <w:rsid w:val="00AB7C21"/>
    <w:rsid w:val="00AC6C8F"/>
    <w:rsid w:val="00AE62BD"/>
    <w:rsid w:val="00AF0E96"/>
    <w:rsid w:val="00AF203E"/>
    <w:rsid w:val="00B02D84"/>
    <w:rsid w:val="00B03680"/>
    <w:rsid w:val="00B06AA5"/>
    <w:rsid w:val="00B15306"/>
    <w:rsid w:val="00B16F44"/>
    <w:rsid w:val="00B223DD"/>
    <w:rsid w:val="00B248BB"/>
    <w:rsid w:val="00B25CDA"/>
    <w:rsid w:val="00B2665C"/>
    <w:rsid w:val="00B26EBA"/>
    <w:rsid w:val="00B34644"/>
    <w:rsid w:val="00B3574F"/>
    <w:rsid w:val="00B6233A"/>
    <w:rsid w:val="00B64828"/>
    <w:rsid w:val="00B8062A"/>
    <w:rsid w:val="00B93567"/>
    <w:rsid w:val="00B9662B"/>
    <w:rsid w:val="00B9687C"/>
    <w:rsid w:val="00BA2BAB"/>
    <w:rsid w:val="00BA3CAD"/>
    <w:rsid w:val="00BB57C1"/>
    <w:rsid w:val="00BC212F"/>
    <w:rsid w:val="00BC2F87"/>
    <w:rsid w:val="00BC3368"/>
    <w:rsid w:val="00BD0271"/>
    <w:rsid w:val="00BD29F3"/>
    <w:rsid w:val="00BD4D42"/>
    <w:rsid w:val="00BD7F28"/>
    <w:rsid w:val="00BE1192"/>
    <w:rsid w:val="00C02DEF"/>
    <w:rsid w:val="00C31C46"/>
    <w:rsid w:val="00C3658C"/>
    <w:rsid w:val="00C366A9"/>
    <w:rsid w:val="00C43382"/>
    <w:rsid w:val="00C44D42"/>
    <w:rsid w:val="00C55E93"/>
    <w:rsid w:val="00C62788"/>
    <w:rsid w:val="00C648E3"/>
    <w:rsid w:val="00C64B78"/>
    <w:rsid w:val="00C70383"/>
    <w:rsid w:val="00C742CB"/>
    <w:rsid w:val="00C75A18"/>
    <w:rsid w:val="00C916A9"/>
    <w:rsid w:val="00C9350B"/>
    <w:rsid w:val="00C9542D"/>
    <w:rsid w:val="00CA68E3"/>
    <w:rsid w:val="00CB384F"/>
    <w:rsid w:val="00CB4E4D"/>
    <w:rsid w:val="00CB6CF5"/>
    <w:rsid w:val="00CD4F42"/>
    <w:rsid w:val="00CE2F4F"/>
    <w:rsid w:val="00CE57AF"/>
    <w:rsid w:val="00CF02F0"/>
    <w:rsid w:val="00D07A20"/>
    <w:rsid w:val="00D10C91"/>
    <w:rsid w:val="00D12840"/>
    <w:rsid w:val="00D30899"/>
    <w:rsid w:val="00D367C3"/>
    <w:rsid w:val="00D40C91"/>
    <w:rsid w:val="00D41D51"/>
    <w:rsid w:val="00D4203E"/>
    <w:rsid w:val="00D45C3F"/>
    <w:rsid w:val="00D514E1"/>
    <w:rsid w:val="00D63787"/>
    <w:rsid w:val="00D652E6"/>
    <w:rsid w:val="00D74F6B"/>
    <w:rsid w:val="00D81555"/>
    <w:rsid w:val="00D90A2E"/>
    <w:rsid w:val="00D91C32"/>
    <w:rsid w:val="00D9215A"/>
    <w:rsid w:val="00D944F6"/>
    <w:rsid w:val="00D96744"/>
    <w:rsid w:val="00D96A24"/>
    <w:rsid w:val="00D97E0A"/>
    <w:rsid w:val="00DA36FB"/>
    <w:rsid w:val="00DA5DBA"/>
    <w:rsid w:val="00DC2EF4"/>
    <w:rsid w:val="00DD71C1"/>
    <w:rsid w:val="00DF31FD"/>
    <w:rsid w:val="00DF4F38"/>
    <w:rsid w:val="00E101FF"/>
    <w:rsid w:val="00E2316D"/>
    <w:rsid w:val="00E27C81"/>
    <w:rsid w:val="00E31843"/>
    <w:rsid w:val="00E3623B"/>
    <w:rsid w:val="00E40940"/>
    <w:rsid w:val="00E516E0"/>
    <w:rsid w:val="00E53B22"/>
    <w:rsid w:val="00E5694F"/>
    <w:rsid w:val="00E56A79"/>
    <w:rsid w:val="00E757B7"/>
    <w:rsid w:val="00EB44E8"/>
    <w:rsid w:val="00EC496A"/>
    <w:rsid w:val="00EC7C69"/>
    <w:rsid w:val="00ED524E"/>
    <w:rsid w:val="00EE3D56"/>
    <w:rsid w:val="00EE5458"/>
    <w:rsid w:val="00EE6C47"/>
    <w:rsid w:val="00EF5F47"/>
    <w:rsid w:val="00EF74ED"/>
    <w:rsid w:val="00F02CA5"/>
    <w:rsid w:val="00F06167"/>
    <w:rsid w:val="00F25A5F"/>
    <w:rsid w:val="00F27915"/>
    <w:rsid w:val="00F301F6"/>
    <w:rsid w:val="00F3776B"/>
    <w:rsid w:val="00F509CD"/>
    <w:rsid w:val="00F5379A"/>
    <w:rsid w:val="00F60BF7"/>
    <w:rsid w:val="00F63CE6"/>
    <w:rsid w:val="00F646A8"/>
    <w:rsid w:val="00F67C8B"/>
    <w:rsid w:val="00F86E1C"/>
    <w:rsid w:val="00F900D1"/>
    <w:rsid w:val="00FC00A0"/>
    <w:rsid w:val="00FC3085"/>
    <w:rsid w:val="00FE07BB"/>
    <w:rsid w:val="00FE203D"/>
    <w:rsid w:val="00FE6CCE"/>
    <w:rsid w:val="00FF15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A881"/>
  <w15:chartTrackingRefBased/>
  <w15:docId w15:val="{34F47C49-0186-40A3-A00B-0EF267B7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66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8F56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8F56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F56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8F566D"/>
    <w:pPr>
      <w:keepNext/>
      <w:keepLines/>
      <w:spacing w:before="40"/>
      <w:outlineLvl w:val="3"/>
    </w:pPr>
    <w:rPr>
      <w:rFonts w:ascii="Calibri Light" w:hAnsi="Calibri Light"/>
      <w:i/>
      <w:iCs/>
      <w:color w:val="2E74B5"/>
    </w:rPr>
  </w:style>
  <w:style w:type="paragraph" w:styleId="Heading5">
    <w:name w:val="heading 5"/>
    <w:basedOn w:val="Normal"/>
    <w:link w:val="Heading5Char"/>
    <w:uiPriority w:val="9"/>
    <w:qFormat/>
    <w:rsid w:val="008F566D"/>
    <w:pPr>
      <w:spacing w:before="100" w:beforeAutospacing="1" w:after="100" w:afterAutospacing="1"/>
      <w:outlineLvl w:val="4"/>
    </w:pPr>
    <w:rPr>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66D"/>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9"/>
    <w:rsid w:val="008F566D"/>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uiPriority w:val="9"/>
    <w:rsid w:val="008F566D"/>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uiPriority w:val="9"/>
    <w:rsid w:val="008F566D"/>
    <w:rPr>
      <w:rFonts w:ascii="Calibri Light" w:eastAsia="Times New Roman" w:hAnsi="Calibri Light" w:cs="Times New Roman"/>
      <w:i/>
      <w:iCs/>
      <w:color w:val="2E74B5"/>
      <w:sz w:val="24"/>
      <w:szCs w:val="24"/>
      <w:lang w:val="en-GB" w:eastAsia="en-GB"/>
    </w:rPr>
  </w:style>
  <w:style w:type="character" w:customStyle="1" w:styleId="Heading5Char">
    <w:name w:val="Heading 5 Char"/>
    <w:basedOn w:val="DefaultParagraphFont"/>
    <w:link w:val="Heading5"/>
    <w:uiPriority w:val="9"/>
    <w:rsid w:val="008F566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F566D"/>
    <w:pPr>
      <w:tabs>
        <w:tab w:val="center" w:pos="4513"/>
        <w:tab w:val="right" w:pos="9026"/>
      </w:tabs>
    </w:pPr>
  </w:style>
  <w:style w:type="character" w:customStyle="1" w:styleId="HeaderChar">
    <w:name w:val="Header Char"/>
    <w:basedOn w:val="DefaultParagraphFont"/>
    <w:link w:val="Header"/>
    <w:uiPriority w:val="99"/>
    <w:rsid w:val="008F566D"/>
    <w:rPr>
      <w:lang w:val="en-GB"/>
    </w:rPr>
  </w:style>
  <w:style w:type="paragraph" w:styleId="Footer">
    <w:name w:val="footer"/>
    <w:basedOn w:val="Normal"/>
    <w:link w:val="FooterChar"/>
    <w:uiPriority w:val="99"/>
    <w:unhideWhenUsed/>
    <w:rsid w:val="008F566D"/>
    <w:pPr>
      <w:tabs>
        <w:tab w:val="center" w:pos="4513"/>
        <w:tab w:val="right" w:pos="9026"/>
      </w:tabs>
    </w:pPr>
  </w:style>
  <w:style w:type="character" w:customStyle="1" w:styleId="FooterChar">
    <w:name w:val="Footer Char"/>
    <w:basedOn w:val="DefaultParagraphFont"/>
    <w:link w:val="Footer"/>
    <w:uiPriority w:val="99"/>
    <w:rsid w:val="008F566D"/>
    <w:rPr>
      <w:lang w:val="en-GB"/>
    </w:rPr>
  </w:style>
  <w:style w:type="paragraph" w:styleId="TOC3">
    <w:name w:val="toc 3"/>
    <w:basedOn w:val="Normal"/>
    <w:next w:val="Normal"/>
    <w:autoRedefine/>
    <w:uiPriority w:val="39"/>
    <w:rsid w:val="008F566D"/>
    <w:pPr>
      <w:tabs>
        <w:tab w:val="left" w:pos="1200"/>
        <w:tab w:val="right" w:leader="hyphen" w:pos="8777"/>
      </w:tabs>
      <w:spacing w:line="360" w:lineRule="auto"/>
      <w:ind w:firstLine="567"/>
    </w:pPr>
    <w:rPr>
      <w:noProof/>
    </w:rPr>
  </w:style>
  <w:style w:type="paragraph" w:styleId="TOC1">
    <w:name w:val="toc 1"/>
    <w:basedOn w:val="Normal"/>
    <w:next w:val="Normal"/>
    <w:autoRedefine/>
    <w:uiPriority w:val="39"/>
    <w:rsid w:val="008F566D"/>
    <w:pPr>
      <w:tabs>
        <w:tab w:val="left" w:pos="480"/>
        <w:tab w:val="right" w:leader="dot" w:pos="8777"/>
      </w:tabs>
      <w:spacing w:before="240"/>
    </w:pPr>
    <w:rPr>
      <w:rFonts w:ascii="Arial" w:hAnsi="Arial" w:cs="Arial"/>
      <w:b/>
      <w:bCs/>
      <w:caps/>
    </w:rPr>
  </w:style>
  <w:style w:type="character" w:styleId="PageNumber">
    <w:name w:val="page number"/>
    <w:basedOn w:val="DefaultParagraphFont"/>
    <w:rsid w:val="008F566D"/>
  </w:style>
  <w:style w:type="table" w:styleId="TableGrid">
    <w:name w:val="Table Grid"/>
    <w:basedOn w:val="TableNormal"/>
    <w:uiPriority w:val="39"/>
    <w:rsid w:val="008F566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F566D"/>
    <w:rPr>
      <w:color w:val="0000FF"/>
      <w:u w:val="single"/>
    </w:rPr>
  </w:style>
  <w:style w:type="paragraph" w:customStyle="1" w:styleId="Default">
    <w:name w:val="Default"/>
    <w:rsid w:val="008F566D"/>
    <w:pPr>
      <w:autoSpaceDE w:val="0"/>
      <w:autoSpaceDN w:val="0"/>
      <w:adjustRightInd w:val="0"/>
      <w:spacing w:after="0" w:line="240" w:lineRule="auto"/>
    </w:pPr>
    <w:rPr>
      <w:rFonts w:ascii="ITC Garamond" w:eastAsia="Times New Roman" w:hAnsi="ITC Garamond" w:cs="ITC Garamond"/>
      <w:color w:val="000000"/>
      <w:sz w:val="24"/>
      <w:szCs w:val="24"/>
      <w:lang w:val="en-GB" w:eastAsia="en-GB"/>
    </w:rPr>
  </w:style>
  <w:style w:type="paragraph" w:styleId="FootnoteText">
    <w:name w:val="footnote text"/>
    <w:basedOn w:val="Normal"/>
    <w:link w:val="FootnoteTextChar"/>
    <w:semiHidden/>
    <w:rsid w:val="008F566D"/>
    <w:rPr>
      <w:sz w:val="20"/>
      <w:szCs w:val="20"/>
    </w:rPr>
  </w:style>
  <w:style w:type="character" w:customStyle="1" w:styleId="FootnoteTextChar">
    <w:name w:val="Footnote Text Char"/>
    <w:basedOn w:val="DefaultParagraphFont"/>
    <w:link w:val="FootnoteText"/>
    <w:semiHidden/>
    <w:rsid w:val="008F566D"/>
    <w:rPr>
      <w:rFonts w:ascii="Times New Roman" w:eastAsia="Times New Roman" w:hAnsi="Times New Roman" w:cs="Times New Roman"/>
      <w:sz w:val="20"/>
      <w:szCs w:val="20"/>
      <w:lang w:val="en-GB" w:eastAsia="en-GB"/>
    </w:rPr>
  </w:style>
  <w:style w:type="character" w:styleId="FootnoteReference">
    <w:name w:val="footnote reference"/>
    <w:semiHidden/>
    <w:rsid w:val="008F566D"/>
    <w:rPr>
      <w:vertAlign w:val="superscript"/>
    </w:rPr>
  </w:style>
  <w:style w:type="character" w:styleId="Emphasis">
    <w:name w:val="Emphasis"/>
    <w:uiPriority w:val="20"/>
    <w:qFormat/>
    <w:rsid w:val="008F566D"/>
    <w:rPr>
      <w:i/>
      <w:iCs/>
    </w:rPr>
  </w:style>
  <w:style w:type="character" w:styleId="FollowedHyperlink">
    <w:name w:val="FollowedHyperlink"/>
    <w:uiPriority w:val="99"/>
    <w:rsid w:val="008F566D"/>
    <w:rPr>
      <w:color w:val="800080"/>
      <w:u w:val="single"/>
    </w:rPr>
  </w:style>
  <w:style w:type="paragraph" w:styleId="NormalWeb">
    <w:name w:val="Normal (Web)"/>
    <w:basedOn w:val="Normal"/>
    <w:uiPriority w:val="99"/>
    <w:rsid w:val="008F566D"/>
    <w:pPr>
      <w:spacing w:before="120" w:after="240"/>
    </w:pPr>
    <w:rPr>
      <w:rFonts w:ascii="Verdana" w:hAnsi="Verdana"/>
      <w:color w:val="000066"/>
      <w:sz w:val="22"/>
      <w:szCs w:val="22"/>
    </w:rPr>
  </w:style>
  <w:style w:type="character" w:styleId="HTMLCite">
    <w:name w:val="HTML Cite"/>
    <w:uiPriority w:val="99"/>
    <w:rsid w:val="008F566D"/>
    <w:rPr>
      <w:i/>
      <w:iCs/>
    </w:rPr>
  </w:style>
  <w:style w:type="paragraph" w:styleId="TOC2">
    <w:name w:val="toc 2"/>
    <w:basedOn w:val="Normal"/>
    <w:next w:val="Normal"/>
    <w:autoRedefine/>
    <w:uiPriority w:val="39"/>
    <w:rsid w:val="008F566D"/>
    <w:pPr>
      <w:tabs>
        <w:tab w:val="left" w:pos="720"/>
        <w:tab w:val="right" w:leader="dot" w:pos="8777"/>
      </w:tabs>
      <w:spacing w:before="240" w:line="360" w:lineRule="auto"/>
      <w:ind w:firstLine="567"/>
    </w:pPr>
    <w:rPr>
      <w:b/>
      <w:bCs/>
      <w:sz w:val="20"/>
      <w:szCs w:val="20"/>
    </w:rPr>
  </w:style>
  <w:style w:type="paragraph" w:styleId="TOC4">
    <w:name w:val="toc 4"/>
    <w:basedOn w:val="Normal"/>
    <w:next w:val="Normal"/>
    <w:autoRedefine/>
    <w:uiPriority w:val="39"/>
    <w:rsid w:val="008F566D"/>
    <w:pPr>
      <w:ind w:left="480"/>
    </w:pPr>
    <w:rPr>
      <w:sz w:val="20"/>
      <w:szCs w:val="20"/>
    </w:rPr>
  </w:style>
  <w:style w:type="paragraph" w:styleId="TOC5">
    <w:name w:val="toc 5"/>
    <w:basedOn w:val="Normal"/>
    <w:next w:val="Normal"/>
    <w:autoRedefine/>
    <w:uiPriority w:val="39"/>
    <w:rsid w:val="008F566D"/>
    <w:pPr>
      <w:ind w:left="720"/>
    </w:pPr>
    <w:rPr>
      <w:sz w:val="20"/>
      <w:szCs w:val="20"/>
    </w:rPr>
  </w:style>
  <w:style w:type="paragraph" w:styleId="TOC6">
    <w:name w:val="toc 6"/>
    <w:basedOn w:val="Normal"/>
    <w:next w:val="Normal"/>
    <w:autoRedefine/>
    <w:uiPriority w:val="39"/>
    <w:rsid w:val="008F566D"/>
    <w:pPr>
      <w:ind w:left="960"/>
    </w:pPr>
    <w:rPr>
      <w:sz w:val="20"/>
      <w:szCs w:val="20"/>
    </w:rPr>
  </w:style>
  <w:style w:type="paragraph" w:styleId="TOC7">
    <w:name w:val="toc 7"/>
    <w:basedOn w:val="Normal"/>
    <w:next w:val="Normal"/>
    <w:autoRedefine/>
    <w:uiPriority w:val="39"/>
    <w:rsid w:val="008F566D"/>
    <w:pPr>
      <w:ind w:left="1200"/>
    </w:pPr>
    <w:rPr>
      <w:sz w:val="20"/>
      <w:szCs w:val="20"/>
    </w:rPr>
  </w:style>
  <w:style w:type="paragraph" w:styleId="TOC8">
    <w:name w:val="toc 8"/>
    <w:basedOn w:val="Normal"/>
    <w:next w:val="Normal"/>
    <w:autoRedefine/>
    <w:uiPriority w:val="39"/>
    <w:rsid w:val="008F566D"/>
    <w:pPr>
      <w:ind w:left="1440"/>
    </w:pPr>
    <w:rPr>
      <w:sz w:val="20"/>
      <w:szCs w:val="20"/>
    </w:rPr>
  </w:style>
  <w:style w:type="paragraph" w:styleId="TOC9">
    <w:name w:val="toc 9"/>
    <w:basedOn w:val="Normal"/>
    <w:next w:val="Normal"/>
    <w:autoRedefine/>
    <w:uiPriority w:val="39"/>
    <w:rsid w:val="008F566D"/>
    <w:pPr>
      <w:ind w:left="1680"/>
    </w:pPr>
    <w:rPr>
      <w:sz w:val="20"/>
      <w:szCs w:val="20"/>
    </w:rPr>
  </w:style>
  <w:style w:type="paragraph" w:styleId="BalloonText">
    <w:name w:val="Balloon Text"/>
    <w:basedOn w:val="Normal"/>
    <w:link w:val="BalloonTextChar"/>
    <w:uiPriority w:val="99"/>
    <w:semiHidden/>
    <w:rsid w:val="008F566D"/>
    <w:rPr>
      <w:rFonts w:ascii="Tahoma" w:hAnsi="Tahoma" w:cs="Tahoma"/>
      <w:sz w:val="16"/>
      <w:szCs w:val="16"/>
    </w:rPr>
  </w:style>
  <w:style w:type="character" w:customStyle="1" w:styleId="BalloonTextChar">
    <w:name w:val="Balloon Text Char"/>
    <w:basedOn w:val="DefaultParagraphFont"/>
    <w:link w:val="BalloonText"/>
    <w:uiPriority w:val="99"/>
    <w:semiHidden/>
    <w:rsid w:val="008F566D"/>
    <w:rPr>
      <w:rFonts w:ascii="Tahoma" w:eastAsia="Times New Roman" w:hAnsi="Tahoma" w:cs="Tahoma"/>
      <w:sz w:val="16"/>
      <w:szCs w:val="16"/>
      <w:lang w:val="en-GB" w:eastAsia="en-GB"/>
    </w:rPr>
  </w:style>
  <w:style w:type="character" w:customStyle="1" w:styleId="a">
    <w:name w:val="a"/>
    <w:basedOn w:val="DefaultParagraphFont"/>
    <w:rsid w:val="008F566D"/>
  </w:style>
  <w:style w:type="paragraph" w:customStyle="1" w:styleId="inline">
    <w:name w:val="inline"/>
    <w:basedOn w:val="Normal"/>
    <w:rsid w:val="008F566D"/>
    <w:pPr>
      <w:spacing w:before="100" w:beforeAutospacing="1" w:after="100" w:afterAutospacing="1"/>
    </w:pPr>
  </w:style>
  <w:style w:type="character" w:customStyle="1" w:styleId="ti2">
    <w:name w:val="ti2"/>
    <w:rsid w:val="008F566D"/>
    <w:rPr>
      <w:sz w:val="22"/>
      <w:szCs w:val="22"/>
    </w:rPr>
  </w:style>
  <w:style w:type="character" w:styleId="Strong">
    <w:name w:val="Strong"/>
    <w:uiPriority w:val="22"/>
    <w:qFormat/>
    <w:rsid w:val="008F566D"/>
    <w:rPr>
      <w:b/>
      <w:bCs/>
    </w:rPr>
  </w:style>
  <w:style w:type="paragraph" w:styleId="z-TopofForm">
    <w:name w:val="HTML Top of Form"/>
    <w:basedOn w:val="Normal"/>
    <w:next w:val="Normal"/>
    <w:link w:val="z-TopofFormChar"/>
    <w:hidden/>
    <w:uiPriority w:val="99"/>
    <w:rsid w:val="008F566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8F566D"/>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rsid w:val="008F566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8F566D"/>
    <w:rPr>
      <w:rFonts w:ascii="Arial" w:eastAsia="Times New Roman" w:hAnsi="Arial" w:cs="Arial"/>
      <w:vanish/>
      <w:sz w:val="16"/>
      <w:szCs w:val="16"/>
      <w:lang w:val="en-GB" w:eastAsia="en-GB"/>
    </w:rPr>
  </w:style>
  <w:style w:type="paragraph" w:customStyle="1" w:styleId="g">
    <w:name w:val="g"/>
    <w:basedOn w:val="Normal"/>
    <w:rsid w:val="008F566D"/>
    <w:pPr>
      <w:spacing w:before="100" w:beforeAutospacing="1" w:after="100" w:afterAutospacing="1"/>
    </w:pPr>
  </w:style>
  <w:style w:type="character" w:customStyle="1" w:styleId="w1">
    <w:name w:val="w1"/>
    <w:rsid w:val="008F566D"/>
    <w:rPr>
      <w:color w:val="0000CC"/>
    </w:rPr>
  </w:style>
  <w:style w:type="character" w:customStyle="1" w:styleId="b1">
    <w:name w:val="b1"/>
    <w:rsid w:val="008F566D"/>
    <w:rPr>
      <w:b/>
      <w:bCs/>
      <w:color w:val="0000CC"/>
      <w:sz w:val="24"/>
      <w:szCs w:val="24"/>
    </w:rPr>
  </w:style>
  <w:style w:type="character" w:customStyle="1" w:styleId="searchword">
    <w:name w:val="searchword"/>
    <w:rsid w:val="008F566D"/>
    <w:rPr>
      <w:shd w:val="clear" w:color="auto" w:fill="FFFF00"/>
    </w:rPr>
  </w:style>
  <w:style w:type="paragraph" w:styleId="ListParagraph">
    <w:name w:val="List Paragraph"/>
    <w:basedOn w:val="Normal"/>
    <w:uiPriority w:val="34"/>
    <w:qFormat/>
    <w:rsid w:val="008F566D"/>
    <w:pPr>
      <w:ind w:left="720"/>
    </w:pPr>
  </w:style>
  <w:style w:type="character" w:customStyle="1" w:styleId="linkbar">
    <w:name w:val="linkbar"/>
    <w:basedOn w:val="DefaultParagraphFont"/>
    <w:rsid w:val="008F566D"/>
  </w:style>
  <w:style w:type="paragraph" w:styleId="Caption">
    <w:name w:val="caption"/>
    <w:basedOn w:val="Normal"/>
    <w:next w:val="Normal"/>
    <w:qFormat/>
    <w:rsid w:val="008F566D"/>
    <w:rPr>
      <w:b/>
      <w:bCs/>
      <w:sz w:val="20"/>
      <w:szCs w:val="20"/>
    </w:rPr>
  </w:style>
  <w:style w:type="paragraph" w:customStyle="1" w:styleId="Paragraph">
    <w:name w:val="Paragraph"/>
    <w:basedOn w:val="Normal"/>
    <w:uiPriority w:val="99"/>
    <w:rsid w:val="008F566D"/>
    <w:pPr>
      <w:spacing w:after="240" w:line="240" w:lineRule="atLeast"/>
      <w:jc w:val="both"/>
    </w:pPr>
    <w:rPr>
      <w:rFonts w:ascii="Arial" w:hAnsi="Arial" w:cs="Arial"/>
      <w:sz w:val="20"/>
      <w:szCs w:val="20"/>
      <w:lang w:eastAsia="en-US"/>
    </w:rPr>
  </w:style>
  <w:style w:type="paragraph" w:customStyle="1" w:styleId="4AbstractBold">
    <w:name w:val="4 Abstract: (Bold)"/>
    <w:basedOn w:val="Normal"/>
    <w:link w:val="4AbstractBoldCarCar"/>
    <w:uiPriority w:val="99"/>
    <w:rsid w:val="008F566D"/>
    <w:pPr>
      <w:widowControl w:val="0"/>
      <w:spacing w:before="240" w:after="200" w:line="200" w:lineRule="atLeast"/>
      <w:jc w:val="both"/>
    </w:pPr>
    <w:rPr>
      <w:rFonts w:ascii="Arial" w:hAnsi="Arial" w:cs="Arial"/>
      <w:b/>
      <w:bCs/>
      <w:sz w:val="18"/>
      <w:szCs w:val="18"/>
      <w:lang w:eastAsia="en-US"/>
    </w:rPr>
  </w:style>
  <w:style w:type="character" w:customStyle="1" w:styleId="4AbstractBoldCarCar">
    <w:name w:val="4 Abstract: (Bold) Car Car"/>
    <w:link w:val="4AbstractBold"/>
    <w:uiPriority w:val="99"/>
    <w:rsid w:val="008F566D"/>
    <w:rPr>
      <w:rFonts w:ascii="Arial" w:eastAsia="Times New Roman" w:hAnsi="Arial" w:cs="Arial"/>
      <w:b/>
      <w:bCs/>
      <w:sz w:val="18"/>
      <w:szCs w:val="18"/>
      <w:lang w:val="en-GB"/>
    </w:rPr>
  </w:style>
  <w:style w:type="character" w:styleId="CommentReference">
    <w:name w:val="annotation reference"/>
    <w:uiPriority w:val="99"/>
    <w:semiHidden/>
    <w:rsid w:val="008F566D"/>
    <w:rPr>
      <w:rFonts w:cs="Times New Roman"/>
      <w:sz w:val="16"/>
      <w:szCs w:val="16"/>
    </w:rPr>
  </w:style>
  <w:style w:type="paragraph" w:styleId="CommentText">
    <w:name w:val="annotation text"/>
    <w:basedOn w:val="Normal"/>
    <w:link w:val="CommentTextChar"/>
    <w:uiPriority w:val="99"/>
    <w:rsid w:val="008F566D"/>
    <w:pPr>
      <w:jc w:val="both"/>
    </w:pPr>
    <w:rPr>
      <w:rFonts w:ascii="Arial" w:hAnsi="Arial" w:cs="Arial"/>
      <w:sz w:val="20"/>
      <w:szCs w:val="20"/>
      <w:lang w:eastAsia="en-US"/>
    </w:rPr>
  </w:style>
  <w:style w:type="character" w:customStyle="1" w:styleId="CommentTextChar">
    <w:name w:val="Comment Text Char"/>
    <w:basedOn w:val="DefaultParagraphFont"/>
    <w:link w:val="CommentText"/>
    <w:uiPriority w:val="99"/>
    <w:rsid w:val="008F566D"/>
    <w:rPr>
      <w:rFonts w:ascii="Arial" w:eastAsia="Times New Roman" w:hAnsi="Arial" w:cs="Arial"/>
      <w:sz w:val="20"/>
      <w:szCs w:val="20"/>
      <w:lang w:val="en-GB"/>
    </w:rPr>
  </w:style>
  <w:style w:type="character" w:customStyle="1" w:styleId="CommentSubjectChar">
    <w:name w:val="Comment Subject Char"/>
    <w:basedOn w:val="CommentTextChar"/>
    <w:link w:val="CommentSubject"/>
    <w:uiPriority w:val="99"/>
    <w:semiHidden/>
    <w:rsid w:val="008F566D"/>
    <w:rPr>
      <w:rFonts w:ascii="Times New Roman" w:eastAsia="Times New Roman" w:hAnsi="Times New Roman" w:cs="Times New Roman"/>
      <w:b/>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8F566D"/>
    <w:pPr>
      <w:jc w:val="left"/>
    </w:pPr>
    <w:rPr>
      <w:rFonts w:ascii="Times New Roman" w:hAnsi="Times New Roman" w:cs="Times New Roman"/>
      <w:b/>
      <w:bCs/>
      <w:lang w:eastAsia="en-GB"/>
    </w:rPr>
  </w:style>
  <w:style w:type="character" w:customStyle="1" w:styleId="apple-converted-space">
    <w:name w:val="apple-converted-space"/>
    <w:rsid w:val="008F566D"/>
  </w:style>
  <w:style w:type="paragraph" w:styleId="NoSpacing">
    <w:name w:val="No Spacing"/>
    <w:aliases w:val="Main"/>
    <w:link w:val="NoSpacingChar"/>
    <w:uiPriority w:val="1"/>
    <w:qFormat/>
    <w:rsid w:val="008F566D"/>
    <w:pPr>
      <w:spacing w:before="400" w:after="400" w:line="360" w:lineRule="auto"/>
      <w:jc w:val="both"/>
    </w:pPr>
    <w:rPr>
      <w:rFonts w:ascii="Times New Roman" w:eastAsia="Calibri" w:hAnsi="Times New Roman" w:cs="Arial"/>
      <w:sz w:val="24"/>
      <w:lang w:val="en-GB"/>
    </w:rPr>
  </w:style>
  <w:style w:type="character" w:customStyle="1" w:styleId="NoSpacingChar">
    <w:name w:val="No Spacing Char"/>
    <w:aliases w:val="Main Char"/>
    <w:link w:val="NoSpacing"/>
    <w:uiPriority w:val="1"/>
    <w:rsid w:val="008F566D"/>
    <w:rPr>
      <w:rFonts w:ascii="Times New Roman" w:eastAsia="Calibri" w:hAnsi="Times New Roman" w:cs="Arial"/>
      <w:sz w:val="24"/>
      <w:lang w:val="en-GB"/>
    </w:rPr>
  </w:style>
  <w:style w:type="paragraph" w:customStyle="1" w:styleId="DefaultText1">
    <w:name w:val="Default Text:1"/>
    <w:basedOn w:val="Normal"/>
    <w:uiPriority w:val="99"/>
    <w:rsid w:val="008F566D"/>
    <w:pPr>
      <w:tabs>
        <w:tab w:val="left" w:pos="0"/>
      </w:tabs>
    </w:pPr>
    <w:rPr>
      <w:rFonts w:ascii="Arial" w:hAnsi="Arial" w:cs="Arial"/>
      <w:lang w:val="en-US" w:eastAsia="ja-JP"/>
    </w:rPr>
  </w:style>
  <w:style w:type="character" w:customStyle="1" w:styleId="gsa1">
    <w:name w:val="gs_a1"/>
    <w:uiPriority w:val="99"/>
    <w:rsid w:val="008F566D"/>
    <w:rPr>
      <w:rFonts w:cs="Times New Roman"/>
      <w:color w:val="008000"/>
    </w:rPr>
  </w:style>
  <w:style w:type="character" w:customStyle="1" w:styleId="cit-auth">
    <w:name w:val="cit-auth"/>
    <w:basedOn w:val="DefaultParagraphFont"/>
    <w:rsid w:val="008F566D"/>
  </w:style>
  <w:style w:type="character" w:customStyle="1" w:styleId="cit-title">
    <w:name w:val="cit-title"/>
    <w:basedOn w:val="DefaultParagraphFont"/>
    <w:rsid w:val="008F566D"/>
  </w:style>
  <w:style w:type="character" w:customStyle="1" w:styleId="search-result-highlight">
    <w:name w:val="search-result-highlight"/>
    <w:basedOn w:val="DefaultParagraphFont"/>
    <w:rsid w:val="008F566D"/>
  </w:style>
  <w:style w:type="character" w:customStyle="1" w:styleId="cit-print-date">
    <w:name w:val="cit-print-date"/>
    <w:basedOn w:val="DefaultParagraphFont"/>
    <w:rsid w:val="008F566D"/>
  </w:style>
  <w:style w:type="character" w:customStyle="1" w:styleId="cit-sep">
    <w:name w:val="cit-sep"/>
    <w:basedOn w:val="DefaultParagraphFont"/>
    <w:rsid w:val="008F566D"/>
  </w:style>
  <w:style w:type="character" w:customStyle="1" w:styleId="cit-vol">
    <w:name w:val="cit-vol"/>
    <w:basedOn w:val="DefaultParagraphFont"/>
    <w:rsid w:val="008F566D"/>
  </w:style>
  <w:style w:type="character" w:customStyle="1" w:styleId="cit-issue">
    <w:name w:val="cit-issue"/>
    <w:basedOn w:val="DefaultParagraphFont"/>
    <w:rsid w:val="008F566D"/>
  </w:style>
  <w:style w:type="character" w:customStyle="1" w:styleId="cit-first-page">
    <w:name w:val="cit-first-page"/>
    <w:basedOn w:val="DefaultParagraphFont"/>
    <w:rsid w:val="008F566D"/>
  </w:style>
  <w:style w:type="character" w:customStyle="1" w:styleId="cit-last-page">
    <w:name w:val="cit-last-page"/>
    <w:basedOn w:val="DefaultParagraphFont"/>
    <w:rsid w:val="008F566D"/>
  </w:style>
  <w:style w:type="character" w:customStyle="1" w:styleId="cit-ahead-of-print-date">
    <w:name w:val="cit-ahead-of-print-date"/>
    <w:basedOn w:val="DefaultParagraphFont"/>
    <w:rsid w:val="008F566D"/>
  </w:style>
  <w:style w:type="character" w:customStyle="1" w:styleId="cit-doi">
    <w:name w:val="cit-doi"/>
    <w:basedOn w:val="DefaultParagraphFont"/>
    <w:rsid w:val="008F566D"/>
  </w:style>
  <w:style w:type="paragraph" w:customStyle="1" w:styleId="EndNoteBibliography">
    <w:name w:val="EndNote Bibliography"/>
    <w:basedOn w:val="Normal"/>
    <w:link w:val="EndNoteBibliographyChar"/>
    <w:rsid w:val="008F566D"/>
    <w:pPr>
      <w:autoSpaceDE w:val="0"/>
      <w:autoSpaceDN w:val="0"/>
    </w:pPr>
    <w:rPr>
      <w:noProof/>
      <w:sz w:val="20"/>
      <w:szCs w:val="20"/>
      <w:lang w:eastAsia="zh-CN"/>
    </w:rPr>
  </w:style>
  <w:style w:type="character" w:customStyle="1" w:styleId="EndNoteBibliographyChar">
    <w:name w:val="EndNote Bibliography Char"/>
    <w:link w:val="EndNoteBibliography"/>
    <w:rsid w:val="008F566D"/>
    <w:rPr>
      <w:rFonts w:ascii="Times New Roman" w:eastAsia="Times New Roman" w:hAnsi="Times New Roman" w:cs="Times New Roman"/>
      <w:noProof/>
      <w:sz w:val="20"/>
      <w:szCs w:val="20"/>
      <w:lang w:val="en-GB" w:eastAsia="zh-CN"/>
    </w:rPr>
  </w:style>
  <w:style w:type="paragraph" w:styleId="TOCHeading">
    <w:name w:val="TOC Heading"/>
    <w:basedOn w:val="Heading1"/>
    <w:next w:val="Normal"/>
    <w:uiPriority w:val="39"/>
    <w:unhideWhenUsed/>
    <w:qFormat/>
    <w:rsid w:val="008F566D"/>
    <w:pPr>
      <w:keepLines/>
      <w:spacing w:after="0" w:line="259" w:lineRule="auto"/>
      <w:outlineLvl w:val="9"/>
    </w:pPr>
    <w:rPr>
      <w:rFonts w:ascii="Calibri Light" w:hAnsi="Calibri Light" w:cs="Times New Roman"/>
      <w:b w:val="0"/>
      <w:bCs w:val="0"/>
      <w:color w:val="2E74B5"/>
      <w:kern w:val="0"/>
      <w:lang w:val="en-US" w:eastAsia="en-US"/>
    </w:rPr>
  </w:style>
  <w:style w:type="character" w:customStyle="1" w:styleId="reference-text">
    <w:name w:val="reference-text"/>
    <w:basedOn w:val="DefaultParagraphFont"/>
    <w:rsid w:val="008F566D"/>
  </w:style>
  <w:style w:type="character" w:customStyle="1" w:styleId="ilfuvd">
    <w:name w:val="ilfuvd"/>
    <w:basedOn w:val="DefaultParagraphFont"/>
    <w:rsid w:val="008F566D"/>
  </w:style>
  <w:style w:type="character" w:customStyle="1" w:styleId="microsite-search-icon">
    <w:name w:val="microsite-search-icon"/>
    <w:basedOn w:val="DefaultParagraphFont"/>
    <w:rsid w:val="008F566D"/>
  </w:style>
  <w:style w:type="character" w:customStyle="1" w:styleId="al-author-name-more">
    <w:name w:val="al-author-name-more"/>
    <w:basedOn w:val="DefaultParagraphFont"/>
    <w:rsid w:val="008F566D"/>
  </w:style>
  <w:style w:type="character" w:customStyle="1" w:styleId="st">
    <w:name w:val="st"/>
    <w:basedOn w:val="DefaultParagraphFont"/>
    <w:rsid w:val="008F566D"/>
  </w:style>
  <w:style w:type="character" w:customStyle="1" w:styleId="f">
    <w:name w:val="f"/>
    <w:basedOn w:val="DefaultParagraphFont"/>
    <w:rsid w:val="008F566D"/>
  </w:style>
  <w:style w:type="character" w:customStyle="1" w:styleId="sfzihb">
    <w:name w:val="sfzihb"/>
    <w:basedOn w:val="DefaultParagraphFont"/>
    <w:rsid w:val="008F566D"/>
  </w:style>
  <w:style w:type="character" w:customStyle="1" w:styleId="primary-heading">
    <w:name w:val="primary-heading"/>
    <w:basedOn w:val="DefaultParagraphFont"/>
    <w:rsid w:val="008F566D"/>
  </w:style>
  <w:style w:type="character" w:customStyle="1" w:styleId="epub-state">
    <w:name w:val="epub-state"/>
    <w:basedOn w:val="DefaultParagraphFont"/>
    <w:rsid w:val="008F566D"/>
  </w:style>
  <w:style w:type="character" w:customStyle="1" w:styleId="epub-date">
    <w:name w:val="epub-date"/>
    <w:basedOn w:val="DefaultParagraphFont"/>
    <w:rsid w:val="008F566D"/>
  </w:style>
  <w:style w:type="character" w:customStyle="1" w:styleId="table-captionlabel">
    <w:name w:val="table-caption__label"/>
    <w:basedOn w:val="DefaultParagraphFont"/>
    <w:rsid w:val="008F566D"/>
  </w:style>
  <w:style w:type="character" w:customStyle="1" w:styleId="number">
    <w:name w:val="number"/>
    <w:basedOn w:val="DefaultParagraphFont"/>
    <w:rsid w:val="008F566D"/>
  </w:style>
  <w:style w:type="character" w:customStyle="1" w:styleId="smallcaps">
    <w:name w:val="smallcaps"/>
    <w:basedOn w:val="DefaultParagraphFont"/>
    <w:rsid w:val="008F566D"/>
  </w:style>
  <w:style w:type="paragraph" w:customStyle="1" w:styleId="xl65">
    <w:name w:val="xl65"/>
    <w:basedOn w:val="Normal"/>
    <w:rsid w:val="008F566D"/>
    <w:pPr>
      <w:pBdr>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8F566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8F566D"/>
    <w:pPr>
      <w:spacing w:before="100" w:beforeAutospacing="1" w:after="100" w:afterAutospacing="1"/>
    </w:pPr>
  </w:style>
  <w:style w:type="paragraph" w:customStyle="1" w:styleId="xl68">
    <w:name w:val="xl68"/>
    <w:basedOn w:val="Normal"/>
    <w:rsid w:val="008F566D"/>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69">
    <w:name w:val="xl69"/>
    <w:basedOn w:val="Normal"/>
    <w:rsid w:val="008F566D"/>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70">
    <w:name w:val="xl70"/>
    <w:basedOn w:val="Normal"/>
    <w:rsid w:val="008F566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8F566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8F566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rsid w:val="008F566D"/>
    <w:pPr>
      <w:pBdr>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rsid w:val="008F566D"/>
    <w:pPr>
      <w:pBdr>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75">
    <w:name w:val="xl75"/>
    <w:basedOn w:val="Normal"/>
    <w:rsid w:val="008F566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76">
    <w:name w:val="xl76"/>
    <w:basedOn w:val="Normal"/>
    <w:rsid w:val="008F566D"/>
    <w:pPr>
      <w:spacing w:before="100" w:beforeAutospacing="1" w:after="100" w:afterAutospacing="1"/>
    </w:pPr>
    <w:rPr>
      <w:b/>
      <w:bCs/>
    </w:rPr>
  </w:style>
  <w:style w:type="paragraph" w:customStyle="1" w:styleId="xl77">
    <w:name w:val="xl77"/>
    <w:basedOn w:val="Normal"/>
    <w:rsid w:val="008F566D"/>
    <w:pPr>
      <w:pBdr>
        <w:bottom w:val="single" w:sz="4" w:space="0" w:color="auto"/>
        <w:right w:val="single" w:sz="4" w:space="0" w:color="auto"/>
      </w:pBdr>
      <w:spacing w:before="100" w:beforeAutospacing="1" w:after="100" w:afterAutospacing="1"/>
    </w:pPr>
    <w:rPr>
      <w:b/>
      <w:bCs/>
    </w:rPr>
  </w:style>
  <w:style w:type="paragraph" w:customStyle="1" w:styleId="xl78">
    <w:name w:val="xl78"/>
    <w:basedOn w:val="Normal"/>
    <w:rsid w:val="008F566D"/>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79">
    <w:name w:val="xl79"/>
    <w:basedOn w:val="Normal"/>
    <w:rsid w:val="008F566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Normal"/>
    <w:rsid w:val="008F566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1">
    <w:name w:val="xl81"/>
    <w:basedOn w:val="Normal"/>
    <w:rsid w:val="008F566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8F566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83">
    <w:name w:val="xl83"/>
    <w:basedOn w:val="Normal"/>
    <w:rsid w:val="008F566D"/>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4">
    <w:name w:val="xl84"/>
    <w:basedOn w:val="Normal"/>
    <w:rsid w:val="008F566D"/>
    <w:pPr>
      <w:pBdr>
        <w:top w:val="single" w:sz="4" w:space="0" w:color="auto"/>
        <w:right w:val="single" w:sz="4" w:space="0" w:color="auto"/>
      </w:pBdr>
      <w:spacing w:before="100" w:beforeAutospacing="1" w:after="100" w:afterAutospacing="1"/>
    </w:pPr>
    <w:rPr>
      <w:b/>
      <w:bCs/>
    </w:rPr>
  </w:style>
  <w:style w:type="paragraph" w:customStyle="1" w:styleId="xl85">
    <w:name w:val="xl85"/>
    <w:basedOn w:val="Normal"/>
    <w:rsid w:val="008F566D"/>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86">
    <w:name w:val="xl86"/>
    <w:basedOn w:val="Normal"/>
    <w:rsid w:val="008F566D"/>
    <w:pPr>
      <w:pBdr>
        <w:top w:val="single" w:sz="4" w:space="0" w:color="auto"/>
        <w:left w:val="single" w:sz="4" w:space="0" w:color="auto"/>
        <w:right w:val="single" w:sz="4" w:space="0" w:color="auto"/>
      </w:pBdr>
      <w:spacing w:before="100" w:beforeAutospacing="1" w:after="100" w:afterAutospacing="1"/>
    </w:pPr>
  </w:style>
  <w:style w:type="paragraph" w:customStyle="1" w:styleId="xl87">
    <w:name w:val="xl87"/>
    <w:basedOn w:val="Normal"/>
    <w:rsid w:val="008F566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Normal"/>
    <w:rsid w:val="008F566D"/>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305496"/>
    </w:rPr>
  </w:style>
  <w:style w:type="paragraph" w:customStyle="1" w:styleId="xl89">
    <w:name w:val="xl89"/>
    <w:basedOn w:val="Normal"/>
    <w:rsid w:val="008F566D"/>
    <w:pPr>
      <w:pBdr>
        <w:left w:val="single" w:sz="4" w:space="0" w:color="auto"/>
        <w:bottom w:val="single" w:sz="4" w:space="0" w:color="auto"/>
        <w:right w:val="single" w:sz="4" w:space="0" w:color="auto"/>
      </w:pBdr>
      <w:spacing w:before="100" w:beforeAutospacing="1" w:after="100" w:afterAutospacing="1"/>
    </w:pPr>
    <w:rPr>
      <w:b/>
      <w:bCs/>
      <w:color w:val="305496"/>
    </w:rPr>
  </w:style>
  <w:style w:type="paragraph" w:customStyle="1" w:styleId="xl90">
    <w:name w:val="xl90"/>
    <w:basedOn w:val="Normal"/>
    <w:rsid w:val="008F566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05496"/>
    </w:rPr>
  </w:style>
  <w:style w:type="paragraph" w:customStyle="1" w:styleId="xl91">
    <w:name w:val="xl91"/>
    <w:basedOn w:val="Normal"/>
    <w:rsid w:val="008F56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305496"/>
    </w:rPr>
  </w:style>
  <w:style w:type="paragraph" w:customStyle="1" w:styleId="xl92">
    <w:name w:val="xl92"/>
    <w:basedOn w:val="Normal"/>
    <w:rsid w:val="008F566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3">
    <w:name w:val="xl93"/>
    <w:basedOn w:val="Normal"/>
    <w:rsid w:val="008F566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305496"/>
    </w:rPr>
  </w:style>
  <w:style w:type="paragraph" w:customStyle="1" w:styleId="xl94">
    <w:name w:val="xl94"/>
    <w:basedOn w:val="Normal"/>
    <w:rsid w:val="008F566D"/>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pPr>
  </w:style>
  <w:style w:type="paragraph" w:customStyle="1" w:styleId="xl95">
    <w:name w:val="xl95"/>
    <w:basedOn w:val="Normal"/>
    <w:rsid w:val="008F566D"/>
    <w:pPr>
      <w:pBdr>
        <w:top w:val="single" w:sz="4" w:space="0" w:color="auto"/>
        <w:left w:val="single" w:sz="4" w:space="0" w:color="auto"/>
        <w:right w:val="single" w:sz="4" w:space="0" w:color="auto"/>
      </w:pBdr>
      <w:shd w:val="clear" w:color="000000" w:fill="FFD966"/>
      <w:spacing w:before="100" w:beforeAutospacing="1" w:after="100" w:afterAutospacing="1"/>
    </w:pPr>
  </w:style>
  <w:style w:type="paragraph" w:customStyle="1" w:styleId="xl96">
    <w:name w:val="xl96"/>
    <w:basedOn w:val="Normal"/>
    <w:rsid w:val="008F566D"/>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pPr>
    <w:rPr>
      <w:b/>
      <w:bCs/>
      <w:color w:val="FF0000"/>
    </w:rPr>
  </w:style>
  <w:style w:type="paragraph" w:customStyle="1" w:styleId="xl97">
    <w:name w:val="xl97"/>
    <w:basedOn w:val="Normal"/>
    <w:rsid w:val="008F566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Normal"/>
    <w:rsid w:val="008F566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character" w:customStyle="1" w:styleId="EndnoteTextChar">
    <w:name w:val="Endnote Text Char"/>
    <w:basedOn w:val="DefaultParagraphFont"/>
    <w:link w:val="EndnoteText"/>
    <w:uiPriority w:val="99"/>
    <w:semiHidden/>
    <w:rsid w:val="008F566D"/>
    <w:rPr>
      <w:rFonts w:ascii="Times New Roman" w:eastAsia="Times New Roman" w:hAnsi="Times New Roman" w:cs="Times New Roman"/>
      <w:sz w:val="20"/>
      <w:szCs w:val="20"/>
      <w:lang w:val="en-GB" w:eastAsia="en-GB"/>
    </w:rPr>
  </w:style>
  <w:style w:type="paragraph" w:styleId="EndnoteText">
    <w:name w:val="endnote text"/>
    <w:basedOn w:val="Normal"/>
    <w:link w:val="EndnoteTextChar"/>
    <w:uiPriority w:val="99"/>
    <w:semiHidden/>
    <w:unhideWhenUsed/>
    <w:rsid w:val="008F566D"/>
    <w:rPr>
      <w:sz w:val="20"/>
      <w:szCs w:val="20"/>
    </w:rPr>
  </w:style>
  <w:style w:type="paragraph" w:styleId="BodyText">
    <w:name w:val="Body Text"/>
    <w:basedOn w:val="Normal"/>
    <w:link w:val="BodyTextChar"/>
    <w:uiPriority w:val="1"/>
    <w:qFormat/>
    <w:rsid w:val="008F566D"/>
    <w:pPr>
      <w:autoSpaceDE w:val="0"/>
      <w:autoSpaceDN w:val="0"/>
      <w:adjustRightInd w:val="0"/>
      <w:ind w:left="53" w:right="710" w:firstLine="84"/>
      <w:jc w:val="both"/>
    </w:pPr>
    <w:rPr>
      <w:rFonts w:eastAsia="Calibri"/>
      <w:sz w:val="16"/>
      <w:szCs w:val="16"/>
    </w:rPr>
  </w:style>
  <w:style w:type="character" w:customStyle="1" w:styleId="BodyTextChar">
    <w:name w:val="Body Text Char"/>
    <w:basedOn w:val="DefaultParagraphFont"/>
    <w:link w:val="BodyText"/>
    <w:uiPriority w:val="1"/>
    <w:rsid w:val="008F566D"/>
    <w:rPr>
      <w:rFonts w:ascii="Times New Roman" w:eastAsia="Calibri" w:hAnsi="Times New Roman" w:cs="Times New Roman"/>
      <w:sz w:val="16"/>
      <w:szCs w:val="16"/>
      <w:lang w:val="en-GB" w:eastAsia="en-GB"/>
    </w:rPr>
  </w:style>
  <w:style w:type="character" w:styleId="LineNumber">
    <w:name w:val="line number"/>
    <w:basedOn w:val="DefaultParagraphFont"/>
    <w:uiPriority w:val="99"/>
    <w:semiHidden/>
    <w:unhideWhenUsed/>
    <w:rsid w:val="00C7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echukwu.ojiako@outlook.com" TargetMode="External"/><Relationship Id="rId13" Type="http://schemas.openxmlformats.org/officeDocument/2006/relationships/hyperlink" Target="https://ssrn.com/abstract=28885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srn.com/abstract=271637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com.com/ae/wp-content/uploads/2018/10/Construction-Handbook-2018_19.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bashir@sharjah.ac.ae" TargetMode="External"/><Relationship Id="rId4" Type="http://schemas.openxmlformats.org/officeDocument/2006/relationships/settings" Target="settings.xml"/><Relationship Id="rId9" Type="http://schemas.openxmlformats.org/officeDocument/2006/relationships/hyperlink" Target="mailto:a.marshall@soton.ac.uk" TargetMode="External"/><Relationship Id="rId14" Type="http://schemas.openxmlformats.org/officeDocument/2006/relationships/hyperlink" Target="https://globalarbitrationnews.com/comparison-uae-difc-seated-arbitrations-20161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34961-1D78-4A6A-9785-2233030DC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12834</Words>
  <Characters>69176</Characters>
  <Application>Microsoft Office Word</Application>
  <DocSecurity>0</DocSecurity>
  <Lines>1687</Lines>
  <Paragraphs>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Gordian Udechukwu Ojiako</dc:creator>
  <cp:keywords/>
  <dc:description/>
  <cp:lastModifiedBy>Gordian Udechukwu Ojiako</cp:lastModifiedBy>
  <cp:revision>3</cp:revision>
  <dcterms:created xsi:type="dcterms:W3CDTF">2020-11-29T07:33:00Z</dcterms:created>
  <dcterms:modified xsi:type="dcterms:W3CDTF">2020-11-29T07:33:00Z</dcterms:modified>
</cp:coreProperties>
</file>