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84131" w14:textId="5079E03F" w:rsidR="007376F9" w:rsidRDefault="00493663" w:rsidP="001B22CF">
      <w:pPr>
        <w:pStyle w:val="BodyTextIndent"/>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Loss Sensitive Investors and Positively Biased Analysts</w:t>
      </w:r>
    </w:p>
    <w:p w14:paraId="7524C3AB" w14:textId="04085C44" w:rsidR="00493663" w:rsidRDefault="00493663" w:rsidP="001B22CF">
      <w:pPr>
        <w:pStyle w:val="BodyTextIndent"/>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in Hong Kong Stock Market</w:t>
      </w:r>
    </w:p>
    <w:p w14:paraId="677F7C79" w14:textId="77777777" w:rsidR="00493663" w:rsidRDefault="00493663" w:rsidP="00586402">
      <w:pPr>
        <w:pStyle w:val="BodyTextIndent"/>
        <w:spacing w:line="360" w:lineRule="auto"/>
        <w:ind w:left="0"/>
        <w:jc w:val="both"/>
        <w:rPr>
          <w:rFonts w:ascii="Times New Roman" w:hAnsi="Times New Roman" w:cs="Times New Roman"/>
          <w:b/>
          <w:sz w:val="28"/>
          <w:szCs w:val="28"/>
        </w:rPr>
      </w:pPr>
    </w:p>
    <w:p w14:paraId="4B80EECE" w14:textId="77777777" w:rsidR="00F703AC" w:rsidRDefault="00F703AC" w:rsidP="004D5393">
      <w:pPr>
        <w:spacing w:after="0" w:line="360" w:lineRule="auto"/>
        <w:jc w:val="center"/>
        <w:rPr>
          <w:rFonts w:ascii="Times New Roman" w:eastAsia="Times New Roman" w:hAnsi="Times New Roman" w:cs="Times New Roman"/>
          <w:b/>
          <w:sz w:val="24"/>
          <w:szCs w:val="24"/>
          <w:lang w:eastAsia="en-US"/>
        </w:rPr>
      </w:pPr>
    </w:p>
    <w:p w14:paraId="2CCD95FC" w14:textId="19E6EF8F" w:rsidR="00880972" w:rsidRPr="003D764E" w:rsidRDefault="00880972" w:rsidP="004D5393">
      <w:pPr>
        <w:spacing w:after="0" w:line="360" w:lineRule="auto"/>
        <w:jc w:val="center"/>
        <w:rPr>
          <w:rFonts w:ascii="Times New Roman" w:eastAsia="Times New Roman" w:hAnsi="Times New Roman" w:cs="Times New Roman"/>
          <w:b/>
          <w:sz w:val="24"/>
          <w:szCs w:val="24"/>
          <w:lang w:eastAsia="en-US"/>
        </w:rPr>
      </w:pPr>
      <w:r w:rsidRPr="003D764E">
        <w:rPr>
          <w:rFonts w:ascii="Times New Roman" w:eastAsia="Times New Roman" w:hAnsi="Times New Roman" w:cs="Times New Roman"/>
          <w:b/>
          <w:sz w:val="24"/>
          <w:szCs w:val="24"/>
          <w:lang w:eastAsia="en-US"/>
        </w:rPr>
        <w:t>Abstract</w:t>
      </w:r>
    </w:p>
    <w:p w14:paraId="65FFA8CE" w14:textId="2E7CB3B1" w:rsidR="00880972" w:rsidRDefault="0029376F" w:rsidP="00586402">
      <w:pPr>
        <w:spacing w:after="0" w:line="360" w:lineRule="auto"/>
        <w:jc w:val="both"/>
        <w:rPr>
          <w:rFonts w:ascii="Times New Roman" w:eastAsia="Times New Roman" w:hAnsi="Times New Roman" w:cs="Times New Roman"/>
          <w:sz w:val="24"/>
          <w:szCs w:val="24"/>
          <w:lang w:eastAsia="en-US"/>
        </w:rPr>
      </w:pPr>
      <w:r w:rsidRPr="0029376F">
        <w:rPr>
          <w:rFonts w:ascii="Times New Roman" w:hAnsi="Times New Roman" w:cs="Times New Roman"/>
          <w:sz w:val="24"/>
          <w:szCs w:val="24"/>
        </w:rPr>
        <w:t>The Hong Kong stock market is known to be highly volatile. Professional investors have a strong demand for timely information because of the infrequent nature of Hong Kong analysts’ interim reports (Cheng et al., 2003). Our paper provides a comprehensive study of investor reactions to analysts’ recommendations in the Hong Kong stock market from 2009 to 2014 under different sentiment scenarios. We find that analysts’ recommendation upgrades and downgrades deliver significant information to the Hong Kong stock market. However, analysts’ initiation coverages convey little information and bring about limited impact to the stock market. In addition, analysts’ upgrades and downgrades result in significant differential price impacts in bullish and the bearish phases.</w:t>
      </w:r>
    </w:p>
    <w:p w14:paraId="63F79621" w14:textId="2C47519F" w:rsidR="00A66A06" w:rsidRDefault="00A66A06">
      <w:pPr>
        <w:spacing w:after="0" w:line="360" w:lineRule="auto"/>
        <w:jc w:val="both"/>
        <w:rPr>
          <w:rFonts w:ascii="Times New Roman" w:eastAsia="Times New Roman" w:hAnsi="Times New Roman" w:cs="Times New Roman"/>
          <w:sz w:val="24"/>
          <w:szCs w:val="24"/>
          <w:lang w:eastAsia="en-US"/>
        </w:rPr>
      </w:pPr>
    </w:p>
    <w:p w14:paraId="7AA81122" w14:textId="3EC43BFA" w:rsidR="00880972" w:rsidRDefault="00585EBE">
      <w:pPr>
        <w:spacing w:after="0" w:line="360" w:lineRule="auto"/>
        <w:jc w:val="both"/>
        <w:rPr>
          <w:rFonts w:ascii="Times New Roman" w:eastAsia="Times New Roman" w:hAnsi="Times New Roman" w:cs="Times New Roman"/>
          <w:sz w:val="24"/>
          <w:szCs w:val="24"/>
          <w:lang w:eastAsia="en-US"/>
        </w:rPr>
      </w:pPr>
      <w:r w:rsidRPr="00585EBE">
        <w:rPr>
          <w:rFonts w:ascii="Times New Roman" w:eastAsia="Times New Roman" w:hAnsi="Times New Roman" w:cs="Times New Roman"/>
          <w:b/>
          <w:sz w:val="24"/>
          <w:szCs w:val="24"/>
          <w:lang w:eastAsia="en-US"/>
        </w:rPr>
        <w:t>Keywords</w:t>
      </w:r>
      <w:r w:rsidR="00084B01">
        <w:rPr>
          <w:rFonts w:ascii="Times New Roman" w:eastAsia="Times New Roman" w:hAnsi="Times New Roman" w:cs="Times New Roman"/>
          <w:sz w:val="24"/>
          <w:szCs w:val="24"/>
          <w:lang w:eastAsia="en-US"/>
        </w:rPr>
        <w:t>: Analyst</w:t>
      </w:r>
      <w:r>
        <w:rPr>
          <w:rFonts w:ascii="Times New Roman" w:eastAsia="Times New Roman" w:hAnsi="Times New Roman" w:cs="Times New Roman"/>
          <w:sz w:val="24"/>
          <w:szCs w:val="24"/>
          <w:lang w:eastAsia="en-US"/>
        </w:rPr>
        <w:t xml:space="preserve"> recommendat</w:t>
      </w:r>
      <w:r w:rsidR="00084B01">
        <w:rPr>
          <w:rFonts w:ascii="Times New Roman" w:eastAsia="Times New Roman" w:hAnsi="Times New Roman" w:cs="Times New Roman"/>
          <w:sz w:val="24"/>
          <w:szCs w:val="24"/>
          <w:lang w:eastAsia="en-US"/>
        </w:rPr>
        <w:t>ion; Downgrade; Upgrade;</w:t>
      </w:r>
      <w:r>
        <w:rPr>
          <w:rFonts w:ascii="Times New Roman" w:eastAsia="Times New Roman" w:hAnsi="Times New Roman" w:cs="Times New Roman"/>
          <w:sz w:val="24"/>
          <w:szCs w:val="24"/>
          <w:lang w:eastAsia="en-US"/>
        </w:rPr>
        <w:t xml:space="preserve"> Hong Kong</w:t>
      </w:r>
      <w:r w:rsidR="0095773C">
        <w:rPr>
          <w:rFonts w:ascii="Times New Roman" w:eastAsia="Times New Roman" w:hAnsi="Times New Roman" w:cs="Times New Roman"/>
          <w:sz w:val="24"/>
          <w:szCs w:val="24"/>
          <w:lang w:eastAsia="en-US"/>
        </w:rPr>
        <w:t xml:space="preserve"> Stock Exchange</w:t>
      </w:r>
      <w:r w:rsidR="00A4050A">
        <w:rPr>
          <w:rFonts w:ascii="Times New Roman" w:eastAsia="Times New Roman" w:hAnsi="Times New Roman" w:cs="Times New Roman"/>
          <w:sz w:val="24"/>
          <w:szCs w:val="24"/>
          <w:lang w:eastAsia="en-US"/>
        </w:rPr>
        <w:t>,</w:t>
      </w:r>
      <w:r w:rsidR="00A4050A" w:rsidRPr="00A4050A">
        <w:rPr>
          <w:rFonts w:ascii="Times New Roman" w:eastAsia="Times New Roman" w:hAnsi="Times New Roman" w:cs="Times New Roman"/>
          <w:sz w:val="24"/>
          <w:szCs w:val="24"/>
          <w:lang w:eastAsia="en-US"/>
        </w:rPr>
        <w:t xml:space="preserve"> </w:t>
      </w:r>
      <w:r w:rsidR="00E75AF2">
        <w:rPr>
          <w:rFonts w:ascii="Times New Roman" w:eastAsia="Times New Roman" w:hAnsi="Times New Roman" w:cs="Times New Roman"/>
          <w:sz w:val="24"/>
          <w:szCs w:val="24"/>
          <w:lang w:eastAsia="en-US"/>
        </w:rPr>
        <w:t>P</w:t>
      </w:r>
      <w:r w:rsidR="00E75AF2" w:rsidRPr="000A477F">
        <w:rPr>
          <w:rFonts w:ascii="Times New Roman" w:eastAsia="Times New Roman" w:hAnsi="Times New Roman" w:cs="Times New Roman"/>
          <w:sz w:val="24"/>
          <w:szCs w:val="24"/>
          <w:lang w:eastAsia="en-US"/>
        </w:rPr>
        <w:t xml:space="preserve">erception </w:t>
      </w:r>
      <w:r w:rsidR="00A4050A" w:rsidRPr="000A477F">
        <w:rPr>
          <w:rFonts w:ascii="Times New Roman" w:eastAsia="Times New Roman" w:hAnsi="Times New Roman" w:cs="Times New Roman"/>
          <w:sz w:val="24"/>
          <w:szCs w:val="24"/>
          <w:lang w:eastAsia="en-US"/>
        </w:rPr>
        <w:t>bias</w:t>
      </w:r>
      <w:r w:rsidR="00A4050A">
        <w:rPr>
          <w:rFonts w:ascii="Times New Roman" w:eastAsia="Times New Roman" w:hAnsi="Times New Roman" w:cs="Times New Roman"/>
          <w:sz w:val="24"/>
          <w:szCs w:val="24"/>
          <w:lang w:eastAsia="en-US"/>
        </w:rPr>
        <w:t xml:space="preserve">, </w:t>
      </w:r>
      <w:r w:rsidR="00E75AF2">
        <w:rPr>
          <w:rFonts w:ascii="Times New Roman" w:eastAsia="Times New Roman" w:hAnsi="Times New Roman" w:cs="Times New Roman"/>
          <w:sz w:val="24"/>
          <w:szCs w:val="24"/>
          <w:lang w:eastAsia="en-US"/>
        </w:rPr>
        <w:t xml:space="preserve">Market </w:t>
      </w:r>
      <w:r w:rsidR="00A4050A">
        <w:rPr>
          <w:rFonts w:ascii="Times New Roman" w:eastAsia="Times New Roman" w:hAnsi="Times New Roman" w:cs="Times New Roman"/>
          <w:sz w:val="24"/>
          <w:szCs w:val="24"/>
          <w:lang w:eastAsia="en-US"/>
        </w:rPr>
        <w:t>sentiment</w:t>
      </w:r>
    </w:p>
    <w:p w14:paraId="093DC1FC" w14:textId="2C5634F8" w:rsidR="00F20569" w:rsidRDefault="00F20569">
      <w:pPr>
        <w:spacing w:after="0" w:line="360" w:lineRule="auto"/>
        <w:jc w:val="both"/>
        <w:rPr>
          <w:rFonts w:ascii="Times New Roman" w:eastAsia="Times New Roman" w:hAnsi="Times New Roman" w:cs="Times New Roman"/>
          <w:sz w:val="24"/>
          <w:szCs w:val="24"/>
          <w:lang w:eastAsia="en-US"/>
        </w:rPr>
      </w:pPr>
    </w:p>
    <w:p w14:paraId="26B10978" w14:textId="70C506E0" w:rsidR="00F703AC" w:rsidRDefault="00F703AC">
      <w:pPr>
        <w:spacing w:after="0" w:line="360" w:lineRule="auto"/>
        <w:jc w:val="both"/>
        <w:rPr>
          <w:rFonts w:ascii="Times New Roman" w:eastAsia="Times New Roman" w:hAnsi="Times New Roman" w:cs="Times New Roman"/>
          <w:sz w:val="24"/>
          <w:szCs w:val="24"/>
          <w:lang w:eastAsia="en-US"/>
        </w:rPr>
      </w:pPr>
    </w:p>
    <w:p w14:paraId="2147A40F" w14:textId="77777777" w:rsidR="00F20569" w:rsidRPr="00F03FCE" w:rsidRDefault="00F20569" w:rsidP="00C658FF">
      <w:pPr>
        <w:autoSpaceDE w:val="0"/>
        <w:autoSpaceDN w:val="0"/>
        <w:adjustRightInd w:val="0"/>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 </w:t>
      </w:r>
      <w:r w:rsidRPr="00F03FCE">
        <w:rPr>
          <w:rFonts w:ascii="Times New Roman" w:hAnsi="Times New Roman" w:cs="Times New Roman"/>
          <w:b/>
          <w:sz w:val="24"/>
          <w:szCs w:val="24"/>
        </w:rPr>
        <w:t>Introduction</w:t>
      </w:r>
    </w:p>
    <w:p w14:paraId="546DA02D" w14:textId="77777777" w:rsidR="00F20569" w:rsidRPr="004D5393" w:rsidRDefault="00F20569"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t xml:space="preserve">By offering high quality and up−to−date investment analyzes and recommendations to individual and institutional clients, brokerage houses and investment banks can charge significant fees for the access to accurate research reports which are of benefit to the customers. Beside this, one can expect these investment recommendations to generate transaction profits for the brokerage houses as clients will implement the suggested trading strategies and therefore buy or sell securities. </w:t>
      </w:r>
    </w:p>
    <w:p w14:paraId="0CA6B831" w14:textId="59496B08" w:rsidR="00F20569" w:rsidRPr="004D5393" w:rsidRDefault="00F20569"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t xml:space="preserve">Unsurprisingly, the value and performance of analysts’ recommendations are constantly subjected to criticisms. A critical problem is the analysts’ constant exposure to potential conflicts of interests and hence the possible publication of over−optimistic stock recommendations that are not in the best interest of the investor. </w:t>
      </w:r>
      <w:proofErr w:type="spellStart"/>
      <w:r w:rsidRPr="004D5393">
        <w:rPr>
          <w:rFonts w:ascii="Times New Roman" w:hAnsi="Times New Roman" w:cs="Times New Roman"/>
          <w:sz w:val="24"/>
          <w:szCs w:val="24"/>
        </w:rPr>
        <w:t>Michaely</w:t>
      </w:r>
      <w:proofErr w:type="spellEnd"/>
      <w:r w:rsidRPr="004D5393">
        <w:rPr>
          <w:rFonts w:ascii="Times New Roman" w:hAnsi="Times New Roman" w:cs="Times New Roman"/>
          <w:sz w:val="24"/>
          <w:szCs w:val="24"/>
        </w:rPr>
        <w:t xml:space="preserve"> and Womack (1999), </w:t>
      </w:r>
      <w:r w:rsidRPr="004D5393">
        <w:rPr>
          <w:rFonts w:ascii="Times New Roman" w:hAnsi="Times New Roman" w:cs="Times New Roman"/>
          <w:sz w:val="24"/>
          <w:szCs w:val="24"/>
        </w:rPr>
        <w:lastRenderedPageBreak/>
        <w:t>and Agrawal and Chen (2008) point towards this issue within financial institutions and suggest that frequent conflicts of interest between the research and the corporate finance department may result in analysts’ compromising their recommendations in order to maximize their company’s profits. This conflict of interest is especially high and leads to positively biased recommendations when they concern existing and potential corporate clients (</w:t>
      </w:r>
      <w:proofErr w:type="spellStart"/>
      <w:r w:rsidRPr="004D5393">
        <w:rPr>
          <w:rFonts w:ascii="Times New Roman" w:hAnsi="Times New Roman" w:cs="Times New Roman"/>
          <w:sz w:val="24"/>
          <w:szCs w:val="24"/>
        </w:rPr>
        <w:t>Michaely</w:t>
      </w:r>
      <w:proofErr w:type="spellEnd"/>
      <w:r w:rsidRPr="004D5393">
        <w:rPr>
          <w:rFonts w:ascii="Times New Roman" w:hAnsi="Times New Roman" w:cs="Times New Roman"/>
          <w:sz w:val="24"/>
          <w:szCs w:val="24"/>
        </w:rPr>
        <w:t xml:space="preserve"> and Womack, 1999; 2005).</w:t>
      </w:r>
      <w:r w:rsidR="001115EB">
        <w:rPr>
          <w:rFonts w:ascii="Times New Roman" w:hAnsi="Times New Roman" w:cs="Times New Roman"/>
          <w:sz w:val="24"/>
          <w:szCs w:val="24"/>
        </w:rPr>
        <w:t xml:space="preserve"> And Chan et al (2018) find that analysts’ stock ownership</w:t>
      </w:r>
      <w:r>
        <w:rPr>
          <w:rFonts w:ascii="Times New Roman" w:hAnsi="Times New Roman" w:cs="Times New Roman"/>
          <w:sz w:val="24"/>
          <w:szCs w:val="24"/>
        </w:rPr>
        <w:t xml:space="preserve"> </w:t>
      </w:r>
      <w:r w:rsidR="001115EB" w:rsidRPr="001115EB">
        <w:rPr>
          <w:rFonts w:ascii="Times New Roman" w:hAnsi="Times New Roman" w:cs="Times New Roman"/>
          <w:sz w:val="24"/>
          <w:szCs w:val="24"/>
        </w:rPr>
        <w:t>induces analysts to bias upwards their target price forecasts.</w:t>
      </w:r>
      <w:r>
        <w:rPr>
          <w:rFonts w:ascii="Times New Roman" w:hAnsi="Times New Roman" w:cs="Times New Roman"/>
          <w:sz w:val="24"/>
          <w:szCs w:val="24"/>
        </w:rPr>
        <w:t xml:space="preserve"> </w:t>
      </w:r>
      <w:r w:rsidRPr="004D5393">
        <w:rPr>
          <w:rFonts w:ascii="Times New Roman" w:hAnsi="Times New Roman" w:cs="Times New Roman"/>
          <w:color w:val="000000"/>
          <w:sz w:val="24"/>
          <w:szCs w:val="24"/>
        </w:rPr>
        <w:t>This study empirical</w:t>
      </w:r>
      <w:r>
        <w:rPr>
          <w:rFonts w:ascii="Times New Roman" w:hAnsi="Times New Roman" w:cs="Times New Roman"/>
          <w:color w:val="000000"/>
          <w:sz w:val="24"/>
          <w:szCs w:val="24"/>
        </w:rPr>
        <w:t>ly investigates the</w:t>
      </w:r>
      <w:r w:rsidRPr="004D5393">
        <w:rPr>
          <w:rFonts w:ascii="Times New Roman" w:hAnsi="Times New Roman" w:cs="Times New Roman"/>
          <w:color w:val="000000"/>
          <w:sz w:val="24"/>
          <w:szCs w:val="24"/>
        </w:rPr>
        <w:t xml:space="preserve"> relationship between equity performance, stock recommendations and market sentiment in the Hong Kong equity marke</w:t>
      </w:r>
      <w:r w:rsidRPr="00416268">
        <w:rPr>
          <w:rFonts w:ascii="Times New Roman" w:hAnsi="Times New Roman" w:cs="Times New Roman"/>
          <w:color w:val="000000"/>
          <w:sz w:val="24"/>
          <w:szCs w:val="24"/>
        </w:rPr>
        <w:t>t.</w:t>
      </w:r>
    </w:p>
    <w:p w14:paraId="72F4DB1B" w14:textId="77777777" w:rsidR="00F20569" w:rsidRPr="004D5393" w:rsidRDefault="00F20569" w:rsidP="00C658FF">
      <w:pPr>
        <w:spacing w:after="0" w:line="480" w:lineRule="auto"/>
        <w:contextualSpacing/>
        <w:jc w:val="both"/>
        <w:rPr>
          <w:rFonts w:ascii="Times New Roman" w:hAnsi="Times New Roman" w:cs="Times New Roman"/>
          <w:spacing w:val="1"/>
          <w:sz w:val="24"/>
          <w:szCs w:val="24"/>
        </w:rPr>
      </w:pPr>
      <w:r w:rsidRPr="00416268">
        <w:rPr>
          <w:rFonts w:ascii="Times New Roman" w:hAnsi="Times New Roman" w:cs="Times New Roman"/>
          <w:sz w:val="24"/>
          <w:szCs w:val="24"/>
        </w:rPr>
        <w:tab/>
      </w:r>
      <w:r w:rsidRPr="004D5393">
        <w:rPr>
          <w:rFonts w:ascii="Times New Roman" w:hAnsi="Times New Roman" w:cs="Times New Roman"/>
          <w:sz w:val="24"/>
          <w:szCs w:val="24"/>
        </w:rPr>
        <w:t xml:space="preserve">It is not surprising that sell−side analysts are criticized for having a greater incentive to issue buy rather than sell recommendations because the former usually generates greater trading volume from clients (Lin </w:t>
      </w:r>
      <w:r w:rsidRPr="00416268">
        <w:rPr>
          <w:rFonts w:ascii="Times New Roman" w:hAnsi="Times New Roman" w:cs="Times New Roman"/>
          <w:sz w:val="24"/>
          <w:szCs w:val="24"/>
        </w:rPr>
        <w:t xml:space="preserve">and </w:t>
      </w:r>
      <w:r w:rsidRPr="004D5393">
        <w:rPr>
          <w:rFonts w:ascii="Times New Roman" w:hAnsi="Times New Roman" w:cs="Times New Roman"/>
          <w:sz w:val="24"/>
          <w:szCs w:val="24"/>
        </w:rPr>
        <w:t xml:space="preserve">McNichols, 1998). Firth et al. (2013) find that analysts’ recommendations on a stock are significantly higher if the stock is held by mutual fund clients of the analysts’ brokerage firm; however, their study focuses on the relationship between mutual funds and sell−side analyst recommendations. </w:t>
      </w:r>
      <w:proofErr w:type="spellStart"/>
      <w:r w:rsidRPr="004D5393">
        <w:rPr>
          <w:rFonts w:ascii="Times New Roman" w:hAnsi="Times New Roman" w:cs="Times New Roman"/>
          <w:sz w:val="24"/>
          <w:szCs w:val="24"/>
        </w:rPr>
        <w:t>Michaely</w:t>
      </w:r>
      <w:proofErr w:type="spellEnd"/>
      <w:r w:rsidRPr="004D5393">
        <w:rPr>
          <w:rFonts w:ascii="Times New Roman" w:hAnsi="Times New Roman" w:cs="Times New Roman"/>
          <w:sz w:val="24"/>
          <w:szCs w:val="24"/>
        </w:rPr>
        <w:t xml:space="preserve"> and Womack (1999) go even further and show that a positive recommendation issued after a company’s IPO may be necessary to increase the likelihood that the institution will be chosen as the next offering underwriter.  Other studies argue that generally, analysts are more reluctant to provide negative outlooks for companies (</w:t>
      </w:r>
      <w:proofErr w:type="spellStart"/>
      <w:r w:rsidRPr="004D5393">
        <w:rPr>
          <w:rFonts w:ascii="Times New Roman" w:hAnsi="Times New Roman" w:cs="Times New Roman"/>
          <w:sz w:val="24"/>
          <w:szCs w:val="24"/>
        </w:rPr>
        <w:t>Jegadeesh</w:t>
      </w:r>
      <w:proofErr w:type="spellEnd"/>
      <w:r w:rsidRPr="004D5393">
        <w:rPr>
          <w:rFonts w:ascii="Times New Roman" w:hAnsi="Times New Roman" w:cs="Times New Roman"/>
          <w:sz w:val="24"/>
          <w:szCs w:val="24"/>
        </w:rPr>
        <w:t xml:space="preserve"> and Kim, 200</w:t>
      </w:r>
      <w:r w:rsidRPr="00416268">
        <w:rPr>
          <w:rFonts w:ascii="Times New Roman" w:hAnsi="Times New Roman" w:cs="Times New Roman"/>
          <w:sz w:val="24"/>
          <w:szCs w:val="24"/>
        </w:rPr>
        <w:t>6</w:t>
      </w:r>
      <w:r w:rsidRPr="004D5393">
        <w:rPr>
          <w:rFonts w:ascii="Times New Roman" w:hAnsi="Times New Roman" w:cs="Times New Roman"/>
          <w:sz w:val="24"/>
          <w:szCs w:val="24"/>
        </w:rPr>
        <w:t xml:space="preserve">; </w:t>
      </w:r>
      <w:proofErr w:type="spellStart"/>
      <w:r w:rsidRPr="004D5393">
        <w:rPr>
          <w:rFonts w:ascii="Times New Roman" w:hAnsi="Times New Roman" w:cs="Times New Roman"/>
          <w:sz w:val="24"/>
          <w:szCs w:val="24"/>
        </w:rPr>
        <w:t>Michaely</w:t>
      </w:r>
      <w:proofErr w:type="spellEnd"/>
      <w:r w:rsidRPr="004D5393">
        <w:rPr>
          <w:rFonts w:ascii="Times New Roman" w:hAnsi="Times New Roman" w:cs="Times New Roman"/>
          <w:sz w:val="24"/>
          <w:szCs w:val="24"/>
        </w:rPr>
        <w:t xml:space="preserve"> and Womack, 2005; Barber et al., 2001). </w:t>
      </w:r>
      <w:r w:rsidRPr="004D5393">
        <w:rPr>
          <w:rFonts w:ascii="Times New Roman" w:eastAsia="Times New Roman" w:hAnsi="Times New Roman" w:cs="Times New Roman"/>
          <w:sz w:val="24"/>
          <w:szCs w:val="24"/>
          <w:lang w:eastAsia="en-GB"/>
        </w:rPr>
        <w:t>Aggarwal et al</w:t>
      </w:r>
      <w:r w:rsidRPr="00416268">
        <w:rPr>
          <w:rFonts w:ascii="Times New Roman" w:eastAsia="Times New Roman" w:hAnsi="Times New Roman" w:cs="Times New Roman"/>
          <w:sz w:val="24"/>
          <w:szCs w:val="24"/>
          <w:lang w:eastAsia="en-GB"/>
        </w:rPr>
        <w:t>.</w:t>
      </w:r>
      <w:r w:rsidRPr="004D5393">
        <w:rPr>
          <w:rFonts w:ascii="Times New Roman" w:eastAsia="Times New Roman" w:hAnsi="Times New Roman" w:cs="Times New Roman"/>
          <w:sz w:val="24"/>
          <w:szCs w:val="24"/>
          <w:lang w:eastAsia="en-GB"/>
        </w:rPr>
        <w:t xml:space="preserve"> (2018) </w:t>
      </w:r>
      <w:r w:rsidRPr="004D5393">
        <w:rPr>
          <w:rFonts w:ascii="Times New Roman" w:hAnsi="Times New Roman" w:cs="Times New Roman"/>
          <w:spacing w:val="1"/>
          <w:sz w:val="24"/>
          <w:szCs w:val="24"/>
        </w:rPr>
        <w:t>document that when forming recommendations, analysts underestimate the role of the cost of equity.</w:t>
      </w:r>
    </w:p>
    <w:p w14:paraId="36869A90" w14:textId="77777777" w:rsidR="00F20569" w:rsidRPr="004D5393" w:rsidRDefault="00F20569" w:rsidP="00C658FF">
      <w:pPr>
        <w:spacing w:after="0" w:line="480" w:lineRule="auto"/>
        <w:contextualSpacing/>
        <w:jc w:val="both"/>
        <w:rPr>
          <w:rFonts w:ascii="Times New Roman" w:hAnsi="Times New Roman" w:cs="Times New Roman"/>
          <w:sz w:val="24"/>
          <w:szCs w:val="24"/>
        </w:rPr>
      </w:pPr>
      <w:r w:rsidRPr="00416268">
        <w:rPr>
          <w:rFonts w:ascii="Times New Roman" w:hAnsi="Times New Roman" w:cs="Times New Roman"/>
          <w:sz w:val="24"/>
          <w:szCs w:val="24"/>
        </w:rPr>
        <w:tab/>
      </w:r>
      <w:r w:rsidRPr="004D5393">
        <w:rPr>
          <w:rFonts w:ascii="Times New Roman" w:hAnsi="Times New Roman" w:cs="Times New Roman"/>
          <w:sz w:val="24"/>
          <w:szCs w:val="24"/>
        </w:rPr>
        <w:t xml:space="preserve">As a result, the stock recommendations provided by analysts may be of lesser value than expected by the clients and might therefore result in unprofitable opportunities for investors. More specifically, it is questionable if investors can realize profits (or avoid losses) by purchasing upgraded securities (selling downgraded securities). Apart from that, market </w:t>
      </w:r>
      <w:r w:rsidRPr="004D5393">
        <w:rPr>
          <w:rFonts w:ascii="Times New Roman" w:hAnsi="Times New Roman" w:cs="Times New Roman"/>
          <w:sz w:val="24"/>
          <w:szCs w:val="24"/>
        </w:rPr>
        <w:lastRenderedPageBreak/>
        <w:t xml:space="preserve">sentiment also plays an important role in the performance of an analyst’s stock recommendations. Baker and </w:t>
      </w:r>
      <w:proofErr w:type="spellStart"/>
      <w:r w:rsidRPr="004D5393">
        <w:rPr>
          <w:rFonts w:ascii="Times New Roman" w:hAnsi="Times New Roman" w:cs="Times New Roman"/>
          <w:sz w:val="24"/>
          <w:szCs w:val="24"/>
        </w:rPr>
        <w:t>Wurgler</w:t>
      </w:r>
      <w:proofErr w:type="spellEnd"/>
      <w:r w:rsidRPr="004D5393">
        <w:rPr>
          <w:rFonts w:ascii="Times New Roman" w:hAnsi="Times New Roman" w:cs="Times New Roman"/>
          <w:sz w:val="24"/>
          <w:szCs w:val="24"/>
        </w:rPr>
        <w:t xml:space="preserve"> (200</w:t>
      </w:r>
      <w:r w:rsidRPr="00416268">
        <w:rPr>
          <w:rFonts w:ascii="Times New Roman" w:hAnsi="Times New Roman" w:cs="Times New Roman"/>
          <w:sz w:val="24"/>
          <w:szCs w:val="24"/>
        </w:rPr>
        <w:t>7</w:t>
      </w:r>
      <w:r w:rsidRPr="004D5393">
        <w:rPr>
          <w:rFonts w:ascii="Times New Roman" w:hAnsi="Times New Roman" w:cs="Times New Roman"/>
          <w:sz w:val="24"/>
          <w:szCs w:val="24"/>
        </w:rPr>
        <w:t xml:space="preserve">) give two definitions of investor sentiment: first as a driver of relative demand for speculative investments, and second as the investors’ collective optimism (or pessimism) about stocks in general. Furthermore, they also find that stock prices are subject not only to fundamental factors but also to market sentiment. </w:t>
      </w:r>
    </w:p>
    <w:p w14:paraId="64E4549C" w14:textId="77777777" w:rsidR="00F20569" w:rsidRPr="004D5393" w:rsidRDefault="00F20569" w:rsidP="00C658FF">
      <w:pPr>
        <w:spacing w:after="0" w:line="480" w:lineRule="auto"/>
        <w:contextualSpacing/>
        <w:jc w:val="both"/>
        <w:rPr>
          <w:rFonts w:ascii="Times New Roman" w:hAnsi="Times New Roman" w:cs="Times New Roman"/>
          <w:sz w:val="24"/>
          <w:szCs w:val="24"/>
        </w:rPr>
      </w:pPr>
      <w:r w:rsidRPr="00416268">
        <w:rPr>
          <w:rFonts w:ascii="Times New Roman" w:hAnsi="Times New Roman" w:cs="Times New Roman"/>
          <w:sz w:val="24"/>
          <w:szCs w:val="24"/>
        </w:rPr>
        <w:tab/>
      </w:r>
      <w:r w:rsidRPr="004D5393">
        <w:rPr>
          <w:rFonts w:ascii="Times New Roman" w:hAnsi="Times New Roman" w:cs="Times New Roman"/>
          <w:sz w:val="24"/>
          <w:szCs w:val="24"/>
        </w:rPr>
        <w:t xml:space="preserve">It is therefore understandable that analysts might consider current market sentiments when conducting their analysis and making recommendations. When issuing stock ratings based on the comparison between the firm’s expected future stock price and the firm’s current stock price, analysts will consider both the fundamental underlying factors, such as earnings, assets and liabilities, as well as investor sentiment such as past stock returns (Brown </w:t>
      </w:r>
      <w:r w:rsidRPr="00416268">
        <w:rPr>
          <w:rFonts w:ascii="Times New Roman" w:hAnsi="Times New Roman" w:cs="Times New Roman"/>
          <w:sz w:val="24"/>
          <w:szCs w:val="24"/>
        </w:rPr>
        <w:t xml:space="preserve">and </w:t>
      </w:r>
      <w:r w:rsidRPr="00416268">
        <w:rPr>
          <w:rFonts w:ascii="Times New Roman" w:hAnsi="Times New Roman" w:cs="Times New Roman"/>
          <w:color w:val="000000"/>
          <w:sz w:val="24"/>
          <w:szCs w:val="24"/>
        </w:rPr>
        <w:t>Cliff</w:t>
      </w:r>
      <w:r w:rsidRPr="004D5393">
        <w:rPr>
          <w:rFonts w:ascii="Times New Roman" w:hAnsi="Times New Roman" w:cs="Times New Roman"/>
          <w:sz w:val="24"/>
          <w:szCs w:val="24"/>
        </w:rPr>
        <w:t>, 2004); the same applies when making recommendations (</w:t>
      </w:r>
      <w:r w:rsidRPr="004D5393">
        <w:rPr>
          <w:rFonts w:ascii="Times New Roman" w:hAnsi="Times New Roman" w:cs="Times New Roman"/>
          <w:color w:val="000000"/>
          <w:sz w:val="24"/>
          <w:szCs w:val="24"/>
        </w:rPr>
        <w:t>Bagnoli et al., 20</w:t>
      </w:r>
      <w:r w:rsidRPr="00416268">
        <w:rPr>
          <w:rFonts w:ascii="Times New Roman" w:hAnsi="Times New Roman" w:cs="Times New Roman"/>
          <w:color w:val="000000"/>
          <w:sz w:val="24"/>
          <w:szCs w:val="24"/>
        </w:rPr>
        <w:t>09</w:t>
      </w:r>
      <w:r w:rsidRPr="004D5393">
        <w:rPr>
          <w:rFonts w:ascii="Times New Roman" w:hAnsi="Times New Roman" w:cs="Times New Roman"/>
          <w:color w:val="000000"/>
          <w:sz w:val="24"/>
          <w:szCs w:val="24"/>
        </w:rPr>
        <w:t xml:space="preserve">). </w:t>
      </w:r>
      <w:r w:rsidRPr="004D5393">
        <w:rPr>
          <w:rFonts w:ascii="Times New Roman" w:hAnsi="Times New Roman" w:cs="Times New Roman"/>
          <w:sz w:val="24"/>
          <w:szCs w:val="24"/>
        </w:rPr>
        <w:t xml:space="preserve">In a more recent study, Li et al. (2015) show that analysts could facilitate price discovery to corporate news by issuing trending and contrarian revisions. Even though their study applies intraday data in the US, Li et al. (2015) do not consider if the market environment (such as bullish and bearish conditions) affect price discovery and reversal of recommendations. </w:t>
      </w:r>
    </w:p>
    <w:p w14:paraId="268EDDC2" w14:textId="79407C80" w:rsidR="00F20569" w:rsidRPr="004D5393" w:rsidRDefault="00F20569" w:rsidP="00C658FF">
      <w:pPr>
        <w:spacing w:after="0" w:line="480" w:lineRule="auto"/>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As stated above, t</w:t>
      </w:r>
      <w:r w:rsidRPr="004D5393">
        <w:rPr>
          <w:rFonts w:ascii="Times New Roman" w:hAnsi="Times New Roman" w:cs="Times New Roman"/>
          <w:color w:val="000000"/>
          <w:sz w:val="24"/>
          <w:szCs w:val="24"/>
        </w:rPr>
        <w:t>his study addresses the shortcomings of previous research and explores the empirical relationship between equity performance, stock recommendations and market sentiment between January 2009 and May 2014 in the Hong Kong equity marke</w:t>
      </w:r>
      <w:r w:rsidRPr="00416268">
        <w:rPr>
          <w:rFonts w:ascii="Times New Roman" w:hAnsi="Times New Roman" w:cs="Times New Roman"/>
          <w:color w:val="000000"/>
          <w:sz w:val="24"/>
          <w:szCs w:val="24"/>
        </w:rPr>
        <w:t xml:space="preserve">t. </w:t>
      </w:r>
      <w:r w:rsidRPr="00416268">
        <w:rPr>
          <w:rFonts w:ascii="Times New Roman" w:hAnsi="Times New Roman" w:cs="Times New Roman"/>
          <w:sz w:val="24"/>
          <w:szCs w:val="24"/>
        </w:rPr>
        <w:t xml:space="preserve">The Hang Seng Index, Hong Kong’s major stock index, is known to be highly volatile which makes </w:t>
      </w:r>
      <w:r w:rsidRPr="00416268">
        <w:rPr>
          <w:rFonts w:ascii="Georgia" w:eastAsia="Times New Roman" w:hAnsi="Georgia" w:cs="Segoe UI"/>
          <w:color w:val="000000"/>
          <w:lang w:val="en-GB"/>
        </w:rPr>
        <w:t xml:space="preserve">professional investors </w:t>
      </w:r>
      <w:r w:rsidRPr="004D5393">
        <w:rPr>
          <w:rFonts w:ascii="Georgia" w:eastAsia="Times New Roman" w:hAnsi="Georgia" w:cs="Segoe UI"/>
          <w:color w:val="000000"/>
          <w:lang w:val="en-GB"/>
        </w:rPr>
        <w:t>eager to obtain more timely information</w:t>
      </w:r>
      <w:r w:rsidRPr="00416268">
        <w:rPr>
          <w:rFonts w:ascii="Georgia" w:eastAsia="Times New Roman" w:hAnsi="Georgia" w:cs="Segoe UI"/>
          <w:color w:val="000000"/>
          <w:lang w:val="en-GB"/>
        </w:rPr>
        <w:t xml:space="preserve"> on corporate earnings. However, Hong Kong analysts tend to make drastic revisions since their interim reports are not frequent enough compared to the quarterly reports generated by US analysts with richer information</w:t>
      </w:r>
      <w:r w:rsidRPr="004D5393">
        <w:rPr>
          <w:rFonts w:ascii="Georgia" w:eastAsia="Times New Roman" w:hAnsi="Georgia" w:cs="Segoe UI"/>
          <w:color w:val="000000"/>
          <w:lang w:val="en-GB"/>
        </w:rPr>
        <w:t xml:space="preserve"> </w:t>
      </w:r>
      <w:r w:rsidRPr="004D5393">
        <w:rPr>
          <w:rFonts w:ascii="Times New Roman" w:hAnsi="Times New Roman" w:cs="Times New Roman"/>
          <w:color w:val="000000"/>
          <w:sz w:val="24"/>
          <w:szCs w:val="24"/>
        </w:rPr>
        <w:t>(Cheng et al., 2003)</w:t>
      </w:r>
      <w:r w:rsidRPr="00416268">
        <w:rPr>
          <w:rFonts w:ascii="Georgia" w:eastAsia="Times New Roman" w:hAnsi="Georgia" w:cs="Segoe UI"/>
          <w:color w:val="000000"/>
          <w:lang w:val="en-GB"/>
        </w:rPr>
        <w:t xml:space="preserve">. Therefore, </w:t>
      </w:r>
      <w:r w:rsidRPr="00416268">
        <w:rPr>
          <w:rFonts w:ascii="Times New Roman" w:hAnsi="Times New Roman" w:cs="Times New Roman"/>
          <w:color w:val="000000"/>
          <w:sz w:val="24"/>
          <w:szCs w:val="24"/>
        </w:rPr>
        <w:t>analyzing</w:t>
      </w:r>
      <w:r w:rsidRPr="004D5393">
        <w:rPr>
          <w:rFonts w:ascii="Times New Roman" w:hAnsi="Times New Roman" w:cs="Times New Roman"/>
          <w:color w:val="000000"/>
          <w:sz w:val="24"/>
          <w:szCs w:val="24"/>
        </w:rPr>
        <w:t xml:space="preserve"> the effect of stock recommendations on equity prices </w:t>
      </w:r>
      <w:r w:rsidRPr="00416268">
        <w:rPr>
          <w:rFonts w:ascii="Times New Roman" w:hAnsi="Times New Roman" w:cs="Times New Roman"/>
          <w:color w:val="000000"/>
          <w:sz w:val="24"/>
          <w:szCs w:val="24"/>
        </w:rPr>
        <w:t xml:space="preserve">based on Hong Kong equity market can provide a helpful environment to understand and seek for the answers the investors may have about the analyst recommendation </w:t>
      </w:r>
      <w:r w:rsidRPr="00416268">
        <w:rPr>
          <w:rFonts w:ascii="Times New Roman" w:hAnsi="Times New Roman" w:cs="Times New Roman"/>
          <w:color w:val="000000"/>
          <w:sz w:val="24"/>
          <w:szCs w:val="24"/>
        </w:rPr>
        <w:lastRenderedPageBreak/>
        <w:t>effects</w:t>
      </w:r>
      <w:r w:rsidRPr="004D5393">
        <w:rPr>
          <w:rFonts w:ascii="Times New Roman" w:hAnsi="Times New Roman" w:cs="Times New Roman"/>
          <w:color w:val="000000"/>
          <w:sz w:val="24"/>
          <w:szCs w:val="24"/>
        </w:rPr>
        <w:t xml:space="preserve">. </w:t>
      </w:r>
      <w:r w:rsidRPr="00416268">
        <w:rPr>
          <w:rFonts w:ascii="Times New Roman" w:hAnsi="Times New Roman" w:cs="Times New Roman"/>
          <w:sz w:val="24"/>
          <w:szCs w:val="24"/>
        </w:rPr>
        <w:t xml:space="preserve">The Hong Kong Stock Exchange (SEHK) is Asia’s third largest stock exchange in terms of market capitalization and is placed seventh largest in the world; it is therefore of great significance to investors.  SEHK operates two markets on which companies may choose to list their shares: the Main Board and the Growth Enterprise Market (GEM).  </w:t>
      </w:r>
      <w:r w:rsidRPr="00416268">
        <w:rPr>
          <w:rFonts w:ascii="Times New Roman" w:hAnsi="Times New Roman" w:cs="Times New Roman"/>
          <w:bCs/>
          <w:sz w:val="24"/>
          <w:szCs w:val="24"/>
        </w:rPr>
        <w:t xml:space="preserve">The Hang Seng Index (HSI) is widely regarded as the market benchmark monitoring daily movements of the largest companies listed on the </w:t>
      </w:r>
      <w:hyperlink r:id="rId8" w:tooltip="Hong Kong Stock Exchange" w:history="1">
        <w:r w:rsidRPr="00416268">
          <w:rPr>
            <w:rFonts w:ascii="Times New Roman" w:hAnsi="Times New Roman" w:cs="Times New Roman"/>
            <w:bCs/>
            <w:sz w:val="24"/>
            <w:szCs w:val="24"/>
          </w:rPr>
          <w:t>Hong Kong stock market</w:t>
        </w:r>
      </w:hyperlink>
      <w:r w:rsidRPr="00416268">
        <w:rPr>
          <w:rFonts w:ascii="Times New Roman" w:hAnsi="Times New Roman" w:cs="Times New Roman"/>
          <w:bCs/>
          <w:sz w:val="24"/>
          <w:szCs w:val="24"/>
        </w:rPr>
        <w:t xml:space="preserve"> and is the main indicator of the overall market performance in Hong Kong. The HSI is a free float −adjusted market capitalization −weighted stock market index and comprises the 50 major constituent stocks, therefore including 60% of the total market share of the Hong Kong Stocks Exchange</w:t>
      </w:r>
      <w:r w:rsidR="00642CD0">
        <w:rPr>
          <w:rFonts w:ascii="Times New Roman" w:hAnsi="Times New Roman" w:cs="Times New Roman"/>
          <w:bCs/>
          <w:sz w:val="24"/>
          <w:szCs w:val="24"/>
        </w:rPr>
        <w:t xml:space="preserve"> (Bloomberg.com)</w:t>
      </w:r>
      <w:r w:rsidRPr="00416268">
        <w:rPr>
          <w:rFonts w:ascii="Times New Roman" w:hAnsi="Times New Roman" w:cs="Times New Roman"/>
          <w:bCs/>
          <w:sz w:val="24"/>
          <w:szCs w:val="24"/>
        </w:rPr>
        <w:t xml:space="preserve">. </w:t>
      </w:r>
      <w:r w:rsidRPr="004D5393">
        <w:rPr>
          <w:rFonts w:ascii="Times New Roman" w:hAnsi="Times New Roman" w:cs="Times New Roman"/>
          <w:color w:val="000000"/>
          <w:sz w:val="24"/>
          <w:szCs w:val="24"/>
        </w:rPr>
        <w:t xml:space="preserve">By considering the market environment, we specifically test whether stock recommendation upgrades and downgrades would generate higher and lower profits, respectively under the given market sentiment. Answering these questions is important for decision makers in order to understand if the performance of potentially biased recommendations might be affected by short−term market atmosphere. Previous studies ignore these crucial considerations allowing us to fill a gap and provide vital insights into Asia’s third largest stock exchange in terms of market capitalization. </w:t>
      </w:r>
    </w:p>
    <w:p w14:paraId="51DE2355" w14:textId="44ABB06F" w:rsidR="00F20569" w:rsidRPr="004D5393" w:rsidRDefault="00F20569"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t xml:space="preserve">This study examines the short−term impact of stock recommendations on the 26 largest constituent weighted stocks of the Hong Kong stock market, representing together a market capitalization of more than three trillion US Dollars. Market conditions of the global financial context affect investors’ confidence and the quality of their recommendations; we therefore argue that analysts factor market sentiment into their forecasts and issue over−optimistic and/or over−pessimistic stock recommendations during different periods.  In more bullish periods, analysts and investors may be over−optimistic about the future of a company, hence issuing buy recommendations leading to higher short−term returns as investors are more inclined to purchase the given security. </w:t>
      </w:r>
    </w:p>
    <w:p w14:paraId="51FE5523" w14:textId="6B152B90" w:rsidR="00F20569" w:rsidRPr="004D5393" w:rsidRDefault="00F20569"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lastRenderedPageBreak/>
        <w:t>We investigate the short−term impact of those recommendations in bullish and bearish phases</w:t>
      </w:r>
      <w:r w:rsidRPr="00416268">
        <w:rPr>
          <w:rStyle w:val="FootnoteReference"/>
          <w:rFonts w:ascii="Times New Roman" w:hAnsi="Times New Roman" w:cs="Times New Roman"/>
          <w:sz w:val="24"/>
          <w:szCs w:val="24"/>
        </w:rPr>
        <w:footnoteReference w:id="1"/>
      </w:r>
      <w:r w:rsidRPr="004D5393">
        <w:rPr>
          <w:rFonts w:ascii="Times New Roman" w:hAnsi="Times New Roman" w:cs="Times New Roman"/>
          <w:sz w:val="24"/>
          <w:szCs w:val="24"/>
        </w:rPr>
        <w:t xml:space="preserve"> by bootstrapping the stock market data and evaluating whether the analysts’ recommendations affect the overall market sentiment under different market conditions. We gauge investor confidence firstly by relying on surveys reflecting what investors and key actors in the Hong Kong stock market believe, and second, by considering the actual state of the economy, by examining daily news coverages. With this data in hand, two subperiods are generated: a bullish phase and a bearish phase. </w:t>
      </w:r>
      <w:proofErr w:type="spellStart"/>
      <w:r w:rsidRPr="00416268">
        <w:rPr>
          <w:rStyle w:val="authorsname"/>
          <w:rFonts w:ascii="Times New Roman" w:hAnsi="Times New Roman" w:cs="Times New Roman"/>
          <w:spacing w:val="1"/>
          <w:sz w:val="24"/>
          <w:szCs w:val="24"/>
        </w:rPr>
        <w:t>Papakroni</w:t>
      </w:r>
      <w:proofErr w:type="spellEnd"/>
      <w:r w:rsidRPr="004D5393">
        <w:rPr>
          <w:rFonts w:ascii="Times New Roman" w:hAnsi="Times New Roman" w:cs="Times New Roman"/>
          <w:spacing w:val="1"/>
          <w:sz w:val="24"/>
          <w:szCs w:val="24"/>
        </w:rPr>
        <w:t xml:space="preserve"> (2018) finds strong evidence that the impact of analyst forecast dispersion is more pronounced in the group of stocks that receive the least favorable recommendations in each period.</w:t>
      </w:r>
    </w:p>
    <w:p w14:paraId="2514F0B7" w14:textId="77777777" w:rsidR="00F20569" w:rsidRPr="004D5393" w:rsidRDefault="00F20569"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t xml:space="preserve">This study makes significant contributions to the literature on recommendations of stock analysts. First, our study investigates whether variations in the market conditions affect the recommendations issued by analysts. This is done by investigating the performance of stock recommendations through different periods of time, considering bull and bear markets, in order to determine whether analysts’ recommendations are influenced by stock market atmosphere. If indeed analyst recommendations are influenced by market sentiment, stock forecasts will be cyclical and correlated with the economic climate. Previous studies, such as </w:t>
      </w:r>
      <w:proofErr w:type="spellStart"/>
      <w:r w:rsidRPr="004D5393">
        <w:rPr>
          <w:rFonts w:ascii="Times New Roman" w:hAnsi="Times New Roman" w:cs="Times New Roman"/>
          <w:sz w:val="24"/>
          <w:szCs w:val="24"/>
        </w:rPr>
        <w:t>Jegadeesh</w:t>
      </w:r>
      <w:proofErr w:type="spellEnd"/>
      <w:r w:rsidRPr="004D5393">
        <w:rPr>
          <w:rFonts w:ascii="Times New Roman" w:hAnsi="Times New Roman" w:cs="Times New Roman"/>
          <w:sz w:val="24"/>
          <w:szCs w:val="24"/>
        </w:rPr>
        <w:t xml:space="preserve"> and Kim</w:t>
      </w:r>
      <w:r w:rsidRPr="00416268">
        <w:rPr>
          <w:rFonts w:ascii="Times New Roman" w:hAnsi="Times New Roman" w:cs="Times New Roman"/>
          <w:sz w:val="24"/>
          <w:szCs w:val="24"/>
        </w:rPr>
        <w:t xml:space="preserve"> (</w:t>
      </w:r>
      <w:r w:rsidRPr="004D5393">
        <w:rPr>
          <w:rFonts w:ascii="Times New Roman" w:hAnsi="Times New Roman" w:cs="Times New Roman"/>
          <w:sz w:val="24"/>
          <w:szCs w:val="24"/>
        </w:rPr>
        <w:t>200</w:t>
      </w:r>
      <w:r w:rsidRPr="00416268">
        <w:rPr>
          <w:rFonts w:ascii="Times New Roman" w:hAnsi="Times New Roman" w:cs="Times New Roman"/>
          <w:sz w:val="24"/>
          <w:szCs w:val="24"/>
        </w:rPr>
        <w:t>6)</w:t>
      </w:r>
      <w:r w:rsidRPr="004D5393">
        <w:rPr>
          <w:rFonts w:ascii="Times New Roman" w:hAnsi="Times New Roman" w:cs="Times New Roman"/>
          <w:sz w:val="24"/>
          <w:szCs w:val="24"/>
        </w:rPr>
        <w:t>, Bagnoli et al</w:t>
      </w:r>
      <w:r w:rsidRPr="00416268">
        <w:rPr>
          <w:rFonts w:ascii="Times New Roman" w:hAnsi="Times New Roman" w:cs="Times New Roman"/>
          <w:sz w:val="24"/>
          <w:szCs w:val="24"/>
        </w:rPr>
        <w:t xml:space="preserve"> (</w:t>
      </w:r>
      <w:r w:rsidRPr="004D5393">
        <w:rPr>
          <w:rFonts w:ascii="Times New Roman" w:hAnsi="Times New Roman" w:cs="Times New Roman"/>
          <w:sz w:val="24"/>
          <w:szCs w:val="24"/>
        </w:rPr>
        <w:t>20</w:t>
      </w:r>
      <w:r w:rsidRPr="00416268">
        <w:rPr>
          <w:rFonts w:ascii="Times New Roman" w:hAnsi="Times New Roman" w:cs="Times New Roman"/>
          <w:sz w:val="24"/>
          <w:szCs w:val="24"/>
        </w:rPr>
        <w:t>09)</w:t>
      </w:r>
      <w:r w:rsidRPr="004D5393">
        <w:rPr>
          <w:rFonts w:ascii="Times New Roman" w:hAnsi="Times New Roman" w:cs="Times New Roman"/>
          <w:sz w:val="24"/>
          <w:szCs w:val="24"/>
        </w:rPr>
        <w:t xml:space="preserve"> and Womack </w:t>
      </w:r>
      <w:r w:rsidRPr="00416268">
        <w:rPr>
          <w:rFonts w:ascii="Times New Roman" w:hAnsi="Times New Roman" w:cs="Times New Roman"/>
          <w:sz w:val="24"/>
          <w:szCs w:val="24"/>
        </w:rPr>
        <w:t>(</w:t>
      </w:r>
      <w:r w:rsidRPr="004D5393">
        <w:rPr>
          <w:rFonts w:ascii="Times New Roman" w:hAnsi="Times New Roman" w:cs="Times New Roman"/>
          <w:sz w:val="24"/>
          <w:szCs w:val="24"/>
        </w:rPr>
        <w:t>1996</w:t>
      </w:r>
      <w:r w:rsidRPr="00416268">
        <w:rPr>
          <w:rFonts w:ascii="Times New Roman" w:hAnsi="Times New Roman" w:cs="Times New Roman"/>
          <w:sz w:val="24"/>
          <w:szCs w:val="24"/>
        </w:rPr>
        <w:t>)</w:t>
      </w:r>
      <w:r w:rsidRPr="004D5393">
        <w:rPr>
          <w:rFonts w:ascii="Times New Roman" w:hAnsi="Times New Roman" w:cs="Times New Roman"/>
          <w:sz w:val="24"/>
          <w:szCs w:val="24"/>
        </w:rPr>
        <w:t xml:space="preserve"> ignore this issue, making their conclusions less comparable to our work. A second contribution is that our study examines all major recommendations by analysts, including downgrades, upgrades, and initiations to sell or to buy respectively. Most </w:t>
      </w:r>
      <w:r w:rsidRPr="00416268">
        <w:rPr>
          <w:rFonts w:ascii="Times New Roman" w:hAnsi="Times New Roman" w:cs="Times New Roman"/>
          <w:sz w:val="24"/>
          <w:szCs w:val="24"/>
        </w:rPr>
        <w:t xml:space="preserve">related </w:t>
      </w:r>
      <w:r w:rsidRPr="004D5393">
        <w:rPr>
          <w:rFonts w:ascii="Times New Roman" w:hAnsi="Times New Roman" w:cs="Times New Roman"/>
          <w:sz w:val="24"/>
          <w:szCs w:val="24"/>
        </w:rPr>
        <w:t>studies are narrow and focus on specific recommendations, such as upgrade and downgrade (An</w:t>
      </w:r>
      <w:r w:rsidRPr="00416268">
        <w:rPr>
          <w:rFonts w:ascii="Times New Roman" w:hAnsi="Times New Roman" w:cs="Times New Roman"/>
          <w:sz w:val="24"/>
          <w:szCs w:val="24"/>
        </w:rPr>
        <w:t>g</w:t>
      </w:r>
      <w:r w:rsidRPr="004D5393">
        <w:rPr>
          <w:rFonts w:ascii="Times New Roman" w:hAnsi="Times New Roman" w:cs="Times New Roman"/>
          <w:sz w:val="24"/>
          <w:szCs w:val="24"/>
        </w:rPr>
        <w:t xml:space="preserve"> et al</w:t>
      </w:r>
      <w:r w:rsidRPr="00416268">
        <w:rPr>
          <w:rFonts w:ascii="Times New Roman" w:hAnsi="Times New Roman" w:cs="Times New Roman"/>
          <w:sz w:val="24"/>
          <w:szCs w:val="24"/>
        </w:rPr>
        <w:t>.</w:t>
      </w:r>
      <w:r w:rsidRPr="004D5393">
        <w:rPr>
          <w:rFonts w:ascii="Times New Roman" w:hAnsi="Times New Roman" w:cs="Times New Roman"/>
          <w:sz w:val="24"/>
          <w:szCs w:val="24"/>
        </w:rPr>
        <w:t xml:space="preserve">, 1998); initiations of coverage (Irvine, 2003); and </w:t>
      </w:r>
      <w:r w:rsidRPr="00416268">
        <w:rPr>
          <w:rFonts w:ascii="Times New Roman" w:hAnsi="Times New Roman" w:cs="Times New Roman"/>
          <w:sz w:val="24"/>
          <w:szCs w:val="24"/>
        </w:rPr>
        <w:t>secondhand</w:t>
      </w:r>
      <w:r w:rsidRPr="004D5393">
        <w:rPr>
          <w:rFonts w:ascii="Times New Roman" w:hAnsi="Times New Roman" w:cs="Times New Roman"/>
          <w:sz w:val="24"/>
          <w:szCs w:val="24"/>
        </w:rPr>
        <w:t xml:space="preserve"> analyst recommendations (Chan and Fong, 1996). A third contribution is the robustness of our paper which analyzes the period before and after a recommendation. Previous </w:t>
      </w:r>
      <w:r w:rsidRPr="004D5393">
        <w:rPr>
          <w:rFonts w:ascii="Times New Roman" w:hAnsi="Times New Roman" w:cs="Times New Roman"/>
          <w:sz w:val="24"/>
          <w:szCs w:val="24"/>
        </w:rPr>
        <w:lastRenderedPageBreak/>
        <w:t>studies focus on posterior effects of analysts’ recommendation (</w:t>
      </w:r>
      <w:proofErr w:type="spellStart"/>
      <w:r w:rsidRPr="004D5393">
        <w:rPr>
          <w:rFonts w:ascii="Times New Roman" w:hAnsi="Times New Roman" w:cs="Times New Roman"/>
          <w:sz w:val="24"/>
          <w:szCs w:val="24"/>
        </w:rPr>
        <w:t>Moshirian</w:t>
      </w:r>
      <w:proofErr w:type="spellEnd"/>
      <w:r w:rsidRPr="004D5393">
        <w:rPr>
          <w:rFonts w:ascii="Times New Roman" w:hAnsi="Times New Roman" w:cs="Times New Roman"/>
          <w:sz w:val="24"/>
          <w:szCs w:val="24"/>
        </w:rPr>
        <w:t xml:space="preserve"> et al, 200</w:t>
      </w:r>
      <w:r w:rsidRPr="00416268">
        <w:rPr>
          <w:rFonts w:ascii="Times New Roman" w:hAnsi="Times New Roman" w:cs="Times New Roman"/>
          <w:sz w:val="24"/>
          <w:szCs w:val="24"/>
        </w:rPr>
        <w:t>9</w:t>
      </w:r>
      <w:r w:rsidRPr="004D5393">
        <w:rPr>
          <w:rFonts w:ascii="Times New Roman" w:hAnsi="Times New Roman" w:cs="Times New Roman"/>
          <w:sz w:val="24"/>
          <w:szCs w:val="24"/>
        </w:rPr>
        <w:t xml:space="preserve">) and pay little attention to the market situation before the recommendation. Although </w:t>
      </w:r>
      <w:proofErr w:type="spellStart"/>
      <w:r w:rsidRPr="004D5393">
        <w:rPr>
          <w:rFonts w:ascii="Times New Roman" w:hAnsi="Times New Roman" w:cs="Times New Roman"/>
          <w:sz w:val="24"/>
          <w:szCs w:val="24"/>
        </w:rPr>
        <w:t>Petaibanlue</w:t>
      </w:r>
      <w:proofErr w:type="spellEnd"/>
      <w:r w:rsidRPr="004D5393">
        <w:rPr>
          <w:rFonts w:ascii="Times New Roman" w:hAnsi="Times New Roman" w:cs="Times New Roman"/>
          <w:sz w:val="24"/>
          <w:szCs w:val="24"/>
        </w:rPr>
        <w:t xml:space="preserve"> et al. (2015) examine the period before the recommendations; they only do it based on impact on IFRS adoption. Our study makes a vital contribution to market participants and researchers by analyzing both the pre and post recommendation period and use standardized abnormal returns.  Finally, and perhaps the most original contribution stems from the fact that ours is the first study to examine the conditional effect of market sentiment on the analysts’ recommendations with and without look</w:t>
      </w:r>
      <w:r w:rsidRPr="004D5393">
        <w:rPr>
          <w:rFonts w:ascii="Times New Roman" w:eastAsia="Times New Roman" w:hAnsi="Times New Roman" w:cs="Times New Roman"/>
          <w:sz w:val="24"/>
          <w:szCs w:val="24"/>
          <w:lang w:eastAsia="en-US"/>
        </w:rPr>
        <w:t>−ahead biases</w:t>
      </w:r>
      <w:r w:rsidRPr="004D5393">
        <w:rPr>
          <w:rFonts w:ascii="Times New Roman" w:hAnsi="Times New Roman" w:cs="Times New Roman"/>
          <w:sz w:val="24"/>
          <w:szCs w:val="24"/>
        </w:rPr>
        <w:t xml:space="preserve">. We extend this line of research by taking into consideration the effect of the look ahead bias (hindsight bias) and provide an approximation for the error associated by this look ahead bias.  </w:t>
      </w:r>
    </w:p>
    <w:p w14:paraId="72155AE3" w14:textId="1F5CF3F6" w:rsidR="00642CD0" w:rsidRDefault="00F20569" w:rsidP="00F02589">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t xml:space="preserve">The rest of the paper is organized as follows: Section 2 presents the relevant literature on the performance and value of stock recommendations in different time frames and target markets. Section 3 illustrates the methodology of this study while Section 4 describes the data and the sample selection. Section 5 presents and analyzes the major empirical results </w:t>
      </w:r>
      <w:r>
        <w:rPr>
          <w:rFonts w:ascii="Times New Roman" w:hAnsi="Times New Roman" w:cs="Times New Roman"/>
          <w:sz w:val="24"/>
          <w:szCs w:val="24"/>
        </w:rPr>
        <w:t>with</w:t>
      </w:r>
      <w:r w:rsidRPr="004D5393">
        <w:rPr>
          <w:rFonts w:ascii="Times New Roman" w:hAnsi="Times New Roman" w:cs="Times New Roman"/>
          <w:sz w:val="24"/>
          <w:szCs w:val="24"/>
        </w:rPr>
        <w:t xml:space="preserve"> robustness test</w:t>
      </w:r>
      <w:r>
        <w:rPr>
          <w:rFonts w:ascii="Times New Roman" w:hAnsi="Times New Roman" w:cs="Times New Roman"/>
          <w:sz w:val="24"/>
          <w:szCs w:val="24"/>
        </w:rPr>
        <w:t>s</w:t>
      </w:r>
      <w:r w:rsidRPr="004D5393">
        <w:rPr>
          <w:rFonts w:ascii="Times New Roman" w:hAnsi="Times New Roman" w:cs="Times New Roman"/>
          <w:sz w:val="24"/>
          <w:szCs w:val="24"/>
        </w:rPr>
        <w:t>. Then section</w:t>
      </w:r>
      <w:r>
        <w:rPr>
          <w:rFonts w:ascii="Times New Roman" w:hAnsi="Times New Roman" w:cs="Times New Roman"/>
          <w:sz w:val="24"/>
          <w:szCs w:val="24"/>
        </w:rPr>
        <w:t xml:space="preserve"> 6</w:t>
      </w:r>
      <w:r w:rsidRPr="004D5393">
        <w:rPr>
          <w:rFonts w:ascii="Times New Roman" w:hAnsi="Times New Roman" w:cs="Times New Roman"/>
          <w:sz w:val="24"/>
          <w:szCs w:val="24"/>
        </w:rPr>
        <w:t xml:space="preserve"> concludes.</w:t>
      </w:r>
    </w:p>
    <w:p w14:paraId="4C07F8BC" w14:textId="77777777" w:rsidR="00F02589" w:rsidRDefault="00F02589" w:rsidP="00F02589">
      <w:pPr>
        <w:spacing w:after="0" w:line="480" w:lineRule="auto"/>
        <w:ind w:firstLine="720"/>
        <w:contextualSpacing/>
        <w:jc w:val="both"/>
        <w:rPr>
          <w:rFonts w:ascii="Times New Roman" w:hAnsi="Times New Roman" w:cs="Times New Roman"/>
          <w:sz w:val="24"/>
          <w:szCs w:val="24"/>
        </w:rPr>
      </w:pPr>
    </w:p>
    <w:p w14:paraId="66923D3F" w14:textId="19F59DF5" w:rsidR="00F46FCB" w:rsidRPr="004D5393" w:rsidRDefault="00B0275A" w:rsidP="00C658FF">
      <w:pPr>
        <w:spacing w:after="0" w:line="480" w:lineRule="auto"/>
        <w:contextualSpacing/>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2. </w:t>
      </w:r>
      <w:r w:rsidR="00880972" w:rsidRPr="004D5393">
        <w:rPr>
          <w:rFonts w:ascii="Times New Roman" w:eastAsia="Arial Unicode MS" w:hAnsi="Times New Roman" w:cs="Times New Roman"/>
          <w:b/>
          <w:sz w:val="24"/>
          <w:szCs w:val="24"/>
        </w:rPr>
        <w:t xml:space="preserve">Literature </w:t>
      </w:r>
      <w:r w:rsidR="001B5F70">
        <w:rPr>
          <w:rFonts w:ascii="Times New Roman" w:eastAsia="Arial Unicode MS" w:hAnsi="Times New Roman" w:cs="Times New Roman"/>
          <w:b/>
          <w:sz w:val="24"/>
          <w:szCs w:val="24"/>
        </w:rPr>
        <w:t>r</w:t>
      </w:r>
      <w:r w:rsidR="00880972" w:rsidRPr="004D5393">
        <w:rPr>
          <w:rFonts w:ascii="Times New Roman" w:eastAsia="Arial Unicode MS" w:hAnsi="Times New Roman" w:cs="Times New Roman"/>
          <w:b/>
          <w:sz w:val="24"/>
          <w:szCs w:val="24"/>
        </w:rPr>
        <w:t>eview</w:t>
      </w:r>
    </w:p>
    <w:p w14:paraId="5DC391CC" w14:textId="00A9D11E" w:rsidR="00DD484B" w:rsidRPr="00416268" w:rsidRDefault="00FB3372" w:rsidP="007C6349">
      <w:pPr>
        <w:spacing w:line="480" w:lineRule="auto"/>
        <w:ind w:firstLine="720"/>
        <w:jc w:val="both"/>
        <w:rPr>
          <w:rFonts w:ascii="Times New Roman" w:hAnsi="Times New Roman" w:cs="Times New Roman"/>
          <w:sz w:val="24"/>
          <w:szCs w:val="24"/>
        </w:rPr>
      </w:pPr>
      <w:r w:rsidRPr="00416268">
        <w:rPr>
          <w:rFonts w:ascii="Times New Roman" w:hAnsi="Times New Roman" w:cs="Times New Roman"/>
          <w:sz w:val="24"/>
          <w:szCs w:val="24"/>
        </w:rPr>
        <w:t>The</w:t>
      </w:r>
      <w:r w:rsidR="00AD6C0B" w:rsidRPr="00416268">
        <w:rPr>
          <w:rFonts w:ascii="Times New Roman" w:hAnsi="Times New Roman" w:cs="Times New Roman"/>
          <w:sz w:val="24"/>
          <w:szCs w:val="24"/>
        </w:rPr>
        <w:t xml:space="preserve"> </w:t>
      </w:r>
      <w:r w:rsidRPr="00416268">
        <w:rPr>
          <w:rFonts w:ascii="Times New Roman" w:hAnsi="Times New Roman" w:cs="Times New Roman"/>
          <w:sz w:val="24"/>
          <w:szCs w:val="24"/>
        </w:rPr>
        <w:t xml:space="preserve">extant literature on analysts’ recommendations </w:t>
      </w:r>
      <w:r w:rsidR="00AD6C0B" w:rsidRPr="00416268">
        <w:rPr>
          <w:rFonts w:ascii="Times New Roman" w:hAnsi="Times New Roman" w:cs="Times New Roman"/>
          <w:sz w:val="24"/>
          <w:szCs w:val="24"/>
        </w:rPr>
        <w:t xml:space="preserve">related to investment information has developed in various aspects. </w:t>
      </w:r>
      <w:r w:rsidR="007133CC" w:rsidRPr="00416268">
        <w:rPr>
          <w:rFonts w:ascii="Times New Roman" w:hAnsi="Times New Roman" w:cs="Times New Roman"/>
          <w:sz w:val="24"/>
          <w:szCs w:val="24"/>
        </w:rPr>
        <w:t xml:space="preserve">Based on the comprehensive stock recommendations on U.S. stocks provided by fourteen major U.S. brokerage firms, </w:t>
      </w:r>
      <w:r w:rsidR="007133CC" w:rsidRPr="00416268">
        <w:rPr>
          <w:rFonts w:ascii="Times New Roman" w:hAnsi="Times New Roman" w:cs="Times New Roman"/>
          <w:bCs/>
          <w:color w:val="000000"/>
          <w:sz w:val="24"/>
          <w:szCs w:val="24"/>
        </w:rPr>
        <w:t>Womack (1996) f</w:t>
      </w:r>
      <w:r w:rsidR="00AC4B3D" w:rsidRPr="00416268">
        <w:rPr>
          <w:rFonts w:ascii="Times New Roman" w:hAnsi="Times New Roman" w:cs="Times New Roman"/>
          <w:bCs/>
          <w:color w:val="000000"/>
          <w:sz w:val="24"/>
          <w:szCs w:val="24"/>
        </w:rPr>
        <w:t>inds</w:t>
      </w:r>
      <w:r w:rsidR="007133CC" w:rsidRPr="00416268">
        <w:rPr>
          <w:rFonts w:ascii="Times New Roman" w:hAnsi="Times New Roman" w:cs="Times New Roman"/>
          <w:bCs/>
          <w:color w:val="000000"/>
          <w:sz w:val="24"/>
          <w:szCs w:val="24"/>
        </w:rPr>
        <w:t xml:space="preserve"> that the new added-to-sell recommendations are less frequent but more predictive than new added-to-buy recommendations. In other words, the analysts tend to perceive </w:t>
      </w:r>
      <w:r w:rsidR="00096E27" w:rsidRPr="00416268">
        <w:rPr>
          <w:rFonts w:ascii="Times New Roman" w:hAnsi="Times New Roman" w:cs="Times New Roman"/>
          <w:bCs/>
          <w:color w:val="000000"/>
          <w:sz w:val="24"/>
          <w:szCs w:val="24"/>
        </w:rPr>
        <w:t xml:space="preserve">substantial </w:t>
      </w:r>
      <w:r w:rsidR="007133CC" w:rsidRPr="00416268">
        <w:rPr>
          <w:rFonts w:ascii="Times New Roman" w:hAnsi="Times New Roman" w:cs="Times New Roman"/>
          <w:bCs/>
          <w:color w:val="000000"/>
          <w:sz w:val="24"/>
          <w:szCs w:val="24"/>
        </w:rPr>
        <w:t>risk in issuing sell recommendations since these are less frequent</w:t>
      </w:r>
      <w:r w:rsidR="00096E27" w:rsidRPr="00416268">
        <w:rPr>
          <w:rFonts w:ascii="Times New Roman" w:hAnsi="Times New Roman" w:cs="Times New Roman"/>
          <w:bCs/>
          <w:color w:val="000000"/>
          <w:sz w:val="24"/>
          <w:szCs w:val="24"/>
        </w:rPr>
        <w:t>, more visible</w:t>
      </w:r>
      <w:r w:rsidR="007133CC" w:rsidRPr="00416268">
        <w:rPr>
          <w:rFonts w:ascii="Times New Roman" w:hAnsi="Times New Roman" w:cs="Times New Roman"/>
          <w:bCs/>
          <w:color w:val="000000"/>
          <w:sz w:val="24"/>
          <w:szCs w:val="24"/>
        </w:rPr>
        <w:t xml:space="preserve"> </w:t>
      </w:r>
      <w:r w:rsidR="00096E27" w:rsidRPr="00416268">
        <w:rPr>
          <w:rFonts w:ascii="Times New Roman" w:hAnsi="Times New Roman" w:cs="Times New Roman"/>
          <w:bCs/>
          <w:color w:val="000000"/>
          <w:sz w:val="24"/>
          <w:szCs w:val="24"/>
        </w:rPr>
        <w:t xml:space="preserve">and contain more information </w:t>
      </w:r>
      <w:r w:rsidR="007133CC" w:rsidRPr="00416268">
        <w:rPr>
          <w:rFonts w:ascii="Times New Roman" w:hAnsi="Times New Roman" w:cs="Times New Roman"/>
          <w:bCs/>
          <w:color w:val="000000"/>
          <w:sz w:val="24"/>
          <w:szCs w:val="24"/>
        </w:rPr>
        <w:t>compared to buy recommendations</w:t>
      </w:r>
      <w:r w:rsidR="00096E27" w:rsidRPr="00416268">
        <w:rPr>
          <w:rFonts w:ascii="Times New Roman" w:hAnsi="Times New Roman" w:cs="Times New Roman"/>
          <w:bCs/>
          <w:color w:val="000000"/>
          <w:sz w:val="24"/>
          <w:szCs w:val="24"/>
        </w:rPr>
        <w:t xml:space="preserve"> </w:t>
      </w:r>
      <w:r w:rsidR="00096E27" w:rsidRPr="00416268">
        <w:rPr>
          <w:rFonts w:ascii="Times New Roman" w:hAnsi="Times New Roman" w:cs="Times New Roman"/>
          <w:sz w:val="24"/>
          <w:szCs w:val="24"/>
        </w:rPr>
        <w:t>(Pratt, 1993)</w:t>
      </w:r>
      <w:r w:rsidR="00766202" w:rsidRPr="00416268">
        <w:rPr>
          <w:rFonts w:ascii="Times New Roman" w:hAnsi="Times New Roman" w:cs="Times New Roman"/>
          <w:sz w:val="24"/>
          <w:szCs w:val="24"/>
        </w:rPr>
        <w:t>.</w:t>
      </w:r>
      <w:r w:rsidR="00AC7285" w:rsidRPr="00416268">
        <w:rPr>
          <w:rFonts w:ascii="Times New Roman" w:hAnsi="Times New Roman" w:cs="Times New Roman"/>
          <w:sz w:val="24"/>
          <w:szCs w:val="24"/>
        </w:rPr>
        <w:t xml:space="preserve"> </w:t>
      </w:r>
      <w:r w:rsidR="00D84288" w:rsidRPr="008358F0">
        <w:rPr>
          <w:rStyle w:val="Strong"/>
          <w:rFonts w:ascii="Times New Roman" w:hAnsi="Times New Roman" w:cs="Times New Roman"/>
          <w:b w:val="0"/>
          <w:sz w:val="24"/>
          <w:szCs w:val="24"/>
          <w:bdr w:val="none" w:sz="0" w:space="0" w:color="auto" w:frame="1"/>
        </w:rPr>
        <w:t>Other recent studies (He et al, 2020</w:t>
      </w:r>
      <w:r w:rsidR="007C6349">
        <w:rPr>
          <w:rStyle w:val="Strong"/>
          <w:rFonts w:ascii="Times New Roman" w:hAnsi="Times New Roman" w:cs="Times New Roman"/>
          <w:b w:val="0"/>
          <w:sz w:val="24"/>
          <w:szCs w:val="24"/>
          <w:bdr w:val="none" w:sz="0" w:space="0" w:color="auto" w:frame="1"/>
        </w:rPr>
        <w:t>; A</w:t>
      </w:r>
      <w:r w:rsidR="007C6349" w:rsidRPr="00FA3D3E">
        <w:rPr>
          <w:rFonts w:ascii="Times New Roman" w:hAnsi="Times New Roman" w:cs="Times New Roman"/>
          <w:sz w:val="24"/>
          <w:szCs w:val="24"/>
          <w:bdr w:val="none" w:sz="0" w:space="0" w:color="auto" w:frame="1"/>
        </w:rPr>
        <w:t>rif and De George</w:t>
      </w:r>
      <w:r w:rsidR="007C6349">
        <w:rPr>
          <w:rFonts w:ascii="Times New Roman" w:hAnsi="Times New Roman" w:cs="Times New Roman"/>
          <w:sz w:val="24"/>
          <w:szCs w:val="24"/>
          <w:bdr w:val="none" w:sz="0" w:space="0" w:color="auto" w:frame="1"/>
        </w:rPr>
        <w:t xml:space="preserve">, </w:t>
      </w:r>
      <w:r w:rsidR="007C6349" w:rsidRPr="00FA3D3E">
        <w:rPr>
          <w:rFonts w:ascii="Times New Roman" w:hAnsi="Times New Roman" w:cs="Times New Roman"/>
          <w:sz w:val="24"/>
          <w:szCs w:val="24"/>
          <w:bdr w:val="none" w:sz="0" w:space="0" w:color="auto" w:frame="1"/>
        </w:rPr>
        <w:t>2020</w:t>
      </w:r>
      <w:r w:rsidR="00D84288" w:rsidRPr="008358F0">
        <w:rPr>
          <w:rStyle w:val="Strong"/>
          <w:rFonts w:ascii="Times New Roman" w:hAnsi="Times New Roman" w:cs="Times New Roman"/>
          <w:b w:val="0"/>
          <w:sz w:val="24"/>
          <w:szCs w:val="24"/>
          <w:bdr w:val="none" w:sz="0" w:space="0" w:color="auto" w:frame="1"/>
        </w:rPr>
        <w:t>) have shown that analyst</w:t>
      </w:r>
      <w:r w:rsidR="00D84288" w:rsidRPr="008358F0">
        <w:rPr>
          <w:rFonts w:ascii="Times New Roman" w:hAnsi="Times New Roman" w:cs="Times New Roman"/>
          <w:sz w:val="24"/>
          <w:szCs w:val="24"/>
        </w:rPr>
        <w:t> coverage has a negative impact on tax risk</w:t>
      </w:r>
      <w:r w:rsidR="007C6349">
        <w:rPr>
          <w:rFonts w:ascii="Times New Roman" w:hAnsi="Times New Roman" w:cs="Times New Roman"/>
          <w:sz w:val="24"/>
          <w:szCs w:val="24"/>
        </w:rPr>
        <w:t xml:space="preserve">; and </w:t>
      </w:r>
      <w:r w:rsidR="007C6349" w:rsidRPr="00FA3D3E">
        <w:rPr>
          <w:rFonts w:ascii="Times New Roman" w:hAnsi="Times New Roman" w:cs="Times New Roman"/>
          <w:sz w:val="24"/>
          <w:szCs w:val="24"/>
          <w:bdr w:val="none" w:sz="0" w:space="0" w:color="auto" w:frame="1"/>
        </w:rPr>
        <w:t xml:space="preserve">that </w:t>
      </w:r>
      <w:r w:rsidR="007C6349" w:rsidRPr="00FA3D3E">
        <w:rPr>
          <w:rFonts w:ascii="Times New Roman" w:hAnsi="Times New Roman" w:cs="Times New Roman"/>
          <w:sz w:val="24"/>
          <w:szCs w:val="24"/>
          <w:bdr w:val="none" w:sz="0" w:space="0" w:color="auto" w:frame="1"/>
        </w:rPr>
        <w:lastRenderedPageBreak/>
        <w:t xml:space="preserve">loss sensitive </w:t>
      </w:r>
      <w:r w:rsidR="007C6349" w:rsidRPr="00FA3D3E">
        <w:rPr>
          <w:rStyle w:val="Strong"/>
          <w:rFonts w:ascii="Times New Roman" w:hAnsi="Times New Roman" w:cs="Times New Roman"/>
          <w:b w:val="0"/>
          <w:sz w:val="24"/>
          <w:szCs w:val="24"/>
          <w:bdr w:val="none" w:sz="0" w:space="0" w:color="auto" w:frame="1"/>
        </w:rPr>
        <w:t>investors</w:t>
      </w:r>
      <w:r w:rsidR="007C6349" w:rsidRPr="00FA3D3E">
        <w:rPr>
          <w:rFonts w:ascii="Times New Roman" w:hAnsi="Times New Roman" w:cs="Times New Roman"/>
          <w:sz w:val="24"/>
          <w:szCs w:val="24"/>
        </w:rPr>
        <w:t> are unable to completely eliminate the information </w:t>
      </w:r>
      <w:r w:rsidR="007C6349" w:rsidRPr="00FA3D3E">
        <w:rPr>
          <w:rStyle w:val="Strong"/>
          <w:rFonts w:ascii="Times New Roman" w:hAnsi="Times New Roman" w:cs="Times New Roman"/>
          <w:b w:val="0"/>
          <w:sz w:val="24"/>
          <w:szCs w:val="24"/>
          <w:bdr w:val="none" w:sz="0" w:space="0" w:color="auto" w:frame="1"/>
        </w:rPr>
        <w:t>loss</w:t>
      </w:r>
      <w:r w:rsidR="007C6349" w:rsidRPr="00FA3D3E">
        <w:rPr>
          <w:rFonts w:ascii="Times New Roman" w:hAnsi="Times New Roman" w:cs="Times New Roman"/>
          <w:sz w:val="24"/>
          <w:szCs w:val="24"/>
        </w:rPr>
        <w:t> arising from infrequent financial reporting which can affect the valuation of firms and the quality of financial markets</w:t>
      </w:r>
      <w:r w:rsidR="00D84288" w:rsidRPr="008358F0">
        <w:rPr>
          <w:rFonts w:ascii="Times New Roman" w:hAnsi="Times New Roman" w:cs="Times New Roman"/>
          <w:sz w:val="24"/>
          <w:szCs w:val="24"/>
        </w:rPr>
        <w:t xml:space="preserve">. </w:t>
      </w:r>
      <w:r w:rsidR="00D84288">
        <w:rPr>
          <w:rFonts w:ascii="Times New Roman" w:hAnsi="Times New Roman" w:cs="Times New Roman"/>
          <w:sz w:val="24"/>
          <w:szCs w:val="24"/>
        </w:rPr>
        <w:t xml:space="preserve"> </w:t>
      </w:r>
      <w:r w:rsidR="00E444F6" w:rsidRPr="00416268">
        <w:rPr>
          <w:rFonts w:ascii="Times New Roman" w:hAnsi="Times New Roman" w:cs="Times New Roman"/>
          <w:sz w:val="24"/>
          <w:szCs w:val="24"/>
        </w:rPr>
        <w:t xml:space="preserve">Consequently, analysts tend to herd more </w:t>
      </w:r>
      <w:r w:rsidR="00C33CFC" w:rsidRPr="00416268">
        <w:rPr>
          <w:rFonts w:ascii="Times New Roman" w:hAnsi="Times New Roman" w:cs="Times New Roman"/>
          <w:sz w:val="24"/>
          <w:szCs w:val="24"/>
        </w:rPr>
        <w:t>when the firm has negative media sentiment</w:t>
      </w:r>
      <w:r w:rsidR="00E444F6" w:rsidRPr="00416268">
        <w:rPr>
          <w:rFonts w:ascii="Times New Roman" w:hAnsi="Times New Roman" w:cs="Times New Roman"/>
          <w:sz w:val="24"/>
          <w:szCs w:val="24"/>
        </w:rPr>
        <w:t xml:space="preserve"> (</w:t>
      </w:r>
      <w:proofErr w:type="spellStart"/>
      <w:r w:rsidR="00E444F6" w:rsidRPr="00416268">
        <w:rPr>
          <w:rFonts w:ascii="Times New Roman" w:hAnsi="Times New Roman" w:cs="Times New Roman"/>
          <w:sz w:val="24"/>
          <w:szCs w:val="24"/>
        </w:rPr>
        <w:t>Frijns</w:t>
      </w:r>
      <w:proofErr w:type="spellEnd"/>
      <w:r w:rsidR="00E444F6" w:rsidRPr="00416268">
        <w:rPr>
          <w:rFonts w:ascii="Times New Roman" w:hAnsi="Times New Roman" w:cs="Times New Roman"/>
          <w:sz w:val="24"/>
          <w:szCs w:val="24"/>
        </w:rPr>
        <w:t xml:space="preserve"> and Huynh, 2018)</w:t>
      </w:r>
      <w:r w:rsidR="00C33CFC" w:rsidRPr="00416268">
        <w:rPr>
          <w:rFonts w:ascii="Times New Roman" w:hAnsi="Times New Roman" w:cs="Times New Roman"/>
          <w:sz w:val="24"/>
          <w:szCs w:val="24"/>
        </w:rPr>
        <w:t>.</w:t>
      </w:r>
      <w:r w:rsidR="00E444F6" w:rsidRPr="00416268">
        <w:rPr>
          <w:rFonts w:ascii="Times New Roman" w:hAnsi="Times New Roman" w:cs="Times New Roman"/>
          <w:sz w:val="24"/>
          <w:szCs w:val="24"/>
        </w:rPr>
        <w:t xml:space="preserve"> </w:t>
      </w:r>
      <w:r w:rsidR="00D00116" w:rsidRPr="004D5393">
        <w:rPr>
          <w:rFonts w:ascii="Times New Roman" w:hAnsi="Times New Roman" w:cs="Times New Roman"/>
          <w:sz w:val="24"/>
          <w:szCs w:val="24"/>
        </w:rPr>
        <w:t xml:space="preserve">Barber et al. (2001) </w:t>
      </w:r>
      <w:r w:rsidR="00AC4B3D" w:rsidRPr="00416268">
        <w:rPr>
          <w:rFonts w:ascii="Times New Roman" w:hAnsi="Times New Roman" w:cs="Times New Roman"/>
          <w:sz w:val="24"/>
          <w:szCs w:val="24"/>
        </w:rPr>
        <w:t xml:space="preserve">find </w:t>
      </w:r>
      <w:r w:rsidR="00D00116" w:rsidRPr="004D5393">
        <w:rPr>
          <w:rFonts w:ascii="Times New Roman" w:hAnsi="Times New Roman" w:cs="Times New Roman"/>
          <w:sz w:val="24"/>
          <w:szCs w:val="24"/>
        </w:rPr>
        <w:t>results consistent with Womack (1996) and show that investors can generate significant positive (negative) abnormal returns by following analyst’ upgrades (downgrades) on securities</w:t>
      </w:r>
      <w:r w:rsidR="007C6349">
        <w:rPr>
          <w:rFonts w:ascii="Times New Roman" w:hAnsi="Times New Roman" w:cs="Times New Roman"/>
          <w:sz w:val="24"/>
          <w:szCs w:val="24"/>
        </w:rPr>
        <w:t xml:space="preserve">, though abnormal loss </w:t>
      </w:r>
      <w:r w:rsidR="007C6349" w:rsidRPr="008358F0">
        <w:rPr>
          <w:rFonts w:ascii="Times New Roman" w:hAnsi="Times New Roman" w:cs="Times New Roman"/>
          <w:sz w:val="24"/>
          <w:szCs w:val="24"/>
        </w:rPr>
        <w:t>provision generally reduces analyst coverage</w:t>
      </w:r>
      <w:r w:rsidR="007C6349">
        <w:rPr>
          <w:rFonts w:ascii="Times New Roman" w:hAnsi="Times New Roman" w:cs="Times New Roman"/>
          <w:sz w:val="24"/>
          <w:szCs w:val="24"/>
        </w:rPr>
        <w:t xml:space="preserve"> particularly in the banking sector</w:t>
      </w:r>
      <w:r w:rsidR="007C6349" w:rsidRPr="008358F0">
        <w:rPr>
          <w:rFonts w:ascii="Times New Roman" w:hAnsi="Times New Roman" w:cs="Times New Roman"/>
          <w:sz w:val="24"/>
          <w:szCs w:val="24"/>
        </w:rPr>
        <w:t xml:space="preserve"> (Hong et al, 2020)</w:t>
      </w:r>
      <w:r w:rsidR="00D00116" w:rsidRPr="004D5393">
        <w:rPr>
          <w:rFonts w:ascii="Times New Roman" w:hAnsi="Times New Roman" w:cs="Times New Roman"/>
          <w:sz w:val="24"/>
          <w:szCs w:val="24"/>
        </w:rPr>
        <w:t>.</w:t>
      </w:r>
      <w:r w:rsidR="00D00116" w:rsidRPr="00416268">
        <w:rPr>
          <w:rFonts w:ascii="Times New Roman" w:hAnsi="Times New Roman" w:cs="Times New Roman"/>
          <w:sz w:val="24"/>
          <w:szCs w:val="24"/>
        </w:rPr>
        <w:t xml:space="preserve"> </w:t>
      </w:r>
      <w:proofErr w:type="spellStart"/>
      <w:r w:rsidR="00B31424" w:rsidRPr="00416268">
        <w:rPr>
          <w:rFonts w:ascii="Times New Roman" w:hAnsi="Times New Roman" w:cs="Times New Roman"/>
          <w:sz w:val="24"/>
          <w:szCs w:val="24"/>
        </w:rPr>
        <w:t>Loh</w:t>
      </w:r>
      <w:proofErr w:type="spellEnd"/>
      <w:r w:rsidR="00B31424" w:rsidRPr="00416268">
        <w:rPr>
          <w:rFonts w:ascii="Times New Roman" w:hAnsi="Times New Roman" w:cs="Times New Roman"/>
          <w:sz w:val="24"/>
          <w:szCs w:val="24"/>
        </w:rPr>
        <w:t xml:space="preserve"> (2010) examines why the information conveyed by stock recommendations doesn’t get fully incorporated in the stock price when recommendations are released. He finds that the investor inattention contributes to a larger stock recommendation drift and that the subsequent drift reflects investors’ gradual realization of the true stock price implied by the published recommendation.</w:t>
      </w:r>
      <w:r w:rsidR="00FE258A" w:rsidRPr="00416268">
        <w:rPr>
          <w:rFonts w:ascii="Times New Roman" w:hAnsi="Times New Roman" w:cs="Times New Roman"/>
          <w:sz w:val="24"/>
          <w:szCs w:val="24"/>
        </w:rPr>
        <w:t xml:space="preserve"> </w:t>
      </w:r>
    </w:p>
    <w:p w14:paraId="35C776A7" w14:textId="19AD270E" w:rsidR="00505464" w:rsidRPr="00416268" w:rsidRDefault="00FE258A" w:rsidP="00C658FF">
      <w:pPr>
        <w:spacing w:after="0" w:line="480" w:lineRule="auto"/>
        <w:ind w:firstLine="720"/>
        <w:contextualSpacing/>
        <w:jc w:val="both"/>
        <w:rPr>
          <w:rFonts w:ascii="Times New Roman" w:hAnsi="Times New Roman" w:cs="Times New Roman"/>
          <w:sz w:val="24"/>
          <w:szCs w:val="24"/>
        </w:rPr>
      </w:pPr>
      <w:r w:rsidRPr="00416268">
        <w:rPr>
          <w:rFonts w:ascii="Times New Roman" w:hAnsi="Times New Roman" w:cs="Times New Roman"/>
          <w:sz w:val="24"/>
          <w:szCs w:val="24"/>
        </w:rPr>
        <w:t>Green (2006)</w:t>
      </w:r>
      <w:r w:rsidR="005D21D9" w:rsidRPr="00416268">
        <w:rPr>
          <w:rFonts w:ascii="Times New Roman" w:hAnsi="Times New Roman" w:cs="Times New Roman"/>
          <w:sz w:val="24"/>
          <w:szCs w:val="24"/>
        </w:rPr>
        <w:t>,</w:t>
      </w:r>
      <w:r w:rsidRPr="00416268">
        <w:rPr>
          <w:rFonts w:ascii="Times New Roman" w:hAnsi="Times New Roman" w:cs="Times New Roman"/>
          <w:sz w:val="24"/>
          <w:szCs w:val="24"/>
        </w:rPr>
        <w:t xml:space="preserve"> </w:t>
      </w:r>
      <w:r w:rsidR="005D21D9" w:rsidRPr="00416268">
        <w:rPr>
          <w:rFonts w:ascii="Times New Roman" w:hAnsi="Times New Roman" w:cs="Times New Roman"/>
          <w:sz w:val="24"/>
          <w:szCs w:val="24"/>
        </w:rPr>
        <w:t xml:space="preserve">Chen and Cheng (2006) </w:t>
      </w:r>
      <w:r w:rsidRPr="00416268">
        <w:rPr>
          <w:rFonts w:ascii="Times New Roman" w:hAnsi="Times New Roman" w:cs="Times New Roman"/>
          <w:sz w:val="24"/>
          <w:szCs w:val="24"/>
        </w:rPr>
        <w:t xml:space="preserve">and </w:t>
      </w:r>
      <w:proofErr w:type="spellStart"/>
      <w:r w:rsidRPr="00416268">
        <w:rPr>
          <w:rFonts w:ascii="Times New Roman" w:hAnsi="Times New Roman" w:cs="Times New Roman"/>
          <w:sz w:val="24"/>
          <w:szCs w:val="24"/>
        </w:rPr>
        <w:t>Kadan</w:t>
      </w:r>
      <w:proofErr w:type="spellEnd"/>
      <w:r w:rsidRPr="00416268">
        <w:rPr>
          <w:rFonts w:ascii="Times New Roman" w:hAnsi="Times New Roman" w:cs="Times New Roman"/>
          <w:sz w:val="24"/>
          <w:szCs w:val="24"/>
        </w:rPr>
        <w:t xml:space="preserve"> et al. (2018) find that market participants with early access to recommendation information tend to earn higher profits than their peers without early access.</w:t>
      </w:r>
      <w:r w:rsidR="00977524" w:rsidRPr="00416268">
        <w:rPr>
          <w:rFonts w:ascii="Times New Roman" w:hAnsi="Times New Roman" w:cs="Times New Roman"/>
          <w:sz w:val="24"/>
          <w:szCs w:val="24"/>
        </w:rPr>
        <w:t xml:space="preserve"> Green (2006) argues that the trading profits increase with early access to both buy and sell recommendati</w:t>
      </w:r>
      <w:r w:rsidR="00CC34D9" w:rsidRPr="00416268">
        <w:rPr>
          <w:rFonts w:ascii="Times New Roman" w:hAnsi="Times New Roman" w:cs="Times New Roman"/>
          <w:sz w:val="24"/>
          <w:szCs w:val="24"/>
        </w:rPr>
        <w:t>ons while the latter</w:t>
      </w:r>
      <w:r w:rsidR="00977524" w:rsidRPr="00416268">
        <w:rPr>
          <w:rFonts w:ascii="Times New Roman" w:hAnsi="Times New Roman" w:cs="Times New Roman"/>
          <w:sz w:val="24"/>
          <w:szCs w:val="24"/>
        </w:rPr>
        <w:t xml:space="preserve"> shows larger increase</w:t>
      </w:r>
      <w:r w:rsidR="00EC5275" w:rsidRPr="00416268">
        <w:rPr>
          <w:rFonts w:ascii="Times New Roman" w:hAnsi="Times New Roman" w:cs="Times New Roman"/>
          <w:sz w:val="24"/>
          <w:szCs w:val="24"/>
        </w:rPr>
        <w:t xml:space="preserve"> by selling short following downgrades</w:t>
      </w:r>
      <w:r w:rsidR="00977524" w:rsidRPr="00416268">
        <w:rPr>
          <w:rFonts w:ascii="Times New Roman" w:hAnsi="Times New Roman" w:cs="Times New Roman"/>
          <w:sz w:val="24"/>
          <w:szCs w:val="24"/>
        </w:rPr>
        <w:t xml:space="preserve">. </w:t>
      </w:r>
      <w:r w:rsidR="00A84A75" w:rsidRPr="00416268">
        <w:rPr>
          <w:rFonts w:ascii="Times New Roman" w:hAnsi="Times New Roman" w:cs="Times New Roman"/>
          <w:sz w:val="24"/>
          <w:szCs w:val="24"/>
        </w:rPr>
        <w:t xml:space="preserve">Chen and Cheng (2006) maintain that </w:t>
      </w:r>
      <w:r w:rsidR="00035027" w:rsidRPr="00416268">
        <w:rPr>
          <w:rFonts w:ascii="Times New Roman" w:hAnsi="Times New Roman" w:cs="Times New Roman"/>
          <w:sz w:val="24"/>
          <w:szCs w:val="24"/>
        </w:rPr>
        <w:t xml:space="preserve">stock recommendations contain valuable information and institutional investors under soft dollar arrangements can have timely access to these recommendations </w:t>
      </w:r>
      <w:r w:rsidR="007A1933" w:rsidRPr="00416268">
        <w:rPr>
          <w:rFonts w:ascii="Times New Roman" w:hAnsi="Times New Roman" w:cs="Times New Roman"/>
          <w:sz w:val="24"/>
          <w:szCs w:val="24"/>
        </w:rPr>
        <w:t xml:space="preserve">which contribute to their </w:t>
      </w:r>
      <w:r w:rsidR="00035027" w:rsidRPr="00416268">
        <w:rPr>
          <w:rFonts w:ascii="Times New Roman" w:hAnsi="Times New Roman" w:cs="Times New Roman"/>
          <w:sz w:val="24"/>
          <w:szCs w:val="24"/>
        </w:rPr>
        <w:t>superior performance.</w:t>
      </w:r>
      <w:r w:rsidR="004F7403" w:rsidRPr="00416268">
        <w:rPr>
          <w:rFonts w:ascii="Times New Roman" w:hAnsi="Times New Roman" w:cs="Times New Roman"/>
          <w:sz w:val="24"/>
          <w:szCs w:val="24"/>
        </w:rPr>
        <w:t xml:space="preserve"> </w:t>
      </w:r>
      <w:proofErr w:type="spellStart"/>
      <w:r w:rsidR="00F43814" w:rsidRPr="00416268">
        <w:rPr>
          <w:rFonts w:ascii="Times New Roman" w:hAnsi="Times New Roman" w:cs="Times New Roman"/>
          <w:sz w:val="24"/>
          <w:szCs w:val="24"/>
        </w:rPr>
        <w:t>Kadan</w:t>
      </w:r>
      <w:proofErr w:type="spellEnd"/>
      <w:r w:rsidR="00F43814" w:rsidRPr="00416268">
        <w:rPr>
          <w:rFonts w:ascii="Times New Roman" w:hAnsi="Times New Roman" w:cs="Times New Roman"/>
          <w:sz w:val="24"/>
          <w:szCs w:val="24"/>
        </w:rPr>
        <w:t xml:space="preserve"> et al. (2018) </w:t>
      </w:r>
      <w:r w:rsidR="002A279F" w:rsidRPr="00416268">
        <w:rPr>
          <w:rFonts w:ascii="Times New Roman" w:hAnsi="Times New Roman" w:cs="Times New Roman"/>
          <w:sz w:val="24"/>
          <w:szCs w:val="24"/>
        </w:rPr>
        <w:t>find</w:t>
      </w:r>
      <w:r w:rsidR="00F43814" w:rsidRPr="00416268">
        <w:rPr>
          <w:rFonts w:ascii="Times New Roman" w:hAnsi="Times New Roman" w:cs="Times New Roman"/>
          <w:sz w:val="24"/>
          <w:szCs w:val="24"/>
        </w:rPr>
        <w:t xml:space="preserve"> that the early-informed news-driven institutions tend to accumulate wealth transferred from program traders who have less early information access advantages.</w:t>
      </w:r>
      <w:r w:rsidR="00317F7B" w:rsidRPr="00416268">
        <w:rPr>
          <w:rFonts w:ascii="Times New Roman" w:hAnsi="Times New Roman" w:cs="Times New Roman"/>
          <w:sz w:val="24"/>
          <w:szCs w:val="24"/>
        </w:rPr>
        <w:t xml:space="preserve"> </w:t>
      </w:r>
      <w:r w:rsidR="00B05A67" w:rsidRPr="00416268">
        <w:rPr>
          <w:rFonts w:ascii="Times New Roman" w:hAnsi="Times New Roman" w:cs="Times New Roman"/>
          <w:sz w:val="24"/>
          <w:szCs w:val="24"/>
        </w:rPr>
        <w:t xml:space="preserve">Francis and </w:t>
      </w:r>
      <w:proofErr w:type="spellStart"/>
      <w:r w:rsidR="00B05A67" w:rsidRPr="00416268">
        <w:rPr>
          <w:rFonts w:ascii="Times New Roman" w:hAnsi="Times New Roman" w:cs="Times New Roman"/>
          <w:sz w:val="24"/>
          <w:szCs w:val="24"/>
        </w:rPr>
        <w:t>Soffer</w:t>
      </w:r>
      <w:proofErr w:type="spellEnd"/>
      <w:r w:rsidR="00B05A67" w:rsidRPr="00416268">
        <w:rPr>
          <w:rFonts w:ascii="Times New Roman" w:hAnsi="Times New Roman" w:cs="Times New Roman"/>
          <w:sz w:val="24"/>
          <w:szCs w:val="24"/>
        </w:rPr>
        <w:t xml:space="preserve"> (2006) find that both earnings forecast revisions and stock recommendations are significantly related to the market reactions to analysts’ reports and neither of these signals about the share values subsumes the other. </w:t>
      </w:r>
      <w:r w:rsidR="00470D2F" w:rsidRPr="00416268">
        <w:rPr>
          <w:rFonts w:ascii="Times New Roman" w:hAnsi="Times New Roman" w:cs="Times New Roman"/>
          <w:sz w:val="24"/>
          <w:szCs w:val="24"/>
        </w:rPr>
        <w:t xml:space="preserve">According to Lee at al. (2018), however, the firms </w:t>
      </w:r>
      <w:r w:rsidR="00470D2F" w:rsidRPr="00416268">
        <w:rPr>
          <w:rFonts w:ascii="Times New Roman" w:hAnsi="Times New Roman" w:cs="Times New Roman"/>
          <w:sz w:val="24"/>
          <w:szCs w:val="24"/>
        </w:rPr>
        <w:lastRenderedPageBreak/>
        <w:t>voluntarily issuing CSR-related reports tend to have richer information environment which reduces the value of analyst’s recommendations.</w:t>
      </w:r>
    </w:p>
    <w:p w14:paraId="4125C2CA" w14:textId="38D9C8E0" w:rsidR="00BA0E38" w:rsidRPr="00416268" w:rsidRDefault="002A43BB"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t>Investor sentiment serv</w:t>
      </w:r>
      <w:r w:rsidR="00D503F5" w:rsidRPr="004D5393">
        <w:rPr>
          <w:rFonts w:ascii="Times New Roman" w:hAnsi="Times New Roman" w:cs="Times New Roman"/>
          <w:sz w:val="24"/>
          <w:szCs w:val="24"/>
        </w:rPr>
        <w:t>es</w:t>
      </w:r>
      <w:r w:rsidRPr="004D5393">
        <w:rPr>
          <w:rFonts w:ascii="Times New Roman" w:hAnsi="Times New Roman" w:cs="Times New Roman"/>
          <w:sz w:val="24"/>
          <w:szCs w:val="24"/>
        </w:rPr>
        <w:t xml:space="preserve"> as another important factor when </w:t>
      </w:r>
      <w:r w:rsidR="00E63470" w:rsidRPr="004D5393">
        <w:rPr>
          <w:rFonts w:ascii="Times New Roman" w:hAnsi="Times New Roman" w:cs="Times New Roman"/>
          <w:sz w:val="24"/>
          <w:szCs w:val="24"/>
        </w:rPr>
        <w:t>analyzing</w:t>
      </w:r>
      <w:r w:rsidRPr="004D5393">
        <w:rPr>
          <w:rFonts w:ascii="Times New Roman" w:hAnsi="Times New Roman" w:cs="Times New Roman"/>
          <w:sz w:val="24"/>
          <w:szCs w:val="24"/>
        </w:rPr>
        <w:t xml:space="preserve"> stock recommendations. Bagnoli et al. (2009) and </w:t>
      </w:r>
      <w:proofErr w:type="spellStart"/>
      <w:r w:rsidRPr="004D5393">
        <w:rPr>
          <w:rFonts w:ascii="Times New Roman" w:eastAsia="Times New Roman" w:hAnsi="Times New Roman" w:cs="Times New Roman"/>
          <w:sz w:val="24"/>
          <w:szCs w:val="24"/>
          <w:lang w:eastAsia="en-US"/>
        </w:rPr>
        <w:t>Corredor</w:t>
      </w:r>
      <w:proofErr w:type="spellEnd"/>
      <w:r w:rsidRPr="004D5393">
        <w:rPr>
          <w:rFonts w:ascii="Times New Roman" w:eastAsia="Times New Roman" w:hAnsi="Times New Roman" w:cs="Times New Roman"/>
          <w:sz w:val="24"/>
          <w:szCs w:val="24"/>
          <w:lang w:eastAsia="en-US"/>
        </w:rPr>
        <w:t xml:space="preserve"> et al. (2013) </w:t>
      </w:r>
      <w:r w:rsidRPr="004D5393">
        <w:rPr>
          <w:rFonts w:ascii="Times New Roman" w:hAnsi="Times New Roman" w:cs="Times New Roman"/>
          <w:sz w:val="24"/>
          <w:szCs w:val="24"/>
        </w:rPr>
        <w:t>find that analysts tend to issue more favorable stock recommendations when recent or future investor sentiment are optimistic. Bagnoli et al. (2009) also show that investor sentiment sensitive analysts tend to issue relatively less profitable stock recommendations while analysts who issue investor sentiment sensitive stocks offer more profitable recommendations than their peers.</w:t>
      </w:r>
      <w:r w:rsidR="00BA0E38" w:rsidRPr="00416268">
        <w:rPr>
          <w:rFonts w:ascii="Times New Roman" w:hAnsi="Times New Roman" w:cs="Times New Roman"/>
          <w:sz w:val="24"/>
          <w:szCs w:val="24"/>
        </w:rPr>
        <w:t xml:space="preserve"> Chen and Matsumoto (2006) find that analysts issuing more favorable recommendations experience a greater increase in their relative forecast accuracy compared with analysts with less favorable recommendations.</w:t>
      </w:r>
      <w:r w:rsidR="00675448" w:rsidRPr="00416268">
        <w:rPr>
          <w:rFonts w:ascii="Times New Roman" w:hAnsi="Times New Roman" w:cs="Times New Roman"/>
          <w:sz w:val="24"/>
          <w:szCs w:val="24"/>
        </w:rPr>
        <w:t xml:space="preserve"> </w:t>
      </w:r>
      <w:r w:rsidR="00956C03" w:rsidRPr="00416268">
        <w:rPr>
          <w:rFonts w:ascii="Times New Roman" w:hAnsi="Times New Roman" w:cs="Times New Roman"/>
          <w:sz w:val="24"/>
          <w:szCs w:val="24"/>
        </w:rPr>
        <w:t>Furthermore</w:t>
      </w:r>
      <w:r w:rsidR="00675448" w:rsidRPr="00416268">
        <w:rPr>
          <w:rFonts w:ascii="Times New Roman" w:hAnsi="Times New Roman" w:cs="Times New Roman"/>
          <w:sz w:val="24"/>
          <w:szCs w:val="24"/>
        </w:rPr>
        <w:t xml:space="preserve">, </w:t>
      </w:r>
      <w:r w:rsidR="000D0F87" w:rsidRPr="00416268">
        <w:rPr>
          <w:rFonts w:ascii="Times New Roman" w:hAnsi="Times New Roman" w:cs="Times New Roman"/>
          <w:sz w:val="24"/>
          <w:szCs w:val="24"/>
        </w:rPr>
        <w:t xml:space="preserve">Barber et al. (2010) argue that the abnormal stock returns are the greatest </w:t>
      </w:r>
      <w:r w:rsidR="00675448" w:rsidRPr="00416268">
        <w:rPr>
          <w:rFonts w:ascii="Times New Roman" w:hAnsi="Times New Roman" w:cs="Times New Roman"/>
          <w:sz w:val="24"/>
          <w:szCs w:val="24"/>
        </w:rPr>
        <w:t xml:space="preserve">conditional on the ratings change to buy and strong buy recommendations than to holds, sells and strong sells. </w:t>
      </w:r>
      <w:r w:rsidR="000D0F87" w:rsidRPr="00416268">
        <w:rPr>
          <w:rFonts w:ascii="Times New Roman" w:hAnsi="Times New Roman" w:cs="Times New Roman"/>
          <w:sz w:val="24"/>
          <w:szCs w:val="24"/>
        </w:rPr>
        <w:t xml:space="preserve">Conditional on the ratings level, </w:t>
      </w:r>
      <w:r w:rsidR="00675448" w:rsidRPr="00416268">
        <w:rPr>
          <w:rFonts w:ascii="Times New Roman" w:hAnsi="Times New Roman" w:cs="Times New Roman"/>
          <w:sz w:val="24"/>
          <w:szCs w:val="24"/>
        </w:rPr>
        <w:t xml:space="preserve">they find </w:t>
      </w:r>
      <w:r w:rsidR="000D0F87" w:rsidRPr="00416268">
        <w:rPr>
          <w:rFonts w:ascii="Times New Roman" w:hAnsi="Times New Roman" w:cs="Times New Roman"/>
          <w:sz w:val="24"/>
          <w:szCs w:val="24"/>
        </w:rPr>
        <w:t>upgrades earn the highest returns and downgrades the lowest.</w:t>
      </w:r>
    </w:p>
    <w:p w14:paraId="76DCC112" w14:textId="139B2BA1" w:rsidR="00505464" w:rsidRPr="004D5393" w:rsidRDefault="004070DB" w:rsidP="00C658FF">
      <w:pPr>
        <w:spacing w:after="0" w:line="480" w:lineRule="auto"/>
        <w:contextualSpacing/>
        <w:jc w:val="both"/>
        <w:rPr>
          <w:rFonts w:ascii="Times New Roman" w:hAnsi="Times New Roman" w:cs="Times New Roman"/>
          <w:sz w:val="24"/>
          <w:szCs w:val="24"/>
        </w:rPr>
      </w:pPr>
      <w:r w:rsidRPr="00416268">
        <w:rPr>
          <w:rFonts w:ascii="Times New Roman" w:hAnsi="Times New Roman" w:cs="Times New Roman"/>
          <w:sz w:val="24"/>
          <w:szCs w:val="24"/>
        </w:rPr>
        <w:tab/>
      </w:r>
      <w:r w:rsidR="00505464" w:rsidRPr="004D5393">
        <w:rPr>
          <w:rFonts w:ascii="Times New Roman" w:hAnsi="Times New Roman" w:cs="Times New Roman"/>
          <w:sz w:val="24"/>
          <w:szCs w:val="24"/>
        </w:rPr>
        <w:t xml:space="preserve">Evidence of impact from stock recommendations outside the US market has also been established. Focusing on the United Kingdom, Ryan and </w:t>
      </w:r>
      <w:proofErr w:type="spellStart"/>
      <w:r w:rsidR="00505464" w:rsidRPr="004D5393">
        <w:rPr>
          <w:rFonts w:ascii="Times New Roman" w:hAnsi="Times New Roman" w:cs="Times New Roman"/>
          <w:sz w:val="24"/>
          <w:szCs w:val="24"/>
        </w:rPr>
        <w:t>Taffler</w:t>
      </w:r>
      <w:proofErr w:type="spellEnd"/>
      <w:r w:rsidR="00505464" w:rsidRPr="004D5393">
        <w:rPr>
          <w:rFonts w:ascii="Times New Roman" w:hAnsi="Times New Roman" w:cs="Times New Roman"/>
          <w:sz w:val="24"/>
          <w:szCs w:val="24"/>
        </w:rPr>
        <w:t xml:space="preserve"> (2006) find that the price reaction in the UK market was similar to that of the US market in which the price impact of new sell recommendations was greater than that of new buy recommendations (Barber et. al, 2007) but less susceptible to potential conflicts of interest than in the US. They find that the abnormal returns are associated with a firm’s information environment and analyst incentives. </w:t>
      </w:r>
    </w:p>
    <w:p w14:paraId="1B509B2C" w14:textId="692F87C4" w:rsidR="00505464" w:rsidRPr="004D5393" w:rsidRDefault="004070DB" w:rsidP="00C658FF">
      <w:pPr>
        <w:spacing w:after="0" w:line="480" w:lineRule="auto"/>
        <w:contextualSpacing/>
        <w:jc w:val="both"/>
        <w:rPr>
          <w:rFonts w:ascii="Times New Roman" w:hAnsi="Times New Roman" w:cs="Times New Roman"/>
          <w:sz w:val="24"/>
          <w:szCs w:val="24"/>
        </w:rPr>
      </w:pPr>
      <w:r w:rsidRPr="00416268">
        <w:rPr>
          <w:rFonts w:ascii="Times New Roman" w:hAnsi="Times New Roman" w:cs="Times New Roman"/>
          <w:sz w:val="24"/>
          <w:szCs w:val="24"/>
        </w:rPr>
        <w:tab/>
      </w:r>
      <w:r w:rsidR="00505464" w:rsidRPr="00416268">
        <w:rPr>
          <w:rFonts w:ascii="Times New Roman" w:hAnsi="Times New Roman" w:cs="Times New Roman"/>
          <w:sz w:val="24"/>
          <w:szCs w:val="24"/>
        </w:rPr>
        <w:t>Offering insights into an Asian country, Ang et al. (1998) evaluate the ability of four individual a</w:t>
      </w:r>
      <w:hyperlink r:id="rId9" w:history="1">
        <w:r w:rsidR="00505464" w:rsidRPr="00416268">
          <w:rPr>
            <w:rFonts w:ascii="Times New Roman" w:hAnsi="Times New Roman" w:cs="Times New Roman"/>
            <w:sz w:val="24"/>
            <w:szCs w:val="24"/>
          </w:rPr>
          <w:t>nonymous</w:t>
        </w:r>
      </w:hyperlink>
      <w:r w:rsidR="00505464" w:rsidRPr="00416268">
        <w:rPr>
          <w:rFonts w:ascii="Times New Roman" w:hAnsi="Times New Roman" w:cs="Times New Roman"/>
          <w:sz w:val="24"/>
          <w:szCs w:val="24"/>
        </w:rPr>
        <w:t xml:space="preserve"> brokerage houses in Singapore to make buy recommendations from 1990 to 1992.</w:t>
      </w:r>
      <w:r w:rsidRPr="00416268">
        <w:rPr>
          <w:rFonts w:ascii="Times New Roman" w:hAnsi="Times New Roman" w:cs="Times New Roman"/>
          <w:sz w:val="24"/>
          <w:szCs w:val="24"/>
        </w:rPr>
        <w:t xml:space="preserve"> </w:t>
      </w:r>
      <w:r w:rsidR="00A27337" w:rsidRPr="004D5393">
        <w:rPr>
          <w:rFonts w:ascii="Times New Roman" w:hAnsi="Times New Roman" w:cs="Times New Roman"/>
          <w:sz w:val="24"/>
          <w:szCs w:val="24"/>
        </w:rPr>
        <w:t>They find that o</w:t>
      </w:r>
      <w:r w:rsidR="00505464" w:rsidRPr="00416268">
        <w:rPr>
          <w:rFonts w:ascii="Times New Roman" w:hAnsi="Times New Roman" w:cs="Times New Roman"/>
          <w:sz w:val="24"/>
          <w:szCs w:val="24"/>
        </w:rPr>
        <w:t xml:space="preserve">ut of the four brokerage houses under research, only the buy recommendations of one firm had significant impact on the date of the recommendations. Surprisingly, by accounting for the effect of transactions costs, all positive abnormal returns </w:t>
      </w:r>
      <w:r w:rsidR="00505464" w:rsidRPr="00416268">
        <w:rPr>
          <w:rFonts w:ascii="Times New Roman" w:hAnsi="Times New Roman" w:cs="Times New Roman"/>
          <w:sz w:val="24"/>
          <w:szCs w:val="24"/>
        </w:rPr>
        <w:lastRenderedPageBreak/>
        <w:t xml:space="preserve">were eliminated; implying that investors can’t earn positive abnormal return in excess of transactions costs by following the brokerage analyst’s recommendations. </w:t>
      </w:r>
    </w:p>
    <w:p w14:paraId="2893F342" w14:textId="644B2948" w:rsidR="00343906" w:rsidRDefault="004F761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t>Chan and Fong (</w:t>
      </w:r>
      <w:r w:rsidR="00DE7E3B" w:rsidRPr="00416268">
        <w:rPr>
          <w:rFonts w:ascii="Times New Roman" w:hAnsi="Times New Roman" w:cs="Times New Roman"/>
          <w:sz w:val="24"/>
          <w:szCs w:val="24"/>
        </w:rPr>
        <w:t>1996</w:t>
      </w:r>
      <w:r w:rsidRPr="004D5393">
        <w:rPr>
          <w:rFonts w:ascii="Times New Roman" w:hAnsi="Times New Roman" w:cs="Times New Roman"/>
          <w:sz w:val="24"/>
          <w:szCs w:val="24"/>
        </w:rPr>
        <w:t xml:space="preserve">) focus on whether the publication of an individual investors’ sentiment survey in </w:t>
      </w:r>
      <w:r w:rsidR="002C764B" w:rsidRPr="00416268">
        <w:rPr>
          <w:rFonts w:ascii="Times New Roman" w:hAnsi="Times New Roman" w:cs="Times New Roman"/>
          <w:sz w:val="24"/>
          <w:szCs w:val="24"/>
        </w:rPr>
        <w:t>Securities Firms</w:t>
      </w:r>
      <w:r w:rsidR="00AB3D25" w:rsidRPr="00416268">
        <w:rPr>
          <w:rFonts w:ascii="Times New Roman" w:hAnsi="Times New Roman" w:cs="Times New Roman"/>
          <w:sz w:val="24"/>
          <w:szCs w:val="24"/>
        </w:rPr>
        <w:t>’</w:t>
      </w:r>
      <w:r w:rsidR="002C764B" w:rsidRPr="00416268">
        <w:rPr>
          <w:rFonts w:ascii="Times New Roman" w:hAnsi="Times New Roman" w:cs="Times New Roman"/>
          <w:sz w:val="24"/>
          <w:szCs w:val="24"/>
        </w:rPr>
        <w:t xml:space="preserve"> Investment Analysis column (SFIA) of the Hong Kong Economic Journal (HKEJ) newspaper </w:t>
      </w:r>
      <w:r w:rsidRPr="004D5393">
        <w:rPr>
          <w:rFonts w:ascii="Times New Roman" w:hAnsi="Times New Roman" w:cs="Times New Roman"/>
          <w:sz w:val="24"/>
          <w:szCs w:val="24"/>
        </w:rPr>
        <w:t>temporarily affects stock returns in the Hong Kong stock market.</w:t>
      </w:r>
      <w:r w:rsidR="002C764B" w:rsidRPr="004D5393">
        <w:rPr>
          <w:rFonts w:ascii="Times New Roman" w:hAnsi="Times New Roman" w:cs="Times New Roman"/>
          <w:sz w:val="24"/>
          <w:szCs w:val="24"/>
        </w:rPr>
        <w:t xml:space="preserve"> They suggest that the reporting of the recommendations in </w:t>
      </w:r>
      <w:r w:rsidR="002C764B" w:rsidRPr="00416268">
        <w:rPr>
          <w:rFonts w:ascii="Times New Roman" w:hAnsi="Times New Roman" w:cs="Times New Roman"/>
          <w:sz w:val="24"/>
          <w:szCs w:val="24"/>
        </w:rPr>
        <w:t>SFIA</w:t>
      </w:r>
      <w:r w:rsidR="002C764B" w:rsidRPr="004D5393">
        <w:rPr>
          <w:rFonts w:ascii="Times New Roman" w:hAnsi="Times New Roman" w:cs="Times New Roman"/>
          <w:sz w:val="24"/>
          <w:szCs w:val="24"/>
        </w:rPr>
        <w:t xml:space="preserve"> does induce trading, and there is also a heavy trading in the day just before the publication of </w:t>
      </w:r>
      <w:r w:rsidR="002C764B" w:rsidRPr="00416268">
        <w:rPr>
          <w:rFonts w:ascii="Times New Roman" w:hAnsi="Times New Roman" w:cs="Times New Roman"/>
          <w:sz w:val="24"/>
          <w:szCs w:val="24"/>
        </w:rPr>
        <w:t>SFIA</w:t>
      </w:r>
      <w:r w:rsidR="002C764B" w:rsidRPr="004D5393">
        <w:rPr>
          <w:rFonts w:ascii="Times New Roman" w:hAnsi="Times New Roman" w:cs="Times New Roman"/>
          <w:sz w:val="24"/>
          <w:szCs w:val="24"/>
        </w:rPr>
        <w:t>.</w:t>
      </w:r>
      <w:r w:rsidR="004A5AE5" w:rsidRPr="00416268">
        <w:rPr>
          <w:rFonts w:ascii="Times New Roman" w:hAnsi="Times New Roman" w:cs="Times New Roman"/>
          <w:sz w:val="24"/>
          <w:szCs w:val="24"/>
        </w:rPr>
        <w:t xml:space="preserve"> </w:t>
      </w:r>
      <w:r w:rsidR="00AB3D25" w:rsidRPr="00416268">
        <w:rPr>
          <w:rFonts w:ascii="Times New Roman" w:hAnsi="Times New Roman" w:cs="Times New Roman"/>
          <w:sz w:val="24"/>
          <w:szCs w:val="24"/>
        </w:rPr>
        <w:t xml:space="preserve">However, their study </w:t>
      </w:r>
      <w:r w:rsidR="00AB3D25" w:rsidRPr="004D5393">
        <w:rPr>
          <w:rFonts w:ascii="Times New Roman" w:hAnsi="Times New Roman" w:cs="Times New Roman"/>
          <w:sz w:val="24"/>
          <w:szCs w:val="24"/>
        </w:rPr>
        <w:t>only focuses on the predictive ability for stock returns</w:t>
      </w:r>
      <w:r w:rsidR="00AB3D25" w:rsidRPr="00416268">
        <w:rPr>
          <w:rFonts w:ascii="Times New Roman" w:hAnsi="Times New Roman" w:cs="Times New Roman"/>
          <w:sz w:val="24"/>
          <w:szCs w:val="24"/>
        </w:rPr>
        <w:t xml:space="preserve">. Later, Chan and Fong (2004) investigate how stock prices are temporarily affected by </w:t>
      </w:r>
      <w:r w:rsidR="00F24575" w:rsidRPr="00416268">
        <w:rPr>
          <w:rFonts w:ascii="Times New Roman" w:hAnsi="Times New Roman" w:cs="Times New Roman"/>
          <w:sz w:val="24"/>
          <w:szCs w:val="24"/>
        </w:rPr>
        <w:t xml:space="preserve">SFIA. They find that the publication does not really predict the coming week’s return on large, medium, or small stocks while the daily closing prices for medium and small stocks are affected but not the large stocks. </w:t>
      </w:r>
      <w:r w:rsidR="004A5AE5" w:rsidRPr="00416268">
        <w:rPr>
          <w:rFonts w:ascii="Times New Roman" w:hAnsi="Times New Roman" w:cs="Times New Roman"/>
          <w:sz w:val="24"/>
          <w:szCs w:val="24"/>
        </w:rPr>
        <w:t>However, the SFIA publishes only the second-hand analysts’ recommendations not the first-hand ones</w:t>
      </w:r>
      <w:r w:rsidR="00EA214E" w:rsidRPr="00416268">
        <w:rPr>
          <w:rFonts w:ascii="Times New Roman" w:hAnsi="Times New Roman" w:cs="Times New Roman"/>
          <w:sz w:val="24"/>
          <w:szCs w:val="24"/>
        </w:rPr>
        <w:t xml:space="preserve"> which are usually provided to securities firms’ clients.</w:t>
      </w:r>
      <w:r w:rsidR="0061097A" w:rsidRPr="00416268">
        <w:rPr>
          <w:rFonts w:ascii="Times New Roman" w:hAnsi="Times New Roman" w:cs="Times New Roman"/>
          <w:sz w:val="24"/>
          <w:szCs w:val="24"/>
        </w:rPr>
        <w:t xml:space="preserve"> Our paper uses the J.P. Morgan Hong Kong Investor Confidence Index, a quarterly investors’ </w:t>
      </w:r>
      <w:r w:rsidR="006E011E" w:rsidRPr="00416268">
        <w:rPr>
          <w:rFonts w:ascii="Times New Roman" w:hAnsi="Times New Roman" w:cs="Times New Roman"/>
          <w:sz w:val="24"/>
          <w:szCs w:val="24"/>
        </w:rPr>
        <w:t xml:space="preserve">sentiment index, </w:t>
      </w:r>
      <w:r w:rsidR="00504D84" w:rsidRPr="004D5393">
        <w:rPr>
          <w:rFonts w:ascii="Times New Roman" w:hAnsi="Times New Roman" w:cs="Times New Roman"/>
          <w:sz w:val="24"/>
          <w:szCs w:val="24"/>
        </w:rPr>
        <w:t xml:space="preserve">and use the top 26 major stocks listed in the Hang Seng index </w:t>
      </w:r>
      <w:r w:rsidR="006E011E" w:rsidRPr="00416268">
        <w:rPr>
          <w:rFonts w:ascii="Times New Roman" w:hAnsi="Times New Roman" w:cs="Times New Roman"/>
          <w:sz w:val="24"/>
          <w:szCs w:val="24"/>
        </w:rPr>
        <w:t>to analyze the impact of analysts’ recommendations on the Hong Kong stock market</w:t>
      </w:r>
      <w:r w:rsidR="00EF30D8" w:rsidRPr="00416268">
        <w:rPr>
          <w:rFonts w:ascii="Times New Roman" w:hAnsi="Times New Roman" w:cs="Times New Roman"/>
          <w:sz w:val="24"/>
          <w:szCs w:val="24"/>
        </w:rPr>
        <w:t>. We then investigate the investors’ reactions to analysts’ recommendations based on investment sentiment with conditional probability applications and consider the effect of look−ahead bias.</w:t>
      </w:r>
      <w:r w:rsidR="00504D84" w:rsidRPr="00416268">
        <w:rPr>
          <w:rFonts w:ascii="Times New Roman" w:hAnsi="Times New Roman" w:cs="Times New Roman"/>
          <w:sz w:val="24"/>
          <w:szCs w:val="24"/>
        </w:rPr>
        <w:t xml:space="preserve"> </w:t>
      </w:r>
    </w:p>
    <w:p w14:paraId="24A68337" w14:textId="77777777" w:rsidR="00323A45" w:rsidRPr="004D5393" w:rsidRDefault="00323A45" w:rsidP="00C658FF">
      <w:pPr>
        <w:spacing w:after="0" w:line="480" w:lineRule="auto"/>
        <w:contextualSpacing/>
        <w:jc w:val="both"/>
        <w:rPr>
          <w:b/>
        </w:rPr>
      </w:pPr>
      <w:r>
        <w:rPr>
          <w:rFonts w:ascii="Times New Roman" w:hAnsi="Times New Roman" w:cs="Times New Roman"/>
          <w:b/>
          <w:sz w:val="24"/>
          <w:szCs w:val="24"/>
        </w:rPr>
        <w:t xml:space="preserve">3. </w:t>
      </w:r>
      <w:r w:rsidRPr="004D5393">
        <w:rPr>
          <w:rFonts w:ascii="Times New Roman" w:hAnsi="Times New Roman" w:cs="Times New Roman"/>
          <w:b/>
          <w:sz w:val="24"/>
          <w:szCs w:val="24"/>
        </w:rPr>
        <w:t xml:space="preserve">Methodology </w:t>
      </w:r>
    </w:p>
    <w:p w14:paraId="23049978" w14:textId="7C6E0A2E" w:rsidR="00323A45" w:rsidRDefault="00323A45"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t xml:space="preserve">In order to analyze the performance of stock recommendations, we measure the abnormal return of the stocks linked to the release of recommendation upgrades or downgrades initiations (see Liu et al., 1990). The abnormal return for security </w:t>
      </w:r>
      <w:r w:rsidRPr="004D5393">
        <w:rPr>
          <w:rFonts w:ascii="Times New Roman" w:hAnsi="Times New Roman" w:cs="Times New Roman"/>
          <w:i/>
          <w:sz w:val="24"/>
          <w:szCs w:val="24"/>
        </w:rPr>
        <w:t>i</w:t>
      </w:r>
      <w:r w:rsidRPr="004D5393">
        <w:rPr>
          <w:rFonts w:ascii="Times New Roman" w:hAnsi="Times New Roman" w:cs="Times New Roman"/>
          <w:sz w:val="24"/>
          <w:szCs w:val="24"/>
        </w:rPr>
        <w:t xml:space="preserve"> on event day </w:t>
      </w:r>
      <w:r w:rsidRPr="004D5393">
        <w:rPr>
          <w:rFonts w:ascii="Times New Roman" w:hAnsi="Times New Roman" w:cs="Times New Roman"/>
          <w:i/>
          <w:sz w:val="24"/>
          <w:szCs w:val="24"/>
        </w:rPr>
        <w:t>t</w:t>
      </w:r>
      <w:r w:rsidRPr="004D5393">
        <w:rPr>
          <w:rFonts w:ascii="Times New Roman" w:hAnsi="Times New Roman" w:cs="Times New Roman"/>
          <w:sz w:val="24"/>
          <w:szCs w:val="24"/>
        </w:rPr>
        <w:t xml:space="preserve"> is defined as:</w:t>
      </w:r>
    </w:p>
    <w:p w14:paraId="028044D3" w14:textId="77777777" w:rsidR="00323A45" w:rsidRPr="004D5393" w:rsidRDefault="00323A45" w:rsidP="00C658FF">
      <w:pPr>
        <w:spacing w:after="0" w:line="480" w:lineRule="auto"/>
        <w:contextualSpacing/>
        <w:jc w:val="both"/>
        <w:rPr>
          <w:rFonts w:ascii="Times New Roman" w:hAnsi="Times New Roman" w:cs="Times New Roman"/>
          <w:sz w:val="24"/>
          <w:szCs w:val="24"/>
        </w:rPr>
      </w:pPr>
      <w:r w:rsidRPr="004D53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α</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r>
          <w:rPr>
            <w:rFonts w:ascii="Cambria Math" w:hAnsi="Cambria Math" w:cs="Times New Roman" w:hint="eastAsia"/>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oMath>
      <w:r w:rsidRPr="004D5393">
        <w:rPr>
          <w:rFonts w:ascii="Times New Roman" w:hAnsi="Times New Roman" w:cs="Times New Roman"/>
          <w:sz w:val="24"/>
          <w:szCs w:val="24"/>
        </w:rPr>
        <w:t xml:space="preserve">                                                      (1)</w:t>
      </w:r>
      <w:r w:rsidRPr="004D5393">
        <w:rPr>
          <w:rFonts w:ascii="Times New Roman" w:hAnsi="Times New Roman" w:cs="Times New Roman" w:hint="eastAsia"/>
          <w:sz w:val="24"/>
          <w:szCs w:val="24"/>
        </w:rPr>
        <w:t xml:space="preserve">　　　　　　　　　　</w:t>
      </w:r>
    </w:p>
    <w:p w14:paraId="0DDCF6EC" w14:textId="5C8841F0" w:rsidR="00323A45" w:rsidRPr="004D5393" w:rsidRDefault="00323A45" w:rsidP="00C658FF">
      <w:pPr>
        <w:spacing w:after="0" w:line="480" w:lineRule="auto"/>
        <w:contextualSpacing/>
        <w:jc w:val="both"/>
        <w:rPr>
          <w:rFonts w:ascii="Times New Roman" w:hAnsi="Times New Roman" w:cs="Times New Roman"/>
          <w:sz w:val="24"/>
          <w:szCs w:val="24"/>
        </w:rPr>
      </w:pPr>
      <w:r w:rsidRPr="004D5393">
        <w:rPr>
          <w:rFonts w:ascii="Times New Roman" w:hAnsi="Times New Roman" w:cs="Times New Roman"/>
          <w:sz w:val="24"/>
          <w:szCs w:val="24"/>
        </w:rPr>
        <w:lastRenderedPageBreak/>
        <w:t xml:space="preserve">where </w:t>
      </w:r>
      <w:proofErr w:type="spellStart"/>
      <w:r w:rsidRPr="004D5393">
        <w:rPr>
          <w:rFonts w:ascii="Times New Roman" w:hAnsi="Times New Roman" w:cs="Times New Roman"/>
          <w:i/>
          <w:sz w:val="24"/>
          <w:szCs w:val="24"/>
        </w:rPr>
        <w:t>R</w:t>
      </w:r>
      <w:r w:rsidRPr="004D5393">
        <w:rPr>
          <w:rFonts w:ascii="Times New Roman" w:hAnsi="Times New Roman" w:cs="Times New Roman"/>
          <w:i/>
          <w:sz w:val="24"/>
          <w:szCs w:val="24"/>
          <w:vertAlign w:val="subscript"/>
        </w:rPr>
        <w:t>i</w:t>
      </w:r>
      <w:r>
        <w:rPr>
          <w:rFonts w:ascii="Times New Roman" w:hAnsi="Times New Roman" w:cs="Times New Roman"/>
          <w:i/>
          <w:sz w:val="24"/>
          <w:szCs w:val="24"/>
          <w:vertAlign w:val="subscript"/>
        </w:rPr>
        <w:t>,</w:t>
      </w:r>
      <w:r w:rsidRPr="004D5393">
        <w:rPr>
          <w:rFonts w:ascii="Times New Roman" w:hAnsi="Times New Roman" w:cs="Times New Roman"/>
          <w:i/>
          <w:sz w:val="24"/>
          <w:szCs w:val="24"/>
          <w:vertAlign w:val="subscript"/>
        </w:rPr>
        <w:t>t</w:t>
      </w:r>
      <w:proofErr w:type="spellEnd"/>
      <w:r w:rsidRPr="004D5393">
        <w:rPr>
          <w:rFonts w:ascii="Times New Roman" w:hAnsi="Times New Roman" w:cs="Times New Roman"/>
          <w:sz w:val="24"/>
          <w:szCs w:val="24"/>
        </w:rPr>
        <w:t xml:space="preserve"> is the daily total return (including dividends) of security </w:t>
      </w:r>
      <w:r w:rsidRPr="004D5393">
        <w:rPr>
          <w:rFonts w:ascii="Times New Roman" w:hAnsi="Times New Roman" w:cs="Times New Roman"/>
          <w:i/>
          <w:sz w:val="24"/>
          <w:szCs w:val="24"/>
        </w:rPr>
        <w:t xml:space="preserve">i </w:t>
      </w:r>
      <w:r w:rsidRPr="004D5393">
        <w:rPr>
          <w:rFonts w:ascii="Times New Roman" w:hAnsi="Times New Roman" w:cs="Times New Roman"/>
          <w:sz w:val="24"/>
          <w:szCs w:val="24"/>
        </w:rPr>
        <w:t xml:space="preserve">for day </w:t>
      </w:r>
      <w:r w:rsidRPr="004D5393">
        <w:rPr>
          <w:rFonts w:ascii="Times New Roman" w:hAnsi="Times New Roman" w:cs="Times New Roman"/>
          <w:i/>
          <w:sz w:val="24"/>
          <w:szCs w:val="24"/>
        </w:rPr>
        <w:t>t</w:t>
      </w:r>
      <w:r w:rsidRPr="004D5393">
        <w:rPr>
          <w:rFonts w:ascii="Times New Roman" w:hAnsi="Times New Roman" w:cs="Times New Roman"/>
          <w:sz w:val="24"/>
          <w:szCs w:val="24"/>
        </w:rPr>
        <w:t xml:space="preserve"> and </w:t>
      </w:r>
      <w:proofErr w:type="spellStart"/>
      <w:r w:rsidRPr="004D5393">
        <w:rPr>
          <w:rFonts w:ascii="Times New Roman" w:hAnsi="Times New Roman" w:cs="Times New Roman"/>
          <w:i/>
          <w:sz w:val="24"/>
          <w:szCs w:val="24"/>
        </w:rPr>
        <w:t>R</w:t>
      </w:r>
      <w:r w:rsidRPr="004D5393">
        <w:rPr>
          <w:rFonts w:ascii="Times New Roman" w:hAnsi="Times New Roman" w:cs="Times New Roman"/>
          <w:i/>
          <w:sz w:val="24"/>
          <w:szCs w:val="24"/>
          <w:vertAlign w:val="subscript"/>
        </w:rPr>
        <w:t>m</w:t>
      </w:r>
      <w:r>
        <w:rPr>
          <w:rFonts w:ascii="Times New Roman" w:hAnsi="Times New Roman" w:cs="Times New Roman"/>
          <w:i/>
          <w:sz w:val="24"/>
          <w:szCs w:val="24"/>
          <w:vertAlign w:val="subscript"/>
        </w:rPr>
        <w:t>,</w:t>
      </w:r>
      <w:r w:rsidRPr="004D5393">
        <w:rPr>
          <w:rFonts w:ascii="Times New Roman" w:hAnsi="Times New Roman" w:cs="Times New Roman"/>
          <w:i/>
          <w:sz w:val="24"/>
          <w:szCs w:val="24"/>
          <w:vertAlign w:val="subscript"/>
        </w:rPr>
        <w:t>t</w:t>
      </w:r>
      <w:proofErr w:type="spellEnd"/>
      <w:r w:rsidRPr="004D5393">
        <w:rPr>
          <w:rFonts w:ascii="Times New Roman" w:hAnsi="Times New Roman" w:cs="Times New Roman"/>
          <w:sz w:val="24"/>
          <w:szCs w:val="24"/>
        </w:rPr>
        <w:t xml:space="preserve"> is the daily total return (including dividends) of the benchmark index in the Hong Kong market: the Hang Seng index.</w:t>
      </w:r>
    </w:p>
    <w:p w14:paraId="70F96BEA" w14:textId="100DB5E5" w:rsidR="00323A45" w:rsidRPr="004D5393" w:rsidRDefault="00323A45" w:rsidP="00C658FF">
      <w:pPr>
        <w:spacing w:after="0" w:line="480" w:lineRule="auto"/>
        <w:contextualSpacing/>
        <w:jc w:val="both"/>
        <w:rPr>
          <w:rFonts w:ascii="Times New Roman" w:hAnsi="Times New Roman" w:cs="Times New Roman"/>
          <w:sz w:val="24"/>
          <w:szCs w:val="24"/>
        </w:rPr>
      </w:pPr>
      <w:r w:rsidRPr="00416268">
        <w:rPr>
          <w:rFonts w:ascii="Times New Roman" w:hAnsi="Times New Roman" w:cs="Times New Roman"/>
          <w:sz w:val="24"/>
          <w:szCs w:val="24"/>
        </w:rPr>
        <w:tab/>
      </w:r>
      <w:r w:rsidRPr="004D5393">
        <w:rPr>
          <w:rFonts w:ascii="Times New Roman" w:hAnsi="Times New Roman" w:cs="Times New Roman"/>
          <w:sz w:val="24"/>
          <w:szCs w:val="24"/>
        </w:rPr>
        <w:t xml:space="preserve">In addition, the normal return of security </w:t>
      </w:r>
      <w:r w:rsidRPr="004D5393">
        <w:rPr>
          <w:rFonts w:ascii="Times New Roman" w:hAnsi="Times New Roman" w:cs="Times New Roman"/>
          <w:i/>
          <w:sz w:val="24"/>
          <w:szCs w:val="24"/>
        </w:rPr>
        <w:t>i</w:t>
      </w:r>
      <w:r w:rsidRPr="004D5393">
        <w:rPr>
          <w:rFonts w:ascii="Times New Roman" w:hAnsi="Times New Roman" w:cs="Times New Roman"/>
          <w:sz w:val="24"/>
          <w:szCs w:val="24"/>
        </w:rPr>
        <w:t xml:space="preserve"> is calculated, while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α</m:t>
                </m:r>
              </m:e>
            </m:acc>
          </m:e>
          <m:sub>
            <m:r>
              <w:rPr>
                <w:rFonts w:ascii="Cambria Math" w:hAnsi="Cambria Math" w:cs="Times New Roman"/>
                <w:sz w:val="24"/>
                <w:szCs w:val="24"/>
              </w:rPr>
              <m:t>i</m:t>
            </m:r>
          </m:sub>
        </m:sSub>
      </m:oMath>
      <w:r w:rsidRPr="004D5393">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oMath>
      <w:r w:rsidRPr="004D5393">
        <w:rPr>
          <w:rFonts w:ascii="Times New Roman" w:hAnsi="Times New Roman" w:cs="Times New Roman"/>
          <w:sz w:val="24"/>
          <w:szCs w:val="24"/>
        </w:rPr>
        <w:t xml:space="preserve"> are the ordinary least square (OLS) estimates for the model parameters of security </w:t>
      </w:r>
      <w:r w:rsidRPr="004D5393">
        <w:rPr>
          <w:rFonts w:ascii="Times New Roman" w:hAnsi="Times New Roman" w:cs="Times New Roman"/>
          <w:i/>
          <w:sz w:val="24"/>
          <w:szCs w:val="24"/>
        </w:rPr>
        <w:t>i</w:t>
      </w:r>
      <w:r w:rsidRPr="004D5393">
        <w:rPr>
          <w:rFonts w:ascii="Times New Roman" w:hAnsi="Times New Roman" w:cs="Times New Roman"/>
          <w:sz w:val="24"/>
          <w:szCs w:val="24"/>
        </w:rPr>
        <w:t xml:space="preserve"> obtained by regressing the total return of security </w:t>
      </w:r>
      <w:r w:rsidRPr="004D5393">
        <w:rPr>
          <w:rFonts w:ascii="Times New Roman" w:hAnsi="Times New Roman" w:cs="Times New Roman"/>
          <w:i/>
          <w:sz w:val="24"/>
          <w:szCs w:val="24"/>
        </w:rPr>
        <w:t>i</w:t>
      </w:r>
      <w:r w:rsidRPr="004D5393">
        <w:rPr>
          <w:rFonts w:ascii="Times New Roman" w:hAnsi="Times New Roman" w:cs="Times New Roman"/>
          <w:sz w:val="24"/>
          <w:szCs w:val="24"/>
        </w:rPr>
        <w:t xml:space="preserve"> against the total return of the index. Moreover, the market model is estimated over the observations for 100 days</w:t>
      </w:r>
      <w:r w:rsidR="00BA3421">
        <w:rPr>
          <w:rStyle w:val="FootnoteReference"/>
          <w:rFonts w:ascii="Times New Roman" w:hAnsi="Times New Roman" w:cs="Times New Roman"/>
          <w:sz w:val="24"/>
          <w:szCs w:val="24"/>
        </w:rPr>
        <w:footnoteReference w:id="2"/>
      </w:r>
      <w:r w:rsidRPr="004D5393">
        <w:rPr>
          <w:rFonts w:ascii="Times New Roman" w:hAnsi="Times New Roman" w:cs="Times New Roman"/>
          <w:sz w:val="24"/>
          <w:szCs w:val="24"/>
        </w:rPr>
        <w:t xml:space="preserve">, while </w:t>
      </w:r>
      <w:r w:rsidRPr="004D5393">
        <w:rPr>
          <w:rFonts w:ascii="Times New Roman" w:hAnsi="Times New Roman" w:cs="Times New Roman"/>
          <w:i/>
          <w:sz w:val="24"/>
          <w:szCs w:val="24"/>
        </w:rPr>
        <w:t>t=</w:t>
      </w:r>
      <w:r w:rsidRPr="004D5393">
        <w:rPr>
          <w:rFonts w:ascii="Times New Roman" w:hAnsi="Times New Roman" w:cs="Times New Roman"/>
          <w:sz w:val="24"/>
          <w:szCs w:val="24"/>
        </w:rPr>
        <w:t xml:space="preserve">0 is the release of the stock recommendation upgrades or downgrades initiations obtained from Bloomberg.   Since the abnormal return of each security is defined, the average daily abnormal return of each day </w:t>
      </w:r>
      <w:r w:rsidRPr="004D5393">
        <w:rPr>
          <w:rFonts w:ascii="Times New Roman" w:hAnsi="Times New Roman" w:cs="Times New Roman"/>
          <w:i/>
          <w:sz w:val="24"/>
          <w:szCs w:val="24"/>
        </w:rPr>
        <w:t xml:space="preserve">t </w:t>
      </w:r>
      <w:r w:rsidRPr="004D5393">
        <w:rPr>
          <w:rFonts w:ascii="Times New Roman" w:hAnsi="Times New Roman" w:cs="Times New Roman"/>
          <w:sz w:val="24"/>
          <w:szCs w:val="24"/>
        </w:rPr>
        <w:t xml:space="preserve">within the event window, </w:t>
      </w:r>
      <w:proofErr w:type="spellStart"/>
      <w:r w:rsidRPr="004D5393">
        <w:rPr>
          <w:rFonts w:ascii="Times New Roman" w:hAnsi="Times New Roman" w:cs="Times New Roman"/>
          <w:i/>
          <w:sz w:val="24"/>
          <w:szCs w:val="24"/>
        </w:rPr>
        <w:t>AAR</w:t>
      </w:r>
      <w:r w:rsidRPr="004D5393">
        <w:rPr>
          <w:rFonts w:ascii="Times New Roman" w:hAnsi="Times New Roman" w:cs="Times New Roman"/>
          <w:i/>
          <w:sz w:val="24"/>
          <w:szCs w:val="24"/>
          <w:vertAlign w:val="subscript"/>
        </w:rPr>
        <w:t>t</w:t>
      </w:r>
      <w:proofErr w:type="spellEnd"/>
      <w:r w:rsidRPr="004D5393">
        <w:rPr>
          <w:rFonts w:ascii="Times New Roman" w:hAnsi="Times New Roman" w:cs="Times New Roman"/>
          <w:i/>
          <w:sz w:val="24"/>
          <w:szCs w:val="24"/>
        </w:rPr>
        <w:t>,</w:t>
      </w:r>
      <w:r w:rsidRPr="004D5393">
        <w:rPr>
          <w:rFonts w:ascii="Times New Roman" w:hAnsi="Times New Roman" w:cs="Times New Roman"/>
          <w:sz w:val="24"/>
          <w:szCs w:val="24"/>
        </w:rPr>
        <w:t xml:space="preserve"> is calculated as: </w:t>
      </w:r>
    </w:p>
    <w:p w14:paraId="2BADD8FC" w14:textId="77777777" w:rsidR="00323A45" w:rsidRPr="004D5393" w:rsidRDefault="00323A45" w:rsidP="00C658FF">
      <w:pPr>
        <w:spacing w:after="0" w:line="480" w:lineRule="auto"/>
        <w:contextualSpacing/>
        <w:jc w:val="both"/>
      </w:pPr>
      <w:r w:rsidRPr="004D53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d>
              </m:e>
            </m:nary>
          </m:num>
          <m:den>
            <m:r>
              <w:rPr>
                <w:rFonts w:ascii="Cambria Math" w:hAnsi="Cambria Math" w:cs="Times New Roman"/>
                <w:sz w:val="24"/>
                <w:szCs w:val="24"/>
              </w:rPr>
              <m:t>N</m:t>
            </m:r>
          </m:den>
        </m:f>
      </m:oMath>
      <w:r w:rsidRPr="004D5393">
        <w:rPr>
          <w:rFonts w:ascii="Times New Roman" w:hAnsi="Times New Roman" w:cs="Times New Roman"/>
          <w:sz w:val="24"/>
          <w:szCs w:val="24"/>
        </w:rPr>
        <w:t xml:space="preserve">                                                            (2)</w:t>
      </w:r>
    </w:p>
    <w:p w14:paraId="476A0174" w14:textId="77777777" w:rsidR="00323A45" w:rsidRPr="004D5393" w:rsidRDefault="00323A45" w:rsidP="00C658FF">
      <w:pPr>
        <w:spacing w:after="0" w:line="480" w:lineRule="auto"/>
        <w:contextualSpacing/>
        <w:jc w:val="both"/>
      </w:pPr>
      <w:r w:rsidRPr="004D5393">
        <w:rPr>
          <w:rFonts w:ascii="Times New Roman" w:hAnsi="Times New Roman" w:cs="Times New Roman"/>
          <w:sz w:val="24"/>
          <w:szCs w:val="24"/>
        </w:rPr>
        <w:t xml:space="preserve">                                              where </w:t>
      </w:r>
      <w:r w:rsidRPr="004D5393">
        <w:rPr>
          <w:rFonts w:ascii="Times New Roman" w:hAnsi="Times New Roman" w:cs="Times New Roman"/>
          <w:i/>
          <w:sz w:val="24"/>
          <w:szCs w:val="24"/>
        </w:rPr>
        <w:t xml:space="preserve">t </w:t>
      </w:r>
      <w:r w:rsidRPr="004D5393">
        <w:rPr>
          <w:rFonts w:ascii="Times New Roman" w:hAnsi="Times New Roman" w:cs="Times New Roman"/>
          <w:sz w:val="24"/>
          <w:szCs w:val="24"/>
        </w:rPr>
        <w:t>= −</w:t>
      </w:r>
      <w:r>
        <w:rPr>
          <w:rFonts w:ascii="Times New Roman" w:hAnsi="Times New Roman" w:cs="Times New Roman"/>
          <w:sz w:val="24"/>
          <w:szCs w:val="24"/>
        </w:rPr>
        <w:t>5</w:t>
      </w:r>
      <w:r w:rsidRPr="004D5393">
        <w:rPr>
          <w:rFonts w:ascii="Times New Roman" w:hAnsi="Times New Roman" w:cs="Times New Roman"/>
          <w:sz w:val="24"/>
          <w:szCs w:val="24"/>
        </w:rPr>
        <w:t>, −</w:t>
      </w:r>
      <w:r>
        <w:rPr>
          <w:rFonts w:ascii="Times New Roman" w:hAnsi="Times New Roman" w:cs="Times New Roman"/>
          <w:sz w:val="24"/>
          <w:szCs w:val="24"/>
        </w:rPr>
        <w:t>4</w:t>
      </w:r>
      <w:r w:rsidRPr="004D5393">
        <w:rPr>
          <w:rFonts w:ascii="Times New Roman" w:hAnsi="Times New Roman" w:cs="Times New Roman"/>
          <w:sz w:val="24"/>
          <w:szCs w:val="24"/>
        </w:rPr>
        <w:t>, −</w:t>
      </w:r>
      <w:r>
        <w:rPr>
          <w:rFonts w:ascii="Times New Roman" w:hAnsi="Times New Roman" w:cs="Times New Roman"/>
          <w:sz w:val="24"/>
          <w:szCs w:val="24"/>
        </w:rPr>
        <w:t>3</w:t>
      </w:r>
      <w:r w:rsidRPr="004D5393">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4D5393">
        <w:rPr>
          <w:rFonts w:ascii="Times New Roman" w:hAnsi="Times New Roman" w:cs="Times New Roman"/>
          <w:sz w:val="24"/>
          <w:szCs w:val="24"/>
        </w:rPr>
        <w:t>, 0,</w:t>
      </w:r>
      <m:oMath>
        <m:r>
          <m:rPr>
            <m:sty m:val="p"/>
          </m:rPr>
          <w:rPr>
            <w:rFonts w:ascii="Cambria Math" w:hAnsi="Cambria Math" w:cs="Times New Roman"/>
            <w:sz w:val="24"/>
            <w:szCs w:val="24"/>
          </w:rPr>
          <m:t xml:space="preserve"> ⋯ </m:t>
        </m:r>
      </m:oMath>
      <w:r w:rsidRPr="004D5393">
        <w:rPr>
          <w:rFonts w:ascii="Times New Roman" w:hAnsi="Times New Roman" w:cs="Times New Roman"/>
          <w:sz w:val="24"/>
          <w:szCs w:val="24"/>
        </w:rPr>
        <w:t xml:space="preserve">8, 9, 10   </w:t>
      </w:r>
    </w:p>
    <w:p w14:paraId="48C6AB0A" w14:textId="29D2B06D" w:rsidR="00323A45" w:rsidRPr="004D5393" w:rsidRDefault="00323A45" w:rsidP="00C658FF">
      <w:pPr>
        <w:spacing w:after="0" w:line="480" w:lineRule="auto"/>
        <w:contextualSpacing/>
        <w:jc w:val="both"/>
      </w:pPr>
      <w:r w:rsidRPr="004D5393">
        <w:rPr>
          <w:rFonts w:ascii="Times New Roman" w:hAnsi="Times New Roman" w:cs="Times New Roman"/>
          <w:sz w:val="24"/>
          <w:szCs w:val="24"/>
        </w:rPr>
        <w:t xml:space="preserve">The average cumulative daily abnormal return between </w:t>
      </w:r>
      <w:r w:rsidRPr="004D5393">
        <w:rPr>
          <w:rFonts w:ascii="Times New Roman" w:hAnsi="Times New Roman" w:cs="Times New Roman"/>
          <w:i/>
          <w:sz w:val="24"/>
          <w:szCs w:val="24"/>
        </w:rPr>
        <w:t>t</w:t>
      </w:r>
      <w:r w:rsidRPr="004D5393">
        <w:rPr>
          <w:rFonts w:ascii="Times New Roman" w:hAnsi="Times New Roman" w:cs="Times New Roman"/>
          <w:sz w:val="24"/>
          <w:szCs w:val="24"/>
        </w:rPr>
        <w:t>=</w:t>
      </w:r>
      <w:r w:rsidRPr="004D5393">
        <w:rPr>
          <w:rFonts w:ascii="Times New Roman" w:hAnsi="Times New Roman" w:cs="Times New Roman"/>
          <w:i/>
          <w:sz w:val="24"/>
          <w:szCs w:val="24"/>
        </w:rPr>
        <w:t>t</w:t>
      </w:r>
      <w:r w:rsidRPr="004D5393">
        <w:rPr>
          <w:rFonts w:ascii="Times New Roman" w:hAnsi="Times New Roman" w:cs="Times New Roman"/>
          <w:i/>
          <w:sz w:val="24"/>
          <w:szCs w:val="24"/>
          <w:vertAlign w:val="subscript"/>
        </w:rPr>
        <w:t>1</w:t>
      </w:r>
      <w:r w:rsidRPr="004D5393">
        <w:rPr>
          <w:rFonts w:ascii="Times New Roman" w:hAnsi="Times New Roman" w:cs="Times New Roman"/>
          <w:sz w:val="24"/>
          <w:szCs w:val="24"/>
          <w:vertAlign w:val="subscript"/>
        </w:rPr>
        <w:t xml:space="preserve"> </w:t>
      </w:r>
      <w:r w:rsidRPr="004D5393">
        <w:rPr>
          <w:rFonts w:ascii="Times New Roman" w:hAnsi="Times New Roman" w:cs="Times New Roman"/>
          <w:sz w:val="24"/>
          <w:szCs w:val="24"/>
        </w:rPr>
        <w:t xml:space="preserve">and </w:t>
      </w:r>
      <w:r w:rsidRPr="004D5393">
        <w:rPr>
          <w:rFonts w:ascii="Times New Roman" w:hAnsi="Times New Roman" w:cs="Times New Roman"/>
          <w:i/>
          <w:sz w:val="24"/>
          <w:szCs w:val="24"/>
        </w:rPr>
        <w:t>t</w:t>
      </w:r>
      <w:r w:rsidRPr="004D5393">
        <w:rPr>
          <w:rFonts w:ascii="Times New Roman" w:hAnsi="Times New Roman" w:cs="Times New Roman"/>
          <w:sz w:val="24"/>
          <w:szCs w:val="24"/>
        </w:rPr>
        <w:t>=</w:t>
      </w:r>
      <w:r w:rsidRPr="004D5393">
        <w:rPr>
          <w:rFonts w:ascii="Times New Roman" w:hAnsi="Times New Roman" w:cs="Times New Roman"/>
          <w:i/>
          <w:sz w:val="24"/>
          <w:szCs w:val="24"/>
        </w:rPr>
        <w:t>t</w:t>
      </w:r>
      <w:r w:rsidRPr="004D5393">
        <w:rPr>
          <w:rFonts w:ascii="Times New Roman" w:hAnsi="Times New Roman" w:cs="Times New Roman"/>
          <w:i/>
          <w:sz w:val="24"/>
          <w:szCs w:val="24"/>
          <w:vertAlign w:val="subscript"/>
        </w:rPr>
        <w:t>2</w:t>
      </w:r>
      <w:r w:rsidRPr="004D5393">
        <w:rPr>
          <w:rFonts w:ascii="Times New Roman" w:hAnsi="Times New Roman" w:cs="Times New Roman"/>
          <w:sz w:val="24"/>
          <w:szCs w:val="24"/>
        </w:rPr>
        <w:t xml:space="preserve">, defined as </w:t>
      </w:r>
      <m:oMath>
        <m:sSub>
          <m:sSubPr>
            <m:ctrlPr>
              <w:rPr>
                <w:rFonts w:ascii="Cambria Math" w:hAnsi="Cambria Math" w:cs="Times New Roman"/>
                <w:i/>
                <w:sz w:val="24"/>
                <w:szCs w:val="24"/>
              </w:rPr>
            </m:ctrlPr>
          </m:sSubPr>
          <m:e>
            <m:r>
              <w:rPr>
                <w:rFonts w:ascii="Cambria Math" w:hAnsi="Cambria Math" w:cs="Times New Roman"/>
                <w:sz w:val="24"/>
                <w:szCs w:val="24"/>
              </w:rPr>
              <m:t xml:space="preserve"> ACAR</m:t>
            </m:r>
          </m:e>
          <m: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b>
        </m:sSub>
      </m:oMath>
      <w:r w:rsidRPr="004D5393">
        <w:rPr>
          <w:rFonts w:ascii="Times New Roman" w:hAnsi="Times New Roman" w:cs="Times New Roman"/>
          <w:sz w:val="24"/>
          <w:szCs w:val="24"/>
        </w:rPr>
        <w:t xml:space="preserve">, is calculated as: </w:t>
      </w:r>
    </w:p>
    <w:p w14:paraId="089C67B1" w14:textId="77777777" w:rsidR="00323A45" w:rsidRPr="004D5393" w:rsidRDefault="00323A45" w:rsidP="00C658FF">
      <w:pPr>
        <w:spacing w:after="0" w:line="480" w:lineRule="auto"/>
        <w:contextualSpacing/>
        <w:jc w:val="both"/>
      </w:pPr>
      <w:r w:rsidRPr="004D53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ACAR</m:t>
            </m:r>
          </m:e>
          <m: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e>
        </m:nary>
      </m:oMath>
      <w:r w:rsidRPr="004D5393">
        <w:rPr>
          <w:rFonts w:ascii="Times New Roman" w:hAnsi="Times New Roman" w:cs="Times New Roman"/>
          <w:sz w:val="24"/>
          <w:szCs w:val="24"/>
        </w:rPr>
        <w:t xml:space="preserve">                                                      (3)</w:t>
      </w:r>
    </w:p>
    <w:p w14:paraId="7342A898" w14:textId="77777777" w:rsidR="00323A45" w:rsidRPr="004D5393" w:rsidRDefault="00323A45"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t xml:space="preserve">We test the statistical significance of the abnormal return for security </w:t>
      </w:r>
      <w:r w:rsidRPr="004D5393">
        <w:rPr>
          <w:rFonts w:ascii="Times New Roman" w:hAnsi="Times New Roman" w:cs="Times New Roman"/>
          <w:i/>
          <w:sz w:val="24"/>
          <w:szCs w:val="24"/>
        </w:rPr>
        <w:t>i</w:t>
      </w:r>
      <w:r w:rsidRPr="004D5393">
        <w:rPr>
          <w:rFonts w:ascii="Times New Roman" w:hAnsi="Times New Roman" w:cs="Times New Roman"/>
          <w:sz w:val="24"/>
          <w:szCs w:val="24"/>
        </w:rPr>
        <w:t xml:space="preserve"> on day </w:t>
      </w:r>
      <w:r w:rsidRPr="004D5393">
        <w:rPr>
          <w:rFonts w:ascii="Times New Roman" w:hAnsi="Times New Roman" w:cs="Times New Roman"/>
          <w:i/>
          <w:sz w:val="24"/>
          <w:szCs w:val="24"/>
        </w:rPr>
        <w:t>t</w:t>
      </w:r>
      <w:r w:rsidRPr="004D5393">
        <w:rPr>
          <w:rFonts w:ascii="Times New Roman" w:hAnsi="Times New Roman" w:cs="Times New Roman"/>
          <w:sz w:val="24"/>
          <w:szCs w:val="24"/>
        </w:rPr>
        <w:t xml:space="preserve"> by standardizing the returns as: </w:t>
      </w:r>
    </w:p>
    <w:p w14:paraId="5F4AD15E" w14:textId="77777777" w:rsidR="00323A45" w:rsidRPr="004D5393" w:rsidRDefault="00323A45" w:rsidP="00C658FF">
      <w:pPr>
        <w:spacing w:after="0" w:line="480" w:lineRule="auto"/>
        <w:contextualSpacing/>
        <w:jc w:val="both"/>
      </w:pPr>
      <w:r w:rsidRPr="004D53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SAR</m:t>
            </m:r>
          </m:e>
          <m:sub>
            <m:r>
              <w:rPr>
                <w:rFonts w:ascii="Cambria Math" w:hAnsi="Cambria Math" w:cs="Times New Roman"/>
                <w:sz w:val="24"/>
                <w:szCs w:val="24"/>
              </w:rPr>
              <m:t>i, 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 t</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den>
        </m:f>
      </m:oMath>
      <w:r w:rsidRPr="004D5393">
        <w:rPr>
          <w:rFonts w:ascii="Times New Roman" w:hAnsi="Times New Roman" w:cs="Times New Roman"/>
          <w:sz w:val="24"/>
          <w:szCs w:val="24"/>
        </w:rPr>
        <w:t xml:space="preserve">                                                                 (4)</w:t>
      </w:r>
    </w:p>
    <w:p w14:paraId="544EF09E" w14:textId="3D92B442" w:rsidR="00323A45" w:rsidRPr="004D5393" w:rsidRDefault="00323A45" w:rsidP="00C658FF">
      <w:pPr>
        <w:spacing w:after="0" w:line="480" w:lineRule="auto"/>
        <w:contextualSpacing/>
        <w:jc w:val="both"/>
      </w:pPr>
      <w:r w:rsidRPr="004D53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4D5393">
        <w:rPr>
          <w:rFonts w:ascii="Times New Roman" w:hAnsi="Times New Roman" w:cs="Times New Roman"/>
          <w:sz w:val="24"/>
          <w:szCs w:val="24"/>
        </w:rPr>
        <w:t xml:space="preserve"> is the residual standard deviation for stock </w:t>
      </w:r>
      <w:r w:rsidRPr="004D5393">
        <w:rPr>
          <w:rFonts w:ascii="Times New Roman" w:hAnsi="Times New Roman" w:cs="Times New Roman"/>
          <w:i/>
          <w:sz w:val="24"/>
          <w:szCs w:val="24"/>
        </w:rPr>
        <w:t>i</w:t>
      </w:r>
      <w:r w:rsidRPr="004D5393">
        <w:rPr>
          <w:rFonts w:ascii="Times New Roman" w:hAnsi="Times New Roman" w:cs="Times New Roman"/>
          <w:sz w:val="24"/>
          <w:szCs w:val="24"/>
        </w:rPr>
        <w:t xml:space="preserve"> by using the estimation of the market model from </w:t>
      </w:r>
      <w:r w:rsidRPr="004D5393">
        <w:rPr>
          <w:rFonts w:ascii="Times New Roman" w:hAnsi="Times New Roman" w:cs="Times New Roman"/>
          <w:i/>
          <w:sz w:val="24"/>
          <w:szCs w:val="24"/>
        </w:rPr>
        <w:t>t</w:t>
      </w:r>
      <w:r w:rsidRPr="004D5393">
        <w:rPr>
          <w:rFonts w:ascii="Times New Roman" w:hAnsi="Times New Roman" w:cs="Times New Roman"/>
          <w:sz w:val="24"/>
          <w:szCs w:val="24"/>
        </w:rPr>
        <w:t>=−</w:t>
      </w:r>
      <w:r>
        <w:rPr>
          <w:rFonts w:ascii="Times New Roman" w:hAnsi="Times New Roman" w:cs="Times New Roman"/>
          <w:sz w:val="24"/>
          <w:szCs w:val="24"/>
        </w:rPr>
        <w:t>5</w:t>
      </w:r>
      <w:r w:rsidRPr="004D5393">
        <w:rPr>
          <w:rFonts w:ascii="Times New Roman" w:hAnsi="Times New Roman" w:cs="Times New Roman"/>
          <w:sz w:val="24"/>
          <w:szCs w:val="24"/>
        </w:rPr>
        <w:t xml:space="preserve"> to </w:t>
      </w:r>
      <w:r w:rsidRPr="004D5393">
        <w:rPr>
          <w:rFonts w:ascii="Times New Roman" w:hAnsi="Times New Roman" w:cs="Times New Roman"/>
          <w:i/>
          <w:sz w:val="24"/>
          <w:szCs w:val="24"/>
        </w:rPr>
        <w:t>t</w:t>
      </w:r>
      <w:r w:rsidRPr="004D5393">
        <w:rPr>
          <w:rFonts w:ascii="Times New Roman" w:hAnsi="Times New Roman" w:cs="Times New Roman"/>
          <w:sz w:val="24"/>
          <w:szCs w:val="24"/>
        </w:rPr>
        <w:t>=10</w:t>
      </w:r>
      <w:r w:rsidR="00A8565D">
        <w:rPr>
          <w:rFonts w:ascii="Times New Roman" w:hAnsi="Times New Roman" w:cs="Times New Roman"/>
          <w:sz w:val="24"/>
          <w:szCs w:val="24"/>
        </w:rPr>
        <w:t>.</w:t>
      </w:r>
    </w:p>
    <w:p w14:paraId="7371C5B2" w14:textId="72A01879" w:rsidR="00323A45" w:rsidRDefault="00323A45"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lastRenderedPageBreak/>
        <w:t>The average standardized daily abnormal return for each day of the event window (</w:t>
      </w:r>
      <w:r w:rsidRPr="004D5393">
        <w:rPr>
          <w:rFonts w:ascii="Times New Roman" w:hAnsi="Times New Roman" w:cs="Times New Roman"/>
          <w:i/>
          <w:sz w:val="24"/>
          <w:szCs w:val="24"/>
        </w:rPr>
        <w:t xml:space="preserve">t </w:t>
      </w:r>
      <w:r w:rsidRPr="004D5393">
        <w:rPr>
          <w:rFonts w:ascii="Times New Roman" w:hAnsi="Times New Roman" w:cs="Times New Roman"/>
          <w:sz w:val="24"/>
          <w:szCs w:val="24"/>
        </w:rPr>
        <w:t>= −</w:t>
      </w:r>
      <w:r>
        <w:rPr>
          <w:rFonts w:ascii="Times New Roman" w:hAnsi="Times New Roman" w:cs="Times New Roman"/>
          <w:sz w:val="24"/>
          <w:szCs w:val="24"/>
        </w:rPr>
        <w:t>5</w:t>
      </w:r>
      <w:r w:rsidRPr="004D5393">
        <w:rPr>
          <w:rFonts w:ascii="Times New Roman" w:hAnsi="Times New Roman" w:cs="Times New Roman"/>
          <w:sz w:val="24"/>
          <w:szCs w:val="24"/>
        </w:rPr>
        <w:t>, −</w:t>
      </w:r>
      <w:r>
        <w:rPr>
          <w:rFonts w:ascii="Times New Roman" w:hAnsi="Times New Roman" w:cs="Times New Roman"/>
          <w:sz w:val="24"/>
          <w:szCs w:val="24"/>
        </w:rPr>
        <w:t>4</w:t>
      </w:r>
      <w:r w:rsidRPr="004D5393">
        <w:rPr>
          <w:rFonts w:ascii="Times New Roman" w:hAnsi="Times New Roman" w:cs="Times New Roman"/>
          <w:sz w:val="24"/>
          <w:szCs w:val="24"/>
        </w:rPr>
        <w:t>, −</w:t>
      </w:r>
      <w:r>
        <w:rPr>
          <w:rFonts w:ascii="Times New Roman" w:hAnsi="Times New Roman" w:cs="Times New Roman"/>
          <w:sz w:val="24"/>
          <w:szCs w:val="24"/>
        </w:rPr>
        <w:t>3</w:t>
      </w:r>
      <w:r w:rsidRPr="004D5393">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4D5393">
        <w:rPr>
          <w:rFonts w:ascii="Times New Roman" w:hAnsi="Times New Roman" w:cs="Times New Roman"/>
          <w:sz w:val="24"/>
          <w:szCs w:val="24"/>
        </w:rPr>
        <w:t>, 0,</w:t>
      </w:r>
      <m:oMath>
        <m:r>
          <m:rPr>
            <m:sty m:val="p"/>
          </m:rPr>
          <w:rPr>
            <w:rFonts w:ascii="Cambria Math" w:hAnsi="Cambria Math" w:cs="Times New Roman"/>
            <w:sz w:val="24"/>
            <w:szCs w:val="24"/>
          </w:rPr>
          <m:t xml:space="preserve"> ⋯ </m:t>
        </m:r>
      </m:oMath>
      <w:r w:rsidRPr="004D5393">
        <w:rPr>
          <w:rFonts w:ascii="Times New Roman" w:hAnsi="Times New Roman" w:cs="Times New Roman"/>
          <w:sz w:val="24"/>
          <w:szCs w:val="24"/>
        </w:rPr>
        <w:t xml:space="preserve">8, 9, 10), </w:t>
      </w:r>
      <m:oMath>
        <m:sSub>
          <m:sSubPr>
            <m:ctrlPr>
              <w:rPr>
                <w:rFonts w:ascii="Cambria Math" w:hAnsi="Cambria Math" w:cs="Times New Roman"/>
                <w:i/>
                <w:sz w:val="24"/>
                <w:szCs w:val="24"/>
              </w:rPr>
            </m:ctrlPr>
          </m:sSubPr>
          <m:e>
            <m:r>
              <w:rPr>
                <w:rFonts w:ascii="Cambria Math" w:hAnsi="Cambria Math" w:cs="Times New Roman"/>
                <w:sz w:val="24"/>
                <w:szCs w:val="24"/>
              </w:rPr>
              <m:t xml:space="preserve"> ASAR</m:t>
            </m:r>
          </m:e>
          <m:sub>
            <m:r>
              <w:rPr>
                <w:rFonts w:ascii="Cambria Math" w:hAnsi="Cambria Math" w:cs="Times New Roman"/>
                <w:sz w:val="24"/>
                <w:szCs w:val="24"/>
              </w:rPr>
              <m:t>t</m:t>
            </m:r>
          </m:sub>
        </m:sSub>
      </m:oMath>
      <w:r w:rsidRPr="004D5393">
        <w:rPr>
          <w:rFonts w:ascii="Times New Roman" w:hAnsi="Times New Roman" w:cs="Times New Roman"/>
          <w:sz w:val="24"/>
          <w:szCs w:val="24"/>
        </w:rPr>
        <w:t xml:space="preserve">, is calculated by averaging the </w:t>
      </w:r>
      <m:oMath>
        <m:sSub>
          <m:sSubPr>
            <m:ctrlPr>
              <w:rPr>
                <w:rFonts w:ascii="Cambria Math" w:hAnsi="Cambria Math" w:cs="Times New Roman"/>
                <w:i/>
                <w:sz w:val="24"/>
                <w:szCs w:val="24"/>
              </w:rPr>
            </m:ctrlPr>
          </m:sSubPr>
          <m:e>
            <m:r>
              <w:rPr>
                <w:rFonts w:ascii="Cambria Math" w:hAnsi="Cambria Math" w:cs="Times New Roman"/>
                <w:sz w:val="24"/>
                <w:szCs w:val="24"/>
              </w:rPr>
              <m:t>SAR</m:t>
            </m:r>
          </m:e>
          <m:sub>
            <m:r>
              <w:rPr>
                <w:rFonts w:ascii="Cambria Math" w:hAnsi="Cambria Math" w:cs="Times New Roman"/>
                <w:sz w:val="24"/>
                <w:szCs w:val="24"/>
              </w:rPr>
              <m:t>i,t</m:t>
            </m:r>
          </m:sub>
        </m:sSub>
      </m:oMath>
      <w:r w:rsidRPr="004D5393">
        <w:rPr>
          <w:rFonts w:ascii="Times New Roman" w:hAnsi="Times New Roman" w:cs="Times New Roman"/>
          <w:sz w:val="24"/>
          <w:szCs w:val="24"/>
        </w:rPr>
        <w:t xml:space="preserve"> of all securities: </w:t>
      </w:r>
    </w:p>
    <w:p w14:paraId="6EBA37DF" w14:textId="77777777" w:rsidR="00323A45" w:rsidRPr="004D5393" w:rsidRDefault="00323A45" w:rsidP="00C658FF">
      <w:pPr>
        <w:spacing w:after="0" w:line="480" w:lineRule="auto"/>
        <w:contextualSpacing/>
        <w:jc w:val="both"/>
      </w:pPr>
      <w:r w:rsidRPr="004D53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ASAR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SAR</m:t>
                    </m:r>
                  </m:e>
                  <m:sub>
                    <m:r>
                      <w:rPr>
                        <w:rFonts w:ascii="Cambria Math" w:hAnsi="Cambria Math" w:cs="Times New Roman"/>
                        <w:sz w:val="24"/>
                        <w:szCs w:val="24"/>
                      </w:rPr>
                      <m:t>i,t</m:t>
                    </m:r>
                  </m:sub>
                </m:sSub>
              </m:e>
            </m:nary>
          </m:num>
          <m:den>
            <m:r>
              <w:rPr>
                <w:rFonts w:ascii="Cambria Math" w:hAnsi="Cambria Math" w:cs="Times New Roman"/>
                <w:sz w:val="24"/>
                <w:szCs w:val="24"/>
              </w:rPr>
              <m:t>N</m:t>
            </m:r>
          </m:den>
        </m:f>
      </m:oMath>
      <w:r w:rsidRPr="004D5393">
        <w:rPr>
          <w:rFonts w:ascii="Times New Roman" w:hAnsi="Times New Roman" w:cs="Times New Roman"/>
          <w:sz w:val="24"/>
          <w:szCs w:val="24"/>
        </w:rPr>
        <w:t xml:space="preserve">                                                          (</w:t>
      </w:r>
      <w:r>
        <w:rPr>
          <w:rFonts w:ascii="Times New Roman" w:hAnsi="Times New Roman" w:cs="Times New Roman"/>
          <w:sz w:val="24"/>
          <w:szCs w:val="24"/>
        </w:rPr>
        <w:t>5</w:t>
      </w:r>
      <w:r w:rsidRPr="004D5393">
        <w:rPr>
          <w:rFonts w:ascii="Times New Roman" w:hAnsi="Times New Roman" w:cs="Times New Roman"/>
          <w:sz w:val="24"/>
          <w:szCs w:val="24"/>
        </w:rPr>
        <w:t>)</w:t>
      </w:r>
    </w:p>
    <w:p w14:paraId="78FE49BD" w14:textId="77777777" w:rsidR="00323A45" w:rsidRPr="004D5393" w:rsidRDefault="00323A45" w:rsidP="00C658FF">
      <w:pPr>
        <w:spacing w:after="0" w:line="480" w:lineRule="auto"/>
        <w:contextualSpacing/>
        <w:jc w:val="both"/>
      </w:pPr>
      <w:r w:rsidRPr="004D5393">
        <w:rPr>
          <w:rFonts w:ascii="Times New Roman" w:hAnsi="Times New Roman" w:cs="Times New Roman"/>
          <w:sz w:val="24"/>
          <w:szCs w:val="24"/>
        </w:rPr>
        <w:t xml:space="preserve">                                                    where </w:t>
      </w:r>
      <w:r w:rsidRPr="004D5393">
        <w:rPr>
          <w:rFonts w:ascii="Times New Roman" w:hAnsi="Times New Roman" w:cs="Times New Roman"/>
          <w:i/>
          <w:sz w:val="24"/>
          <w:szCs w:val="24"/>
        </w:rPr>
        <w:t xml:space="preserve">t </w:t>
      </w:r>
      <w:r w:rsidRPr="004D5393">
        <w:rPr>
          <w:rFonts w:ascii="Times New Roman" w:hAnsi="Times New Roman" w:cs="Times New Roman"/>
          <w:sz w:val="24"/>
          <w:szCs w:val="24"/>
        </w:rPr>
        <w:t>= −</w:t>
      </w:r>
      <w:r>
        <w:rPr>
          <w:rFonts w:ascii="Times New Roman" w:hAnsi="Times New Roman" w:cs="Times New Roman"/>
          <w:sz w:val="24"/>
          <w:szCs w:val="24"/>
        </w:rPr>
        <w:t>5</w:t>
      </w:r>
      <w:r w:rsidRPr="004D5393">
        <w:rPr>
          <w:rFonts w:ascii="Times New Roman" w:hAnsi="Times New Roman" w:cs="Times New Roman"/>
          <w:sz w:val="24"/>
          <w:szCs w:val="24"/>
        </w:rPr>
        <w:t>, −</w:t>
      </w:r>
      <w:r>
        <w:rPr>
          <w:rFonts w:ascii="Times New Roman" w:hAnsi="Times New Roman" w:cs="Times New Roman"/>
          <w:sz w:val="24"/>
          <w:szCs w:val="24"/>
        </w:rPr>
        <w:t>4</w:t>
      </w:r>
      <w:r w:rsidRPr="004D5393">
        <w:rPr>
          <w:rFonts w:ascii="Times New Roman" w:hAnsi="Times New Roman" w:cs="Times New Roman"/>
          <w:sz w:val="24"/>
          <w:szCs w:val="24"/>
        </w:rPr>
        <w:t>, −</w:t>
      </w:r>
      <w:r>
        <w:rPr>
          <w:rFonts w:ascii="Times New Roman" w:hAnsi="Times New Roman" w:cs="Times New Roman"/>
          <w:sz w:val="24"/>
          <w:szCs w:val="24"/>
        </w:rPr>
        <w:t>3</w:t>
      </w:r>
      <w:r w:rsidRPr="004D5393">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4D5393">
        <w:rPr>
          <w:rFonts w:ascii="Times New Roman" w:hAnsi="Times New Roman" w:cs="Times New Roman"/>
          <w:sz w:val="24"/>
          <w:szCs w:val="24"/>
        </w:rPr>
        <w:t>, 0,</w:t>
      </w:r>
      <m:oMath>
        <m:r>
          <m:rPr>
            <m:sty m:val="p"/>
          </m:rPr>
          <w:rPr>
            <w:rFonts w:ascii="Cambria Math" w:hAnsi="Cambria Math" w:cs="Times New Roman"/>
            <w:sz w:val="24"/>
            <w:szCs w:val="24"/>
          </w:rPr>
          <m:t xml:space="preserve"> ⋯ </m:t>
        </m:r>
      </m:oMath>
      <w:r w:rsidRPr="004D5393">
        <w:rPr>
          <w:rFonts w:ascii="Times New Roman" w:hAnsi="Times New Roman" w:cs="Times New Roman"/>
          <w:sz w:val="24"/>
          <w:szCs w:val="24"/>
        </w:rPr>
        <w:t xml:space="preserve">8, 9, 10   </w:t>
      </w:r>
    </w:p>
    <w:p w14:paraId="4E5FCEDF" w14:textId="54368AD3" w:rsidR="00323A45" w:rsidRPr="004D5393" w:rsidRDefault="00323A45" w:rsidP="00C658FF">
      <w:pPr>
        <w:spacing w:after="0" w:line="480" w:lineRule="auto"/>
        <w:contextualSpacing/>
        <w:jc w:val="both"/>
      </w:pPr>
      <w:r w:rsidRPr="004D5393">
        <w:rPr>
          <w:rFonts w:ascii="Times New Roman" w:hAnsi="Times New Roman" w:cs="Times New Roman"/>
          <w:sz w:val="24"/>
          <w:szCs w:val="24"/>
        </w:rPr>
        <w:t xml:space="preserve">Furthermore, the </w:t>
      </w:r>
      <w:r w:rsidRPr="004F556B">
        <w:rPr>
          <w:rFonts w:ascii="Times New Roman" w:hAnsi="Times New Roman" w:cs="Times New Roman"/>
          <w:i/>
          <w:iCs/>
          <w:sz w:val="24"/>
          <w:szCs w:val="24"/>
        </w:rPr>
        <w:t>t</w:t>
      </w:r>
      <w:r w:rsidRPr="004D5393">
        <w:rPr>
          <w:rFonts w:ascii="Times New Roman" w:hAnsi="Times New Roman" w:cs="Times New Roman"/>
          <w:sz w:val="24"/>
          <w:szCs w:val="24"/>
        </w:rPr>
        <w:t xml:space="preserve">−statistics of average abnormal return for each date </w:t>
      </w:r>
      <w:r w:rsidRPr="004F556B">
        <w:rPr>
          <w:rFonts w:ascii="Times New Roman" w:hAnsi="Times New Roman" w:cs="Times New Roman"/>
          <w:i/>
          <w:iCs/>
          <w:sz w:val="24"/>
          <w:szCs w:val="24"/>
        </w:rPr>
        <w:t>t</w:t>
      </w:r>
      <w:r w:rsidRPr="004D5393">
        <w:rPr>
          <w:rFonts w:ascii="Times New Roman" w:hAnsi="Times New Roman" w:cs="Times New Roman"/>
          <w:sz w:val="24"/>
          <w:szCs w:val="24"/>
        </w:rPr>
        <w:t xml:space="preserve"> is computed by: </w:t>
      </w:r>
    </w:p>
    <w:p w14:paraId="4C901A8D" w14:textId="77777777" w:rsidR="00323A45" w:rsidRPr="004D5393" w:rsidRDefault="00323A45" w:rsidP="00C658FF">
      <w:pPr>
        <w:spacing w:after="0" w:line="480" w:lineRule="auto"/>
        <w:contextualSpacing/>
        <w:jc w:val="both"/>
      </w:pPr>
      <w:r w:rsidRPr="004D5393">
        <w:rPr>
          <w:rFonts w:ascii="Times New Roman" w:hAnsi="Times New Roman" w:cs="Times New Roman"/>
          <w:sz w:val="24"/>
          <w:szCs w:val="24"/>
          <w:vertAlign w:val="subscript"/>
        </w:rPr>
        <w:t xml:space="preserv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rPr>
              <m:t>T-stat</m:t>
            </m:r>
          </m:e>
          <m:sub>
            <m:r>
              <w:rPr>
                <w:rFonts w:ascii="Cambria Math" w:hAnsi="Cambria Math" w:cs="Times New Roman"/>
                <w:sz w:val="24"/>
                <w:szCs w:val="24"/>
                <w:vertAlign w:val="subscript"/>
              </w:rPr>
              <m:t>t</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 xml:space="preserve"> ASAR</m:t>
            </m:r>
          </m:e>
          <m:sub>
            <m:r>
              <w:rPr>
                <w:rFonts w:ascii="Cambria Math" w:hAnsi="Cambria Math" w:cs="Times New Roman"/>
                <w:sz w:val="24"/>
                <w:szCs w:val="24"/>
              </w:rPr>
              <m:t>t</m:t>
            </m:r>
          </m:sub>
        </m:sSub>
        <m:r>
          <w:rPr>
            <w:rFonts w:ascii="Cambria Math" w:hAnsi="Cambria Math" w:cs="Times New Roman" w:hint="eastAsia"/>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N</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oMath>
      <w:r w:rsidRPr="004D5393">
        <w:rPr>
          <w:rFonts w:ascii="Times New Roman" w:hAnsi="Times New Roman" w:cs="Times New Roman"/>
          <w:sz w:val="24"/>
          <w:szCs w:val="24"/>
          <w:vertAlign w:val="subscript"/>
        </w:rPr>
        <w:t xml:space="preserve">                                                                         </w:t>
      </w:r>
      <w:r w:rsidRPr="004D5393">
        <w:rPr>
          <w:rFonts w:ascii="Times New Roman" w:hAnsi="Times New Roman" w:cs="Times New Roman"/>
          <w:sz w:val="24"/>
          <w:szCs w:val="24"/>
        </w:rPr>
        <w:t>(</w:t>
      </w:r>
      <w:r>
        <w:rPr>
          <w:rFonts w:ascii="Times New Roman" w:hAnsi="Times New Roman" w:cs="Times New Roman"/>
          <w:sz w:val="24"/>
          <w:szCs w:val="24"/>
        </w:rPr>
        <w:t>6</w:t>
      </w:r>
      <w:r w:rsidRPr="004D5393">
        <w:rPr>
          <w:rFonts w:ascii="Times New Roman" w:hAnsi="Times New Roman" w:cs="Times New Roman"/>
          <w:sz w:val="24"/>
          <w:szCs w:val="24"/>
        </w:rPr>
        <w:t>)</w:t>
      </w:r>
    </w:p>
    <w:p w14:paraId="4F576F62" w14:textId="7BC4A95A" w:rsidR="00323A45" w:rsidRDefault="00323A45"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t xml:space="preserve">We apply the 2−tailed </w:t>
      </w:r>
      <w:r w:rsidRPr="004F556B">
        <w:rPr>
          <w:rFonts w:ascii="Times New Roman" w:hAnsi="Times New Roman" w:cs="Times New Roman"/>
          <w:i/>
          <w:iCs/>
          <w:sz w:val="24"/>
          <w:szCs w:val="24"/>
        </w:rPr>
        <w:t>t</w:t>
      </w:r>
      <w:r w:rsidRPr="004D5393">
        <w:rPr>
          <w:rFonts w:ascii="Times New Roman" w:hAnsi="Times New Roman" w:cs="Times New Roman"/>
          <w:sz w:val="24"/>
          <w:szCs w:val="24"/>
        </w:rPr>
        <w:t xml:space="preserve">−statistics test to determine whether or not the abnormal return and the cumulative return are statistically significant for each day </w:t>
      </w:r>
      <w:r w:rsidRPr="004D5393">
        <w:rPr>
          <w:rFonts w:ascii="Times New Roman" w:hAnsi="Times New Roman" w:cs="Times New Roman"/>
          <w:i/>
          <w:sz w:val="24"/>
          <w:szCs w:val="24"/>
        </w:rPr>
        <w:t>t</w:t>
      </w:r>
      <w:r w:rsidRPr="004D5393">
        <w:rPr>
          <w:rFonts w:ascii="Times New Roman" w:hAnsi="Times New Roman" w:cs="Times New Roman"/>
          <w:sz w:val="24"/>
          <w:szCs w:val="24"/>
        </w:rPr>
        <w:t xml:space="preserve">. Specifically, if the </w:t>
      </w:r>
      <w:r w:rsidRPr="004F556B">
        <w:rPr>
          <w:rFonts w:ascii="Times New Roman" w:hAnsi="Times New Roman" w:cs="Times New Roman"/>
          <w:i/>
          <w:iCs/>
          <w:sz w:val="24"/>
          <w:szCs w:val="24"/>
        </w:rPr>
        <w:t>t</w:t>
      </w:r>
      <w:r w:rsidRPr="004D5393">
        <w:rPr>
          <w:rFonts w:ascii="Times New Roman" w:hAnsi="Times New Roman" w:cs="Times New Roman"/>
          <w:sz w:val="24"/>
          <w:szCs w:val="24"/>
        </w:rPr>
        <w:t>−statistics calculated lie outside the range of the distribution depending on a particular level of statistical significance (e.g. 5% significance level), then we should reject the hypothesis that the return is equal to 0 (i.e. the return is statistically significant).</w:t>
      </w:r>
    </w:p>
    <w:p w14:paraId="6858EC79" w14:textId="374F22A3" w:rsidR="00323A45" w:rsidRDefault="00323A45"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t xml:space="preserve"> </w:t>
      </w:r>
      <w:r>
        <w:rPr>
          <w:rFonts w:ascii="Times New Roman" w:hAnsi="Times New Roman" w:cs="Times New Roman"/>
          <w:sz w:val="24"/>
          <w:szCs w:val="24"/>
        </w:rPr>
        <w:t xml:space="preserve">There are other recent studies of analyst recommendations that also used a single factor model to estimate abnormal returns (see </w:t>
      </w:r>
      <w:proofErr w:type="spellStart"/>
      <w:r>
        <w:rPr>
          <w:rFonts w:ascii="Times New Roman" w:hAnsi="Times New Roman" w:cs="Times New Roman"/>
          <w:sz w:val="24"/>
          <w:szCs w:val="24"/>
        </w:rPr>
        <w:t>Amiram</w:t>
      </w:r>
      <w:proofErr w:type="spellEnd"/>
      <w:r>
        <w:rPr>
          <w:rFonts w:ascii="Times New Roman" w:hAnsi="Times New Roman" w:cs="Times New Roman"/>
          <w:sz w:val="24"/>
          <w:szCs w:val="24"/>
        </w:rPr>
        <w:t xml:space="preserve"> et al. (2016), Du et al. (2017), </w:t>
      </w:r>
      <w:proofErr w:type="spellStart"/>
      <w:r w:rsidRPr="005913F0">
        <w:rPr>
          <w:rFonts w:ascii="Times New Roman" w:hAnsi="Times New Roman" w:cs="Times New Roman"/>
          <w:sz w:val="24"/>
          <w:szCs w:val="24"/>
        </w:rPr>
        <w:t>Kudryavtsev</w:t>
      </w:r>
      <w:proofErr w:type="spellEnd"/>
      <w:r>
        <w:rPr>
          <w:rFonts w:ascii="Times New Roman" w:hAnsi="Times New Roman" w:cs="Times New Roman"/>
          <w:sz w:val="24"/>
          <w:szCs w:val="24"/>
        </w:rPr>
        <w:t xml:space="preserve"> (2019), and Kim et al. (2019)</w:t>
      </w:r>
      <w:r w:rsidR="00302BE4">
        <w:rPr>
          <w:rFonts w:ascii="Times New Roman" w:hAnsi="Times New Roman" w:cs="Times New Roman"/>
          <w:sz w:val="24"/>
          <w:szCs w:val="24"/>
        </w:rPr>
        <w:t>)</w:t>
      </w:r>
      <w:r>
        <w:rPr>
          <w:rFonts w:ascii="Times New Roman" w:hAnsi="Times New Roman" w:cs="Times New Roman"/>
          <w:sz w:val="24"/>
          <w:szCs w:val="24"/>
        </w:rPr>
        <w:t xml:space="preserve">. But, in a later section of our paper, we also estimate abnormal returns using the </w:t>
      </w:r>
      <w:proofErr w:type="spellStart"/>
      <w:r>
        <w:rPr>
          <w:rFonts w:ascii="Times New Roman" w:hAnsi="Times New Roman" w:cs="Times New Roman"/>
          <w:sz w:val="24"/>
          <w:szCs w:val="24"/>
        </w:rPr>
        <w:t>Fama</w:t>
      </w:r>
      <w:proofErr w:type="spellEnd"/>
      <w:r>
        <w:rPr>
          <w:rFonts w:ascii="Times New Roman" w:hAnsi="Times New Roman" w:cs="Times New Roman"/>
          <w:sz w:val="24"/>
          <w:szCs w:val="24"/>
        </w:rPr>
        <w:t xml:space="preserve"> &amp; French 3</w:t>
      </w:r>
      <w:r w:rsidRPr="004D5393">
        <w:rPr>
          <w:rFonts w:ascii="Times New Roman" w:hAnsi="Times New Roman" w:cs="Times New Roman"/>
          <w:sz w:val="24"/>
          <w:szCs w:val="24"/>
        </w:rPr>
        <w:t>−</w:t>
      </w:r>
      <w:r>
        <w:rPr>
          <w:rFonts w:ascii="Times New Roman" w:hAnsi="Times New Roman" w:cs="Times New Roman"/>
          <w:sz w:val="24"/>
          <w:szCs w:val="24"/>
        </w:rPr>
        <w:t xml:space="preserve">factor model (equation (7)) which has been used in some papers in the area (e.g., </w:t>
      </w:r>
      <w:proofErr w:type="spellStart"/>
      <w:r w:rsidR="00E304BF">
        <w:rPr>
          <w:rFonts w:ascii="Times New Roman" w:hAnsi="Times New Roman" w:cs="Times New Roman"/>
          <w:sz w:val="24"/>
          <w:szCs w:val="24"/>
        </w:rPr>
        <w:t>Rubanov</w:t>
      </w:r>
      <w:proofErr w:type="spellEnd"/>
      <w:r w:rsidR="00E304BF">
        <w:rPr>
          <w:rFonts w:ascii="Times New Roman" w:hAnsi="Times New Roman" w:cs="Times New Roman"/>
          <w:sz w:val="24"/>
          <w:szCs w:val="24"/>
        </w:rPr>
        <w:t xml:space="preserve"> and Nnadi</w:t>
      </w:r>
      <w:r w:rsidR="00E26F74">
        <w:rPr>
          <w:rFonts w:ascii="Times New Roman" w:hAnsi="Times New Roman" w:cs="Times New Roman"/>
          <w:sz w:val="24"/>
          <w:szCs w:val="24"/>
        </w:rPr>
        <w:t xml:space="preserve"> (</w:t>
      </w:r>
      <w:r w:rsidR="00E304BF">
        <w:rPr>
          <w:rFonts w:ascii="Times New Roman" w:hAnsi="Times New Roman" w:cs="Times New Roman"/>
          <w:sz w:val="24"/>
          <w:szCs w:val="24"/>
        </w:rPr>
        <w:t>2018</w:t>
      </w:r>
      <w:r w:rsidR="00E26F74">
        <w:rPr>
          <w:rFonts w:ascii="Times New Roman" w:hAnsi="Times New Roman" w:cs="Times New Roman"/>
          <w:sz w:val="24"/>
          <w:szCs w:val="24"/>
        </w:rPr>
        <w:t>),</w:t>
      </w:r>
      <w:r w:rsidR="00E304BF">
        <w:rPr>
          <w:rFonts w:ascii="Times New Roman" w:hAnsi="Times New Roman" w:cs="Times New Roman"/>
          <w:sz w:val="24"/>
          <w:szCs w:val="24"/>
        </w:rPr>
        <w:t xml:space="preserve"> </w:t>
      </w:r>
      <w:r>
        <w:rPr>
          <w:rFonts w:ascii="Times New Roman" w:hAnsi="Times New Roman" w:cs="Times New Roman"/>
          <w:sz w:val="24"/>
          <w:szCs w:val="24"/>
        </w:rPr>
        <w:t>Su et al.</w:t>
      </w:r>
      <w:r w:rsidR="00302BE4">
        <w:rPr>
          <w:rFonts w:ascii="Times New Roman" w:hAnsi="Times New Roman" w:cs="Times New Roman"/>
          <w:sz w:val="24"/>
          <w:szCs w:val="24"/>
        </w:rPr>
        <w:t xml:space="preserve"> </w:t>
      </w:r>
      <w:r>
        <w:rPr>
          <w:rFonts w:ascii="Times New Roman" w:hAnsi="Times New Roman" w:cs="Times New Roman"/>
          <w:sz w:val="24"/>
          <w:szCs w:val="24"/>
        </w:rPr>
        <w:t>(2019)</w:t>
      </w:r>
      <w:r w:rsidR="005435B9">
        <w:rPr>
          <w:rFonts w:ascii="Times New Roman" w:hAnsi="Times New Roman" w:cs="Times New Roman"/>
          <w:sz w:val="24"/>
          <w:szCs w:val="24"/>
        </w:rPr>
        <w:t xml:space="preserve"> and Li et al. (</w:t>
      </w:r>
      <w:r w:rsidR="00E304BF">
        <w:rPr>
          <w:rFonts w:ascii="Times New Roman" w:hAnsi="Times New Roman" w:cs="Times New Roman"/>
          <w:sz w:val="24"/>
          <w:szCs w:val="24"/>
        </w:rPr>
        <w:t>2020</w:t>
      </w:r>
      <w:r w:rsidR="005435B9">
        <w:rPr>
          <w:rFonts w:ascii="Times New Roman" w:hAnsi="Times New Roman" w:cs="Times New Roman"/>
          <w:sz w:val="24"/>
          <w:szCs w:val="24"/>
        </w:rPr>
        <w:t>)</w:t>
      </w:r>
      <w:r w:rsidR="00E26F74">
        <w:rPr>
          <w:rFonts w:ascii="Times New Roman" w:hAnsi="Times New Roman" w:cs="Times New Roman"/>
          <w:sz w:val="24"/>
          <w:szCs w:val="24"/>
        </w:rPr>
        <w:t>)</w:t>
      </w:r>
      <w:r>
        <w:rPr>
          <w:rFonts w:ascii="Times New Roman" w:hAnsi="Times New Roman" w:cs="Times New Roman"/>
          <w:sz w:val="24"/>
          <w:szCs w:val="24"/>
        </w:rPr>
        <w:t>.</w:t>
      </w:r>
    </w:p>
    <w:p w14:paraId="3674D10C" w14:textId="60FDAC99" w:rsidR="00323A45" w:rsidRDefault="00323A45" w:rsidP="00C658FF">
      <w:pPr>
        <w:spacing w:after="0" w:line="480" w:lineRule="auto"/>
        <w:contextualSpacing/>
        <w:jc w:val="both"/>
        <w:rPr>
          <w:rFonts w:ascii="Times New Roman" w:hAnsi="Times New Roman" w:cs="Times New Roman"/>
          <w:sz w:val="24"/>
          <w:szCs w:val="24"/>
        </w:rPr>
      </w:pPr>
      <w:r w:rsidRPr="004D5393">
        <w:rPr>
          <w:rFonts w:ascii="Times New Roman" w:hAnsi="Times New Roman" w:cs="Times New Roman"/>
          <w:sz w:val="24"/>
          <w:szCs w:val="24"/>
        </w:rPr>
        <w:t xml:space="preserve">  </w:t>
      </w:r>
      <w:r>
        <w:rPr>
          <w:rFonts w:ascii="Times New Roman" w:hAnsi="Times New Roman" w:cs="Times New Roman"/>
          <w:sz w:val="24"/>
          <w:szCs w:val="24"/>
        </w:rPr>
        <w:t xml:space="preserve">  </w:t>
      </w:r>
      <w:r w:rsidR="001B5D0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5393">
        <w:rPr>
          <w:rFonts w:ascii="Times New Roman" w:hAnsi="Times New Roman" w:cs="Times New Roman"/>
          <w:sz w:val="24"/>
          <w:szCs w:val="24"/>
        </w:rPr>
        <w:t xml:space="preserve">  </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sz w:val="24"/>
                <w:szCs w:val="24"/>
              </w:rPr>
              <m:t>R</m:t>
            </m:r>
          </m:e>
          <m:sub>
            <m:r>
              <w:rPr>
                <w:rFonts w:ascii="Cambria Math" w:hAnsi="Cambria Math"/>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α</m:t>
                </m:r>
              </m:e>
            </m:acc>
          </m:e>
          <m:sub>
            <m:r>
              <w:rPr>
                <w:rFonts w:ascii="Cambria Math" w:hAnsi="Cambria Math" w:cs="Times New Roman"/>
                <w:sz w:val="24"/>
                <w:szCs w:val="24"/>
              </w:rPr>
              <m:t>i</m:t>
            </m:r>
          </m:sub>
        </m:sSub>
        <m:r>
          <w:rPr>
            <w:rFonts w:ascii="Cambria Math" w:hAnsi="Cambria Math"/>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sz w:val="24"/>
                    <w:szCs w:val="24"/>
                  </w:rPr>
                  <m:t>R</m:t>
                </m:r>
              </m:e>
              <m:sub>
                <m:r>
                  <w:rPr>
                    <w:rFonts w:ascii="Cambria Math" w:hAnsi="Cambria Math" w:cs="Times New Roman"/>
                    <w:sz w:val="24"/>
                    <w:szCs w:val="24"/>
                  </w:rPr>
                  <m:t>m</m:t>
                </m:r>
                <m:r>
                  <w:rPr>
                    <w:rFonts w:ascii="Cambria Math" w:hAnsi="Cambria Math"/>
                    <w:sz w:val="24"/>
                    <w:szCs w:val="24"/>
                  </w:rPr>
                  <m:t>,t</m:t>
                </m:r>
              </m:sub>
            </m:sSub>
            <m:r>
              <w:rPr>
                <w:rFonts w:ascii="Cambria Math" w:hAnsi="Cambria Math"/>
                <w:sz w:val="24"/>
                <w:szCs w:val="24"/>
              </w:rPr>
              <m:t>-</m:t>
            </m:r>
            <m:sSub>
              <m:sSubPr>
                <m:ctrlPr>
                  <w:rPr>
                    <w:rFonts w:ascii="Cambria Math" w:hAnsi="Cambria Math" w:cs="Times New Roman"/>
                    <w:i/>
                    <w:sz w:val="24"/>
                    <w:szCs w:val="24"/>
                  </w:rPr>
                </m:ctrlPr>
              </m:sSubPr>
              <m:e>
                <m:r>
                  <w:rPr>
                    <w:rFonts w:ascii="Cambria Math" w:hAnsi="Cambria Math"/>
                    <w:sz w:val="24"/>
                    <w:szCs w:val="24"/>
                  </w:rPr>
                  <m:t>R</m:t>
                </m:r>
              </m:e>
              <m:sub>
                <m:r>
                  <w:rPr>
                    <w:rFonts w:ascii="Cambria Math" w:hAnsi="Cambria Math"/>
                    <w:sz w:val="24"/>
                    <w:szCs w:val="24"/>
                  </w:rPr>
                  <m:t>f,t</m:t>
                </m:r>
              </m:sub>
            </m:sSub>
          </m:e>
        </m:d>
        <m:r>
          <w:rPr>
            <w:rFonts w:ascii="Cambria Math" w:hAnsi="Cambria Math"/>
            <w:sz w:val="24"/>
            <w:szCs w:val="24"/>
          </w:rPr>
          <m:t>+</m:t>
        </m:r>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p</m:t>
                </m:r>
              </m:sub>
            </m:sSub>
          </m:e>
        </m:acc>
        <m:sSub>
          <m:sSubPr>
            <m:ctrlPr>
              <w:rPr>
                <w:rFonts w:ascii="Cambria Math" w:hAnsi="Cambria Math" w:cs="Times New Roman"/>
                <w:i/>
                <w:sz w:val="24"/>
                <w:szCs w:val="24"/>
              </w:rPr>
            </m:ctrlPr>
          </m:sSubPr>
          <m:e>
            <m:r>
              <w:rPr>
                <w:rFonts w:ascii="Cambria Math" w:hAnsi="Cambria Math"/>
                <w:sz w:val="24"/>
                <w:szCs w:val="24"/>
              </w:rPr>
              <m:t>SMB</m:t>
            </m:r>
          </m:e>
          <m:sub>
            <m:r>
              <w:rPr>
                <w:rFonts w:ascii="Cambria Math" w:hAnsi="Cambria Math"/>
                <w:sz w:val="24"/>
                <w:szCs w:val="24"/>
              </w:rPr>
              <m:t>t</m:t>
            </m:r>
          </m:sub>
        </m:sSub>
        <m:r>
          <w:rPr>
            <w:rFonts w:ascii="Cambria Math" w:hAnsi="Cambria Math"/>
            <w:sz w:val="24"/>
            <w:szCs w:val="24"/>
          </w:rPr>
          <m:t>+</m:t>
        </m:r>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p</m:t>
                </m:r>
              </m:sub>
            </m:sSub>
          </m:e>
        </m:acc>
        <m:sSub>
          <m:sSubPr>
            <m:ctrlPr>
              <w:rPr>
                <w:rFonts w:ascii="Cambria Math" w:hAnsi="Cambria Math" w:cs="Times New Roman"/>
                <w:i/>
                <w:sz w:val="24"/>
                <w:szCs w:val="24"/>
              </w:rPr>
            </m:ctrlPr>
          </m:sSubPr>
          <m:e>
            <m:r>
              <w:rPr>
                <w:rFonts w:ascii="Cambria Math" w:hAnsi="Cambria Math"/>
                <w:sz w:val="24"/>
                <w:szCs w:val="24"/>
              </w:rPr>
              <m:t>HML</m:t>
            </m:r>
          </m:e>
          <m:sub>
            <m:r>
              <w:rPr>
                <w:rFonts w:ascii="Cambria Math" w:hAnsi="Cambria Math"/>
                <w:sz w:val="24"/>
                <w:szCs w:val="24"/>
              </w:rPr>
              <m:t>t</m:t>
            </m:r>
          </m:sub>
        </m:sSub>
        <m:r>
          <w:rPr>
            <w:rFonts w:ascii="Cambria Math" w:hAnsi="Cambria Math" w:cs="Times New Roman"/>
            <w:sz w:val="24"/>
            <w:szCs w:val="24"/>
          </w:rPr>
          <m:t>)</m:t>
        </m:r>
      </m:oMath>
      <w:r w:rsidRPr="002175E5">
        <w:rPr>
          <w:rFonts w:ascii="Times New Roman" w:hAnsi="Times New Roman" w:cs="Times New Roman"/>
          <w:sz w:val="24"/>
          <w:szCs w:val="24"/>
        </w:rPr>
        <w:t xml:space="preserve"> </w:t>
      </w:r>
      <w:r w:rsidRPr="004D53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5393">
        <w:rPr>
          <w:rFonts w:ascii="Times New Roman" w:hAnsi="Times New Roman" w:cs="Times New Roman"/>
          <w:sz w:val="24"/>
          <w:szCs w:val="24"/>
        </w:rPr>
        <w:t xml:space="preserve">      </w:t>
      </w:r>
      <w:r>
        <w:rPr>
          <w:rFonts w:ascii="Times New Roman" w:hAnsi="Times New Roman" w:cs="Times New Roman"/>
          <w:sz w:val="24"/>
          <w:szCs w:val="24"/>
        </w:rPr>
        <w:tab/>
      </w:r>
      <w:r w:rsidRPr="004D5393">
        <w:rPr>
          <w:rFonts w:ascii="Times New Roman" w:hAnsi="Times New Roman" w:cs="Times New Roman"/>
          <w:sz w:val="24"/>
          <w:szCs w:val="24"/>
        </w:rPr>
        <w:t>(</w:t>
      </w:r>
      <w:r>
        <w:rPr>
          <w:rFonts w:ascii="Times New Roman" w:hAnsi="Times New Roman" w:cs="Times New Roman"/>
          <w:sz w:val="24"/>
          <w:szCs w:val="24"/>
        </w:rPr>
        <w:t>7</w:t>
      </w:r>
      <w:r w:rsidRPr="004D5393">
        <w:rPr>
          <w:rFonts w:ascii="Times New Roman" w:hAnsi="Times New Roman" w:cs="Times New Roman"/>
          <w:sz w:val="24"/>
          <w:szCs w:val="24"/>
        </w:rPr>
        <w:t>)</w:t>
      </w:r>
    </w:p>
    <w:p w14:paraId="3A849333" w14:textId="1499860A" w:rsidR="00323A45" w:rsidRPr="004F556B" w:rsidRDefault="00D74C0C" w:rsidP="00C658FF">
      <w:pPr>
        <w:spacing w:after="0" w:line="480" w:lineRule="auto"/>
        <w:ind w:firstLine="72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sz w:val="24"/>
                <w:szCs w:val="24"/>
              </w:rPr>
              <m:t>R</m:t>
            </m:r>
          </m:e>
          <m:sub>
            <m:r>
              <w:rPr>
                <w:rFonts w:ascii="Cambria Math" w:hAnsi="Cambria Math"/>
                <w:sz w:val="24"/>
                <w:szCs w:val="24"/>
              </w:rPr>
              <m:t>f,t</m:t>
            </m:r>
          </m:sub>
        </m:sSub>
      </m:oMath>
      <w:r w:rsidR="00323A45">
        <w:rPr>
          <w:rFonts w:ascii="Times New Roman" w:eastAsia="PMingLiU" w:hAnsi="Times New Roman" w:cs="Times New Roman"/>
          <w:sz w:val="24"/>
          <w:szCs w:val="24"/>
        </w:rPr>
        <w:t xml:space="preserve"> is the risk</w:t>
      </w:r>
      <w:r w:rsidR="00323A45" w:rsidRPr="004D5393">
        <w:rPr>
          <w:rFonts w:ascii="Times New Roman" w:hAnsi="Times New Roman" w:cs="Times New Roman"/>
          <w:sz w:val="24"/>
          <w:szCs w:val="24"/>
        </w:rPr>
        <w:t>−</w:t>
      </w:r>
      <w:r w:rsidR="00323A45">
        <w:rPr>
          <w:rFonts w:ascii="Times New Roman" w:eastAsia="PMingLiU" w:hAnsi="Times New Roman" w:cs="Times New Roman"/>
          <w:sz w:val="24"/>
          <w:szCs w:val="24"/>
        </w:rPr>
        <w:t xml:space="preserve">free rate,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α</m:t>
                </m:r>
              </m:e>
            </m:acc>
          </m:e>
          <m:sub>
            <m:r>
              <w:rPr>
                <w:rFonts w:ascii="Cambria Math" w:hAnsi="Cambria Math" w:cs="Times New Roman"/>
                <w:sz w:val="24"/>
                <w:szCs w:val="24"/>
              </w:rPr>
              <m:t>i</m:t>
            </m:r>
          </m:sub>
        </m:sSub>
      </m:oMath>
      <w:r w:rsidR="00323A45">
        <w:rPr>
          <w:rFonts w:ascii="Times New Roman" w:eastAsia="PMingLiU" w:hAnsi="Times New Roman" w:cs="Times New Roman"/>
          <w:sz w:val="24"/>
          <w:szCs w:val="24"/>
        </w:rPr>
        <w:t xml:space="preserve"> is the intercept </w:t>
      </w:r>
      <w:r w:rsidR="00323A45">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oMath>
      <w:r w:rsidR="00323A45">
        <w:rPr>
          <w:rFonts w:ascii="Times New Roman" w:hAnsi="Times New Roman" w:cs="Times New Roman"/>
          <w:sz w:val="24"/>
          <w:szCs w:val="24"/>
        </w:rPr>
        <w:t xml:space="preserve"> is the coefficient estimate of the excess market return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sz w:val="24"/>
                    <w:szCs w:val="24"/>
                  </w:rPr>
                  <m:t>R</m:t>
                </m:r>
              </m:e>
              <m:sub>
                <m:r>
                  <w:rPr>
                    <w:rFonts w:ascii="Cambria Math" w:hAnsi="Cambria Math"/>
                    <w:sz w:val="24"/>
                    <w:szCs w:val="24"/>
                  </w:rPr>
                  <m:t>m,t</m:t>
                </m:r>
              </m:sub>
            </m:sSub>
            <m:r>
              <w:rPr>
                <w:rFonts w:ascii="Cambria Math" w:hAnsi="Cambria Math"/>
                <w:sz w:val="24"/>
                <w:szCs w:val="24"/>
              </w:rPr>
              <m:t>-</m:t>
            </m:r>
            <m:sSub>
              <m:sSubPr>
                <m:ctrlPr>
                  <w:rPr>
                    <w:rFonts w:ascii="Cambria Math" w:hAnsi="Cambria Math" w:cs="Times New Roman"/>
                    <w:i/>
                    <w:sz w:val="24"/>
                    <w:szCs w:val="24"/>
                  </w:rPr>
                </m:ctrlPr>
              </m:sSubPr>
              <m:e>
                <m:r>
                  <w:rPr>
                    <w:rFonts w:ascii="Cambria Math" w:hAnsi="Cambria Math"/>
                    <w:sz w:val="24"/>
                    <w:szCs w:val="24"/>
                  </w:rPr>
                  <m:t>R</m:t>
                </m:r>
              </m:e>
              <m:sub>
                <m:r>
                  <w:rPr>
                    <w:rFonts w:ascii="Cambria Math" w:hAnsi="Cambria Math"/>
                    <w:sz w:val="24"/>
                    <w:szCs w:val="24"/>
                  </w:rPr>
                  <m:t>f,t</m:t>
                </m:r>
              </m:sub>
            </m:sSub>
          </m:e>
        </m:d>
      </m:oMath>
      <w:r w:rsidR="00323A45">
        <w:rPr>
          <w:rFonts w:ascii="Times New Roman" w:hAnsi="Times New Roman" w:cs="Times New Roman"/>
          <w:sz w:val="24"/>
          <w:szCs w:val="24"/>
        </w:rPr>
        <w:t>.</w:t>
      </w:r>
      <m:oMath>
        <m:r>
          <w:rPr>
            <w:rFonts w:ascii="Cambria Math" w:hAnsi="Cambria Math" w:cs="Times New Roman"/>
            <w:sz w:val="24"/>
            <w:szCs w:val="24"/>
          </w:rPr>
          <m:t xml:space="preserve"> </m:t>
        </m:r>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p</m:t>
                </m:r>
              </m:sub>
            </m:sSub>
          </m:e>
        </m:acc>
      </m:oMath>
      <w:r w:rsidR="00323A45">
        <w:rPr>
          <w:rFonts w:ascii="Times New Roman" w:hAnsi="Times New Roman" w:cs="Times New Roman"/>
          <w:sz w:val="24"/>
          <w:szCs w:val="24"/>
        </w:rPr>
        <w:t xml:space="preserve"> and </w:t>
      </w:r>
      <m:oMath>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p</m:t>
                </m:r>
              </m:sub>
            </m:sSub>
          </m:e>
        </m:acc>
      </m:oMath>
      <w:r w:rsidR="00323A45">
        <w:rPr>
          <w:rFonts w:ascii="Times New Roman" w:hAnsi="Times New Roman" w:cs="Times New Roman"/>
          <w:sz w:val="24"/>
          <w:szCs w:val="24"/>
        </w:rPr>
        <w:t xml:space="preserve"> are the coefficients for </w:t>
      </w:r>
      <w:r w:rsidR="00323A45" w:rsidRPr="00561A96">
        <w:rPr>
          <w:rFonts w:ascii="Times New Roman" w:hAnsi="Times New Roman" w:cs="Times New Roman"/>
          <w:sz w:val="24"/>
          <w:szCs w:val="24"/>
        </w:rPr>
        <w:t xml:space="preserve">the difference </w:t>
      </w:r>
      <w:r w:rsidR="00323A45">
        <w:rPr>
          <w:rFonts w:ascii="Times New Roman" w:hAnsi="Times New Roman" w:cs="Times New Roman"/>
          <w:sz w:val="24"/>
          <w:szCs w:val="24"/>
        </w:rPr>
        <w:t xml:space="preserve">in our total sample Hong Kong stock portfolio </w:t>
      </w:r>
      <w:r w:rsidR="00323A45" w:rsidRPr="004F556B">
        <w:rPr>
          <w:rFonts w:ascii="Times New Roman" w:hAnsi="Times New Roman" w:cs="Times New Roman"/>
          <w:i/>
          <w:iCs/>
          <w:sz w:val="24"/>
          <w:szCs w:val="24"/>
        </w:rPr>
        <w:t>p</w:t>
      </w:r>
      <w:r w:rsidR="00323A45">
        <w:rPr>
          <w:rFonts w:ascii="Times New Roman" w:hAnsi="Times New Roman" w:cs="Times New Roman"/>
          <w:sz w:val="24"/>
          <w:szCs w:val="24"/>
        </w:rPr>
        <w:t xml:space="preserve">  between small and big stocks (</w:t>
      </w:r>
      <w:proofErr w:type="spellStart"/>
      <w:r w:rsidR="00323A45" w:rsidRPr="004F556B">
        <w:rPr>
          <w:rFonts w:ascii="Times New Roman" w:hAnsi="Times New Roman" w:cs="Times New Roman"/>
          <w:i/>
          <w:iCs/>
          <w:sz w:val="24"/>
          <w:szCs w:val="24"/>
        </w:rPr>
        <w:t>SMB</w:t>
      </w:r>
      <w:r w:rsidR="00323A45">
        <w:rPr>
          <w:rFonts w:ascii="Times New Roman" w:hAnsi="Times New Roman" w:cs="Times New Roman"/>
          <w:i/>
          <w:iCs/>
          <w:sz w:val="24"/>
          <w:szCs w:val="24"/>
          <w:vertAlign w:val="subscript"/>
        </w:rPr>
        <w:t>t</w:t>
      </w:r>
      <w:proofErr w:type="spellEnd"/>
      <w:r w:rsidR="00323A45">
        <w:rPr>
          <w:rFonts w:ascii="Times New Roman" w:hAnsi="Times New Roman" w:cs="Times New Roman"/>
          <w:sz w:val="24"/>
          <w:szCs w:val="24"/>
        </w:rPr>
        <w:t>) and high and low book-to-market stocks (</w:t>
      </w:r>
      <w:proofErr w:type="spellStart"/>
      <w:r w:rsidR="00323A45" w:rsidRPr="004F556B">
        <w:rPr>
          <w:rFonts w:ascii="Times New Roman" w:hAnsi="Times New Roman" w:cs="Times New Roman"/>
          <w:i/>
          <w:iCs/>
          <w:sz w:val="24"/>
          <w:szCs w:val="24"/>
        </w:rPr>
        <w:t>HML</w:t>
      </w:r>
      <w:r w:rsidR="00323A45">
        <w:rPr>
          <w:rFonts w:ascii="Times New Roman" w:hAnsi="Times New Roman" w:cs="Times New Roman"/>
          <w:i/>
          <w:iCs/>
          <w:sz w:val="24"/>
          <w:szCs w:val="24"/>
          <w:vertAlign w:val="subscript"/>
        </w:rPr>
        <w:t>t</w:t>
      </w:r>
      <w:proofErr w:type="spellEnd"/>
      <w:r w:rsidR="00323A45">
        <w:rPr>
          <w:rFonts w:ascii="Times New Roman" w:hAnsi="Times New Roman" w:cs="Times New Roman"/>
          <w:sz w:val="24"/>
          <w:szCs w:val="24"/>
        </w:rPr>
        <w:t xml:space="preserve">) at time </w:t>
      </w:r>
      <w:r w:rsidR="00323A45" w:rsidRPr="004F556B">
        <w:rPr>
          <w:rFonts w:ascii="Times New Roman" w:hAnsi="Times New Roman" w:cs="Times New Roman"/>
          <w:i/>
          <w:iCs/>
          <w:sz w:val="24"/>
          <w:szCs w:val="24"/>
        </w:rPr>
        <w:t>t</w:t>
      </w:r>
      <w:r w:rsidR="00323A45">
        <w:rPr>
          <w:rFonts w:ascii="Times New Roman" w:hAnsi="Times New Roman" w:cs="Times New Roman"/>
          <w:sz w:val="24"/>
          <w:szCs w:val="24"/>
        </w:rPr>
        <w:t>, respectively. We produce the size (</w:t>
      </w:r>
      <w:proofErr w:type="spellStart"/>
      <w:r w:rsidR="00323A45" w:rsidRPr="004F556B">
        <w:rPr>
          <w:rFonts w:ascii="Times New Roman" w:hAnsi="Times New Roman" w:cs="Times New Roman"/>
          <w:i/>
          <w:iCs/>
          <w:sz w:val="24"/>
          <w:szCs w:val="24"/>
        </w:rPr>
        <w:t>SMB</w:t>
      </w:r>
      <w:r w:rsidR="00323A45">
        <w:rPr>
          <w:rFonts w:ascii="Times New Roman" w:hAnsi="Times New Roman" w:cs="Times New Roman"/>
          <w:i/>
          <w:iCs/>
          <w:sz w:val="24"/>
          <w:szCs w:val="24"/>
          <w:vertAlign w:val="subscript"/>
        </w:rPr>
        <w:t>t</w:t>
      </w:r>
      <w:proofErr w:type="spellEnd"/>
      <w:r w:rsidR="00323A45">
        <w:rPr>
          <w:rFonts w:ascii="Times New Roman" w:hAnsi="Times New Roman" w:cs="Times New Roman"/>
          <w:sz w:val="24"/>
          <w:szCs w:val="24"/>
        </w:rPr>
        <w:t>) and book-to-market equity (</w:t>
      </w:r>
      <w:proofErr w:type="spellStart"/>
      <w:r w:rsidR="00323A45" w:rsidRPr="004F556B">
        <w:rPr>
          <w:rFonts w:ascii="Times New Roman" w:hAnsi="Times New Roman" w:cs="Times New Roman"/>
          <w:i/>
          <w:iCs/>
          <w:sz w:val="24"/>
          <w:szCs w:val="24"/>
        </w:rPr>
        <w:t>HML</w:t>
      </w:r>
      <w:r w:rsidR="00323A45">
        <w:rPr>
          <w:rFonts w:ascii="Times New Roman" w:hAnsi="Times New Roman" w:cs="Times New Roman"/>
          <w:i/>
          <w:iCs/>
          <w:sz w:val="24"/>
          <w:szCs w:val="24"/>
          <w:vertAlign w:val="subscript"/>
        </w:rPr>
        <w:t>t</w:t>
      </w:r>
      <w:proofErr w:type="spellEnd"/>
      <w:r w:rsidR="00323A45">
        <w:rPr>
          <w:rFonts w:ascii="Times New Roman" w:hAnsi="Times New Roman" w:cs="Times New Roman"/>
          <w:sz w:val="24"/>
          <w:szCs w:val="24"/>
        </w:rPr>
        <w:t xml:space="preserve">) factors as follows. We sort our sample stocks into two size groups based on the median market capitalization (i.e., median size), denoted by S (small) and B (big). We then make another group by sorting our  sample stocks into three groups of book-to-market </w:t>
      </w:r>
      <w:r w:rsidR="00323A45">
        <w:rPr>
          <w:rFonts w:ascii="Times New Roman" w:hAnsi="Times New Roman" w:cs="Times New Roman"/>
          <w:sz w:val="24"/>
          <w:szCs w:val="24"/>
        </w:rPr>
        <w:lastRenderedPageBreak/>
        <w:t xml:space="preserve">equity values based on the thresholds for the bottom 30 percent (L, for “low”), middle 40 percent (M, for “medium”) and top 30 percent (H, for “high”). </w:t>
      </w:r>
      <w:proofErr w:type="spellStart"/>
      <w:r w:rsidR="00323A45" w:rsidRPr="004F556B">
        <w:rPr>
          <w:rFonts w:ascii="Times New Roman" w:hAnsi="Times New Roman" w:cs="Times New Roman"/>
          <w:i/>
          <w:iCs/>
          <w:sz w:val="24"/>
          <w:szCs w:val="24"/>
        </w:rPr>
        <w:t>SMB</w:t>
      </w:r>
      <w:r w:rsidR="00323A45">
        <w:rPr>
          <w:rFonts w:ascii="Times New Roman" w:hAnsi="Times New Roman" w:cs="Times New Roman"/>
          <w:i/>
          <w:iCs/>
          <w:sz w:val="24"/>
          <w:szCs w:val="24"/>
          <w:vertAlign w:val="subscript"/>
        </w:rPr>
        <w:t>t</w:t>
      </w:r>
      <w:proofErr w:type="spellEnd"/>
      <w:r w:rsidR="00323A45">
        <w:rPr>
          <w:rFonts w:ascii="Times New Roman" w:hAnsi="Times New Roman" w:cs="Times New Roman"/>
          <w:sz w:val="24"/>
          <w:szCs w:val="24"/>
          <w:vertAlign w:val="subscript"/>
        </w:rPr>
        <w:t xml:space="preserve"> </w:t>
      </w:r>
      <w:r w:rsidR="00323A45">
        <w:rPr>
          <w:rFonts w:ascii="Times New Roman" w:hAnsi="Times New Roman" w:cs="Times New Roman"/>
          <w:sz w:val="24"/>
          <w:szCs w:val="24"/>
        </w:rPr>
        <w:t xml:space="preserve">is the difference between the average returns on the three small stock portfolios (S/L, S/M and S/H) and the average returns on the three big stock portfolios (B/L, B/M and B/H) at time </w:t>
      </w:r>
      <w:r w:rsidR="00323A45" w:rsidRPr="00A21238">
        <w:rPr>
          <w:rFonts w:ascii="Times New Roman" w:hAnsi="Times New Roman" w:cs="Times New Roman"/>
          <w:i/>
          <w:iCs/>
          <w:sz w:val="24"/>
          <w:szCs w:val="24"/>
        </w:rPr>
        <w:t>t</w:t>
      </w:r>
      <w:r w:rsidR="00323A45">
        <w:rPr>
          <w:rFonts w:ascii="Times New Roman" w:hAnsi="Times New Roman" w:cs="Times New Roman"/>
          <w:sz w:val="24"/>
          <w:szCs w:val="24"/>
        </w:rPr>
        <w:t xml:space="preserve">. </w:t>
      </w:r>
      <w:proofErr w:type="spellStart"/>
      <w:r w:rsidR="00323A45" w:rsidRPr="004F556B">
        <w:rPr>
          <w:rFonts w:ascii="Times New Roman" w:hAnsi="Times New Roman" w:cs="Times New Roman"/>
          <w:i/>
          <w:iCs/>
          <w:sz w:val="24"/>
          <w:szCs w:val="24"/>
        </w:rPr>
        <w:t>HML</w:t>
      </w:r>
      <w:r w:rsidR="00323A45">
        <w:rPr>
          <w:rFonts w:ascii="Times New Roman" w:hAnsi="Times New Roman" w:cs="Times New Roman"/>
          <w:i/>
          <w:iCs/>
          <w:sz w:val="24"/>
          <w:szCs w:val="24"/>
          <w:vertAlign w:val="subscript"/>
        </w:rPr>
        <w:t>t</w:t>
      </w:r>
      <w:proofErr w:type="spellEnd"/>
      <w:r w:rsidR="00323A45">
        <w:rPr>
          <w:rFonts w:ascii="Times New Roman" w:hAnsi="Times New Roman" w:cs="Times New Roman"/>
          <w:sz w:val="24"/>
          <w:szCs w:val="24"/>
        </w:rPr>
        <w:t xml:space="preserve"> is the difference between the average returns on the two high book-to-market equity portfolios (S/H and B/H) and the two low book-to-market equity portfolios (S/L and B/L) at time </w:t>
      </w:r>
      <w:r w:rsidR="00323A45" w:rsidRPr="00C34BF6">
        <w:rPr>
          <w:rFonts w:ascii="Times New Roman" w:hAnsi="Times New Roman" w:cs="Times New Roman"/>
          <w:i/>
          <w:iCs/>
          <w:sz w:val="24"/>
          <w:szCs w:val="24"/>
        </w:rPr>
        <w:t>t</w:t>
      </w:r>
      <w:r w:rsidR="00323A45">
        <w:rPr>
          <w:rFonts w:ascii="Times New Roman" w:hAnsi="Times New Roman" w:cs="Times New Roman"/>
          <w:sz w:val="24"/>
          <w:szCs w:val="24"/>
        </w:rPr>
        <w:t>. We repeat the steps from equation (2) to (6) using our equation (7) instead of (1) to perform our event study.</w:t>
      </w:r>
    </w:p>
    <w:p w14:paraId="52F906FB" w14:textId="563AE723" w:rsidR="006E0FEC" w:rsidRPr="004D5393" w:rsidRDefault="00323A45" w:rsidP="00C658FF">
      <w:pPr>
        <w:spacing w:after="0" w:line="480" w:lineRule="auto"/>
        <w:ind w:firstLine="720"/>
        <w:contextualSpacing/>
        <w:jc w:val="both"/>
      </w:pPr>
      <w:r w:rsidRPr="004D5393">
        <w:rPr>
          <w:rFonts w:ascii="Times New Roman" w:hAnsi="Times New Roman" w:cs="Times New Roman"/>
          <w:sz w:val="24"/>
          <w:szCs w:val="24"/>
        </w:rPr>
        <w:t xml:space="preserve">Finally, complementary to the above analysis, we study the impact of the previous quarter’s market sentiment when an analyst makes an ‘upgrade’, ‘downgrade’ or a ‘hold’ recommendation by employing a conditional probability model based on a binomial framework. In particular, we seek to find out what would be the conditional probability of an upgrade/hold/downgrade of a given stock, if the investor sentiment is positive/negative in the last quarter. We denote </w:t>
      </w:r>
      <m:oMath>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i,t</m:t>
            </m:r>
          </m:sub>
        </m:sSub>
      </m:oMath>
      <w:r w:rsidRPr="004D5393">
        <w:rPr>
          <w:rFonts w:ascii="Times New Roman" w:hAnsi="Times New Roman" w:cs="Times New Roman"/>
          <w:sz w:val="24"/>
          <w:szCs w:val="24"/>
        </w:rPr>
        <w:t xml:space="preserve"> as the analyst recommendation </w:t>
      </w:r>
      <w:r w:rsidRPr="004D5393">
        <w:rPr>
          <w:rFonts w:ascii="Times New Roman" w:hAnsi="Times New Roman" w:cs="Times New Roman"/>
          <w:i/>
          <w:sz w:val="24"/>
          <w:szCs w:val="24"/>
        </w:rPr>
        <w:t>i</w:t>
      </w:r>
      <w:r w:rsidRPr="004D5393">
        <w:rPr>
          <w:rFonts w:ascii="Times New Roman" w:hAnsi="Times New Roman" w:cs="Times New Roman"/>
          <w:sz w:val="24"/>
          <w:szCs w:val="24"/>
        </w:rPr>
        <w:t xml:space="preserve"> = {upgrade, downgrade, hold} at time </w:t>
      </w:r>
      <w:r w:rsidRPr="004D5393">
        <w:rPr>
          <w:rFonts w:ascii="Times New Roman" w:hAnsi="Times New Roman" w:cs="Times New Roman"/>
          <w:i/>
          <w:sz w:val="24"/>
          <w:szCs w:val="24"/>
        </w:rPr>
        <w:t>t</w:t>
      </w:r>
      <w:r w:rsidRPr="004D53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sen</m:t>
            </m:r>
          </m:e>
          <m:sub>
            <m:r>
              <w:rPr>
                <w:rFonts w:ascii="Cambria Math" w:hAnsi="Cambria Math" w:cs="Times New Roman"/>
                <w:sz w:val="24"/>
                <w:szCs w:val="24"/>
              </w:rPr>
              <m:t>j,t</m:t>
            </m:r>
          </m:sub>
        </m:sSub>
      </m:oMath>
      <w:r w:rsidRPr="004D5393">
        <w:rPr>
          <w:rFonts w:ascii="Times New Roman" w:hAnsi="Times New Roman" w:cs="Times New Roman"/>
          <w:sz w:val="24"/>
          <w:szCs w:val="24"/>
        </w:rPr>
        <w:t xml:space="preserve"> as the investor sentiment </w:t>
      </w:r>
      <w:r w:rsidRPr="004D5393">
        <w:rPr>
          <w:rFonts w:ascii="Times New Roman" w:hAnsi="Times New Roman" w:cs="Times New Roman"/>
          <w:i/>
          <w:sz w:val="24"/>
          <w:szCs w:val="24"/>
        </w:rPr>
        <w:t>j</w:t>
      </w:r>
      <w:r w:rsidRPr="004D5393">
        <w:rPr>
          <w:rFonts w:ascii="Times New Roman" w:hAnsi="Times New Roman" w:cs="Times New Roman"/>
          <w:sz w:val="24"/>
          <w:szCs w:val="24"/>
        </w:rPr>
        <w:t xml:space="preserve"> = {positive, negative} at time </w:t>
      </w:r>
      <w:r w:rsidRPr="004D5393">
        <w:rPr>
          <w:rFonts w:ascii="Times New Roman" w:hAnsi="Times New Roman" w:cs="Times New Roman"/>
          <w:i/>
          <w:sz w:val="24"/>
          <w:szCs w:val="24"/>
        </w:rPr>
        <w:t>t</w:t>
      </w:r>
      <w:r w:rsidRPr="004D5393">
        <w:rPr>
          <w:rFonts w:ascii="Times New Roman" w:hAnsi="Times New Roman" w:cs="Times New Roman"/>
          <w:sz w:val="24"/>
          <w:szCs w:val="24"/>
        </w:rPr>
        <w:t xml:space="preserve">. Then we express these in terms of probabilities, </w:t>
      </w:r>
      <w:r>
        <w:rPr>
          <w:rFonts w:ascii="Times New Roman" w:hAnsi="Times New Roman" w:cs="Times New Roman"/>
          <w:sz w:val="24"/>
          <w:szCs w:val="24"/>
        </w:rPr>
        <w:t>and</w:t>
      </w:r>
      <w:r w:rsidRPr="004D5393">
        <w:rPr>
          <w:rFonts w:ascii="Times New Roman" w:hAnsi="Times New Roman" w:cs="Times New Roman"/>
          <w:sz w:val="24"/>
          <w:szCs w:val="24"/>
        </w:rPr>
        <w:t xml:space="preserve"> use the cumulative data from one quarter to the next: The analyst recommendation probability is the cumulative recommendations from one quarter to the next, for example as from time </w:t>
      </w:r>
      <w:r w:rsidRPr="004D5393">
        <w:rPr>
          <w:rFonts w:ascii="Times New Roman" w:hAnsi="Times New Roman" w:cs="Times New Roman"/>
          <w:i/>
          <w:sz w:val="24"/>
          <w:szCs w:val="24"/>
        </w:rPr>
        <w:t>s</w:t>
      </w:r>
      <w:r w:rsidRPr="004D5393">
        <w:rPr>
          <w:rFonts w:ascii="Times New Roman" w:hAnsi="Times New Roman" w:cs="Times New Roman"/>
          <w:sz w:val="24"/>
          <w:szCs w:val="24"/>
        </w:rPr>
        <w:t xml:space="preserve"> to time </w:t>
      </w:r>
      <w:r w:rsidRPr="004D5393">
        <w:rPr>
          <w:rFonts w:ascii="Times New Roman" w:hAnsi="Times New Roman" w:cs="Times New Roman"/>
          <w:i/>
          <w:sz w:val="24"/>
          <w:szCs w:val="24"/>
        </w:rPr>
        <w:t>t</w:t>
      </w:r>
      <w:r w:rsidRPr="004D5393">
        <w:rPr>
          <w:rFonts w:ascii="Times New Roman" w:hAnsi="Times New Roman" w:cs="Times New Roman"/>
          <w:sz w:val="24"/>
          <w:szCs w:val="24"/>
        </w:rPr>
        <w:t xml:space="preserve">. Similarly, the investor sentiment probability is the change in investor sentiment indices from one quarter to the next, also from time </w:t>
      </w:r>
      <w:r w:rsidRPr="004D5393">
        <w:rPr>
          <w:rFonts w:ascii="Times New Roman" w:hAnsi="Times New Roman" w:cs="Times New Roman"/>
          <w:i/>
          <w:sz w:val="24"/>
          <w:szCs w:val="24"/>
        </w:rPr>
        <w:t>s</w:t>
      </w:r>
      <w:r w:rsidRPr="004D5393">
        <w:rPr>
          <w:rFonts w:ascii="Times New Roman" w:hAnsi="Times New Roman" w:cs="Times New Roman"/>
          <w:sz w:val="24"/>
          <w:szCs w:val="24"/>
        </w:rPr>
        <w:t xml:space="preserve"> to time </w:t>
      </w:r>
      <w:r w:rsidRPr="004D5393">
        <w:rPr>
          <w:rFonts w:ascii="Times New Roman" w:hAnsi="Times New Roman" w:cs="Times New Roman"/>
          <w:i/>
          <w:sz w:val="24"/>
          <w:szCs w:val="24"/>
        </w:rPr>
        <w:t>t</w:t>
      </w:r>
      <w:r w:rsidRPr="004D5393">
        <w:rPr>
          <w:rFonts w:ascii="Times New Roman" w:hAnsi="Times New Roman" w:cs="Times New Roman"/>
          <w:sz w:val="24"/>
          <w:szCs w:val="24"/>
        </w:rPr>
        <w:t xml:space="preserve">. </w:t>
      </w:r>
      <w:r>
        <w:rPr>
          <w:rFonts w:ascii="Times New Roman" w:hAnsi="Times New Roman" w:cs="Times New Roman"/>
          <w:sz w:val="24"/>
          <w:szCs w:val="24"/>
        </w:rPr>
        <w:t xml:space="preserve">(Please refer Panel D of Table 8 for a detailed methodology of the estimation). </w:t>
      </w:r>
      <w:r w:rsidRPr="004D5393">
        <w:rPr>
          <w:rFonts w:ascii="Times New Roman" w:hAnsi="Times New Roman" w:cs="Times New Roman"/>
          <w:sz w:val="24"/>
          <w:szCs w:val="24"/>
        </w:rPr>
        <w:t>This investment sentiment probability is the normalized percentage change in investor sentiment index relative to the average sentiment</w:t>
      </w:r>
      <w:r>
        <w:rPr>
          <w:rFonts w:ascii="Times New Roman" w:hAnsi="Times New Roman" w:cs="Times New Roman"/>
          <w:sz w:val="24"/>
          <w:szCs w:val="24"/>
        </w:rPr>
        <w:t xml:space="preserve">. </w:t>
      </w:r>
      <w:r w:rsidRPr="004D5393">
        <w:rPr>
          <w:rFonts w:ascii="Times New Roman" w:hAnsi="Times New Roman" w:cs="Times New Roman"/>
          <w:sz w:val="24"/>
          <w:szCs w:val="24"/>
        </w:rPr>
        <w:t xml:space="preserve">We express the combined effect between these analyst recommendation </w:t>
      </w:r>
      <m:oMath>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i,t</m:t>
            </m:r>
          </m:sub>
        </m:sSub>
        <m:r>
          <w:rPr>
            <w:rFonts w:ascii="Cambria Math" w:hAnsi="Cambria Math" w:cs="Times New Roman"/>
            <w:sz w:val="24"/>
            <w:szCs w:val="24"/>
          </w:rPr>
          <m:t xml:space="preserve"> </m:t>
        </m:r>
      </m:oMath>
      <w:r w:rsidRPr="004D5393">
        <w:rPr>
          <w:rFonts w:ascii="Times New Roman" w:hAnsi="Times New Roman" w:cs="Times New Roman"/>
          <w:sz w:val="24"/>
          <w:szCs w:val="24"/>
        </w:rPr>
        <w:t xml:space="preserve">and investor sentiment </w:t>
      </w:r>
      <m:oMath>
        <m:sSub>
          <m:sSubPr>
            <m:ctrlPr>
              <w:rPr>
                <w:rFonts w:ascii="Cambria Math" w:hAnsi="Cambria Math" w:cs="Times New Roman"/>
                <w:i/>
                <w:sz w:val="24"/>
                <w:szCs w:val="24"/>
              </w:rPr>
            </m:ctrlPr>
          </m:sSubPr>
          <m:e>
            <m:r>
              <w:rPr>
                <w:rFonts w:ascii="Cambria Math" w:hAnsi="Cambria Math" w:cs="Times New Roman"/>
                <w:sz w:val="24"/>
                <w:szCs w:val="24"/>
              </w:rPr>
              <m:t>sen</m:t>
            </m:r>
          </m:e>
          <m:sub>
            <m:r>
              <w:rPr>
                <w:rFonts w:ascii="Cambria Math" w:hAnsi="Cambria Math" w:cs="Times New Roman"/>
                <w:sz w:val="24"/>
                <w:szCs w:val="24"/>
              </w:rPr>
              <m:t>j,t</m:t>
            </m:r>
          </m:sub>
        </m:sSub>
      </m:oMath>
      <w:r w:rsidRPr="004D5393">
        <w:rPr>
          <w:rFonts w:ascii="Times New Roman" w:hAnsi="Times New Roman" w:cs="Times New Roman"/>
          <w:sz w:val="24"/>
          <w:szCs w:val="24"/>
        </w:rPr>
        <w:t xml:space="preserve"> in the following </w:t>
      </w:r>
      <w:r>
        <w:rPr>
          <w:rFonts w:ascii="Times New Roman" w:hAnsi="Times New Roman" w:cs="Times New Roman"/>
          <w:sz w:val="24"/>
          <w:szCs w:val="24"/>
        </w:rPr>
        <w:t xml:space="preserve">conditional </w:t>
      </w:r>
      <w:r w:rsidRPr="004D5393">
        <w:rPr>
          <w:rFonts w:ascii="Times New Roman" w:hAnsi="Times New Roman" w:cs="Times New Roman"/>
          <w:sz w:val="24"/>
          <w:szCs w:val="24"/>
        </w:rPr>
        <w:t xml:space="preserve">form. We use the expected (i.e., average) value form for </w:t>
      </w:r>
      <w:r>
        <w:rPr>
          <w:rFonts w:ascii="Times New Roman" w:hAnsi="Times New Roman" w:cs="Times New Roman"/>
          <w:sz w:val="24"/>
          <w:szCs w:val="24"/>
        </w:rPr>
        <w:t>this as below</w:t>
      </w:r>
      <w:r w:rsidRPr="004D5393">
        <w:rPr>
          <w:rFonts w:ascii="Times New Roman" w:hAnsi="Times New Roman" w:cs="Times New Roman"/>
          <w:sz w:val="24"/>
          <w:szCs w:val="24"/>
        </w:rPr>
        <w:t xml:space="preserve">. </w:t>
      </w:r>
    </w:p>
    <w:p w14:paraId="7AA5C6EA" w14:textId="77777777" w:rsidR="00323A45" w:rsidRPr="004D5393" w:rsidRDefault="00323A45" w:rsidP="00C658FF">
      <w:pPr>
        <w:spacing w:after="0" w:line="480" w:lineRule="auto"/>
        <w:contextualSpacing/>
        <w:jc w:val="center"/>
      </w:pPr>
      <w:r w:rsidRPr="004D5393">
        <w:rPr>
          <w:sz w:val="24"/>
          <w:szCs w:val="24"/>
        </w:rPr>
        <w:t xml:space="preserve">    </w:t>
      </w:r>
      <w:r>
        <w:rPr>
          <w:sz w:val="24"/>
          <w:szCs w:val="24"/>
        </w:rPr>
        <w:t xml:space="preserve">                  </w:t>
      </w:r>
      <w:r w:rsidRPr="004D5393">
        <w:rPr>
          <w:sz w:val="24"/>
          <w:szCs w:val="24"/>
        </w:rPr>
        <w:t xml:space="preserve">   </w:t>
      </w:r>
      <m:oMath>
        <m:r>
          <w:rPr>
            <w:rFonts w:ascii="Cambria Math" w:hAnsi="Cambria Math" w:cs="Times New Roman"/>
            <w:sz w:val="24"/>
            <w:szCs w:val="24"/>
          </w:rPr>
          <m:t xml:space="preserve"> 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i,t-s</m:t>
                </m:r>
              </m:sub>
            </m:sSub>
            <m:r>
              <m:rPr>
                <m:sty m:val="p"/>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sen</m:t>
                </m:r>
              </m:e>
              <m:sub>
                <m:r>
                  <w:rPr>
                    <w:rFonts w:ascii="Cambria Math" w:hAnsi="Cambria Math" w:cs="Times New Roman"/>
                    <w:sz w:val="24"/>
                    <w:szCs w:val="24"/>
                  </w:rPr>
                  <m:t>j,t-s</m:t>
                </m:r>
              </m:sub>
            </m:sSub>
            <m:ctrlPr>
              <w:rPr>
                <w:rFonts w:ascii="Cambria Math" w:hAnsi="Cambria Math" w:cs="Times New Roman"/>
                <w:sz w:val="24"/>
                <w:szCs w:val="24"/>
              </w:rPr>
            </m:ctrlPr>
          </m:e>
        </m:d>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r>
                  <m:rPr>
                    <m:nor/>
                  </m:rPr>
                  <w:rPr>
                    <w:rFonts w:ascii="Times New Roman" w:hAnsi="Times New Roman" w:cs="Times New Roman"/>
                    <w:sz w:val="24"/>
                    <w:szCs w:val="24"/>
                  </w:rPr>
                  <m:t>impose expected value "</m:t>
                </m:r>
                <m:sSub>
                  <m:sSubPr>
                    <m:ctrlPr>
                      <w:rPr>
                        <w:rFonts w:ascii="Cambria Math" w:hAnsi="Cambria Math" w:cs="Times New Roman"/>
                        <w:i/>
                        <w:sz w:val="24"/>
                        <w:szCs w:val="24"/>
                      </w:rPr>
                    </m:ctrlPr>
                  </m:sSubPr>
                  <m:e>
                    <m:r>
                      <m:rPr>
                        <m:nor/>
                      </m:rPr>
                      <w:rPr>
                        <w:rFonts w:ascii="Times New Roman" w:hAnsi="Times New Roman" w:cs="Times New Roman"/>
                        <w:i/>
                        <w:sz w:val="24"/>
                        <w:szCs w:val="24"/>
                      </w:rPr>
                      <m:t>E</m:t>
                    </m:r>
                  </m:e>
                  <m:sub>
                    <m:r>
                      <m:rPr>
                        <m:nor/>
                      </m:rPr>
                      <w:rPr>
                        <w:rFonts w:ascii="Times New Roman" w:hAnsi="Times New Roman" w:cs="Times New Roman"/>
                        <w:i/>
                        <w:sz w:val="24"/>
                        <w:szCs w:val="24"/>
                      </w:rPr>
                      <m:t>t</m:t>
                    </m:r>
                  </m:sub>
                </m:sSub>
                <m:r>
                  <m:rPr>
                    <m:nor/>
                  </m:rPr>
                  <w:rPr>
                    <w:rFonts w:ascii="Times New Roman" w:hAnsi="Times New Roman" w:cs="Times New Roman"/>
                    <w:sz w:val="24"/>
                    <w:szCs w:val="24"/>
                  </w:rPr>
                  <m:t>"</m:t>
                </m:r>
              </m:e>
            </m:groupChr>
          </m:e>
        </m:box>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t-s</m:t>
                    </m:r>
                  </m:sub>
                </m:sSub>
                <m:r>
                  <m:rPr>
                    <m:nor/>
                  </m:rPr>
                  <w:rPr>
                    <w:rFonts w:ascii="Times New Roman" w:hAnsi="Times New Roman" w:cs="Times New Roman"/>
                    <w:sz w:val="24"/>
                    <w:szCs w:val="24"/>
                  </w:rPr>
                  <m:t xml:space="preserve"> </m:t>
                </m:r>
                <m:r>
                  <m:rPr>
                    <m:sty m:val="p"/>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sen</m:t>
                    </m:r>
                  </m:e>
                  <m:sub>
                    <m:r>
                      <w:rPr>
                        <w:rFonts w:ascii="Cambria Math" w:hAnsi="Cambria Math" w:cs="Times New Roman"/>
                        <w:sz w:val="24"/>
                        <w:szCs w:val="24"/>
                      </w:rPr>
                      <m:t>j,t-s</m:t>
                    </m:r>
                  </m:sub>
                </m:sSub>
                <m:ctrlPr>
                  <w:rPr>
                    <w:rFonts w:ascii="Cambria Math" w:hAnsi="Cambria Math" w:cs="Times New Roman"/>
                    <w:sz w:val="24"/>
                    <w:szCs w:val="24"/>
                  </w:rPr>
                </m:ctrlPr>
              </m:e>
            </m:d>
            <m:ctrlPr>
              <w:rPr>
                <w:rFonts w:ascii="Cambria Math" w:hAnsi="Cambria Math" w:cs="Times New Roman"/>
                <w:sz w:val="24"/>
                <w:szCs w:val="24"/>
              </w:rPr>
            </m:ctrlPr>
          </m:e>
        </m:d>
        <m:r>
          <w:rPr>
            <w:rFonts w:ascii="Cambria Math" w:hAnsi="Cambria Math" w:cs="Times New Roman"/>
            <w:sz w:val="24"/>
            <w:szCs w:val="24"/>
          </w:rPr>
          <m:t xml:space="preserve"> </m:t>
        </m:r>
      </m:oMath>
      <w:r w:rsidRPr="004D5393">
        <w:rPr>
          <w:rFonts w:ascii="Times New Roman" w:hAnsi="Times New Roman" w:cs="Times New Roman"/>
          <w:sz w:val="24"/>
          <w:szCs w:val="24"/>
        </w:rPr>
        <w:t xml:space="preserve">  </w:t>
      </w:r>
      <w:r>
        <w:rPr>
          <w:rFonts w:ascii="Times New Roman" w:hAnsi="Times New Roman" w:cs="Times New Roman"/>
          <w:sz w:val="24"/>
          <w:szCs w:val="24"/>
        </w:rPr>
        <w:t xml:space="preserve">          (8)</w:t>
      </w:r>
      <w:r w:rsidRPr="004D539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4CCF399" w14:textId="1FF3770A" w:rsidR="00323A45" w:rsidRDefault="00323A45" w:rsidP="00C658FF">
      <w:pPr>
        <w:spacing w:after="0" w:line="480" w:lineRule="auto"/>
        <w:contextualSpacing/>
        <w:jc w:val="both"/>
        <w:rPr>
          <w:rFonts w:ascii="Times New Roman" w:hAnsi="Times New Roman" w:cs="Times New Roman"/>
          <w:sz w:val="24"/>
          <w:szCs w:val="24"/>
        </w:rPr>
      </w:pPr>
      <w:r w:rsidRPr="00416268">
        <w:rPr>
          <w:rFonts w:ascii="Times New Roman" w:hAnsi="Times New Roman" w:cs="Times New Roman"/>
          <w:sz w:val="24"/>
          <w:szCs w:val="24"/>
        </w:rPr>
        <w:lastRenderedPageBreak/>
        <w:t>We then find the expected stock return from the analyst’s recommendation conditional on the investor sentiment by multiplying equation (</w:t>
      </w:r>
      <w:r>
        <w:rPr>
          <w:rFonts w:ascii="Times New Roman" w:hAnsi="Times New Roman" w:cs="Times New Roman"/>
          <w:sz w:val="24"/>
          <w:szCs w:val="24"/>
        </w:rPr>
        <w:t>8</w:t>
      </w:r>
      <w:r w:rsidRPr="00416268">
        <w:rPr>
          <w:rFonts w:ascii="Times New Roman" w:hAnsi="Times New Roman" w:cs="Times New Roman"/>
          <w:sz w:val="24"/>
          <w:szCs w:val="24"/>
        </w:rPr>
        <w:t>) by the corresponding stock return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oMath>
      <w:r w:rsidRPr="00416268">
        <w:rPr>
          <w:rFonts w:ascii="Times New Roman" w:hAnsi="Times New Roman" w:cs="Times New Roman"/>
          <w:sz w:val="24"/>
          <w:szCs w:val="24"/>
        </w:rPr>
        <w:t xml:space="preserve">. </w:t>
      </w:r>
    </w:p>
    <w:p w14:paraId="05AA0057" w14:textId="77777777" w:rsidR="00323A45" w:rsidRPr="00416268" w:rsidRDefault="00323A45" w:rsidP="00C658FF">
      <w:pPr>
        <w:spacing w:after="0" w:line="480" w:lineRule="auto"/>
        <w:contextualSpacing/>
        <w:jc w:val="both"/>
        <w:rPr>
          <w:rFonts w:ascii="Times New Roman" w:hAnsi="Times New Roman" w:cs="Times New Roman"/>
          <w:sz w:val="24"/>
          <w:szCs w:val="24"/>
        </w:rPr>
      </w:pPr>
      <w:r w:rsidRPr="0041626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626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 xml:space="preserve"> × E</m:t>
            </m:r>
          </m:e>
          <m:sub>
            <m:r>
              <w:rPr>
                <w:rFonts w:ascii="Cambria Math" w:hAnsi="Cambria Math" w:cs="Times New Roman"/>
                <w:sz w:val="24"/>
                <w:szCs w:val="24"/>
              </w:rPr>
              <m:t>t</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i,t-s</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sen</m:t>
                    </m:r>
                  </m:e>
                  <m:sub>
                    <m:r>
                      <w:rPr>
                        <w:rFonts w:ascii="Cambria Math" w:hAnsi="Cambria Math" w:cs="Times New Roman"/>
                        <w:sz w:val="24"/>
                        <w:szCs w:val="24"/>
                      </w:rPr>
                      <m:t>j,t-s</m:t>
                    </m:r>
                  </m:sub>
                </m:sSub>
                <m:ctrlPr>
                  <w:rPr>
                    <w:rFonts w:ascii="Cambria Math" w:hAnsi="Cambria Math" w:cs="Times New Roman"/>
                    <w:sz w:val="24"/>
                    <w:szCs w:val="24"/>
                  </w:rPr>
                </m:ctrlPr>
              </m:e>
            </m:d>
            <m:ctrlPr>
              <w:rPr>
                <w:rFonts w:ascii="Cambria Math" w:hAnsi="Cambria Math" w:cs="Times New Roman"/>
                <w:sz w:val="24"/>
                <w:szCs w:val="24"/>
              </w:rPr>
            </m:ctrlPr>
          </m:e>
        </m:d>
      </m:oMath>
      <w:r w:rsidRPr="00416268">
        <w:rPr>
          <w:rFonts w:ascii="Times New Roman" w:hAnsi="Times New Roman" w:cs="Times New Roman"/>
          <w:sz w:val="24"/>
          <w:szCs w:val="24"/>
        </w:rPr>
        <w:t xml:space="preserve">                                                 (</w:t>
      </w:r>
      <w:r>
        <w:rPr>
          <w:rFonts w:ascii="Times New Roman" w:hAnsi="Times New Roman" w:cs="Times New Roman"/>
          <w:sz w:val="24"/>
          <w:szCs w:val="24"/>
        </w:rPr>
        <w:t>9</w:t>
      </w:r>
      <w:r w:rsidRPr="00416268">
        <w:rPr>
          <w:rFonts w:ascii="Times New Roman" w:hAnsi="Times New Roman" w:cs="Times New Roman"/>
          <w:sz w:val="24"/>
          <w:szCs w:val="24"/>
        </w:rPr>
        <w:t>)</w:t>
      </w:r>
    </w:p>
    <w:p w14:paraId="65DBAF38" w14:textId="2A4A68C6" w:rsidR="00323A45" w:rsidRDefault="00323A45"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t>For example, when investigating an analyst upgrade recommendation with positive investors sentim</w:t>
      </w:r>
      <w:r w:rsidRPr="007E6478">
        <w:rPr>
          <w:rFonts w:ascii="Times New Roman" w:hAnsi="Times New Roman" w:cs="Times New Roman"/>
          <w:sz w:val="24"/>
          <w:szCs w:val="24"/>
        </w:rPr>
        <w:t xml:space="preserve">ent at time </w:t>
      </w:r>
      <w:r w:rsidRPr="00E11E39">
        <w:rPr>
          <w:rFonts w:ascii="Times New Roman" w:hAnsi="Times New Roman" w:cs="Times New Roman"/>
          <w:i/>
          <w:sz w:val="24"/>
          <w:szCs w:val="24"/>
        </w:rPr>
        <w:t xml:space="preserve">t </w:t>
      </w:r>
      <w:r w:rsidRPr="00E11E39">
        <w:rPr>
          <w:rFonts w:ascii="Times New Roman" w:hAnsi="Times New Roman" w:cs="Times New Roman"/>
          <w:sz w:val="24"/>
          <w:szCs w:val="24"/>
        </w:rPr>
        <w:t>=2, the following equation (1</w:t>
      </w:r>
      <w:r>
        <w:rPr>
          <w:rFonts w:ascii="Times New Roman" w:hAnsi="Times New Roman" w:cs="Times New Roman"/>
          <w:sz w:val="24"/>
          <w:szCs w:val="24"/>
        </w:rPr>
        <w:t>0</w:t>
      </w:r>
      <w:r w:rsidRPr="00E11E39">
        <w:rPr>
          <w:rFonts w:ascii="Times New Roman" w:hAnsi="Times New Roman" w:cs="Times New Roman"/>
          <w:sz w:val="24"/>
          <w:szCs w:val="24"/>
        </w:rPr>
        <w:t xml:space="preserve">) expresses this case. </w:t>
      </w:r>
    </w:p>
    <w:p w14:paraId="37DDD83A" w14:textId="77777777" w:rsidR="00323A45" w:rsidRPr="00416268" w:rsidRDefault="00323A45" w:rsidP="00C658FF">
      <w:pPr>
        <w:spacing w:after="0" w:line="480" w:lineRule="auto"/>
        <w:contextualSpacing/>
        <w:jc w:val="both"/>
        <w:rPr>
          <w:rFonts w:ascii="Times New Roman" w:hAnsi="Times New Roman" w:cs="Times New Roman"/>
          <w:sz w:val="24"/>
          <w:szCs w:val="24"/>
        </w:rPr>
      </w:pPr>
      <w:r w:rsidRPr="00E11E39">
        <w:rPr>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rec</m:t>
                    </m:r>
                  </m:e>
                  <m:sub>
                    <m:r>
                      <m:rPr>
                        <m:sty m:val="p"/>
                      </m:rPr>
                      <w:rPr>
                        <w:rFonts w:ascii="Cambria Math" w:hAnsi="Cambria Math" w:cs="Times New Roman"/>
                        <w:sz w:val="24"/>
                        <w:szCs w:val="24"/>
                      </w:rPr>
                      <m:t>upgrade</m:t>
                    </m:r>
                    <m:r>
                      <w:rPr>
                        <w:rFonts w:ascii="Cambria Math" w:hAnsi="Cambria Math" w:cs="Times New Roman"/>
                        <w:sz w:val="24"/>
                        <w:szCs w:val="24"/>
                      </w:rPr>
                      <m:t>,2-1</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sen</m:t>
                    </m:r>
                  </m:e>
                  <m:sub>
                    <m:r>
                      <m:rPr>
                        <m:sty m:val="p"/>
                      </m:rPr>
                      <w:rPr>
                        <w:rFonts w:ascii="Cambria Math" w:hAnsi="Cambria Math" w:cs="Times New Roman"/>
                        <w:sz w:val="24"/>
                        <w:szCs w:val="24"/>
                      </w:rPr>
                      <m:t>positive</m:t>
                    </m:r>
                    <m:r>
                      <w:rPr>
                        <w:rFonts w:ascii="Cambria Math" w:hAnsi="Cambria Math" w:cs="Times New Roman"/>
                        <w:sz w:val="24"/>
                        <w:szCs w:val="24"/>
                      </w:rPr>
                      <m:t>,2-1</m:t>
                    </m:r>
                  </m:sub>
                </m:sSub>
                <m:ctrlPr>
                  <w:rPr>
                    <w:rFonts w:ascii="Cambria Math" w:hAnsi="Cambria Math" w:cs="Times New Roman"/>
                    <w:sz w:val="24"/>
                    <w:szCs w:val="24"/>
                  </w:rPr>
                </m:ctrlPr>
              </m:e>
            </m:d>
            <m:ctrlPr>
              <w:rPr>
                <w:rFonts w:ascii="Cambria Math" w:hAnsi="Cambria Math" w:cs="Times New Roman"/>
                <w:sz w:val="24"/>
                <w:szCs w:val="24"/>
              </w:rPr>
            </m:ctrlPr>
          </m:e>
        </m:d>
      </m:oMath>
      <w:r>
        <w:rPr>
          <w:sz w:val="24"/>
          <w:szCs w:val="24"/>
        </w:rPr>
        <w:t xml:space="preserve">                                            </w:t>
      </w:r>
      <w:r w:rsidRPr="004D5393">
        <w:rPr>
          <w:rFonts w:ascii="Times New Roman" w:hAnsi="Times New Roman" w:cs="Times New Roman"/>
          <w:sz w:val="24"/>
          <w:szCs w:val="24"/>
        </w:rPr>
        <w:t>(1</w:t>
      </w:r>
      <w:r>
        <w:rPr>
          <w:rFonts w:ascii="Times New Roman" w:hAnsi="Times New Roman" w:cs="Times New Roman"/>
          <w:sz w:val="24"/>
          <w:szCs w:val="24"/>
        </w:rPr>
        <w:t>0</w:t>
      </w:r>
      <w:r w:rsidRPr="004D5393">
        <w:rPr>
          <w:rFonts w:ascii="Times New Roman" w:hAnsi="Times New Roman" w:cs="Times New Roman"/>
          <w:sz w:val="24"/>
          <w:szCs w:val="24"/>
        </w:rPr>
        <w:t>)</w:t>
      </w:r>
    </w:p>
    <w:p w14:paraId="2BB48444" w14:textId="541B575E" w:rsidR="00642CD0" w:rsidRPr="00416268" w:rsidRDefault="00323A45" w:rsidP="00C658FF">
      <w:pPr>
        <w:spacing w:after="0" w:line="480" w:lineRule="auto"/>
        <w:contextualSpacing/>
        <w:jc w:val="both"/>
        <w:rPr>
          <w:rFonts w:ascii="Times New Roman" w:hAnsi="Times New Roman" w:cs="Times New Roman"/>
          <w:sz w:val="24"/>
          <w:szCs w:val="24"/>
        </w:rPr>
      </w:pPr>
      <w:r w:rsidRPr="00416268">
        <w:rPr>
          <w:rFonts w:ascii="Times New Roman" w:hAnsi="Times New Roman" w:cs="Times New Roman"/>
          <w:sz w:val="24"/>
          <w:szCs w:val="24"/>
        </w:rPr>
        <w:t>Then the corresponding expected stock return can be calculated by multiplying equation (1</w:t>
      </w:r>
      <w:r>
        <w:rPr>
          <w:rFonts w:ascii="Times New Roman" w:hAnsi="Times New Roman" w:cs="Times New Roman"/>
          <w:sz w:val="24"/>
          <w:szCs w:val="24"/>
        </w:rPr>
        <w:t>0</w:t>
      </w:r>
      <w:r w:rsidRPr="00416268">
        <w:rPr>
          <w:rFonts w:ascii="Times New Roman" w:hAnsi="Times New Roman" w:cs="Times New Roman"/>
          <w:sz w:val="24"/>
          <w:szCs w:val="24"/>
        </w:rPr>
        <w:t xml:space="preserve">) by the stock return at time </w:t>
      </w:r>
      <w:r w:rsidRPr="00416268">
        <w:rPr>
          <w:rFonts w:ascii="Times New Roman" w:hAnsi="Times New Roman" w:cs="Times New Roman"/>
          <w:i/>
          <w:sz w:val="24"/>
          <w:szCs w:val="24"/>
        </w:rPr>
        <w:t xml:space="preserve">t </w:t>
      </w:r>
      <w:r w:rsidRPr="00416268">
        <w:rPr>
          <w:rFonts w:ascii="Times New Roman" w:hAnsi="Times New Roman" w:cs="Times New Roman"/>
          <w:sz w:val="24"/>
          <w:szCs w:val="24"/>
        </w:rPr>
        <w:t>=2.</w:t>
      </w:r>
    </w:p>
    <w:p w14:paraId="71595F7F" w14:textId="77777777" w:rsidR="00323A45" w:rsidRPr="004D5393" w:rsidRDefault="00323A45" w:rsidP="00C658FF">
      <w:pPr>
        <w:spacing w:after="0" w:line="480" w:lineRule="auto"/>
        <w:contextualSpacing/>
        <w:jc w:val="both"/>
      </w:pPr>
      <w:r w:rsidRPr="004D53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5393">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 xml:space="preserve"> × E</m:t>
            </m:r>
          </m:e>
          <m:sub>
            <m:r>
              <w:rPr>
                <w:rFonts w:ascii="Cambria Math" w:hAnsi="Cambria Math" w:cs="Times New Roman"/>
                <w:sz w:val="24"/>
                <w:szCs w:val="24"/>
              </w:rPr>
              <m:t>t</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rec</m:t>
                    </m:r>
                  </m:e>
                  <m:sub>
                    <m:r>
                      <m:rPr>
                        <m:sty m:val="p"/>
                      </m:rPr>
                      <w:rPr>
                        <w:rFonts w:ascii="Cambria Math" w:hAnsi="Cambria Math" w:cs="Times New Roman"/>
                        <w:sz w:val="24"/>
                        <w:szCs w:val="24"/>
                      </w:rPr>
                      <m:t>upgrade</m:t>
                    </m:r>
                    <m:r>
                      <w:rPr>
                        <w:rFonts w:ascii="Cambria Math" w:hAnsi="Cambria Math" w:cs="Times New Roman"/>
                        <w:sz w:val="24"/>
                        <w:szCs w:val="24"/>
                      </w:rPr>
                      <m:t>,2-1</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sen</m:t>
                    </m:r>
                  </m:e>
                  <m:sub>
                    <m:r>
                      <m:rPr>
                        <m:sty m:val="p"/>
                      </m:rPr>
                      <w:rPr>
                        <w:rFonts w:ascii="Cambria Math" w:hAnsi="Cambria Math" w:cs="Times New Roman"/>
                        <w:sz w:val="24"/>
                        <w:szCs w:val="24"/>
                      </w:rPr>
                      <m:t>positive</m:t>
                    </m:r>
                    <m:r>
                      <w:rPr>
                        <w:rFonts w:ascii="Cambria Math" w:hAnsi="Cambria Math" w:cs="Times New Roman"/>
                        <w:sz w:val="24"/>
                        <w:szCs w:val="24"/>
                      </w:rPr>
                      <m:t>,  2-1</m:t>
                    </m:r>
                  </m:sub>
                </m:sSub>
                <m:ctrlPr>
                  <w:rPr>
                    <w:rFonts w:ascii="Cambria Math" w:hAnsi="Cambria Math" w:cs="Times New Roman"/>
                    <w:sz w:val="24"/>
                    <w:szCs w:val="24"/>
                  </w:rPr>
                </m:ctrlPr>
              </m:e>
            </m:d>
            <m:ctrlPr>
              <w:rPr>
                <w:rFonts w:ascii="Cambria Math" w:hAnsi="Cambria Math" w:cs="Times New Roman"/>
                <w:sz w:val="24"/>
                <w:szCs w:val="24"/>
              </w:rPr>
            </m:ctrlPr>
          </m:e>
        </m:d>
      </m:oMath>
      <w:r w:rsidRPr="004D5393">
        <w:rPr>
          <w:rFonts w:ascii="Times New Roman" w:hAnsi="Times New Roman" w:cs="Times New Roman"/>
          <w:sz w:val="24"/>
          <w:szCs w:val="24"/>
        </w:rPr>
        <w:t xml:space="preserve">                                  (1</w:t>
      </w:r>
      <w:r>
        <w:rPr>
          <w:rFonts w:ascii="Times New Roman" w:hAnsi="Times New Roman" w:cs="Times New Roman"/>
          <w:sz w:val="24"/>
          <w:szCs w:val="24"/>
        </w:rPr>
        <w:t>1</w:t>
      </w:r>
      <w:r w:rsidRPr="004D5393">
        <w:rPr>
          <w:rFonts w:ascii="Times New Roman" w:hAnsi="Times New Roman" w:cs="Times New Roman"/>
          <w:sz w:val="24"/>
          <w:szCs w:val="24"/>
        </w:rPr>
        <w:t>)</w:t>
      </w:r>
    </w:p>
    <w:p w14:paraId="0CB17C95" w14:textId="21EF75E9" w:rsidR="00323A45" w:rsidRPr="00416268" w:rsidRDefault="00323A45" w:rsidP="00C658FF">
      <w:pPr>
        <w:spacing w:after="0" w:line="480" w:lineRule="auto"/>
        <w:contextualSpacing/>
        <w:jc w:val="both"/>
        <w:rPr>
          <w:rFonts w:ascii="Times New Roman" w:hAnsi="Times New Roman" w:cs="Times New Roman"/>
          <w:sz w:val="24"/>
          <w:szCs w:val="24"/>
        </w:rPr>
      </w:pPr>
      <w:r w:rsidRPr="004D5393">
        <w:rPr>
          <w:rFonts w:ascii="Times New Roman" w:hAnsi="Times New Roman" w:cs="Times New Roman"/>
          <w:sz w:val="24"/>
          <w:szCs w:val="24"/>
        </w:rPr>
        <w:t>However, this analysis in this current from suffers from a look-ahead bias as the investor sentiment in the current quarter would only be available in the following quarter. To avoid this bias, we assume that the best proxy for the current quarters’ sentiment value is the previous quarters sentiment value (which is a known figure in the current quarter) thus implicitly assuming the investor sentiment process is a pure martingale</w:t>
      </w:r>
      <w:r w:rsidRPr="00416268">
        <w:rPr>
          <w:rFonts w:ascii="Times New Roman" w:hAnsi="Times New Roman" w:cs="Times New Roman"/>
          <w:sz w:val="24"/>
          <w:szCs w:val="24"/>
        </w:rPr>
        <w:t>.</w:t>
      </w:r>
      <w:r w:rsidRPr="004D5393">
        <w:rPr>
          <w:rStyle w:val="FootnoteReference"/>
          <w:rFonts w:ascii="Times New Roman" w:hAnsi="Times New Roman" w:cs="Times New Roman"/>
          <w:sz w:val="24"/>
          <w:szCs w:val="24"/>
        </w:rPr>
        <w:footnoteReference w:id="3"/>
      </w:r>
    </w:p>
    <w:p w14:paraId="2B442159" w14:textId="77777777" w:rsidR="00642CD0" w:rsidRPr="004D5393" w:rsidRDefault="00642CD0" w:rsidP="00C658FF">
      <w:pPr>
        <w:spacing w:after="0" w:line="480" w:lineRule="auto"/>
        <w:contextualSpacing/>
        <w:jc w:val="both"/>
      </w:pPr>
    </w:p>
    <w:p w14:paraId="46E0B934" w14:textId="43A2F53D" w:rsidR="00880972" w:rsidRPr="004D5393" w:rsidRDefault="00B0275A" w:rsidP="00C658FF">
      <w:pPr>
        <w:spacing w:after="0" w:line="480" w:lineRule="auto"/>
        <w:contextualSpacing/>
        <w:jc w:val="both"/>
        <w:rPr>
          <w:b/>
        </w:rPr>
      </w:pPr>
      <w:r>
        <w:rPr>
          <w:rFonts w:ascii="Times New Roman" w:hAnsi="Times New Roman" w:cs="Times New Roman"/>
          <w:b/>
          <w:sz w:val="24"/>
          <w:szCs w:val="24"/>
        </w:rPr>
        <w:t xml:space="preserve">4. </w:t>
      </w:r>
      <w:r w:rsidR="00880972" w:rsidRPr="004D5393">
        <w:rPr>
          <w:rFonts w:ascii="Times New Roman" w:hAnsi="Times New Roman" w:cs="Times New Roman"/>
          <w:b/>
          <w:sz w:val="24"/>
          <w:szCs w:val="24"/>
        </w:rPr>
        <w:t xml:space="preserve">Data and </w:t>
      </w:r>
      <w:r w:rsidR="00DD5417">
        <w:rPr>
          <w:rFonts w:ascii="Times New Roman" w:hAnsi="Times New Roman" w:cs="Times New Roman"/>
          <w:b/>
          <w:sz w:val="24"/>
          <w:szCs w:val="24"/>
        </w:rPr>
        <w:t>s</w:t>
      </w:r>
      <w:r w:rsidR="00880972" w:rsidRPr="004D5393">
        <w:rPr>
          <w:rFonts w:ascii="Times New Roman" w:hAnsi="Times New Roman" w:cs="Times New Roman"/>
          <w:b/>
          <w:sz w:val="24"/>
          <w:szCs w:val="24"/>
        </w:rPr>
        <w:t xml:space="preserve">ample </w:t>
      </w:r>
      <w:r w:rsidR="00DD5417">
        <w:rPr>
          <w:rFonts w:ascii="Times New Roman" w:hAnsi="Times New Roman" w:cs="Times New Roman"/>
          <w:b/>
          <w:sz w:val="24"/>
          <w:szCs w:val="24"/>
        </w:rPr>
        <w:t>s</w:t>
      </w:r>
      <w:r w:rsidR="00880972" w:rsidRPr="004D5393">
        <w:rPr>
          <w:rFonts w:ascii="Times New Roman" w:hAnsi="Times New Roman" w:cs="Times New Roman"/>
          <w:b/>
          <w:sz w:val="24"/>
          <w:szCs w:val="24"/>
        </w:rPr>
        <w:t>election</w:t>
      </w:r>
    </w:p>
    <w:p w14:paraId="19B2F957" w14:textId="0446C91C" w:rsidR="00880972" w:rsidRPr="004D5393" w:rsidRDefault="00880972" w:rsidP="00C658FF">
      <w:pPr>
        <w:spacing w:after="0" w:line="480" w:lineRule="auto"/>
        <w:ind w:firstLine="720"/>
        <w:contextualSpacing/>
        <w:jc w:val="both"/>
      </w:pPr>
      <w:r w:rsidRPr="004D5393">
        <w:rPr>
          <w:rFonts w:ascii="Times New Roman" w:hAnsi="Times New Roman" w:cs="Times New Roman"/>
          <w:sz w:val="24"/>
          <w:szCs w:val="24"/>
        </w:rPr>
        <w:t>In the financial market, stock recommendations issued by different brokerage houses and investment firms may take different forms. Generally, based on their independent analysis and predictions on the covered firms and companies, sell</w:t>
      </w:r>
      <w:r w:rsidR="0038719B" w:rsidRPr="004D5393">
        <w:rPr>
          <w:rFonts w:ascii="Times New Roman" w:hAnsi="Times New Roman" w:cs="Times New Roman"/>
          <w:sz w:val="24"/>
          <w:szCs w:val="24"/>
        </w:rPr>
        <w:t>−</w:t>
      </w:r>
      <w:r w:rsidRPr="004D5393">
        <w:rPr>
          <w:rFonts w:ascii="Times New Roman" w:hAnsi="Times New Roman" w:cs="Times New Roman"/>
          <w:sz w:val="24"/>
          <w:szCs w:val="24"/>
        </w:rPr>
        <w:t>side ana</w:t>
      </w:r>
      <w:r w:rsidR="00362E86" w:rsidRPr="004D5393">
        <w:rPr>
          <w:rFonts w:ascii="Times New Roman" w:hAnsi="Times New Roman" w:cs="Times New Roman"/>
          <w:sz w:val="24"/>
          <w:szCs w:val="24"/>
        </w:rPr>
        <w:t>lysts would usually issue</w:t>
      </w:r>
      <w:r w:rsidR="008834B8" w:rsidRPr="004D5393">
        <w:rPr>
          <w:rFonts w:ascii="Times New Roman" w:hAnsi="Times New Roman" w:cs="Times New Roman"/>
          <w:sz w:val="24"/>
          <w:szCs w:val="24"/>
        </w:rPr>
        <w:t xml:space="preserve"> one of the following statements</w:t>
      </w:r>
      <w:r w:rsidR="00362E86" w:rsidRPr="004D5393">
        <w:rPr>
          <w:rFonts w:ascii="Times New Roman" w:hAnsi="Times New Roman" w:cs="Times New Roman"/>
          <w:sz w:val="24"/>
          <w:szCs w:val="24"/>
        </w:rPr>
        <w:t>:  1. s</w:t>
      </w:r>
      <w:r w:rsidRPr="004D5393">
        <w:rPr>
          <w:rFonts w:ascii="Times New Roman" w:hAnsi="Times New Roman" w:cs="Times New Roman"/>
          <w:sz w:val="24"/>
          <w:szCs w:val="24"/>
        </w:rPr>
        <w:t xml:space="preserve">trong </w:t>
      </w:r>
      <w:r w:rsidR="003A26B6" w:rsidRPr="004D5393">
        <w:rPr>
          <w:rFonts w:ascii="Times New Roman" w:hAnsi="Times New Roman" w:cs="Times New Roman"/>
          <w:sz w:val="24"/>
          <w:szCs w:val="24"/>
        </w:rPr>
        <w:t>b</w:t>
      </w:r>
      <w:r w:rsidRPr="004D5393">
        <w:rPr>
          <w:rFonts w:ascii="Times New Roman" w:hAnsi="Times New Roman" w:cs="Times New Roman"/>
          <w:sz w:val="24"/>
          <w:szCs w:val="24"/>
        </w:rPr>
        <w:t>uy</w:t>
      </w:r>
      <w:r w:rsidR="00FD224B" w:rsidRPr="004D5393">
        <w:rPr>
          <w:rFonts w:ascii="Times New Roman" w:hAnsi="Times New Roman" w:cs="Times New Roman"/>
          <w:sz w:val="24"/>
          <w:szCs w:val="24"/>
        </w:rPr>
        <w:t xml:space="preserve">; </w:t>
      </w:r>
      <w:r w:rsidR="00362E86" w:rsidRPr="004D5393">
        <w:rPr>
          <w:rFonts w:ascii="Times New Roman" w:hAnsi="Times New Roman" w:cs="Times New Roman"/>
          <w:sz w:val="24"/>
          <w:szCs w:val="24"/>
        </w:rPr>
        <w:t>2. b</w:t>
      </w:r>
      <w:r w:rsidR="00FD224B" w:rsidRPr="004D5393">
        <w:rPr>
          <w:rFonts w:ascii="Times New Roman" w:hAnsi="Times New Roman" w:cs="Times New Roman"/>
          <w:sz w:val="24"/>
          <w:szCs w:val="24"/>
        </w:rPr>
        <w:t>uy</w:t>
      </w:r>
      <w:r w:rsidR="00792ADB" w:rsidRPr="004D5393">
        <w:rPr>
          <w:rFonts w:ascii="Times New Roman" w:hAnsi="Times New Roman" w:cs="Times New Roman"/>
          <w:sz w:val="24"/>
          <w:szCs w:val="24"/>
        </w:rPr>
        <w:t>; 3</w:t>
      </w:r>
      <w:r w:rsidR="00362E86" w:rsidRPr="004D5393">
        <w:rPr>
          <w:rFonts w:ascii="Times New Roman" w:hAnsi="Times New Roman" w:cs="Times New Roman"/>
          <w:sz w:val="24"/>
          <w:szCs w:val="24"/>
        </w:rPr>
        <w:t>. hold / n</w:t>
      </w:r>
      <w:r w:rsidRPr="004D5393">
        <w:rPr>
          <w:rFonts w:ascii="Times New Roman" w:hAnsi="Times New Roman" w:cs="Times New Roman"/>
          <w:sz w:val="24"/>
          <w:szCs w:val="24"/>
        </w:rPr>
        <w:t>eutral</w:t>
      </w:r>
      <w:r w:rsidR="00792ADB" w:rsidRPr="004D5393">
        <w:rPr>
          <w:rFonts w:ascii="Times New Roman" w:hAnsi="Times New Roman" w:cs="Times New Roman"/>
          <w:sz w:val="24"/>
          <w:szCs w:val="24"/>
        </w:rPr>
        <w:t>; 4</w:t>
      </w:r>
      <w:r w:rsidR="00362E86" w:rsidRPr="004D5393">
        <w:rPr>
          <w:rFonts w:ascii="Times New Roman" w:hAnsi="Times New Roman" w:cs="Times New Roman"/>
          <w:sz w:val="24"/>
          <w:szCs w:val="24"/>
        </w:rPr>
        <w:t>. s</w:t>
      </w:r>
      <w:r w:rsidRPr="004D5393">
        <w:rPr>
          <w:rFonts w:ascii="Times New Roman" w:hAnsi="Times New Roman" w:cs="Times New Roman"/>
          <w:sz w:val="24"/>
          <w:szCs w:val="24"/>
        </w:rPr>
        <w:t xml:space="preserve">ell </w:t>
      </w:r>
      <w:r w:rsidR="00792ADB" w:rsidRPr="004D5393">
        <w:rPr>
          <w:rFonts w:ascii="Times New Roman" w:hAnsi="Times New Roman" w:cs="Times New Roman"/>
          <w:sz w:val="24"/>
          <w:szCs w:val="24"/>
        </w:rPr>
        <w:t>and 5</w:t>
      </w:r>
      <w:r w:rsidR="00362E86" w:rsidRPr="004D5393">
        <w:rPr>
          <w:rFonts w:ascii="Times New Roman" w:hAnsi="Times New Roman" w:cs="Times New Roman"/>
          <w:sz w:val="24"/>
          <w:szCs w:val="24"/>
        </w:rPr>
        <w:t>. s</w:t>
      </w:r>
      <w:r w:rsidRPr="004D5393">
        <w:rPr>
          <w:rFonts w:ascii="Times New Roman" w:hAnsi="Times New Roman" w:cs="Times New Roman"/>
          <w:sz w:val="24"/>
          <w:szCs w:val="24"/>
        </w:rPr>
        <w:t>trong sell</w:t>
      </w:r>
      <w:r w:rsidR="00CB7838" w:rsidRPr="004D5393">
        <w:rPr>
          <w:rFonts w:ascii="Times New Roman" w:hAnsi="Times New Roman" w:cs="Times New Roman"/>
          <w:sz w:val="24"/>
          <w:szCs w:val="24"/>
        </w:rPr>
        <w:t>.</w:t>
      </w:r>
      <w:r w:rsidRPr="004D5393">
        <w:rPr>
          <w:rFonts w:ascii="Times New Roman" w:hAnsi="Times New Roman" w:cs="Times New Roman"/>
          <w:sz w:val="24"/>
          <w:szCs w:val="24"/>
        </w:rPr>
        <w:t xml:space="preserve"> </w:t>
      </w:r>
      <w:r w:rsidRPr="004D5393">
        <w:rPr>
          <w:rStyle w:val="FootnoteReference"/>
          <w:rFonts w:ascii="Times New Roman" w:hAnsi="Times New Roman" w:cs="Times New Roman"/>
          <w:sz w:val="24"/>
          <w:szCs w:val="24"/>
        </w:rPr>
        <w:footnoteReference w:id="4"/>
      </w:r>
    </w:p>
    <w:p w14:paraId="1DA43494" w14:textId="0073922D" w:rsidR="000F7FE6" w:rsidRPr="00B53825" w:rsidRDefault="000C21B1" w:rsidP="00C658FF">
      <w:pPr>
        <w:spacing w:after="0" w:line="480" w:lineRule="auto"/>
        <w:ind w:firstLine="720"/>
        <w:contextualSpacing/>
        <w:jc w:val="both"/>
        <w:rPr>
          <w:rFonts w:ascii="Times New Roman" w:hAnsi="Times New Roman" w:cs="Times New Roman"/>
          <w:sz w:val="24"/>
          <w:szCs w:val="24"/>
        </w:rPr>
      </w:pPr>
      <w:r w:rsidRPr="004D5393">
        <w:rPr>
          <w:rFonts w:ascii="Times New Roman" w:hAnsi="Times New Roman" w:cs="Times New Roman"/>
          <w:sz w:val="24"/>
          <w:szCs w:val="24"/>
        </w:rPr>
        <w:lastRenderedPageBreak/>
        <w:t xml:space="preserve">Our sample comprises </w:t>
      </w:r>
      <w:r w:rsidR="00880972" w:rsidRPr="004D5393">
        <w:rPr>
          <w:rFonts w:ascii="Times New Roman" w:hAnsi="Times New Roman" w:cs="Times New Roman"/>
          <w:sz w:val="24"/>
          <w:szCs w:val="24"/>
        </w:rPr>
        <w:t>50 actively traded constituent stocks</w:t>
      </w:r>
      <w:r w:rsidR="00740DAC" w:rsidRPr="004D5393">
        <w:rPr>
          <w:rFonts w:ascii="Times New Roman" w:hAnsi="Times New Roman" w:cs="Times New Roman"/>
          <w:sz w:val="24"/>
          <w:szCs w:val="24"/>
        </w:rPr>
        <w:t xml:space="preserve"> in the Hong Kong stock market. T</w:t>
      </w:r>
      <w:r w:rsidR="00880972" w:rsidRPr="004D5393">
        <w:rPr>
          <w:rFonts w:ascii="Times New Roman" w:hAnsi="Times New Roman" w:cs="Times New Roman"/>
          <w:sz w:val="24"/>
          <w:szCs w:val="24"/>
        </w:rPr>
        <w:t>he Hang Seng Index is the free</w:t>
      </w:r>
      <w:r w:rsidR="00FF0020" w:rsidRPr="004D5393">
        <w:rPr>
          <w:rFonts w:ascii="Times New Roman" w:hAnsi="Times New Roman" w:cs="Times New Roman"/>
          <w:sz w:val="24"/>
          <w:szCs w:val="24"/>
        </w:rPr>
        <w:t>−</w:t>
      </w:r>
      <w:r w:rsidR="00880972" w:rsidRPr="004D5393">
        <w:rPr>
          <w:rFonts w:ascii="Times New Roman" w:hAnsi="Times New Roman" w:cs="Times New Roman"/>
          <w:sz w:val="24"/>
          <w:szCs w:val="24"/>
        </w:rPr>
        <w:t xml:space="preserve">adjusted market </w:t>
      </w:r>
      <w:hyperlink r:id="rId10" w:tooltip="Capitalization-weighted index" w:history="1">
        <w:r w:rsidR="00880972" w:rsidRPr="004D5393">
          <w:rPr>
            <w:rFonts w:ascii="Times New Roman" w:hAnsi="Times New Roman" w:cs="Times New Roman"/>
            <w:sz w:val="24"/>
            <w:szCs w:val="24"/>
          </w:rPr>
          <w:t>capitalization</w:t>
        </w:r>
        <w:r w:rsidR="00FF0020" w:rsidRPr="004D5393">
          <w:rPr>
            <w:rFonts w:ascii="Times New Roman" w:hAnsi="Times New Roman" w:cs="Times New Roman"/>
            <w:sz w:val="24"/>
            <w:szCs w:val="24"/>
          </w:rPr>
          <w:t>−</w:t>
        </w:r>
        <w:r w:rsidR="00880972" w:rsidRPr="004D5393">
          <w:rPr>
            <w:rFonts w:ascii="Times New Roman" w:hAnsi="Times New Roman" w:cs="Times New Roman"/>
            <w:sz w:val="24"/>
            <w:szCs w:val="24"/>
          </w:rPr>
          <w:t>weighted</w:t>
        </w:r>
      </w:hyperlink>
      <w:r w:rsidR="00880972" w:rsidRPr="004D5393">
        <w:rPr>
          <w:rFonts w:ascii="Times New Roman" w:hAnsi="Times New Roman" w:cs="Times New Roman"/>
          <w:sz w:val="24"/>
          <w:szCs w:val="24"/>
        </w:rPr>
        <w:t xml:space="preserve"> </w:t>
      </w:r>
      <w:hyperlink r:id="rId11" w:tooltip="Stock market index" w:history="1">
        <w:r w:rsidR="00880972" w:rsidRPr="004D5393">
          <w:rPr>
            <w:rFonts w:ascii="Times New Roman" w:hAnsi="Times New Roman" w:cs="Times New Roman"/>
            <w:sz w:val="24"/>
            <w:szCs w:val="24"/>
          </w:rPr>
          <w:t>stock market index</w:t>
        </w:r>
      </w:hyperlink>
      <w:r w:rsidR="00880972" w:rsidRPr="004D5393">
        <w:rPr>
          <w:rFonts w:ascii="Times New Roman" w:hAnsi="Times New Roman" w:cs="Times New Roman"/>
          <w:sz w:val="24"/>
          <w:szCs w:val="24"/>
        </w:rPr>
        <w:t xml:space="preserve"> in </w:t>
      </w:r>
      <w:hyperlink r:id="rId12" w:tooltip="Hong Kong" w:history="1">
        <w:r w:rsidR="00880972" w:rsidRPr="004D5393">
          <w:rPr>
            <w:rFonts w:ascii="Times New Roman" w:hAnsi="Times New Roman" w:cs="Times New Roman"/>
            <w:sz w:val="24"/>
            <w:szCs w:val="24"/>
          </w:rPr>
          <w:t>Hong Kong</w:t>
        </w:r>
      </w:hyperlink>
      <w:r w:rsidR="00880972" w:rsidRPr="004D5393">
        <w:rPr>
          <w:rFonts w:ascii="Times New Roman" w:hAnsi="Times New Roman" w:cs="Times New Roman"/>
          <w:sz w:val="24"/>
          <w:szCs w:val="24"/>
        </w:rPr>
        <w:t xml:space="preserve"> which serves as the main indicator of the overall market performance of the local stock market.  Although the constituent stocks of the index have </w:t>
      </w:r>
      <w:r w:rsidR="00E81C52" w:rsidRPr="004D5393">
        <w:rPr>
          <w:rFonts w:ascii="Times New Roman" w:hAnsi="Times New Roman" w:cs="Times New Roman"/>
          <w:sz w:val="24"/>
          <w:szCs w:val="24"/>
        </w:rPr>
        <w:t xml:space="preserve">been </w:t>
      </w:r>
      <w:r w:rsidR="00740DAC" w:rsidRPr="004D5393">
        <w:rPr>
          <w:rFonts w:ascii="Times New Roman" w:hAnsi="Times New Roman" w:cs="Times New Roman"/>
          <w:sz w:val="24"/>
          <w:szCs w:val="24"/>
        </w:rPr>
        <w:t>regularly reclassified</w:t>
      </w:r>
      <w:r w:rsidR="00E81C52" w:rsidRPr="004D5393">
        <w:rPr>
          <w:rFonts w:ascii="Times New Roman" w:hAnsi="Times New Roman" w:cs="Times New Roman"/>
          <w:sz w:val="24"/>
          <w:szCs w:val="24"/>
        </w:rPr>
        <w:t>, our</w:t>
      </w:r>
      <w:r w:rsidR="00740DAC" w:rsidRPr="004D5393">
        <w:rPr>
          <w:rFonts w:ascii="Times New Roman" w:hAnsi="Times New Roman" w:cs="Times New Roman"/>
          <w:sz w:val="24"/>
          <w:szCs w:val="24"/>
        </w:rPr>
        <w:t xml:space="preserve"> </w:t>
      </w:r>
      <w:r w:rsidR="00880972" w:rsidRPr="004D5393">
        <w:rPr>
          <w:rFonts w:ascii="Times New Roman" w:hAnsi="Times New Roman" w:cs="Times New Roman"/>
          <w:sz w:val="24"/>
          <w:szCs w:val="24"/>
        </w:rPr>
        <w:t>analysis focus</w:t>
      </w:r>
      <w:r w:rsidR="00E81C52" w:rsidRPr="004D5393">
        <w:rPr>
          <w:rFonts w:ascii="Times New Roman" w:hAnsi="Times New Roman" w:cs="Times New Roman"/>
          <w:sz w:val="24"/>
          <w:szCs w:val="24"/>
        </w:rPr>
        <w:t>es</w:t>
      </w:r>
      <w:r w:rsidR="00880972" w:rsidRPr="004D5393">
        <w:rPr>
          <w:rFonts w:ascii="Times New Roman" w:hAnsi="Times New Roman" w:cs="Times New Roman"/>
          <w:sz w:val="24"/>
          <w:szCs w:val="24"/>
        </w:rPr>
        <w:t xml:space="preserve"> on the top 26 major stocks in terms of index weighting </w:t>
      </w:r>
      <w:r w:rsidR="001B0654" w:rsidRPr="004D5393">
        <w:rPr>
          <w:rFonts w:ascii="Times New Roman" w:hAnsi="Times New Roman" w:cs="Times New Roman"/>
          <w:sz w:val="24"/>
          <w:szCs w:val="24"/>
        </w:rPr>
        <w:t>which</w:t>
      </w:r>
      <w:r w:rsidR="00880972" w:rsidRPr="004D5393">
        <w:rPr>
          <w:rFonts w:ascii="Times New Roman" w:hAnsi="Times New Roman" w:cs="Times New Roman"/>
          <w:sz w:val="24"/>
          <w:szCs w:val="24"/>
        </w:rPr>
        <w:t xml:space="preserve"> cover</w:t>
      </w:r>
      <w:r w:rsidR="00E81C52" w:rsidRPr="004D5393">
        <w:rPr>
          <w:rFonts w:ascii="Times New Roman" w:hAnsi="Times New Roman" w:cs="Times New Roman"/>
          <w:sz w:val="24"/>
          <w:szCs w:val="24"/>
        </w:rPr>
        <w:t>s</w:t>
      </w:r>
      <w:r w:rsidR="00880972" w:rsidRPr="004D5393">
        <w:rPr>
          <w:rFonts w:ascii="Times New Roman" w:hAnsi="Times New Roman" w:cs="Times New Roman"/>
          <w:sz w:val="24"/>
          <w:szCs w:val="24"/>
        </w:rPr>
        <w:t xml:space="preserve"> more than </w:t>
      </w:r>
      <w:r w:rsidR="00DE0FE4" w:rsidRPr="00D366A7">
        <w:rPr>
          <w:rFonts w:ascii="Times New Roman" w:hAnsi="Times New Roman" w:cs="Times New Roman"/>
          <w:sz w:val="24"/>
          <w:szCs w:val="24"/>
        </w:rPr>
        <w:t>8</w:t>
      </w:r>
      <w:r w:rsidR="00D3361E">
        <w:rPr>
          <w:rFonts w:ascii="Times New Roman" w:hAnsi="Times New Roman" w:cs="Times New Roman"/>
          <w:sz w:val="24"/>
          <w:szCs w:val="24"/>
        </w:rPr>
        <w:t>0</w:t>
      </w:r>
      <w:r w:rsidR="00DE0FE4" w:rsidRPr="00D366A7">
        <w:rPr>
          <w:rFonts w:ascii="Times New Roman" w:hAnsi="Times New Roman" w:cs="Times New Roman"/>
          <w:sz w:val="24"/>
          <w:szCs w:val="24"/>
        </w:rPr>
        <w:t>% of market capitalization of the Hang Seng Index</w:t>
      </w:r>
      <w:r w:rsidR="00D3361E">
        <w:rPr>
          <w:rFonts w:ascii="Times New Roman" w:hAnsi="Times New Roman" w:cs="Times New Roman"/>
          <w:sz w:val="24"/>
          <w:szCs w:val="24"/>
        </w:rPr>
        <w:t>.</w:t>
      </w:r>
    </w:p>
    <w:p w14:paraId="7269F6D2" w14:textId="3862A1D0" w:rsidR="000F7FE6" w:rsidRPr="004D5393" w:rsidRDefault="000F7FE6" w:rsidP="00C658FF">
      <w:pPr>
        <w:spacing w:after="0" w:line="480" w:lineRule="auto"/>
        <w:contextualSpacing/>
        <w:jc w:val="both"/>
      </w:pPr>
      <w:r w:rsidRPr="004D5393">
        <w:rPr>
          <w:rFonts w:ascii="Times New Roman" w:hAnsi="Times New Roman" w:cs="Times New Roman"/>
          <w:sz w:val="24"/>
          <w:szCs w:val="24"/>
        </w:rPr>
        <w:tab/>
      </w:r>
      <w:r w:rsidR="00880972" w:rsidRPr="004D5393">
        <w:rPr>
          <w:rFonts w:ascii="Times New Roman" w:hAnsi="Times New Roman" w:cs="Times New Roman"/>
          <w:sz w:val="24"/>
          <w:szCs w:val="24"/>
        </w:rPr>
        <w:t>The sample period is defined a</w:t>
      </w:r>
      <w:r w:rsidR="000C21B1" w:rsidRPr="004D5393">
        <w:rPr>
          <w:rFonts w:ascii="Times New Roman" w:hAnsi="Times New Roman" w:cs="Times New Roman"/>
          <w:sz w:val="24"/>
          <w:szCs w:val="24"/>
        </w:rPr>
        <w:t xml:space="preserve">s the period between the January </w:t>
      </w:r>
      <w:r w:rsidR="00264762" w:rsidRPr="004D5393">
        <w:rPr>
          <w:rFonts w:ascii="Times New Roman" w:hAnsi="Times New Roman" w:cs="Times New Roman"/>
          <w:sz w:val="24"/>
          <w:szCs w:val="24"/>
        </w:rPr>
        <w:t xml:space="preserve">1, </w:t>
      </w:r>
      <w:r w:rsidR="000C21B1" w:rsidRPr="004D5393">
        <w:rPr>
          <w:rFonts w:ascii="Times New Roman" w:hAnsi="Times New Roman" w:cs="Times New Roman"/>
          <w:sz w:val="24"/>
          <w:szCs w:val="24"/>
        </w:rPr>
        <w:t xml:space="preserve">2009 and the May </w:t>
      </w:r>
      <w:r w:rsidR="00264762" w:rsidRPr="004D5393">
        <w:rPr>
          <w:rFonts w:ascii="Times New Roman" w:hAnsi="Times New Roman" w:cs="Times New Roman"/>
          <w:sz w:val="24"/>
          <w:szCs w:val="24"/>
        </w:rPr>
        <w:t xml:space="preserve">1, </w:t>
      </w:r>
      <w:r w:rsidR="00880972" w:rsidRPr="004D5393">
        <w:rPr>
          <w:rFonts w:ascii="Times New Roman" w:hAnsi="Times New Roman" w:cs="Times New Roman"/>
          <w:sz w:val="24"/>
          <w:szCs w:val="24"/>
        </w:rPr>
        <w:t>2014</w:t>
      </w:r>
      <w:r w:rsidR="001B0654" w:rsidRPr="004D5393">
        <w:rPr>
          <w:rFonts w:ascii="Times New Roman" w:hAnsi="Times New Roman" w:cs="Times New Roman"/>
          <w:sz w:val="24"/>
          <w:szCs w:val="24"/>
        </w:rPr>
        <w:t xml:space="preserve"> when the market experienced significant </w:t>
      </w:r>
      <w:r w:rsidR="00B94A08" w:rsidRPr="004D5393">
        <w:rPr>
          <w:rFonts w:ascii="Times New Roman" w:hAnsi="Times New Roman" w:cs="Times New Roman"/>
          <w:sz w:val="24"/>
          <w:szCs w:val="24"/>
        </w:rPr>
        <w:t xml:space="preserve">waves </w:t>
      </w:r>
      <w:r w:rsidR="001B0654" w:rsidRPr="004D5393">
        <w:rPr>
          <w:rFonts w:ascii="Times New Roman" w:hAnsi="Times New Roman" w:cs="Times New Roman"/>
          <w:sz w:val="24"/>
          <w:szCs w:val="24"/>
        </w:rPr>
        <w:t>in trading</w:t>
      </w:r>
      <w:r w:rsidR="00880972" w:rsidRPr="004D5393">
        <w:rPr>
          <w:rFonts w:ascii="Times New Roman" w:hAnsi="Times New Roman" w:cs="Times New Roman"/>
          <w:sz w:val="24"/>
          <w:szCs w:val="24"/>
        </w:rPr>
        <w:t>. All sample recommendations of those 26 s</w:t>
      </w:r>
      <w:r w:rsidR="008834B8" w:rsidRPr="004D5393">
        <w:rPr>
          <w:rFonts w:ascii="Times New Roman" w:hAnsi="Times New Roman" w:cs="Times New Roman"/>
          <w:sz w:val="24"/>
          <w:szCs w:val="24"/>
        </w:rPr>
        <w:t xml:space="preserve">tocks are selected </w:t>
      </w:r>
      <w:r w:rsidR="000C21B1" w:rsidRPr="004D5393">
        <w:rPr>
          <w:rFonts w:ascii="Times New Roman" w:hAnsi="Times New Roman" w:cs="Times New Roman"/>
          <w:sz w:val="24"/>
          <w:szCs w:val="24"/>
        </w:rPr>
        <w:t>using Bloomberg</w:t>
      </w:r>
      <w:r w:rsidR="00880972" w:rsidRPr="004D5393">
        <w:rPr>
          <w:rFonts w:ascii="Times New Roman" w:hAnsi="Times New Roman" w:cs="Times New Roman"/>
          <w:sz w:val="24"/>
          <w:szCs w:val="24"/>
        </w:rPr>
        <w:t>. Companies that are l</w:t>
      </w:r>
      <w:r w:rsidR="000C21B1" w:rsidRPr="004D5393">
        <w:rPr>
          <w:rFonts w:ascii="Times New Roman" w:hAnsi="Times New Roman" w:cs="Times New Roman"/>
          <w:sz w:val="24"/>
          <w:szCs w:val="24"/>
        </w:rPr>
        <w:t xml:space="preserve">isted within the sample period </w:t>
      </w:r>
      <w:r w:rsidR="00880972" w:rsidRPr="004D5393">
        <w:rPr>
          <w:rFonts w:ascii="Times New Roman" w:hAnsi="Times New Roman" w:cs="Times New Roman"/>
          <w:sz w:val="24"/>
          <w:szCs w:val="24"/>
        </w:rPr>
        <w:t xml:space="preserve">are considered </w:t>
      </w:r>
      <w:r w:rsidR="000C21B1" w:rsidRPr="004D5393">
        <w:rPr>
          <w:rFonts w:ascii="Times New Roman" w:hAnsi="Times New Roman" w:cs="Times New Roman"/>
          <w:sz w:val="24"/>
          <w:szCs w:val="24"/>
        </w:rPr>
        <w:t>to be stocks that have proven</w:t>
      </w:r>
      <w:r w:rsidR="00880972" w:rsidRPr="004D5393">
        <w:rPr>
          <w:rFonts w:ascii="Times New Roman" w:hAnsi="Times New Roman" w:cs="Times New Roman"/>
          <w:sz w:val="24"/>
          <w:szCs w:val="24"/>
        </w:rPr>
        <w:t xml:space="preserve"> to be actively traded with significant market </w:t>
      </w:r>
      <w:r w:rsidR="006104E6" w:rsidRPr="004D5393">
        <w:rPr>
          <w:rFonts w:ascii="Times New Roman" w:hAnsi="Times New Roman" w:cs="Times New Roman"/>
          <w:sz w:val="24"/>
          <w:szCs w:val="24"/>
        </w:rPr>
        <w:t>capitalization</w:t>
      </w:r>
      <w:r w:rsidR="00880972" w:rsidRPr="004D5393">
        <w:rPr>
          <w:rFonts w:ascii="Times New Roman" w:hAnsi="Times New Roman" w:cs="Times New Roman"/>
          <w:sz w:val="24"/>
          <w:szCs w:val="24"/>
        </w:rPr>
        <w:t xml:space="preserve"> and turnover. In addition, all stocks have been covered by at least one analyst throu</w:t>
      </w:r>
      <w:r w:rsidR="00A128A7" w:rsidRPr="004D5393">
        <w:rPr>
          <w:rFonts w:ascii="Times New Roman" w:hAnsi="Times New Roman" w:cs="Times New Roman"/>
          <w:sz w:val="24"/>
          <w:szCs w:val="24"/>
        </w:rPr>
        <w:t>ghout the whole sample period.</w:t>
      </w:r>
      <w:r w:rsidR="00E81C52" w:rsidRPr="004D5393">
        <w:rPr>
          <w:rFonts w:ascii="Times New Roman" w:hAnsi="Times New Roman" w:cs="Times New Roman"/>
          <w:sz w:val="24"/>
          <w:szCs w:val="24"/>
        </w:rPr>
        <w:t xml:space="preserve"> D</w:t>
      </w:r>
      <w:r w:rsidR="00880972" w:rsidRPr="004D5393">
        <w:rPr>
          <w:rFonts w:ascii="Times New Roman" w:hAnsi="Times New Roman" w:cs="Times New Roman"/>
          <w:sz w:val="24"/>
          <w:szCs w:val="24"/>
        </w:rPr>
        <w:t xml:space="preserve">elisted </w:t>
      </w:r>
      <w:r w:rsidR="00E81C52" w:rsidRPr="004D5393">
        <w:rPr>
          <w:rFonts w:ascii="Times New Roman" w:hAnsi="Times New Roman" w:cs="Times New Roman"/>
          <w:sz w:val="24"/>
          <w:szCs w:val="24"/>
        </w:rPr>
        <w:t>firms are excluded from the sample</w:t>
      </w:r>
      <w:r w:rsidR="00880972" w:rsidRPr="004D5393">
        <w:rPr>
          <w:rFonts w:ascii="Times New Roman" w:hAnsi="Times New Roman" w:cs="Times New Roman"/>
          <w:sz w:val="24"/>
          <w:szCs w:val="24"/>
        </w:rPr>
        <w:t xml:space="preserve">. </w:t>
      </w:r>
    </w:p>
    <w:p w14:paraId="7FE28AD1" w14:textId="79165132" w:rsidR="00E81C52" w:rsidRDefault="000F7FE6" w:rsidP="00B52E2F">
      <w:pPr>
        <w:spacing w:after="0" w:line="480" w:lineRule="auto"/>
        <w:contextualSpacing/>
        <w:jc w:val="both"/>
        <w:rPr>
          <w:rFonts w:ascii="Times New Roman" w:hAnsi="Times New Roman" w:cs="Times New Roman"/>
          <w:sz w:val="24"/>
          <w:szCs w:val="24"/>
        </w:rPr>
      </w:pPr>
      <w:r w:rsidRPr="004D5393">
        <w:rPr>
          <w:rFonts w:ascii="Times New Roman" w:hAnsi="Times New Roman" w:cs="Times New Roman"/>
          <w:sz w:val="24"/>
          <w:szCs w:val="24"/>
        </w:rPr>
        <w:tab/>
      </w:r>
      <w:r w:rsidR="00880972" w:rsidRPr="004D5393">
        <w:rPr>
          <w:rFonts w:ascii="Times New Roman" w:hAnsi="Times New Roman" w:cs="Times New Roman"/>
          <w:sz w:val="24"/>
          <w:szCs w:val="24"/>
        </w:rPr>
        <w:t xml:space="preserve">For those 26 target stocks, a total of 1751 </w:t>
      </w:r>
      <w:r w:rsidR="0069640C" w:rsidRPr="004D5393">
        <w:rPr>
          <w:rFonts w:ascii="Times New Roman" w:hAnsi="Times New Roman" w:cs="Times New Roman"/>
          <w:sz w:val="24"/>
          <w:szCs w:val="24"/>
        </w:rPr>
        <w:t>recommendations from</w:t>
      </w:r>
      <w:r w:rsidR="00C24182" w:rsidRPr="004D5393">
        <w:rPr>
          <w:rFonts w:ascii="Times New Roman" w:hAnsi="Times New Roman" w:cs="Times New Roman"/>
          <w:sz w:val="24"/>
          <w:szCs w:val="24"/>
        </w:rPr>
        <w:t xml:space="preserve"> 402 analysts </w:t>
      </w:r>
      <w:r w:rsidR="00880972" w:rsidRPr="004D5393">
        <w:rPr>
          <w:rFonts w:ascii="Times New Roman" w:hAnsi="Times New Roman" w:cs="Times New Roman"/>
          <w:sz w:val="24"/>
          <w:szCs w:val="24"/>
        </w:rPr>
        <w:t>have been obtained</w:t>
      </w:r>
      <w:r w:rsidR="008834B8" w:rsidRPr="004D5393">
        <w:rPr>
          <w:rFonts w:ascii="Times New Roman" w:hAnsi="Times New Roman" w:cs="Times New Roman"/>
          <w:sz w:val="24"/>
          <w:szCs w:val="24"/>
        </w:rPr>
        <w:t xml:space="preserve"> within the sample period</w:t>
      </w:r>
      <w:r w:rsidR="00A128A7" w:rsidRPr="004D5393">
        <w:rPr>
          <w:rFonts w:ascii="Times New Roman" w:hAnsi="Times New Roman" w:cs="Times New Roman"/>
          <w:sz w:val="24"/>
          <w:szCs w:val="24"/>
        </w:rPr>
        <w:t xml:space="preserve">, consisting of </w:t>
      </w:r>
      <w:r w:rsidR="00880972" w:rsidRPr="004D5393">
        <w:rPr>
          <w:rFonts w:ascii="Times New Roman" w:hAnsi="Times New Roman" w:cs="Times New Roman"/>
          <w:sz w:val="24"/>
          <w:szCs w:val="24"/>
        </w:rPr>
        <w:t xml:space="preserve">884 recommendation upgrades </w:t>
      </w:r>
      <w:r w:rsidR="00A128A7" w:rsidRPr="004D5393">
        <w:rPr>
          <w:rFonts w:ascii="Times New Roman" w:hAnsi="Times New Roman" w:cs="Times New Roman"/>
          <w:sz w:val="24"/>
          <w:szCs w:val="24"/>
        </w:rPr>
        <w:t>and 867</w:t>
      </w:r>
      <w:r w:rsidR="00880972" w:rsidRPr="004D5393">
        <w:rPr>
          <w:rFonts w:ascii="Times New Roman" w:hAnsi="Times New Roman" w:cs="Times New Roman"/>
          <w:sz w:val="24"/>
          <w:szCs w:val="24"/>
        </w:rPr>
        <w:t xml:space="preserve"> recommendation downgrades. Details of the data are shown in Table 1 below. However, in </w:t>
      </w:r>
      <w:r w:rsidR="00E81C52" w:rsidRPr="004D5393">
        <w:rPr>
          <w:rFonts w:ascii="Times New Roman" w:hAnsi="Times New Roman" w:cs="Times New Roman"/>
          <w:sz w:val="24"/>
          <w:szCs w:val="24"/>
        </w:rPr>
        <w:t xml:space="preserve">order to ensure </w:t>
      </w:r>
      <w:r w:rsidR="00A128A7" w:rsidRPr="004D5393">
        <w:rPr>
          <w:rFonts w:ascii="Times New Roman" w:hAnsi="Times New Roman" w:cs="Times New Roman"/>
          <w:sz w:val="24"/>
          <w:szCs w:val="24"/>
        </w:rPr>
        <w:t>consistency in the</w:t>
      </w:r>
      <w:r w:rsidR="00E81C52" w:rsidRPr="004D5393">
        <w:rPr>
          <w:rFonts w:ascii="Times New Roman" w:hAnsi="Times New Roman" w:cs="Times New Roman"/>
          <w:sz w:val="24"/>
          <w:szCs w:val="24"/>
        </w:rPr>
        <w:t xml:space="preserve"> comparison of </w:t>
      </w:r>
      <w:r w:rsidR="000C21B1" w:rsidRPr="004D5393">
        <w:rPr>
          <w:rFonts w:ascii="Times New Roman" w:hAnsi="Times New Roman" w:cs="Times New Roman"/>
          <w:sz w:val="24"/>
          <w:szCs w:val="24"/>
        </w:rPr>
        <w:t xml:space="preserve">the </w:t>
      </w:r>
      <w:r w:rsidR="00E81C52" w:rsidRPr="004D5393">
        <w:rPr>
          <w:rFonts w:ascii="Times New Roman" w:hAnsi="Times New Roman" w:cs="Times New Roman"/>
          <w:sz w:val="24"/>
          <w:szCs w:val="24"/>
        </w:rPr>
        <w:t>effects of different st</w:t>
      </w:r>
      <w:r w:rsidR="00A128A7" w:rsidRPr="004D5393">
        <w:rPr>
          <w:rFonts w:ascii="Times New Roman" w:hAnsi="Times New Roman" w:cs="Times New Roman"/>
          <w:sz w:val="24"/>
          <w:szCs w:val="24"/>
        </w:rPr>
        <w:t>ock recommendations, we exclude</w:t>
      </w:r>
      <w:r w:rsidR="00E81C52" w:rsidRPr="004D5393">
        <w:rPr>
          <w:rFonts w:ascii="Times New Roman" w:hAnsi="Times New Roman" w:cs="Times New Roman"/>
          <w:sz w:val="24"/>
          <w:szCs w:val="24"/>
        </w:rPr>
        <w:t xml:space="preserve"> </w:t>
      </w:r>
      <w:r w:rsidR="00880972" w:rsidRPr="004D5393">
        <w:rPr>
          <w:rFonts w:ascii="Times New Roman" w:hAnsi="Times New Roman" w:cs="Times New Roman"/>
          <w:sz w:val="24"/>
          <w:szCs w:val="24"/>
        </w:rPr>
        <w:t>all recommendations that were r</w:t>
      </w:r>
      <w:r w:rsidR="00E81C52" w:rsidRPr="004D5393">
        <w:rPr>
          <w:rFonts w:ascii="Times New Roman" w:hAnsi="Times New Roman" w:cs="Times New Roman"/>
          <w:sz w:val="24"/>
          <w:szCs w:val="24"/>
        </w:rPr>
        <w:t>eleased on weekends or holiday</w:t>
      </w:r>
      <w:r w:rsidR="000C21B1" w:rsidRPr="004D5393">
        <w:rPr>
          <w:rFonts w:ascii="Times New Roman" w:hAnsi="Times New Roman" w:cs="Times New Roman"/>
          <w:sz w:val="24"/>
          <w:szCs w:val="24"/>
        </w:rPr>
        <w:t>s</w:t>
      </w:r>
      <w:r w:rsidR="00E81C52" w:rsidRPr="004D5393">
        <w:rPr>
          <w:rFonts w:ascii="Times New Roman" w:hAnsi="Times New Roman" w:cs="Times New Roman"/>
          <w:sz w:val="24"/>
          <w:szCs w:val="24"/>
        </w:rPr>
        <w:t>.</w:t>
      </w:r>
    </w:p>
    <w:p w14:paraId="6835F4F4" w14:textId="77777777" w:rsidR="006E0FEC" w:rsidRPr="004D5393" w:rsidRDefault="006E0FEC" w:rsidP="00C658FF">
      <w:pPr>
        <w:spacing w:after="0" w:line="480" w:lineRule="auto"/>
        <w:contextualSpacing/>
        <w:jc w:val="both"/>
      </w:pPr>
    </w:p>
    <w:p w14:paraId="77E1F619" w14:textId="39A8ED22" w:rsidR="00792ADB" w:rsidRDefault="00FF6366" w:rsidP="00C658FF">
      <w:pPr>
        <w:spacing w:after="0" w:line="480" w:lineRule="auto"/>
        <w:contextualSpacing/>
        <w:jc w:val="center"/>
        <w:rPr>
          <w:rFonts w:ascii="Times New Roman" w:hAnsi="Times New Roman" w:cs="Times New Roman"/>
          <w:b/>
          <w:sz w:val="24"/>
          <w:szCs w:val="24"/>
        </w:rPr>
      </w:pPr>
      <w:r w:rsidRPr="004D5393">
        <w:rPr>
          <w:rFonts w:ascii="Times New Roman" w:hAnsi="Times New Roman" w:cs="Times New Roman"/>
          <w:b/>
          <w:sz w:val="24"/>
          <w:szCs w:val="24"/>
        </w:rPr>
        <w:t>[Insert Table 1]</w:t>
      </w:r>
    </w:p>
    <w:p w14:paraId="209DFF5B" w14:textId="77777777" w:rsidR="00642CD0" w:rsidRPr="004D5393" w:rsidRDefault="00642CD0" w:rsidP="00C658FF">
      <w:pPr>
        <w:spacing w:after="0" w:line="480" w:lineRule="auto"/>
        <w:contextualSpacing/>
        <w:jc w:val="center"/>
        <w:rPr>
          <w:rFonts w:ascii="Times New Roman" w:hAnsi="Times New Roman" w:cs="Times New Roman"/>
          <w:b/>
          <w:sz w:val="24"/>
          <w:szCs w:val="24"/>
        </w:rPr>
      </w:pPr>
    </w:p>
    <w:p w14:paraId="6A868024" w14:textId="65B75ECB" w:rsidR="00F36616" w:rsidRPr="00381BCC" w:rsidRDefault="001B582A">
      <w:pPr>
        <w:spacing w:after="0" w:line="480" w:lineRule="auto"/>
        <w:contextualSpacing/>
        <w:jc w:val="both"/>
        <w:rPr>
          <w:rFonts w:ascii="Times New Roman" w:hAnsi="Times New Roman" w:cs="Times New Roman"/>
          <w:sz w:val="24"/>
          <w:szCs w:val="24"/>
        </w:rPr>
      </w:pPr>
      <w:r w:rsidRPr="004D5393">
        <w:rPr>
          <w:rFonts w:ascii="Times New Roman" w:hAnsi="Times New Roman" w:cs="Times New Roman"/>
          <w:sz w:val="24"/>
          <w:szCs w:val="24"/>
        </w:rPr>
        <w:t>To derive the conditional probability statements based on the investor sentiment we use the J.P. Morgan Hong Kong Investor Confidence Index</w:t>
      </w:r>
      <w:r w:rsidR="00CB7838" w:rsidRPr="004D5393">
        <w:rPr>
          <w:rFonts w:ascii="Times New Roman" w:hAnsi="Times New Roman" w:cs="Times New Roman"/>
          <w:sz w:val="24"/>
          <w:szCs w:val="24"/>
        </w:rPr>
        <w:t xml:space="preserve"> which</w:t>
      </w:r>
      <w:r w:rsidRPr="004D5393">
        <w:rPr>
          <w:rFonts w:ascii="Times New Roman" w:hAnsi="Times New Roman" w:cs="Times New Roman"/>
          <w:sz w:val="24"/>
          <w:szCs w:val="24"/>
        </w:rPr>
        <w:t xml:space="preserve"> is a </w:t>
      </w:r>
      <w:r w:rsidR="009175B4" w:rsidRPr="00416268">
        <w:rPr>
          <w:rFonts w:ascii="Times New Roman" w:hAnsi="Times New Roman" w:cs="Times New Roman"/>
          <w:sz w:val="24"/>
          <w:szCs w:val="24"/>
        </w:rPr>
        <w:t>survey-based</w:t>
      </w:r>
      <w:r w:rsidRPr="004D5393">
        <w:rPr>
          <w:rFonts w:ascii="Times New Roman" w:hAnsi="Times New Roman" w:cs="Times New Roman"/>
          <w:sz w:val="24"/>
          <w:szCs w:val="24"/>
        </w:rPr>
        <w:t xml:space="preserve"> index reflecting the investors</w:t>
      </w:r>
      <w:r w:rsidR="00CB7838" w:rsidRPr="004D5393">
        <w:rPr>
          <w:rFonts w:ascii="Times New Roman" w:hAnsi="Times New Roman" w:cs="Times New Roman"/>
          <w:sz w:val="24"/>
          <w:szCs w:val="24"/>
        </w:rPr>
        <w:t>’</w:t>
      </w:r>
      <w:r w:rsidRPr="004D5393">
        <w:rPr>
          <w:rFonts w:ascii="Times New Roman" w:hAnsi="Times New Roman" w:cs="Times New Roman"/>
          <w:sz w:val="24"/>
          <w:szCs w:val="24"/>
        </w:rPr>
        <w:t xml:space="preserve"> sentiment over the next six months. Over 500 investors aged between 30 and 60 participate </w:t>
      </w:r>
      <w:r w:rsidR="00CB7838" w:rsidRPr="004D5393">
        <w:rPr>
          <w:rFonts w:ascii="Times New Roman" w:hAnsi="Times New Roman" w:cs="Times New Roman"/>
          <w:sz w:val="24"/>
          <w:szCs w:val="24"/>
        </w:rPr>
        <w:t xml:space="preserve">in the survey </w:t>
      </w:r>
      <w:r w:rsidRPr="004D5393">
        <w:rPr>
          <w:rFonts w:ascii="Times New Roman" w:hAnsi="Times New Roman" w:cs="Times New Roman"/>
          <w:sz w:val="24"/>
          <w:szCs w:val="24"/>
        </w:rPr>
        <w:t xml:space="preserve">and have a minimum of HK$100,000 </w:t>
      </w:r>
      <w:r w:rsidR="00CB7838" w:rsidRPr="004D5393">
        <w:rPr>
          <w:rFonts w:ascii="Times New Roman" w:hAnsi="Times New Roman" w:cs="Times New Roman"/>
          <w:sz w:val="24"/>
          <w:szCs w:val="24"/>
        </w:rPr>
        <w:t xml:space="preserve">in </w:t>
      </w:r>
      <w:r w:rsidRPr="004D5393">
        <w:rPr>
          <w:rFonts w:ascii="Times New Roman" w:hAnsi="Times New Roman" w:cs="Times New Roman"/>
          <w:sz w:val="24"/>
          <w:szCs w:val="24"/>
        </w:rPr>
        <w:t xml:space="preserve">liquid assets and at least 5 </w:t>
      </w:r>
      <w:r w:rsidRPr="00381BCC">
        <w:rPr>
          <w:rFonts w:ascii="Times New Roman" w:hAnsi="Times New Roman" w:cs="Times New Roman"/>
          <w:sz w:val="24"/>
          <w:szCs w:val="24"/>
        </w:rPr>
        <w:t>years of continuous investment experience.</w:t>
      </w:r>
    </w:p>
    <w:p w14:paraId="46BC8F1A" w14:textId="0077CE0E" w:rsidR="003713D7" w:rsidRDefault="00A076B6" w:rsidP="00F97F7D">
      <w:pPr>
        <w:spacing w:after="0" w:line="480" w:lineRule="auto"/>
        <w:ind w:firstLine="720"/>
        <w:contextualSpacing/>
        <w:jc w:val="both"/>
        <w:rPr>
          <w:rFonts w:ascii="Times New Roman" w:hAnsi="Times New Roman" w:cs="Times New Roman"/>
          <w:sz w:val="24"/>
          <w:szCs w:val="24"/>
        </w:rPr>
      </w:pPr>
      <w:r w:rsidRPr="00381BCC">
        <w:rPr>
          <w:rFonts w:ascii="Times New Roman" w:hAnsi="Times New Roman" w:cs="Times New Roman"/>
          <w:sz w:val="24"/>
          <w:szCs w:val="24"/>
        </w:rPr>
        <w:lastRenderedPageBreak/>
        <w:t xml:space="preserve">The J.P. Morgan Investor Confidence Index (JPMICI) score is derived </w:t>
      </w:r>
      <w:r w:rsidR="00577780" w:rsidRPr="00F97F7D">
        <w:rPr>
          <w:rFonts w:ascii="Times New Roman" w:hAnsi="Times New Roman" w:cs="Times New Roman"/>
          <w:sz w:val="24"/>
          <w:szCs w:val="24"/>
        </w:rPr>
        <w:t>by</w:t>
      </w:r>
      <w:r w:rsidRPr="00381BCC">
        <w:rPr>
          <w:rFonts w:ascii="Times New Roman" w:hAnsi="Times New Roman" w:cs="Times New Roman"/>
          <w:sz w:val="24"/>
          <w:szCs w:val="24"/>
        </w:rPr>
        <w:t xml:space="preserve"> asking survey respondents six questions to </w:t>
      </w:r>
      <w:r w:rsidR="00577780" w:rsidRPr="00F97F7D">
        <w:rPr>
          <w:rFonts w:ascii="Times New Roman" w:hAnsi="Times New Roman" w:cs="Times New Roman"/>
          <w:sz w:val="24"/>
          <w:szCs w:val="24"/>
        </w:rPr>
        <w:t>assess</w:t>
      </w:r>
      <w:r w:rsidRPr="00381BCC">
        <w:rPr>
          <w:rFonts w:ascii="Times New Roman" w:hAnsi="Times New Roman" w:cs="Times New Roman"/>
          <w:sz w:val="24"/>
          <w:szCs w:val="24"/>
        </w:rPr>
        <w:t xml:space="preserve"> the confidence of investors about (Q1) the Hang Seng Index, (Q2) HK economic environment, (Q3) HK investment environment and sentiment, (Q4) global economic environment, (Q5) the possibility of personal asset appreciation, and (Q6) the possibility of increasing their investment. These six questions form the sub-indices of the J.P. Morgan Investor Confidence Index. The index and all sub-indices have a range between 0 and 200. A number greater than 100 represents a positive outlook and vice versa. The Index is designed to reflect local investor sentiment towards the Hong Kong market over the next 6 months following its last date of publication.</w:t>
      </w:r>
      <w:r w:rsidR="00ED00DE">
        <w:rPr>
          <w:rFonts w:ascii="Times New Roman" w:hAnsi="Times New Roman" w:cs="Times New Roman"/>
          <w:sz w:val="24"/>
          <w:szCs w:val="24"/>
        </w:rPr>
        <w:t xml:space="preserve"> </w:t>
      </w:r>
      <w:r w:rsidR="00577780" w:rsidRPr="00F97F7D">
        <w:rPr>
          <w:rFonts w:ascii="Times New Roman" w:hAnsi="Times New Roman" w:cs="Times New Roman"/>
          <w:sz w:val="24"/>
          <w:szCs w:val="24"/>
        </w:rPr>
        <w:t>I</w:t>
      </w:r>
      <w:r w:rsidRPr="00381BCC">
        <w:rPr>
          <w:rFonts w:ascii="Times New Roman" w:hAnsi="Times New Roman" w:cs="Times New Roman"/>
          <w:sz w:val="24"/>
          <w:szCs w:val="24"/>
        </w:rPr>
        <w:t>t is fair to assume that the JPMICI index is a representation of investor confidence in the HK market</w:t>
      </w:r>
      <w:r w:rsidR="00A82B8C" w:rsidRPr="00F97F7D">
        <w:rPr>
          <w:rFonts w:ascii="Times New Roman" w:hAnsi="Times New Roman" w:cs="Times New Roman"/>
          <w:sz w:val="24"/>
          <w:szCs w:val="24"/>
        </w:rPr>
        <w:t>.</w:t>
      </w:r>
      <w:r w:rsidRPr="00381BCC">
        <w:rPr>
          <w:rFonts w:ascii="Times New Roman" w:hAnsi="Times New Roman" w:cs="Times New Roman"/>
          <w:sz w:val="24"/>
          <w:szCs w:val="24"/>
        </w:rPr>
        <w:t xml:space="preserve"> </w:t>
      </w:r>
      <w:r w:rsidR="00A82B8C" w:rsidRPr="00F97F7D">
        <w:rPr>
          <w:rFonts w:ascii="Times New Roman" w:hAnsi="Times New Roman" w:cs="Times New Roman"/>
          <w:sz w:val="24"/>
          <w:szCs w:val="24"/>
        </w:rPr>
        <w:t>A</w:t>
      </w:r>
      <w:r w:rsidRPr="00381BCC">
        <w:rPr>
          <w:rFonts w:ascii="Times New Roman" w:hAnsi="Times New Roman" w:cs="Times New Roman"/>
          <w:sz w:val="24"/>
          <w:szCs w:val="24"/>
        </w:rPr>
        <w:t>s such</w:t>
      </w:r>
      <w:r w:rsidR="00A82B8C" w:rsidRPr="00F97F7D">
        <w:rPr>
          <w:rFonts w:ascii="Times New Roman" w:hAnsi="Times New Roman" w:cs="Times New Roman"/>
          <w:sz w:val="24"/>
          <w:szCs w:val="24"/>
        </w:rPr>
        <w:t>,</w:t>
      </w:r>
      <w:r w:rsidRPr="00381BCC">
        <w:rPr>
          <w:rFonts w:ascii="Times New Roman" w:hAnsi="Times New Roman" w:cs="Times New Roman"/>
          <w:sz w:val="24"/>
          <w:szCs w:val="24"/>
        </w:rPr>
        <w:t xml:space="preserve"> the semi-annual changes of the index value </w:t>
      </w:r>
      <w:r w:rsidR="00A82B8C" w:rsidRPr="00F97F7D">
        <w:rPr>
          <w:rFonts w:ascii="Times New Roman" w:hAnsi="Times New Roman" w:cs="Times New Roman"/>
          <w:sz w:val="24"/>
          <w:szCs w:val="24"/>
        </w:rPr>
        <w:t>will</w:t>
      </w:r>
      <w:r w:rsidRPr="00381BCC">
        <w:rPr>
          <w:rFonts w:ascii="Times New Roman" w:hAnsi="Times New Roman" w:cs="Times New Roman"/>
          <w:sz w:val="24"/>
          <w:szCs w:val="24"/>
        </w:rPr>
        <w:t xml:space="preserve"> reflect the perceived changes </w:t>
      </w:r>
      <w:r w:rsidR="00A82B8C" w:rsidRPr="00F97F7D">
        <w:rPr>
          <w:rFonts w:ascii="Times New Roman" w:hAnsi="Times New Roman" w:cs="Times New Roman"/>
          <w:sz w:val="24"/>
          <w:szCs w:val="24"/>
        </w:rPr>
        <w:t>in</w:t>
      </w:r>
      <w:r w:rsidRPr="00381BCC">
        <w:rPr>
          <w:rFonts w:ascii="Times New Roman" w:hAnsi="Times New Roman" w:cs="Times New Roman"/>
          <w:sz w:val="24"/>
          <w:szCs w:val="24"/>
        </w:rPr>
        <w:t xml:space="preserve"> investor sentiment. We have attached associated probability values of these changes in order to facilitate a richer analysis using a Bayesian framework. Assessing changes through probability values </w:t>
      </w:r>
      <w:r w:rsidR="00A82B8C" w:rsidRPr="00F97F7D">
        <w:rPr>
          <w:rFonts w:ascii="Times New Roman" w:hAnsi="Times New Roman" w:cs="Times New Roman"/>
          <w:sz w:val="24"/>
          <w:szCs w:val="24"/>
        </w:rPr>
        <w:t>within</w:t>
      </w:r>
      <w:r w:rsidRPr="00381BCC">
        <w:rPr>
          <w:rFonts w:ascii="Times New Roman" w:hAnsi="Times New Roman" w:cs="Times New Roman"/>
          <w:sz w:val="24"/>
          <w:szCs w:val="24"/>
        </w:rPr>
        <w:t xml:space="preserve"> a Bayesian frame</w:t>
      </w:r>
      <w:r w:rsidR="00A82B8C" w:rsidRPr="00F97F7D">
        <w:rPr>
          <w:rFonts w:ascii="Times New Roman" w:hAnsi="Times New Roman" w:cs="Times New Roman"/>
          <w:sz w:val="24"/>
          <w:szCs w:val="24"/>
        </w:rPr>
        <w:t>work</w:t>
      </w:r>
      <w:r w:rsidRPr="00381BCC">
        <w:rPr>
          <w:rFonts w:ascii="Times New Roman" w:hAnsi="Times New Roman" w:cs="Times New Roman"/>
          <w:sz w:val="24"/>
          <w:szCs w:val="24"/>
        </w:rPr>
        <w:t xml:space="preserve"> has been practiced in </w:t>
      </w:r>
      <w:r w:rsidR="00A82B8C" w:rsidRPr="00F97F7D">
        <w:rPr>
          <w:rFonts w:ascii="Times New Roman" w:hAnsi="Times New Roman" w:cs="Times New Roman"/>
          <w:sz w:val="24"/>
          <w:szCs w:val="24"/>
        </w:rPr>
        <w:t xml:space="preserve">the </w:t>
      </w:r>
      <w:r w:rsidRPr="00381BCC">
        <w:rPr>
          <w:rFonts w:ascii="Times New Roman" w:hAnsi="Times New Roman" w:cs="Times New Roman"/>
          <w:sz w:val="24"/>
          <w:szCs w:val="24"/>
        </w:rPr>
        <w:t>finance literature</w:t>
      </w:r>
      <w:r w:rsidR="00A82B8C" w:rsidRPr="00F97F7D">
        <w:rPr>
          <w:rFonts w:ascii="Times New Roman" w:hAnsi="Times New Roman" w:cs="Times New Roman"/>
          <w:sz w:val="24"/>
          <w:szCs w:val="24"/>
        </w:rPr>
        <w:t xml:space="preserve"> before</w:t>
      </w:r>
      <w:r w:rsidRPr="00381BCC">
        <w:rPr>
          <w:rFonts w:ascii="Times New Roman" w:hAnsi="Times New Roman" w:cs="Times New Roman"/>
          <w:sz w:val="24"/>
          <w:szCs w:val="24"/>
        </w:rPr>
        <w:t xml:space="preserve"> (see Beaver 1966, 1968). We are certainly not the first to work with sentiment indices (see Huang et</w:t>
      </w:r>
      <w:r w:rsidR="00A82B8C" w:rsidRPr="00F97F7D">
        <w:rPr>
          <w:rFonts w:ascii="Times New Roman" w:hAnsi="Times New Roman" w:cs="Times New Roman"/>
          <w:sz w:val="24"/>
          <w:szCs w:val="24"/>
        </w:rPr>
        <w:t xml:space="preserve"> </w:t>
      </w:r>
      <w:r w:rsidRPr="00381BCC">
        <w:rPr>
          <w:rFonts w:ascii="Times New Roman" w:hAnsi="Times New Roman" w:cs="Times New Roman"/>
          <w:sz w:val="24"/>
          <w:szCs w:val="24"/>
        </w:rPr>
        <w:t>al</w:t>
      </w:r>
      <w:r w:rsidR="00CE3EEB" w:rsidRPr="00381BCC">
        <w:rPr>
          <w:rFonts w:ascii="Times New Roman" w:hAnsi="Times New Roman" w:cs="Times New Roman"/>
          <w:sz w:val="24"/>
          <w:szCs w:val="24"/>
        </w:rPr>
        <w:t>.</w:t>
      </w:r>
      <w:r w:rsidRPr="00381BCC">
        <w:rPr>
          <w:rFonts w:ascii="Times New Roman" w:hAnsi="Times New Roman" w:cs="Times New Roman"/>
          <w:sz w:val="24"/>
          <w:szCs w:val="24"/>
        </w:rPr>
        <w:t xml:space="preserve"> (2015</w:t>
      </w:r>
      <w:r w:rsidR="004D3804" w:rsidRPr="00F97F7D">
        <w:rPr>
          <w:rFonts w:ascii="Times New Roman" w:hAnsi="Times New Roman" w:cs="Times New Roman"/>
          <w:sz w:val="24"/>
          <w:szCs w:val="24"/>
        </w:rPr>
        <w:t>)</w:t>
      </w:r>
      <w:r w:rsidR="00302BE4" w:rsidRPr="00381BCC">
        <w:rPr>
          <w:rFonts w:ascii="Times New Roman" w:hAnsi="Times New Roman" w:cs="Times New Roman"/>
          <w:sz w:val="24"/>
          <w:szCs w:val="24"/>
        </w:rPr>
        <w:t xml:space="preserve"> and</w:t>
      </w:r>
      <w:r w:rsidRPr="00381BCC">
        <w:rPr>
          <w:rFonts w:ascii="Times New Roman" w:hAnsi="Times New Roman" w:cs="Times New Roman"/>
          <w:sz w:val="24"/>
          <w:szCs w:val="24"/>
        </w:rPr>
        <w:t xml:space="preserve"> Lee et</w:t>
      </w:r>
      <w:r w:rsidR="00A82B8C" w:rsidRPr="00F97F7D">
        <w:rPr>
          <w:rFonts w:ascii="Times New Roman" w:hAnsi="Times New Roman" w:cs="Times New Roman"/>
          <w:sz w:val="24"/>
          <w:szCs w:val="24"/>
        </w:rPr>
        <w:t xml:space="preserve"> </w:t>
      </w:r>
      <w:r w:rsidRPr="00381BCC">
        <w:rPr>
          <w:rFonts w:ascii="Times New Roman" w:hAnsi="Times New Roman" w:cs="Times New Roman"/>
          <w:sz w:val="24"/>
          <w:szCs w:val="24"/>
        </w:rPr>
        <w:t>al</w:t>
      </w:r>
      <w:r w:rsidR="00CE3EEB" w:rsidRPr="00381BCC">
        <w:rPr>
          <w:rFonts w:ascii="Times New Roman" w:hAnsi="Times New Roman" w:cs="Times New Roman"/>
          <w:sz w:val="24"/>
          <w:szCs w:val="24"/>
        </w:rPr>
        <w:t>.</w:t>
      </w:r>
      <w:r w:rsidRPr="00381BCC">
        <w:rPr>
          <w:rFonts w:ascii="Times New Roman" w:hAnsi="Times New Roman" w:cs="Times New Roman"/>
          <w:sz w:val="24"/>
          <w:szCs w:val="24"/>
        </w:rPr>
        <w:t xml:space="preserve"> (2002), where the authors use </w:t>
      </w:r>
      <w:r w:rsidR="00A82B8C" w:rsidRPr="00F97F7D">
        <w:rPr>
          <w:rFonts w:ascii="Times New Roman" w:hAnsi="Times New Roman" w:cs="Times New Roman"/>
          <w:sz w:val="24"/>
          <w:szCs w:val="24"/>
        </w:rPr>
        <w:t xml:space="preserve">the </w:t>
      </w:r>
      <w:r w:rsidRPr="00381BCC">
        <w:rPr>
          <w:rFonts w:ascii="Times New Roman" w:hAnsi="Times New Roman" w:cs="Times New Roman"/>
          <w:sz w:val="24"/>
          <w:szCs w:val="24"/>
        </w:rPr>
        <w:t xml:space="preserve">Baker and </w:t>
      </w:r>
      <w:proofErr w:type="spellStart"/>
      <w:r w:rsidRPr="00381BCC">
        <w:rPr>
          <w:rFonts w:ascii="Times New Roman" w:hAnsi="Times New Roman" w:cs="Times New Roman"/>
          <w:sz w:val="24"/>
          <w:szCs w:val="24"/>
        </w:rPr>
        <w:t>Wurgler</w:t>
      </w:r>
      <w:proofErr w:type="spellEnd"/>
      <w:r w:rsidRPr="00381BCC">
        <w:rPr>
          <w:rFonts w:ascii="Times New Roman" w:hAnsi="Times New Roman" w:cs="Times New Roman"/>
          <w:sz w:val="24"/>
          <w:szCs w:val="24"/>
        </w:rPr>
        <w:t xml:space="preserve"> (2006) Index</w:t>
      </w:r>
      <w:r w:rsidR="00A82B8C" w:rsidRPr="00F97F7D">
        <w:rPr>
          <w:rFonts w:ascii="Times New Roman" w:hAnsi="Times New Roman" w:cs="Times New Roman"/>
          <w:sz w:val="24"/>
          <w:szCs w:val="24"/>
        </w:rPr>
        <w:t>)</w:t>
      </w:r>
      <w:r w:rsidRPr="00381BCC">
        <w:rPr>
          <w:rFonts w:ascii="Times New Roman" w:hAnsi="Times New Roman" w:cs="Times New Roman"/>
          <w:sz w:val="24"/>
          <w:szCs w:val="24"/>
        </w:rPr>
        <w:t xml:space="preserve">. However, </w:t>
      </w:r>
      <w:r w:rsidR="00A82B8C" w:rsidRPr="00F97F7D">
        <w:rPr>
          <w:rFonts w:ascii="Times New Roman" w:hAnsi="Times New Roman" w:cs="Times New Roman"/>
          <w:sz w:val="24"/>
          <w:szCs w:val="24"/>
        </w:rPr>
        <w:t xml:space="preserve">the </w:t>
      </w:r>
      <w:r w:rsidRPr="00381BCC">
        <w:rPr>
          <w:rFonts w:ascii="Times New Roman" w:hAnsi="Times New Roman" w:cs="Times New Roman"/>
          <w:sz w:val="24"/>
          <w:szCs w:val="24"/>
        </w:rPr>
        <w:t xml:space="preserve">Baker and </w:t>
      </w:r>
      <w:proofErr w:type="spellStart"/>
      <w:r w:rsidRPr="00381BCC">
        <w:rPr>
          <w:rFonts w:ascii="Times New Roman" w:hAnsi="Times New Roman" w:cs="Times New Roman"/>
          <w:sz w:val="24"/>
          <w:szCs w:val="24"/>
        </w:rPr>
        <w:t>Wurgler</w:t>
      </w:r>
      <w:proofErr w:type="spellEnd"/>
      <w:r w:rsidRPr="00381BCC">
        <w:rPr>
          <w:rFonts w:ascii="Times New Roman" w:hAnsi="Times New Roman" w:cs="Times New Roman"/>
          <w:sz w:val="24"/>
          <w:szCs w:val="24"/>
        </w:rPr>
        <w:t xml:space="preserve"> (2006) Index does </w:t>
      </w:r>
      <w:r w:rsidR="004617ED" w:rsidRPr="00381BCC">
        <w:rPr>
          <w:rFonts w:ascii="Times New Roman" w:hAnsi="Times New Roman" w:cs="Times New Roman"/>
          <w:sz w:val="24"/>
          <w:szCs w:val="24"/>
        </w:rPr>
        <w:t>not cover</w:t>
      </w:r>
      <w:r w:rsidRPr="00381BCC">
        <w:rPr>
          <w:rFonts w:ascii="Times New Roman" w:hAnsi="Times New Roman" w:cs="Times New Roman"/>
          <w:sz w:val="24"/>
          <w:szCs w:val="24"/>
        </w:rPr>
        <w:t xml:space="preserve"> Hong Kong during </w:t>
      </w:r>
      <w:r w:rsidR="00A82B8C" w:rsidRPr="00F97F7D">
        <w:rPr>
          <w:rFonts w:ascii="Times New Roman" w:hAnsi="Times New Roman" w:cs="Times New Roman"/>
          <w:sz w:val="24"/>
          <w:szCs w:val="24"/>
        </w:rPr>
        <w:t xml:space="preserve">our </w:t>
      </w:r>
      <w:r w:rsidRPr="00381BCC">
        <w:rPr>
          <w:rFonts w:ascii="Times New Roman" w:hAnsi="Times New Roman" w:cs="Times New Roman"/>
          <w:sz w:val="24"/>
          <w:szCs w:val="24"/>
        </w:rPr>
        <w:t>period</w:t>
      </w:r>
      <w:r w:rsidR="00A82B8C" w:rsidRPr="00F97F7D">
        <w:rPr>
          <w:rFonts w:ascii="Times New Roman" w:hAnsi="Times New Roman" w:cs="Times New Roman"/>
          <w:sz w:val="24"/>
          <w:szCs w:val="24"/>
        </w:rPr>
        <w:t xml:space="preserve"> of interest</w:t>
      </w:r>
      <w:r w:rsidRPr="00381BCC">
        <w:rPr>
          <w:rFonts w:ascii="Times New Roman" w:hAnsi="Times New Roman" w:cs="Times New Roman"/>
          <w:sz w:val="24"/>
          <w:szCs w:val="24"/>
        </w:rPr>
        <w:t xml:space="preserve">, </w:t>
      </w:r>
      <w:r w:rsidR="00A82B8C" w:rsidRPr="00F97F7D">
        <w:rPr>
          <w:rFonts w:ascii="Times New Roman" w:hAnsi="Times New Roman" w:cs="Times New Roman"/>
          <w:sz w:val="24"/>
          <w:szCs w:val="24"/>
        </w:rPr>
        <w:t>so</w:t>
      </w:r>
      <w:r w:rsidRPr="00381BCC">
        <w:rPr>
          <w:rFonts w:ascii="Times New Roman" w:hAnsi="Times New Roman" w:cs="Times New Roman"/>
          <w:sz w:val="24"/>
          <w:szCs w:val="24"/>
        </w:rPr>
        <w:t xml:space="preserve"> we opted to use the JPMICI Index.</w:t>
      </w:r>
    </w:p>
    <w:p w14:paraId="5231E5AA" w14:textId="77777777" w:rsidR="00A076B6" w:rsidRPr="004D5393" w:rsidRDefault="00A076B6" w:rsidP="003713D7">
      <w:pPr>
        <w:spacing w:after="0" w:line="480" w:lineRule="auto"/>
        <w:contextualSpacing/>
        <w:jc w:val="both"/>
        <w:rPr>
          <w:rFonts w:ascii="Times New Roman" w:hAnsi="Times New Roman" w:cs="Times New Roman"/>
          <w:sz w:val="24"/>
          <w:szCs w:val="24"/>
        </w:rPr>
      </w:pPr>
    </w:p>
    <w:p w14:paraId="2F2C57DC" w14:textId="68DE325D" w:rsidR="00F72E45" w:rsidRPr="006F52AD" w:rsidRDefault="00F72E45" w:rsidP="00C658FF">
      <w:pPr>
        <w:spacing w:after="0" w:line="480" w:lineRule="auto"/>
        <w:contextualSpacing/>
        <w:jc w:val="both"/>
        <w:rPr>
          <w:rFonts w:ascii="Calibri" w:eastAsia="MS Mincho" w:hAnsi="Calibri" w:cs="Arial"/>
          <w:b/>
        </w:rPr>
      </w:pPr>
      <w:r w:rsidRPr="006F52AD">
        <w:rPr>
          <w:rFonts w:ascii="Times New Roman" w:eastAsia="MS Mincho" w:hAnsi="Times New Roman" w:cs="Times New Roman"/>
          <w:b/>
          <w:sz w:val="24"/>
          <w:szCs w:val="24"/>
        </w:rPr>
        <w:t>5. Empirical results</w:t>
      </w:r>
    </w:p>
    <w:p w14:paraId="533370E2" w14:textId="77777777" w:rsidR="00F72E45" w:rsidRPr="006F52AD" w:rsidRDefault="00F72E45" w:rsidP="00C658FF">
      <w:pPr>
        <w:spacing w:after="0" w:line="480" w:lineRule="auto"/>
        <w:contextualSpacing/>
        <w:jc w:val="both"/>
        <w:rPr>
          <w:rFonts w:ascii="Calibri" w:eastAsia="MS Mincho" w:hAnsi="Calibri" w:cs="Arial"/>
          <w:i/>
        </w:rPr>
      </w:pPr>
      <w:r w:rsidRPr="006F52AD">
        <w:rPr>
          <w:rFonts w:ascii="Times New Roman" w:eastAsia="MS Mincho" w:hAnsi="Times New Roman" w:cs="Times New Roman"/>
          <w:i/>
          <w:sz w:val="24"/>
          <w:szCs w:val="24"/>
        </w:rPr>
        <w:t xml:space="preserve">5.1 Recommendation upgrades </w:t>
      </w:r>
    </w:p>
    <w:p w14:paraId="777E5F65" w14:textId="49770B83" w:rsidR="00F72E45" w:rsidRPr="006F52AD" w:rsidRDefault="00F72E45" w:rsidP="00C658FF">
      <w:pPr>
        <w:spacing w:after="0" w:line="480" w:lineRule="auto"/>
        <w:ind w:firstLine="720"/>
        <w:contextualSpacing/>
        <w:jc w:val="both"/>
        <w:rPr>
          <w:rFonts w:ascii="Calibri" w:eastAsia="MS Mincho" w:hAnsi="Calibri" w:cs="Arial"/>
        </w:rPr>
      </w:pPr>
      <w:r w:rsidRPr="006F52AD">
        <w:rPr>
          <w:rFonts w:ascii="Times New Roman" w:eastAsia="MS Mincho" w:hAnsi="Times New Roman" w:cs="Times New Roman"/>
          <w:sz w:val="24"/>
          <w:szCs w:val="24"/>
        </w:rPr>
        <w:t>Sell−side analysts upgrade their covered stocks when they predict that the stock prices are going to rise in the short−run and/or medium−run, which may result in significant changes in stock prices. Table 2 presents the results of the average abnormal returns (</w:t>
      </w:r>
      <w:r w:rsidRPr="00AF1692">
        <w:rPr>
          <w:rFonts w:ascii="Times New Roman" w:eastAsia="MS Mincho" w:hAnsi="Times New Roman" w:cs="Times New Roman"/>
          <w:i/>
          <w:iCs/>
          <w:sz w:val="24"/>
          <w:szCs w:val="24"/>
        </w:rPr>
        <w:t>AAR</w:t>
      </w:r>
      <w:r w:rsidRPr="006F52AD">
        <w:rPr>
          <w:rFonts w:ascii="Times New Roman" w:eastAsia="MS Mincho" w:hAnsi="Times New Roman" w:cs="Times New Roman"/>
          <w:sz w:val="24"/>
          <w:szCs w:val="24"/>
        </w:rPr>
        <w:t xml:space="preserve">) for each day (from </w:t>
      </w:r>
      <w:r w:rsidRPr="006F52AD">
        <w:rPr>
          <w:rFonts w:ascii="Times New Roman" w:eastAsia="MS Mincho" w:hAnsi="Times New Roman" w:cs="Times New Roman"/>
          <w:i/>
          <w:sz w:val="24"/>
          <w:szCs w:val="24"/>
        </w:rPr>
        <w:t xml:space="preserve">t </w:t>
      </w:r>
      <w:r w:rsidRPr="006F52AD">
        <w:rPr>
          <w:rFonts w:ascii="Times New Roman" w:eastAsia="MS Mincho" w:hAnsi="Times New Roman" w:cs="Times New Roman"/>
          <w:sz w:val="24"/>
          <w:szCs w:val="24"/>
        </w:rPr>
        <w:t xml:space="preserve">= −5 through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+10) with the event day occurring at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0. The findings show that the </w:t>
      </w:r>
      <w:r w:rsidRPr="006F52AD">
        <w:rPr>
          <w:rFonts w:ascii="Times New Roman" w:eastAsia="MS Mincho" w:hAnsi="Times New Roman" w:cs="Times New Roman"/>
          <w:sz w:val="24"/>
          <w:szCs w:val="24"/>
        </w:rPr>
        <w:lastRenderedPageBreak/>
        <w:t>average abnormal returns of the stocks from 1 day before through 2 days after the analysts’ upgrades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w:t>
      </w:r>
      <w:r w:rsidR="00C96685" w:rsidRPr="006F52AD">
        <w:rPr>
          <w:rFonts w:ascii="Times New Roman" w:eastAsia="MS Mincho" w:hAnsi="Times New Roman" w:cs="Times New Roman"/>
          <w:sz w:val="24"/>
          <w:szCs w:val="24"/>
        </w:rPr>
        <w:t>−</w:t>
      </w:r>
      <w:r w:rsidRPr="006F52AD">
        <w:rPr>
          <w:rFonts w:ascii="Times New Roman" w:eastAsia="MS Mincho" w:hAnsi="Times New Roman" w:cs="Times New Roman"/>
          <w:sz w:val="24"/>
          <w:szCs w:val="24"/>
        </w:rPr>
        <w:t xml:space="preserve">1 to </w:t>
      </w:r>
      <w:r w:rsidRPr="00AF1692">
        <w:rPr>
          <w:rFonts w:ascii="Times New Roman" w:eastAsia="MS Mincho" w:hAnsi="Times New Roman" w:cs="Times New Roman"/>
          <w:i/>
          <w:iCs/>
          <w:sz w:val="24"/>
          <w:szCs w:val="24"/>
        </w:rPr>
        <w:t>t</w:t>
      </w:r>
      <w:r w:rsidRPr="006F52AD">
        <w:rPr>
          <w:rFonts w:ascii="Times New Roman" w:eastAsia="MS Mincho" w:hAnsi="Times New Roman" w:cs="Times New Roman"/>
          <w:sz w:val="24"/>
          <w:szCs w:val="24"/>
        </w:rPr>
        <w:t>=+2) become positive and are highly statistically significant at the 1% level. The abnormal return reaches a maximum of 0.41% on the release day of the recommendation upgrade.</w:t>
      </w:r>
    </w:p>
    <w:p w14:paraId="461EA8F7" w14:textId="77777777" w:rsidR="00F72E45" w:rsidRPr="006F52AD" w:rsidRDefault="00F72E45" w:rsidP="00C658FF">
      <w:pPr>
        <w:spacing w:after="0" w:line="480" w:lineRule="auto"/>
        <w:contextualSpacing/>
        <w:jc w:val="both"/>
        <w:rPr>
          <w:rFonts w:ascii="Calibri" w:eastAsia="MS Mincho" w:hAnsi="Calibri" w:cs="Arial"/>
        </w:rPr>
      </w:pPr>
      <w:r w:rsidRPr="006F52AD">
        <w:rPr>
          <w:rFonts w:ascii="Times New Roman" w:eastAsia="MS Mincho" w:hAnsi="Times New Roman" w:cs="Times New Roman"/>
          <w:b/>
          <w:sz w:val="24"/>
          <w:szCs w:val="24"/>
        </w:rPr>
        <w:tab/>
      </w:r>
      <w:r w:rsidRPr="006F52AD">
        <w:rPr>
          <w:rFonts w:ascii="Times New Roman" w:eastAsia="MS Mincho" w:hAnsi="Times New Roman" w:cs="Times New Roman"/>
          <w:sz w:val="24"/>
          <w:szCs w:val="24"/>
        </w:rPr>
        <w:t xml:space="preserve">In addition, the statistically significant positive abnormal return is sustained for 3 days after the release day and the abnormal return remains at 0.9%. However, from day 4 onwards the </w:t>
      </w:r>
      <w:r w:rsidRPr="00AF1692">
        <w:rPr>
          <w:rFonts w:ascii="Times New Roman" w:eastAsia="MS Mincho" w:hAnsi="Times New Roman" w:cs="Times New Roman"/>
          <w:i/>
          <w:iCs/>
          <w:sz w:val="24"/>
          <w:szCs w:val="24"/>
        </w:rPr>
        <w:t>AAR</w:t>
      </w:r>
      <w:r w:rsidRPr="006F52AD">
        <w:rPr>
          <w:rFonts w:ascii="Times New Roman" w:eastAsia="MS Mincho" w:hAnsi="Times New Roman" w:cs="Times New Roman"/>
          <w:sz w:val="24"/>
          <w:szCs w:val="24"/>
        </w:rPr>
        <w:t xml:space="preserve"> becomes statistically insignificant</w:t>
      </w:r>
      <w:r w:rsidRPr="006F52AD">
        <w:rPr>
          <w:rFonts w:ascii="Times New Roman" w:eastAsia="MS Mincho" w:hAnsi="Times New Roman" w:cs="Times New Roman"/>
          <w:sz w:val="24"/>
          <w:szCs w:val="24"/>
          <w:vertAlign w:val="superscript"/>
        </w:rPr>
        <w:footnoteReference w:id="5"/>
      </w:r>
      <w:r w:rsidRPr="006F52AD">
        <w:rPr>
          <w:rFonts w:ascii="Times New Roman" w:eastAsia="MS Mincho" w:hAnsi="Times New Roman" w:cs="Times New Roman"/>
          <w:sz w:val="24"/>
          <w:szCs w:val="24"/>
        </w:rPr>
        <w:t xml:space="preserve"> as all new information has been incorporated. The empirical results show that recommendation upgrades by analysts deliver substantial information to market participants in the Hong Kong market and have positive impact on the stocks with the effects lasting for a few days. Yet, the returns are indeed very small: </w:t>
      </w:r>
      <w:r w:rsidRPr="00AF1692">
        <w:rPr>
          <w:rFonts w:ascii="Times New Roman" w:eastAsia="MS Mincho" w:hAnsi="Times New Roman" w:cs="Times New Roman"/>
          <w:i/>
          <w:iCs/>
          <w:sz w:val="24"/>
          <w:szCs w:val="24"/>
        </w:rPr>
        <w:t>AAR</w:t>
      </w:r>
      <w:r w:rsidRPr="00AF1692">
        <w:rPr>
          <w:rFonts w:ascii="Times New Roman" w:eastAsia="MS Mincho" w:hAnsi="Times New Roman" w:cs="Times New Roman"/>
          <w:i/>
          <w:iCs/>
          <w:sz w:val="24"/>
          <w:szCs w:val="24"/>
          <w:vertAlign w:val="subscript"/>
        </w:rPr>
        <w:t>0</w:t>
      </w:r>
      <w:r w:rsidRPr="006F52AD">
        <w:rPr>
          <w:rFonts w:ascii="Times New Roman" w:eastAsia="MS Mincho" w:hAnsi="Times New Roman" w:cs="Times New Roman"/>
          <w:sz w:val="24"/>
          <w:szCs w:val="24"/>
        </w:rPr>
        <w:t xml:space="preserve"> to </w:t>
      </w:r>
      <w:r w:rsidRPr="00AF1692">
        <w:rPr>
          <w:rFonts w:ascii="Times New Roman" w:eastAsia="MS Mincho" w:hAnsi="Times New Roman" w:cs="Times New Roman"/>
          <w:i/>
          <w:iCs/>
          <w:sz w:val="24"/>
          <w:szCs w:val="24"/>
        </w:rPr>
        <w:t>AAR</w:t>
      </w:r>
      <w:r w:rsidRPr="00AF1692">
        <w:rPr>
          <w:rFonts w:ascii="Times New Roman" w:eastAsia="MS Mincho" w:hAnsi="Times New Roman" w:cs="Times New Roman"/>
          <w:i/>
          <w:iCs/>
          <w:sz w:val="24"/>
          <w:szCs w:val="24"/>
          <w:vertAlign w:val="subscript"/>
        </w:rPr>
        <w:t>10</w:t>
      </w:r>
      <w:r w:rsidRPr="006F52AD">
        <w:rPr>
          <w:rFonts w:ascii="Times New Roman" w:eastAsia="MS Mincho" w:hAnsi="Times New Roman" w:cs="Times New Roman"/>
          <w:sz w:val="24"/>
          <w:szCs w:val="24"/>
          <w:vertAlign w:val="subscript"/>
        </w:rPr>
        <w:t xml:space="preserve"> </w:t>
      </w:r>
      <w:r w:rsidRPr="006F52AD">
        <w:rPr>
          <w:rFonts w:ascii="Times New Roman" w:eastAsia="MS Mincho" w:hAnsi="Times New Roman" w:cs="Times New Roman"/>
          <w:sz w:val="24"/>
          <w:szCs w:val="24"/>
        </w:rPr>
        <w:t xml:space="preserve">adds up to just under 1% and investors are not likely to gain profits after accounting for transaction costs. These results are consistent with Liu et al. (1990), but the overall effects seem to be smaller in this study. </w:t>
      </w:r>
    </w:p>
    <w:p w14:paraId="2144EE90" w14:textId="3FE7BB19" w:rsidR="00F72E45" w:rsidRPr="006F52AD" w:rsidRDefault="00F72E45" w:rsidP="00C658FF">
      <w:pPr>
        <w:spacing w:after="0" w:line="480" w:lineRule="auto"/>
        <w:contextualSpacing/>
        <w:jc w:val="both"/>
        <w:rPr>
          <w:rFonts w:ascii="Calibri" w:eastAsia="MS Mincho" w:hAnsi="Calibri" w:cs="Arial"/>
        </w:rPr>
      </w:pPr>
      <w:r w:rsidRPr="006F52AD">
        <w:rPr>
          <w:rFonts w:ascii="Times New Roman" w:eastAsia="MS Mincho" w:hAnsi="Times New Roman" w:cs="Times New Roman"/>
          <w:sz w:val="24"/>
          <w:szCs w:val="24"/>
        </w:rPr>
        <w:tab/>
        <w:t>Also, similar to the observation of</w:t>
      </w:r>
      <w:r w:rsidRPr="006F52AD">
        <w:rPr>
          <w:rFonts w:ascii="Times New Roman" w:eastAsia="MS Mincho" w:hAnsi="Times New Roman" w:cs="Times New Roman"/>
          <w:b/>
          <w:sz w:val="24"/>
          <w:szCs w:val="24"/>
        </w:rPr>
        <w:t xml:space="preserve"> </w:t>
      </w:r>
      <w:r w:rsidRPr="006F52AD">
        <w:rPr>
          <w:rFonts w:ascii="Times New Roman" w:eastAsia="MS Mincho" w:hAnsi="Times New Roman" w:cs="Times New Roman"/>
          <w:sz w:val="24"/>
          <w:szCs w:val="24"/>
        </w:rPr>
        <w:t>Liu et al. (1990),</w:t>
      </w:r>
      <w:r w:rsidRPr="006F52AD">
        <w:rPr>
          <w:rFonts w:ascii="Times New Roman" w:eastAsia="MS Mincho" w:hAnsi="Times New Roman" w:cs="Times New Roman"/>
          <w:b/>
          <w:sz w:val="24"/>
          <w:szCs w:val="24"/>
        </w:rPr>
        <w:t xml:space="preserve"> </w:t>
      </w:r>
      <w:r w:rsidRPr="006F52AD">
        <w:rPr>
          <w:rFonts w:ascii="Times New Roman" w:eastAsia="MS Mincho" w:hAnsi="Times New Roman" w:cs="Times New Roman"/>
          <w:sz w:val="24"/>
          <w:szCs w:val="24"/>
        </w:rPr>
        <w:t xml:space="preserve">our results in the table show that the abnormal returns on the day before the release of security upgrades (0.1528%) are positive and statistically significant, although small. This may be due to the leakage of private information from analysts to clients.  This implies that the recommendation upgrades </w:t>
      </w:r>
      <w:r w:rsidR="00424F4B" w:rsidRPr="006F52AD">
        <w:rPr>
          <w:rFonts w:ascii="Times New Roman" w:eastAsia="MS Mincho" w:hAnsi="Times New Roman" w:cs="Times New Roman"/>
          <w:sz w:val="24"/>
          <w:szCs w:val="24"/>
        </w:rPr>
        <w:t>deliver</w:t>
      </w:r>
      <w:r w:rsidRPr="006F52AD">
        <w:rPr>
          <w:rFonts w:ascii="Times New Roman" w:eastAsia="MS Mincho" w:hAnsi="Times New Roman" w:cs="Times New Roman"/>
          <w:sz w:val="24"/>
          <w:szCs w:val="24"/>
        </w:rPr>
        <w:t xml:space="preserve"> information that is swiftly reflected in stock prices within a short period of time, even if investors are unable to make trading profits after accounting for transaction costs.</w:t>
      </w:r>
    </w:p>
    <w:p w14:paraId="6C80D430" w14:textId="77777777" w:rsidR="00F72E45" w:rsidRPr="006F52AD" w:rsidRDefault="00F72E45" w:rsidP="00C658FF">
      <w:pPr>
        <w:spacing w:after="0" w:line="480" w:lineRule="auto"/>
        <w:contextualSpacing/>
        <w:jc w:val="both"/>
        <w:rPr>
          <w:rFonts w:ascii="Calibri" w:eastAsia="MS Mincho" w:hAnsi="Calibri" w:cs="Arial"/>
        </w:rPr>
      </w:pPr>
    </w:p>
    <w:p w14:paraId="25593963" w14:textId="77777777" w:rsidR="00F72E45" w:rsidRPr="006F52AD" w:rsidRDefault="00F72E45" w:rsidP="00C658FF">
      <w:pPr>
        <w:spacing w:after="0" w:line="480" w:lineRule="auto"/>
        <w:contextualSpacing/>
        <w:jc w:val="center"/>
        <w:rPr>
          <w:rFonts w:ascii="Times New Roman" w:eastAsia="MS Mincho" w:hAnsi="Times New Roman" w:cs="Times New Roman"/>
          <w:b/>
          <w:sz w:val="24"/>
          <w:szCs w:val="24"/>
        </w:rPr>
      </w:pPr>
      <w:r w:rsidRPr="006F52AD">
        <w:rPr>
          <w:rFonts w:ascii="Times New Roman" w:eastAsia="MS Mincho" w:hAnsi="Times New Roman" w:cs="Times New Roman"/>
          <w:b/>
          <w:sz w:val="24"/>
          <w:szCs w:val="24"/>
        </w:rPr>
        <w:t>[Insert Table 2]</w:t>
      </w:r>
    </w:p>
    <w:p w14:paraId="48994D0B" w14:textId="77777777" w:rsidR="00F72E45" w:rsidRPr="006F52AD" w:rsidRDefault="00F72E45" w:rsidP="00C658FF">
      <w:pPr>
        <w:spacing w:after="0" w:line="480" w:lineRule="auto"/>
        <w:contextualSpacing/>
        <w:jc w:val="both"/>
        <w:rPr>
          <w:rFonts w:ascii="Times New Roman" w:eastAsia="MS Mincho" w:hAnsi="Times New Roman" w:cs="Times New Roman"/>
          <w:b/>
          <w:sz w:val="24"/>
          <w:szCs w:val="24"/>
        </w:rPr>
      </w:pPr>
    </w:p>
    <w:p w14:paraId="3C2D7BD5" w14:textId="77777777" w:rsidR="00F72E45" w:rsidRPr="006F52AD" w:rsidRDefault="00F72E45" w:rsidP="00C658FF">
      <w:pPr>
        <w:spacing w:after="0" w:line="480" w:lineRule="auto"/>
        <w:contextualSpacing/>
        <w:jc w:val="both"/>
        <w:rPr>
          <w:rFonts w:ascii="Calibri" w:eastAsia="MS Mincho" w:hAnsi="Calibri" w:cs="Arial"/>
          <w:i/>
        </w:rPr>
      </w:pPr>
      <w:r w:rsidRPr="006F52AD">
        <w:rPr>
          <w:rFonts w:ascii="Times New Roman" w:eastAsia="MS Mincho" w:hAnsi="Times New Roman" w:cs="Times New Roman"/>
          <w:i/>
          <w:sz w:val="24"/>
          <w:szCs w:val="24"/>
        </w:rPr>
        <w:t>5.2 Recommendation downgrades</w:t>
      </w:r>
    </w:p>
    <w:p w14:paraId="37F4763E" w14:textId="6FDF3502" w:rsidR="00F72E45" w:rsidRPr="006F52AD" w:rsidRDefault="00F72E45" w:rsidP="00C658FF">
      <w:pPr>
        <w:spacing w:after="0" w:line="480" w:lineRule="auto"/>
        <w:ind w:firstLine="720"/>
        <w:contextualSpacing/>
        <w:jc w:val="both"/>
        <w:rPr>
          <w:rFonts w:ascii="Calibri" w:eastAsia="MS Mincho" w:hAnsi="Calibri" w:cs="Arial"/>
        </w:rPr>
      </w:pPr>
      <w:r w:rsidRPr="006F52AD">
        <w:rPr>
          <w:rFonts w:ascii="Times New Roman" w:eastAsia="MS Mincho" w:hAnsi="Times New Roman" w:cs="Times New Roman"/>
          <w:sz w:val="24"/>
          <w:szCs w:val="24"/>
        </w:rPr>
        <w:lastRenderedPageBreak/>
        <w:t>Table 3 shows the results of the average abnormal returns (</w:t>
      </w:r>
      <w:r w:rsidRPr="00AF1692">
        <w:rPr>
          <w:rFonts w:ascii="Times New Roman" w:eastAsia="MS Mincho" w:hAnsi="Times New Roman" w:cs="Times New Roman"/>
          <w:i/>
          <w:iCs/>
          <w:sz w:val="24"/>
          <w:szCs w:val="24"/>
        </w:rPr>
        <w:t>AAR</w:t>
      </w:r>
      <w:r w:rsidRPr="006F52AD">
        <w:rPr>
          <w:rFonts w:ascii="Times New Roman" w:eastAsia="MS Mincho" w:hAnsi="Times New Roman" w:cs="Times New Roman"/>
          <w:sz w:val="24"/>
          <w:szCs w:val="24"/>
        </w:rPr>
        <w:t xml:space="preserve">) for each day (from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−5 through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+10) surrounding recommendation downgrades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0). Although the </w:t>
      </w:r>
      <w:r w:rsidRPr="00AF1692">
        <w:rPr>
          <w:rFonts w:ascii="Times New Roman" w:eastAsia="MS Mincho" w:hAnsi="Times New Roman" w:cs="Times New Roman"/>
          <w:i/>
          <w:iCs/>
          <w:sz w:val="24"/>
          <w:szCs w:val="24"/>
        </w:rPr>
        <w:t>AARs</w:t>
      </w:r>
      <w:r w:rsidRPr="006F52AD">
        <w:rPr>
          <w:rFonts w:ascii="Times New Roman" w:eastAsia="MS Mincho" w:hAnsi="Times New Roman" w:cs="Times New Roman"/>
          <w:sz w:val="24"/>
          <w:szCs w:val="24"/>
        </w:rPr>
        <w:t xml:space="preserve"> become negative from the day before the announcement onwards, they only start becoming statistically significant on the announcement day. In other words, no evidence of significant information leakage or pre−trading is found based on the sample considered. Our finding is somewhat different to Liu</w:t>
      </w:r>
      <w:r w:rsidR="009F697A">
        <w:rPr>
          <w:rFonts w:ascii="Times New Roman" w:eastAsia="MS Mincho" w:hAnsi="Times New Roman" w:cs="Times New Roman"/>
          <w:sz w:val="24"/>
          <w:szCs w:val="24"/>
        </w:rPr>
        <w:t xml:space="preserve"> </w:t>
      </w:r>
      <w:r w:rsidRPr="006F52AD">
        <w:rPr>
          <w:rFonts w:ascii="Times New Roman" w:eastAsia="MS Mincho" w:hAnsi="Times New Roman" w:cs="Times New Roman"/>
          <w:sz w:val="24"/>
          <w:szCs w:val="24"/>
        </w:rPr>
        <w:t>et</w:t>
      </w:r>
      <w:r w:rsidR="009F697A">
        <w:rPr>
          <w:rFonts w:ascii="Times New Roman" w:eastAsia="MS Mincho" w:hAnsi="Times New Roman" w:cs="Times New Roman"/>
          <w:sz w:val="24"/>
          <w:szCs w:val="24"/>
        </w:rPr>
        <w:t xml:space="preserve"> </w:t>
      </w:r>
      <w:r w:rsidRPr="006F52AD">
        <w:rPr>
          <w:rFonts w:ascii="Times New Roman" w:eastAsia="MS Mincho" w:hAnsi="Times New Roman" w:cs="Times New Roman"/>
          <w:sz w:val="24"/>
          <w:szCs w:val="24"/>
        </w:rPr>
        <w:t>al</w:t>
      </w:r>
      <w:r w:rsidR="009F697A">
        <w:rPr>
          <w:rFonts w:ascii="Times New Roman" w:eastAsia="MS Mincho" w:hAnsi="Times New Roman" w:cs="Times New Roman"/>
          <w:sz w:val="24"/>
          <w:szCs w:val="24"/>
        </w:rPr>
        <w:t>.</w:t>
      </w:r>
      <w:r w:rsidRPr="006F52AD">
        <w:rPr>
          <w:rFonts w:ascii="Times New Roman" w:eastAsia="MS Mincho" w:hAnsi="Times New Roman" w:cs="Times New Roman"/>
          <w:sz w:val="24"/>
          <w:szCs w:val="24"/>
        </w:rPr>
        <w:t xml:space="preserve"> (1990)</w:t>
      </w:r>
      <w:r w:rsidRPr="006F52AD">
        <w:rPr>
          <w:rFonts w:ascii="Times New Roman" w:eastAsia="MS Mincho" w:hAnsi="Times New Roman" w:cs="Times New Roman"/>
          <w:b/>
          <w:sz w:val="24"/>
          <w:szCs w:val="24"/>
        </w:rPr>
        <w:t xml:space="preserve"> </w:t>
      </w:r>
      <w:r w:rsidRPr="006F52AD">
        <w:rPr>
          <w:rFonts w:ascii="Times New Roman" w:eastAsia="MS Mincho" w:hAnsi="Times New Roman" w:cs="Times New Roman"/>
          <w:sz w:val="24"/>
          <w:szCs w:val="24"/>
        </w:rPr>
        <w:t xml:space="preserve">who show that the </w:t>
      </w:r>
      <w:r w:rsidRPr="00AF1692">
        <w:rPr>
          <w:rFonts w:ascii="Times New Roman" w:eastAsia="MS Mincho" w:hAnsi="Times New Roman" w:cs="Times New Roman"/>
          <w:i/>
          <w:iCs/>
          <w:sz w:val="24"/>
          <w:szCs w:val="24"/>
        </w:rPr>
        <w:t>AARs</w:t>
      </w:r>
      <w:r w:rsidRPr="006F52AD">
        <w:rPr>
          <w:rFonts w:ascii="Times New Roman" w:eastAsia="MS Mincho" w:hAnsi="Times New Roman" w:cs="Times New Roman"/>
          <w:sz w:val="24"/>
          <w:szCs w:val="24"/>
        </w:rPr>
        <w:t xml:space="preserve"> just preceding the sell recommendations were significantly negative due to advance trading by investors based on speculation, or prior knowledge about the contents of the financial column. </w:t>
      </w:r>
    </w:p>
    <w:p w14:paraId="3868F686" w14:textId="113B032F" w:rsidR="00F72E45" w:rsidRPr="006F52AD" w:rsidRDefault="00F72E45" w:rsidP="00C658FF">
      <w:pPr>
        <w:spacing w:after="0" w:line="480" w:lineRule="auto"/>
        <w:contextualSpacing/>
        <w:jc w:val="both"/>
        <w:rPr>
          <w:rFonts w:ascii="Calibri" w:eastAsia="MS Mincho" w:hAnsi="Calibri" w:cs="Arial"/>
        </w:rPr>
      </w:pPr>
      <w:r w:rsidRPr="006F52AD">
        <w:rPr>
          <w:rFonts w:ascii="Times New Roman" w:eastAsia="MS Mincho" w:hAnsi="Times New Roman" w:cs="Times New Roman"/>
          <w:sz w:val="24"/>
          <w:szCs w:val="24"/>
        </w:rPr>
        <w:tab/>
        <w:t xml:space="preserve">The </w:t>
      </w:r>
      <w:r w:rsidRPr="00A8565D">
        <w:rPr>
          <w:rFonts w:ascii="Times New Roman" w:eastAsia="MS Mincho" w:hAnsi="Times New Roman" w:cs="Times New Roman"/>
          <w:i/>
          <w:iCs/>
          <w:sz w:val="24"/>
          <w:szCs w:val="24"/>
        </w:rPr>
        <w:t>AAR</w:t>
      </w:r>
      <w:r w:rsidRPr="006F52AD">
        <w:rPr>
          <w:rFonts w:ascii="Times New Roman" w:eastAsia="MS Mincho" w:hAnsi="Times New Roman" w:cs="Times New Roman"/>
          <w:sz w:val="24"/>
          <w:szCs w:val="24"/>
        </w:rPr>
        <w:t xml:space="preserve"> reaches a minimum of −0.57% on the release day of recommendation downgrades and is highly significant. On the next day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1), the </w:t>
      </w:r>
      <w:r w:rsidRPr="00AF1692">
        <w:rPr>
          <w:rFonts w:ascii="Times New Roman" w:eastAsia="MS Mincho" w:hAnsi="Times New Roman" w:cs="Times New Roman"/>
          <w:i/>
          <w:iCs/>
          <w:sz w:val="24"/>
          <w:szCs w:val="24"/>
        </w:rPr>
        <w:t>AARs</w:t>
      </w:r>
      <w:r w:rsidRPr="006F52AD">
        <w:rPr>
          <w:rFonts w:ascii="Times New Roman" w:eastAsia="MS Mincho" w:hAnsi="Times New Roman" w:cs="Times New Roman"/>
          <w:sz w:val="24"/>
          <w:szCs w:val="24"/>
        </w:rPr>
        <w:t xml:space="preserve"> remain negative at about −0.42% and significant at the 1% level. The returns remain negative from day 3 through day 10 but are statistically significant only on day 3 (at the 5% level) and day 8 (at the 10% level). </w:t>
      </w:r>
      <w:r w:rsidRPr="00AF1692">
        <w:rPr>
          <w:rFonts w:ascii="Times New Roman" w:eastAsia="MS Mincho" w:hAnsi="Times New Roman" w:cs="Times New Roman"/>
          <w:i/>
          <w:iCs/>
          <w:sz w:val="24"/>
          <w:szCs w:val="24"/>
        </w:rPr>
        <w:t>AAR</w:t>
      </w:r>
      <w:r w:rsidRPr="00AF1692">
        <w:rPr>
          <w:rFonts w:ascii="Times New Roman" w:eastAsia="MS Mincho" w:hAnsi="Times New Roman" w:cs="Times New Roman"/>
          <w:i/>
          <w:iCs/>
          <w:sz w:val="24"/>
          <w:szCs w:val="24"/>
          <w:vertAlign w:val="subscript"/>
        </w:rPr>
        <w:t>0</w:t>
      </w:r>
      <w:r w:rsidRPr="006F52AD">
        <w:rPr>
          <w:rFonts w:ascii="Times New Roman" w:eastAsia="MS Mincho" w:hAnsi="Times New Roman" w:cs="Times New Roman"/>
          <w:sz w:val="24"/>
          <w:szCs w:val="24"/>
        </w:rPr>
        <w:t xml:space="preserve"> to </w:t>
      </w:r>
      <w:r w:rsidRPr="00AF1692">
        <w:rPr>
          <w:rFonts w:ascii="Times New Roman" w:eastAsia="MS Mincho" w:hAnsi="Times New Roman" w:cs="Times New Roman"/>
          <w:i/>
          <w:iCs/>
          <w:sz w:val="24"/>
          <w:szCs w:val="24"/>
        </w:rPr>
        <w:t>AAR</w:t>
      </w:r>
      <w:r w:rsidRPr="00AF1692">
        <w:rPr>
          <w:rFonts w:ascii="Times New Roman" w:eastAsia="MS Mincho" w:hAnsi="Times New Roman" w:cs="Times New Roman"/>
          <w:i/>
          <w:iCs/>
          <w:sz w:val="24"/>
          <w:szCs w:val="24"/>
          <w:vertAlign w:val="subscript"/>
        </w:rPr>
        <w:t>10</w:t>
      </w:r>
      <w:r w:rsidRPr="006F52AD">
        <w:rPr>
          <w:rFonts w:ascii="Times New Roman" w:eastAsia="MS Mincho" w:hAnsi="Times New Roman" w:cs="Times New Roman"/>
          <w:sz w:val="24"/>
          <w:szCs w:val="24"/>
          <w:vertAlign w:val="subscript"/>
        </w:rPr>
        <w:t xml:space="preserve"> </w:t>
      </w:r>
      <w:r w:rsidRPr="006F52AD">
        <w:rPr>
          <w:rFonts w:ascii="Times New Roman" w:eastAsia="MS Mincho" w:hAnsi="Times New Roman" w:cs="Times New Roman"/>
          <w:sz w:val="24"/>
          <w:szCs w:val="24"/>
        </w:rPr>
        <w:t xml:space="preserve">adds up to </w:t>
      </w:r>
      <w:r w:rsidR="00C96685" w:rsidRPr="006F52AD">
        <w:rPr>
          <w:rFonts w:ascii="Times New Roman" w:eastAsia="MS Mincho" w:hAnsi="Times New Roman" w:cs="Times New Roman"/>
          <w:sz w:val="24"/>
          <w:szCs w:val="24"/>
        </w:rPr>
        <w:t>−</w:t>
      </w:r>
      <w:r w:rsidRPr="006F52AD">
        <w:rPr>
          <w:rFonts w:ascii="Times New Roman" w:eastAsia="MS Mincho" w:hAnsi="Times New Roman" w:cs="Times New Roman"/>
          <w:sz w:val="24"/>
          <w:szCs w:val="24"/>
        </w:rPr>
        <w:t xml:space="preserve">1.535%. These results show that analysts’ downgrades have a relatively larger impact on the stock prices surrounding the announcement day, suggesting that downgrades deliver more significant information to the stock market than upgrades. Also, negative information seems to require relatively less time (about 2 days) to be incorporated and reflected in the stock price (Liu et al., 1990). And the market quickly reflects the information on the stock prices without price reversal in the short run (Chan and Fong, 1996). </w:t>
      </w:r>
    </w:p>
    <w:p w14:paraId="2DC64FE4" w14:textId="77777777" w:rsidR="00F72E45" w:rsidRPr="006F52AD" w:rsidRDefault="00F72E45" w:rsidP="00C658FF">
      <w:pPr>
        <w:spacing w:after="0" w:line="480" w:lineRule="auto"/>
        <w:contextualSpacing/>
        <w:jc w:val="both"/>
        <w:rPr>
          <w:rFonts w:ascii="Calibri" w:eastAsia="MS Mincho" w:hAnsi="Calibri" w:cs="Arial"/>
        </w:rPr>
      </w:pPr>
    </w:p>
    <w:p w14:paraId="2BF3B62C" w14:textId="77777777" w:rsidR="00F72E45" w:rsidRPr="006F52AD" w:rsidRDefault="00F72E45" w:rsidP="00C658FF">
      <w:pPr>
        <w:spacing w:after="0" w:line="480" w:lineRule="auto"/>
        <w:contextualSpacing/>
        <w:jc w:val="center"/>
        <w:rPr>
          <w:rFonts w:ascii="Calibri" w:eastAsia="MS Mincho" w:hAnsi="Calibri" w:cs="Arial"/>
          <w:b/>
        </w:rPr>
      </w:pPr>
      <w:r w:rsidRPr="006F52AD">
        <w:rPr>
          <w:rFonts w:ascii="Times New Roman" w:eastAsia="MS Mincho" w:hAnsi="Times New Roman" w:cs="Times New Roman"/>
          <w:b/>
          <w:sz w:val="24"/>
          <w:szCs w:val="24"/>
        </w:rPr>
        <w:t>[Insert Table 3]</w:t>
      </w:r>
    </w:p>
    <w:p w14:paraId="3FA06F61" w14:textId="77777777" w:rsidR="00F72E45" w:rsidRPr="006F52AD" w:rsidRDefault="00F72E45" w:rsidP="00C658FF">
      <w:pPr>
        <w:spacing w:after="0" w:line="480" w:lineRule="auto"/>
        <w:contextualSpacing/>
        <w:jc w:val="both"/>
        <w:rPr>
          <w:rFonts w:ascii="Calibri" w:eastAsia="MS Mincho" w:hAnsi="Calibri" w:cs="Arial"/>
          <w:b/>
        </w:rPr>
      </w:pPr>
    </w:p>
    <w:p w14:paraId="08DDBB53" w14:textId="77777777" w:rsidR="00F72E45" w:rsidRPr="006F52AD" w:rsidRDefault="00F72E45" w:rsidP="00C658FF">
      <w:pPr>
        <w:spacing w:after="0" w:line="480" w:lineRule="auto"/>
        <w:contextualSpacing/>
        <w:jc w:val="both"/>
        <w:rPr>
          <w:rFonts w:ascii="Calibri" w:eastAsia="MS Mincho" w:hAnsi="Calibri" w:cs="Arial"/>
          <w:i/>
        </w:rPr>
      </w:pPr>
      <w:r w:rsidRPr="006F52AD">
        <w:rPr>
          <w:rFonts w:ascii="Times New Roman" w:eastAsia="MS Mincho" w:hAnsi="Times New Roman" w:cs="Times New Roman"/>
          <w:i/>
          <w:sz w:val="24"/>
          <w:szCs w:val="24"/>
        </w:rPr>
        <w:t>5.3 Initiation of coverage − buy</w:t>
      </w:r>
    </w:p>
    <w:p w14:paraId="3D6825E3" w14:textId="77777777" w:rsidR="00F72E45" w:rsidRPr="006F52AD" w:rsidRDefault="00F72E45" w:rsidP="00C658FF">
      <w:pPr>
        <w:spacing w:after="0" w:line="480" w:lineRule="auto"/>
        <w:ind w:firstLine="720"/>
        <w:contextualSpacing/>
        <w:jc w:val="both"/>
        <w:rPr>
          <w:rFonts w:ascii="Calibri" w:eastAsia="MS Mincho" w:hAnsi="Calibri" w:cs="Arial"/>
        </w:rPr>
      </w:pPr>
      <w:r w:rsidRPr="006F52AD">
        <w:rPr>
          <w:rFonts w:ascii="Times New Roman" w:eastAsia="MS Mincho" w:hAnsi="Times New Roman" w:cs="Times New Roman"/>
          <w:sz w:val="24"/>
          <w:szCs w:val="24"/>
        </w:rPr>
        <w:t xml:space="preserve">Analysts would initiate stock coverage for many reasons at different time points and issue positive (e.g. buy; outperform; outweigh etc.) or negative (sell; strong sell; underperform) </w:t>
      </w:r>
      <w:r w:rsidRPr="006F52AD">
        <w:rPr>
          <w:rFonts w:ascii="Times New Roman" w:eastAsia="MS Mincho" w:hAnsi="Times New Roman" w:cs="Times New Roman"/>
          <w:sz w:val="24"/>
          <w:szCs w:val="24"/>
        </w:rPr>
        <w:lastRenderedPageBreak/>
        <w:t xml:space="preserve">recommendations along with the new coverage. We analyze the whole sample period and determine their abnormal impact on the stock market. </w:t>
      </w:r>
    </w:p>
    <w:p w14:paraId="5F823AEC" w14:textId="024D05CA" w:rsidR="00F72E45" w:rsidRPr="00D84288" w:rsidRDefault="00F72E45" w:rsidP="00D84288">
      <w:pPr>
        <w:spacing w:line="480" w:lineRule="auto"/>
        <w:jc w:val="both"/>
        <w:rPr>
          <w:rFonts w:ascii="Times New Roman" w:hAnsi="Times New Roman" w:cs="Times New Roman"/>
          <w:sz w:val="24"/>
          <w:szCs w:val="24"/>
        </w:rPr>
      </w:pPr>
      <w:r w:rsidRPr="006F52AD">
        <w:rPr>
          <w:rFonts w:ascii="Times New Roman" w:eastAsia="MS Mincho" w:hAnsi="Times New Roman" w:cs="Times New Roman"/>
          <w:sz w:val="24"/>
          <w:szCs w:val="24"/>
        </w:rPr>
        <w:t xml:space="preserve">An initiation of coverage is the first research report produced by a stock analyst about a particular stock. </w:t>
      </w:r>
      <w:r w:rsidR="00D84288" w:rsidRPr="008358F0">
        <w:rPr>
          <w:rFonts w:ascii="Times New Roman" w:hAnsi="Times New Roman" w:cs="Times New Roman"/>
          <w:sz w:val="24"/>
          <w:szCs w:val="24"/>
        </w:rPr>
        <w:t xml:space="preserve">Wang (2020) provides evidence that </w:t>
      </w:r>
      <w:r w:rsidR="00D84288" w:rsidRPr="008358F0">
        <w:rPr>
          <w:rStyle w:val="Strong"/>
          <w:rFonts w:ascii="Times New Roman" w:hAnsi="Times New Roman" w:cs="Times New Roman"/>
          <w:b w:val="0"/>
          <w:sz w:val="24"/>
          <w:szCs w:val="24"/>
          <w:bdr w:val="none" w:sz="0" w:space="0" w:color="auto" w:frame="1"/>
        </w:rPr>
        <w:t>analysts</w:t>
      </w:r>
      <w:r w:rsidR="00D84288" w:rsidRPr="008358F0">
        <w:rPr>
          <w:rFonts w:ascii="Times New Roman" w:hAnsi="Times New Roman" w:cs="Times New Roman"/>
          <w:sz w:val="24"/>
          <w:szCs w:val="24"/>
        </w:rPr>
        <w:t> gather and produce additional private information to the market and that their information reduces investors' uncertainty toward upcoming earnings announcements.</w:t>
      </w:r>
      <w:r w:rsidR="00D84288">
        <w:rPr>
          <w:rFonts w:ascii="Times New Roman" w:hAnsi="Times New Roman" w:cs="Times New Roman"/>
          <w:sz w:val="24"/>
          <w:szCs w:val="24"/>
        </w:rPr>
        <w:t xml:space="preserve"> </w:t>
      </w:r>
      <w:r w:rsidRPr="006F52AD">
        <w:rPr>
          <w:rFonts w:ascii="Times New Roman" w:eastAsia="MS Mincho" w:hAnsi="Times New Roman" w:cs="Times New Roman"/>
          <w:sz w:val="24"/>
          <w:szCs w:val="24"/>
        </w:rPr>
        <w:t>Brokerage houses or investment bank analysts cover new stocks for various reasons. For instance, they may believe that the new coverage can generate trading revenues in the security. Also, the corporate finance departments of the brokerage houses may ask for stock coverage as they believe these will encourage the underwriting business (Irvine, 2003). Moreover, in some cases, analysts will cover new stocks for their important clients when they realize that the clients have substantial holdings in some companies. Therefore, the analysts provide support and a flow of information to their clients (Irvine, 2003).</w:t>
      </w:r>
    </w:p>
    <w:p w14:paraId="221B5830" w14:textId="77777777" w:rsidR="00F72E45" w:rsidRPr="006F52AD" w:rsidRDefault="00F72E45" w:rsidP="00C658FF">
      <w:pPr>
        <w:spacing w:after="0" w:line="480" w:lineRule="auto"/>
        <w:contextualSpacing/>
        <w:jc w:val="both"/>
        <w:rPr>
          <w:rFonts w:ascii="Calibri" w:eastAsia="MS Mincho" w:hAnsi="Calibri" w:cs="Arial"/>
        </w:rPr>
      </w:pPr>
      <w:r w:rsidRPr="006F52AD">
        <w:rPr>
          <w:rFonts w:ascii="Times New Roman" w:eastAsia="MS Mincho" w:hAnsi="Times New Roman" w:cs="Times New Roman"/>
          <w:sz w:val="24"/>
          <w:szCs w:val="24"/>
        </w:rPr>
        <w:tab/>
        <w:t>There are 449 New Buy Initiations</w:t>
      </w:r>
      <w:r w:rsidRPr="006F52AD">
        <w:rPr>
          <w:rFonts w:ascii="Times New Roman" w:eastAsia="MS Mincho" w:hAnsi="Times New Roman" w:cs="Times New Roman"/>
          <w:sz w:val="24"/>
          <w:szCs w:val="24"/>
          <w:vertAlign w:val="superscript"/>
        </w:rPr>
        <w:footnoteReference w:id="6"/>
      </w:r>
      <w:r w:rsidRPr="006F52AD">
        <w:rPr>
          <w:rFonts w:ascii="Times New Roman" w:eastAsia="MS Mincho" w:hAnsi="Times New Roman" w:cs="Times New Roman"/>
          <w:sz w:val="24"/>
          <w:szCs w:val="24"/>
        </w:rPr>
        <w:t xml:space="preserve"> issued by analysts for the 26 constituent stocks of the Hang Seng Index within the sample period. Table 4 presents the results of the average abnormal returns (</w:t>
      </w:r>
      <w:r w:rsidRPr="00A8565D">
        <w:rPr>
          <w:rFonts w:ascii="Times New Roman" w:eastAsia="MS Mincho" w:hAnsi="Times New Roman" w:cs="Times New Roman"/>
          <w:i/>
          <w:iCs/>
          <w:sz w:val="24"/>
          <w:szCs w:val="24"/>
        </w:rPr>
        <w:t>AAR</w:t>
      </w:r>
      <w:r w:rsidRPr="006F52AD">
        <w:rPr>
          <w:rFonts w:ascii="Times New Roman" w:eastAsia="MS Mincho" w:hAnsi="Times New Roman" w:cs="Times New Roman"/>
          <w:sz w:val="24"/>
          <w:szCs w:val="24"/>
        </w:rPr>
        <w:t xml:space="preserve">) for each day (from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−5 through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+10) around the release day of a New Buy Initiation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0) with the corresponding </w:t>
      </w:r>
      <w:r w:rsidRPr="00AF1692">
        <w:rPr>
          <w:rFonts w:ascii="Times New Roman" w:eastAsia="MS Mincho" w:hAnsi="Times New Roman" w:cs="Times New Roman"/>
          <w:i/>
          <w:iCs/>
          <w:sz w:val="24"/>
          <w:szCs w:val="24"/>
        </w:rPr>
        <w:t>t</w:t>
      </w:r>
      <w:r w:rsidRPr="006F52AD">
        <w:rPr>
          <w:rFonts w:ascii="Times New Roman" w:eastAsia="MS Mincho" w:hAnsi="Times New Roman" w:cs="Times New Roman"/>
          <w:sz w:val="24"/>
          <w:szCs w:val="24"/>
        </w:rPr>
        <w:t xml:space="preserve">−statistics. Interestingly, the impact of New Buy initiations on stock prices is different from that of recommendation upgrades. The results show that only on the day prior to the announcement event, the </w:t>
      </w:r>
      <w:r w:rsidRPr="00A8565D">
        <w:rPr>
          <w:rFonts w:ascii="Times New Roman" w:eastAsia="MS Mincho" w:hAnsi="Times New Roman" w:cs="Times New Roman"/>
          <w:i/>
          <w:iCs/>
          <w:sz w:val="24"/>
          <w:szCs w:val="24"/>
        </w:rPr>
        <w:t>AAR</w:t>
      </w:r>
      <w:r w:rsidRPr="006F52AD">
        <w:rPr>
          <w:rFonts w:ascii="Times New Roman" w:eastAsia="MS Mincho" w:hAnsi="Times New Roman" w:cs="Times New Roman"/>
          <w:sz w:val="24"/>
          <w:szCs w:val="24"/>
        </w:rPr>
        <w:t xml:space="preserve"> is slightly positive (0.137%) and statistically significant (</w:t>
      </w:r>
      <w:r w:rsidRPr="00AF1692">
        <w:rPr>
          <w:rFonts w:ascii="Times New Roman" w:eastAsia="MS Mincho" w:hAnsi="Times New Roman" w:cs="Times New Roman"/>
          <w:i/>
          <w:iCs/>
          <w:sz w:val="24"/>
          <w:szCs w:val="24"/>
        </w:rPr>
        <w:t>t</w:t>
      </w:r>
      <w:r w:rsidRPr="006F52AD">
        <w:rPr>
          <w:rFonts w:ascii="Times New Roman" w:eastAsia="MS Mincho" w:hAnsi="Times New Roman" w:cs="Times New Roman"/>
          <w:sz w:val="24"/>
          <w:szCs w:val="24"/>
        </w:rPr>
        <w:t xml:space="preserve">−statistic of 2.29). During the release day, the </w:t>
      </w:r>
      <w:r w:rsidRPr="00A8565D">
        <w:rPr>
          <w:rFonts w:ascii="Times New Roman" w:eastAsia="MS Mincho" w:hAnsi="Times New Roman" w:cs="Times New Roman"/>
          <w:i/>
          <w:iCs/>
          <w:sz w:val="24"/>
          <w:szCs w:val="24"/>
        </w:rPr>
        <w:t>AAR</w:t>
      </w:r>
      <w:r w:rsidRPr="00A8565D">
        <w:rPr>
          <w:rFonts w:ascii="Times New Roman" w:eastAsia="MS Mincho" w:hAnsi="Times New Roman" w:cs="Times New Roman"/>
          <w:i/>
          <w:iCs/>
          <w:sz w:val="24"/>
          <w:szCs w:val="24"/>
          <w:vertAlign w:val="subscript"/>
        </w:rPr>
        <w:t>0</w:t>
      </w:r>
      <w:r w:rsidRPr="006F52AD">
        <w:rPr>
          <w:rFonts w:ascii="Times New Roman" w:eastAsia="MS Mincho" w:hAnsi="Times New Roman" w:cs="Times New Roman"/>
          <w:sz w:val="24"/>
          <w:szCs w:val="24"/>
        </w:rPr>
        <w:t xml:space="preserve"> is at 0.0822% and insignificant. The </w:t>
      </w:r>
      <w:r w:rsidRPr="00AF1692">
        <w:rPr>
          <w:rFonts w:ascii="Times New Roman" w:eastAsia="MS Mincho" w:hAnsi="Times New Roman" w:cs="Times New Roman"/>
          <w:i/>
          <w:iCs/>
          <w:sz w:val="24"/>
          <w:szCs w:val="24"/>
        </w:rPr>
        <w:t>AAR</w:t>
      </w:r>
      <w:r w:rsidRPr="006F52AD">
        <w:rPr>
          <w:rFonts w:ascii="Times New Roman" w:eastAsia="MS Mincho" w:hAnsi="Times New Roman" w:cs="Times New Roman"/>
          <w:sz w:val="24"/>
          <w:szCs w:val="24"/>
        </w:rPr>
        <w:t xml:space="preserve"> remains insignificant except for the fourth and seventh day after the announcement.</w:t>
      </w:r>
    </w:p>
    <w:p w14:paraId="67E93E03" w14:textId="7ED34571" w:rsidR="00EB26A5" w:rsidRPr="006F52AD" w:rsidRDefault="00F72E45" w:rsidP="00C658FF">
      <w:pPr>
        <w:spacing w:after="0" w:line="480" w:lineRule="auto"/>
        <w:contextualSpacing/>
        <w:jc w:val="both"/>
        <w:rPr>
          <w:rFonts w:ascii="Calibri" w:eastAsia="MS Mincho" w:hAnsi="Calibri" w:cs="Arial"/>
        </w:rPr>
      </w:pPr>
      <w:r w:rsidRPr="006F52AD">
        <w:rPr>
          <w:rFonts w:ascii="Times New Roman" w:eastAsia="MS Mincho" w:hAnsi="Times New Roman" w:cs="Times New Roman"/>
          <w:sz w:val="24"/>
          <w:szCs w:val="24"/>
        </w:rPr>
        <w:lastRenderedPageBreak/>
        <w:tab/>
        <w:t xml:space="preserve">In general, </w:t>
      </w:r>
      <w:r w:rsidR="00323A45" w:rsidRPr="006F52AD">
        <w:rPr>
          <w:rFonts w:ascii="Times New Roman" w:eastAsia="MS Mincho" w:hAnsi="Times New Roman" w:cs="Times New Roman"/>
          <w:sz w:val="24"/>
          <w:szCs w:val="24"/>
        </w:rPr>
        <w:t>the</w:t>
      </w:r>
      <w:r w:rsidRPr="006F52AD">
        <w:rPr>
          <w:rFonts w:ascii="Times New Roman" w:eastAsia="MS Mincho" w:hAnsi="Times New Roman" w:cs="Times New Roman"/>
          <w:sz w:val="24"/>
          <w:szCs w:val="24"/>
        </w:rPr>
        <w:t xml:space="preserve"> announcement of new buy coverage has insignificant impact on the stock price around the release day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0). This implies that the announcement of new buy coverage by sell−side analysts delivers relatively insignificant information, while investors are not able to gain any significant abnormal return by trading the covered stock around the announcement day. These results suggest that the information content of analysts’ new buy coverage initiations </w:t>
      </w:r>
      <w:r w:rsidR="00424F4B" w:rsidRPr="006F52AD">
        <w:rPr>
          <w:rFonts w:ascii="Times New Roman" w:eastAsia="MS Mincho" w:hAnsi="Times New Roman" w:cs="Times New Roman"/>
          <w:sz w:val="24"/>
          <w:szCs w:val="24"/>
        </w:rPr>
        <w:t>is</w:t>
      </w:r>
      <w:r w:rsidRPr="006F52AD">
        <w:rPr>
          <w:rFonts w:ascii="Times New Roman" w:eastAsia="MS Mincho" w:hAnsi="Times New Roman" w:cs="Times New Roman"/>
          <w:sz w:val="24"/>
          <w:szCs w:val="24"/>
        </w:rPr>
        <w:t xml:space="preserve"> not as important as recommendations upgrades since the return of recommendation upgrades on the event day was 0.41% (and significant at the 1% level) compared to an insignificant figure of 0.082% for new buy coverage. </w:t>
      </w:r>
    </w:p>
    <w:p w14:paraId="05E280FA" w14:textId="77777777" w:rsidR="00F72E45" w:rsidRPr="006F52AD" w:rsidRDefault="00F72E45" w:rsidP="00C658FF">
      <w:pPr>
        <w:spacing w:after="0" w:line="480" w:lineRule="auto"/>
        <w:contextualSpacing/>
        <w:jc w:val="both"/>
        <w:rPr>
          <w:rFonts w:ascii="Calibri" w:eastAsia="MS Mincho" w:hAnsi="Calibri" w:cs="Arial"/>
        </w:rPr>
      </w:pPr>
    </w:p>
    <w:p w14:paraId="5D7A9B02" w14:textId="2F6A6346" w:rsidR="00F72E45" w:rsidRDefault="00F72E45" w:rsidP="00B52E2F">
      <w:pPr>
        <w:spacing w:after="0" w:line="480" w:lineRule="auto"/>
        <w:contextualSpacing/>
        <w:jc w:val="center"/>
        <w:rPr>
          <w:rFonts w:ascii="Times New Roman" w:eastAsia="MS Mincho" w:hAnsi="Times New Roman" w:cs="Times New Roman"/>
          <w:b/>
          <w:sz w:val="24"/>
          <w:szCs w:val="24"/>
        </w:rPr>
      </w:pPr>
      <w:r w:rsidRPr="006F52AD">
        <w:rPr>
          <w:rFonts w:ascii="Times New Roman" w:eastAsia="MS Mincho" w:hAnsi="Times New Roman" w:cs="Times New Roman"/>
          <w:b/>
          <w:sz w:val="24"/>
          <w:szCs w:val="24"/>
        </w:rPr>
        <w:t>[Insert Table 4]</w:t>
      </w:r>
    </w:p>
    <w:p w14:paraId="1F6F3B50" w14:textId="77777777" w:rsidR="006E0FEC" w:rsidRPr="006F52AD" w:rsidRDefault="006E0FEC" w:rsidP="00C658FF">
      <w:pPr>
        <w:spacing w:after="0" w:line="480" w:lineRule="auto"/>
        <w:contextualSpacing/>
        <w:jc w:val="center"/>
        <w:rPr>
          <w:rFonts w:ascii="Times New Roman" w:eastAsia="MS Mincho" w:hAnsi="Times New Roman" w:cs="Times New Roman"/>
          <w:b/>
          <w:sz w:val="24"/>
          <w:szCs w:val="24"/>
        </w:rPr>
      </w:pPr>
    </w:p>
    <w:p w14:paraId="439991AA" w14:textId="77777777" w:rsidR="00F72E45" w:rsidRPr="006F52AD" w:rsidRDefault="00F72E45" w:rsidP="00C658FF">
      <w:pPr>
        <w:spacing w:after="0" w:line="480" w:lineRule="auto"/>
        <w:contextualSpacing/>
        <w:jc w:val="both"/>
        <w:rPr>
          <w:rFonts w:ascii="Calibri" w:eastAsia="MS Mincho" w:hAnsi="Calibri" w:cs="Arial"/>
          <w:i/>
        </w:rPr>
      </w:pPr>
      <w:r w:rsidRPr="006F52AD">
        <w:rPr>
          <w:rFonts w:ascii="Times New Roman" w:eastAsia="MS Mincho" w:hAnsi="Times New Roman" w:cs="Times New Roman"/>
          <w:i/>
          <w:sz w:val="24"/>
          <w:szCs w:val="24"/>
        </w:rPr>
        <w:t>5.4 Initiation of coverage − sell</w:t>
      </w:r>
    </w:p>
    <w:p w14:paraId="7575FCD9" w14:textId="77777777" w:rsidR="00F72E45" w:rsidRPr="006F52AD" w:rsidRDefault="00F72E45" w:rsidP="00C658FF">
      <w:pPr>
        <w:spacing w:after="0" w:line="480" w:lineRule="auto"/>
        <w:ind w:firstLine="720"/>
        <w:contextualSpacing/>
        <w:jc w:val="both"/>
        <w:rPr>
          <w:rFonts w:ascii="Calibri" w:eastAsia="MS Mincho" w:hAnsi="Calibri" w:cs="Arial"/>
        </w:rPr>
      </w:pPr>
      <w:r w:rsidRPr="006F52AD">
        <w:rPr>
          <w:rFonts w:ascii="Times New Roman" w:eastAsia="MS Mincho" w:hAnsi="Times New Roman" w:cs="Times New Roman"/>
          <w:sz w:val="24"/>
          <w:szCs w:val="24"/>
        </w:rPr>
        <w:t xml:space="preserve">Our sample contains 55 new sell initiations issued by analysts for the 26 constituent stocks of the Hang Seng Index within the sample period. The number of new sell initiations is therefore much lower than the 449 new buy initiations in our sample; this distribution conforms to the hypothesis that analysts are more likely to start covering equities which they view favorably. This is consistent with the observations of Irvine (2003): analysts’ initiations are more likely to be strong buy/buy and less likely to be hold/sell. By initiating coverage, analysts can then offer compelling stories about the covered stocks’ fundamental values, which will further generate trading in the securities. </w:t>
      </w:r>
    </w:p>
    <w:p w14:paraId="4A7205B8" w14:textId="57133F60" w:rsidR="00F72E45" w:rsidRPr="006F52AD" w:rsidRDefault="00F72E45" w:rsidP="00C658FF">
      <w:pPr>
        <w:spacing w:after="0" w:line="480" w:lineRule="auto"/>
        <w:contextualSpacing/>
        <w:jc w:val="both"/>
        <w:rPr>
          <w:rFonts w:ascii="Calibri" w:eastAsia="MS Mincho" w:hAnsi="Calibri" w:cs="Arial"/>
        </w:rPr>
      </w:pPr>
      <w:r w:rsidRPr="006F52AD">
        <w:rPr>
          <w:rFonts w:ascii="Times New Roman" w:eastAsia="MS Mincho" w:hAnsi="Times New Roman" w:cs="Times New Roman"/>
          <w:sz w:val="24"/>
          <w:szCs w:val="24"/>
        </w:rPr>
        <w:tab/>
      </w:r>
      <w:r w:rsidR="00323A45" w:rsidRPr="006F52AD">
        <w:rPr>
          <w:rFonts w:ascii="Times New Roman" w:eastAsia="MS Mincho" w:hAnsi="Times New Roman" w:cs="Times New Roman"/>
          <w:sz w:val="24"/>
          <w:szCs w:val="24"/>
        </w:rPr>
        <w:t>Like</w:t>
      </w:r>
      <w:r w:rsidRPr="006F52AD">
        <w:rPr>
          <w:rFonts w:ascii="Times New Roman" w:eastAsia="MS Mincho" w:hAnsi="Times New Roman" w:cs="Times New Roman"/>
          <w:sz w:val="24"/>
          <w:szCs w:val="24"/>
        </w:rPr>
        <w:t xml:space="preserve"> the previous tables, Table 5 shows the average abnormal returns (</w:t>
      </w:r>
      <w:r w:rsidRPr="00AF1692">
        <w:rPr>
          <w:rFonts w:ascii="Times New Roman" w:eastAsia="MS Mincho" w:hAnsi="Times New Roman" w:cs="Times New Roman"/>
          <w:i/>
          <w:iCs/>
          <w:sz w:val="24"/>
          <w:szCs w:val="24"/>
        </w:rPr>
        <w:t>AARs</w:t>
      </w:r>
      <w:r w:rsidRPr="006F52AD">
        <w:rPr>
          <w:rFonts w:ascii="Times New Roman" w:eastAsia="MS Mincho" w:hAnsi="Times New Roman" w:cs="Times New Roman"/>
          <w:sz w:val="24"/>
          <w:szCs w:val="24"/>
        </w:rPr>
        <w:t xml:space="preserve">) of each day (from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−5 through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+10) surrounding the release day of New Sell initiations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0). Interestingly, the abnormal returns before the announcement day are statistically insignificant. On the announcement day itself, the </w:t>
      </w:r>
      <w:r w:rsidRPr="00AF1692">
        <w:rPr>
          <w:rFonts w:ascii="Times New Roman" w:eastAsia="MS Mincho" w:hAnsi="Times New Roman" w:cs="Times New Roman"/>
          <w:i/>
          <w:iCs/>
          <w:sz w:val="24"/>
          <w:szCs w:val="24"/>
        </w:rPr>
        <w:t>AAR</w:t>
      </w:r>
      <w:r w:rsidRPr="006F52AD">
        <w:rPr>
          <w:rFonts w:ascii="Times New Roman" w:eastAsia="MS Mincho" w:hAnsi="Times New Roman" w:cs="Times New Roman"/>
          <w:sz w:val="24"/>
          <w:szCs w:val="24"/>
        </w:rPr>
        <w:t xml:space="preserve"> is insignificant though negative (−0.198%). However, on the first day after the announcement, the negative </w:t>
      </w:r>
      <w:r w:rsidRPr="00AF1692">
        <w:rPr>
          <w:rFonts w:ascii="Times New Roman" w:eastAsia="MS Mincho" w:hAnsi="Times New Roman" w:cs="Times New Roman"/>
          <w:i/>
          <w:iCs/>
          <w:sz w:val="24"/>
          <w:szCs w:val="24"/>
        </w:rPr>
        <w:t>AAR</w:t>
      </w:r>
      <w:r w:rsidRPr="006F52AD">
        <w:rPr>
          <w:rFonts w:ascii="Times New Roman" w:eastAsia="MS Mincho" w:hAnsi="Times New Roman" w:cs="Times New Roman"/>
          <w:sz w:val="24"/>
          <w:szCs w:val="24"/>
        </w:rPr>
        <w:t xml:space="preserve"> (−0.304%) becomes statistically </w:t>
      </w:r>
      <w:r w:rsidRPr="006F52AD">
        <w:rPr>
          <w:rFonts w:ascii="Times New Roman" w:eastAsia="MS Mincho" w:hAnsi="Times New Roman" w:cs="Times New Roman"/>
          <w:sz w:val="24"/>
          <w:szCs w:val="24"/>
        </w:rPr>
        <w:lastRenderedPageBreak/>
        <w:t xml:space="preserve">significant at the 10% significance level. The </w:t>
      </w:r>
      <w:r w:rsidRPr="00AF1692">
        <w:rPr>
          <w:rFonts w:ascii="Times New Roman" w:eastAsia="MS Mincho" w:hAnsi="Times New Roman" w:cs="Times New Roman"/>
          <w:i/>
          <w:iCs/>
          <w:sz w:val="24"/>
          <w:szCs w:val="24"/>
        </w:rPr>
        <w:t>AARs</w:t>
      </w:r>
      <w:r w:rsidRPr="006F52AD">
        <w:rPr>
          <w:rFonts w:ascii="Times New Roman" w:eastAsia="MS Mincho" w:hAnsi="Times New Roman" w:cs="Times New Roman"/>
          <w:sz w:val="24"/>
          <w:szCs w:val="24"/>
        </w:rPr>
        <w:t xml:space="preserve"> for the following days remain insignificant. These results are similar to Irvine (2003), who found that the 2−day abnormal return around sell initiations was −0.32% and statistically insignificant.</w:t>
      </w:r>
    </w:p>
    <w:p w14:paraId="13524B79" w14:textId="77777777" w:rsidR="00F72E45" w:rsidRPr="006F52AD" w:rsidRDefault="00F72E45" w:rsidP="00C658FF">
      <w:pPr>
        <w:spacing w:after="0" w:line="480" w:lineRule="auto"/>
        <w:contextualSpacing/>
        <w:jc w:val="both"/>
        <w:rPr>
          <w:rFonts w:ascii="Calibri" w:eastAsia="MS Mincho" w:hAnsi="Calibri" w:cs="Arial"/>
        </w:rPr>
      </w:pPr>
      <w:r w:rsidRPr="006F52AD">
        <w:rPr>
          <w:rFonts w:ascii="Times New Roman" w:eastAsia="MS Mincho" w:hAnsi="Times New Roman" w:cs="Times New Roman"/>
          <w:sz w:val="24"/>
          <w:szCs w:val="24"/>
        </w:rPr>
        <w:tab/>
        <w:t xml:space="preserve">Although anecdotal evidence suggests that new sell initiations may result in significantly negative abnormal returns since analysts do not view the stocks favorably, the </w:t>
      </w:r>
      <w:r w:rsidRPr="00AF1692">
        <w:rPr>
          <w:rFonts w:ascii="Times New Roman" w:eastAsia="MS Mincho" w:hAnsi="Times New Roman" w:cs="Times New Roman"/>
          <w:i/>
          <w:iCs/>
          <w:sz w:val="24"/>
          <w:szCs w:val="24"/>
        </w:rPr>
        <w:t>AARs</w:t>
      </w:r>
      <w:r w:rsidRPr="006F52AD">
        <w:rPr>
          <w:rFonts w:ascii="Times New Roman" w:eastAsia="MS Mincho" w:hAnsi="Times New Roman" w:cs="Times New Roman"/>
          <w:sz w:val="24"/>
          <w:szCs w:val="24"/>
        </w:rPr>
        <w:t xml:space="preserve"> presented in Table 5 indicate that, as analysts announce new sell initiations, the stock prices do not drop significantly on the announcement day as predicted by the analysts. In other words, investors do not consider new sell initiations as containing significantly unfavorable new information content; and the initiations do not result in substantial negative abnormal returns on the announcement day.  The </w:t>
      </w:r>
      <w:r w:rsidRPr="00AF1692">
        <w:rPr>
          <w:rFonts w:ascii="Times New Roman" w:eastAsia="MS Mincho" w:hAnsi="Times New Roman" w:cs="Times New Roman"/>
          <w:i/>
          <w:iCs/>
          <w:sz w:val="24"/>
          <w:szCs w:val="24"/>
        </w:rPr>
        <w:t>AARs</w:t>
      </w:r>
      <w:r w:rsidRPr="006F52AD">
        <w:rPr>
          <w:rFonts w:ascii="Times New Roman" w:eastAsia="MS Mincho" w:hAnsi="Times New Roman" w:cs="Times New Roman"/>
          <w:sz w:val="24"/>
          <w:szCs w:val="24"/>
        </w:rPr>
        <w:t xml:space="preserve"> are significantly negative only on the day after the announcement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=1) while the </w:t>
      </w:r>
      <w:r w:rsidRPr="00AF1692">
        <w:rPr>
          <w:rFonts w:ascii="Times New Roman" w:eastAsia="MS Mincho" w:hAnsi="Times New Roman" w:cs="Times New Roman"/>
          <w:i/>
          <w:iCs/>
          <w:sz w:val="24"/>
          <w:szCs w:val="24"/>
        </w:rPr>
        <w:t>AARs</w:t>
      </w:r>
      <w:r w:rsidRPr="006F52AD">
        <w:rPr>
          <w:rFonts w:ascii="Times New Roman" w:eastAsia="MS Mincho" w:hAnsi="Times New Roman" w:cs="Times New Roman"/>
          <w:sz w:val="24"/>
          <w:szCs w:val="24"/>
        </w:rPr>
        <w:t xml:space="preserve"> remain insignificant thereafter, although the insignificance of the abnormal returns may be partly due to the relatively small sample size for new sell initiations (Irvine, 2003).  </w:t>
      </w:r>
    </w:p>
    <w:p w14:paraId="57261C73" w14:textId="77777777" w:rsidR="00F72E45" w:rsidRPr="006F52AD" w:rsidRDefault="00F72E45" w:rsidP="00C658FF">
      <w:pPr>
        <w:spacing w:after="0" w:line="480" w:lineRule="auto"/>
        <w:contextualSpacing/>
        <w:jc w:val="both"/>
        <w:rPr>
          <w:rFonts w:ascii="Times New Roman" w:eastAsia="MS Mincho" w:hAnsi="Times New Roman" w:cs="Times New Roman"/>
          <w:b/>
          <w:sz w:val="24"/>
          <w:szCs w:val="24"/>
        </w:rPr>
      </w:pPr>
    </w:p>
    <w:p w14:paraId="6C1E4A28" w14:textId="76241084" w:rsidR="00F72E45" w:rsidRDefault="00F72E45" w:rsidP="00C658FF">
      <w:pPr>
        <w:spacing w:after="0" w:line="480" w:lineRule="auto"/>
        <w:contextualSpacing/>
        <w:jc w:val="center"/>
        <w:rPr>
          <w:rFonts w:ascii="Times New Roman" w:eastAsia="MS Mincho" w:hAnsi="Times New Roman" w:cs="Times New Roman"/>
          <w:b/>
          <w:sz w:val="24"/>
          <w:szCs w:val="24"/>
        </w:rPr>
      </w:pPr>
      <w:r w:rsidRPr="006F52AD">
        <w:rPr>
          <w:rFonts w:ascii="Times New Roman" w:eastAsia="MS Mincho" w:hAnsi="Times New Roman" w:cs="Times New Roman"/>
          <w:b/>
          <w:sz w:val="24"/>
          <w:szCs w:val="24"/>
        </w:rPr>
        <w:t>[Insert Table 5]</w:t>
      </w:r>
    </w:p>
    <w:p w14:paraId="609A90E3" w14:textId="77777777" w:rsidR="00405650" w:rsidRPr="006F52AD" w:rsidRDefault="00405650" w:rsidP="00C658FF">
      <w:pPr>
        <w:spacing w:after="0" w:line="480" w:lineRule="auto"/>
        <w:contextualSpacing/>
        <w:jc w:val="center"/>
        <w:rPr>
          <w:rFonts w:ascii="Times New Roman" w:eastAsia="MS Mincho" w:hAnsi="Times New Roman" w:cs="Times New Roman"/>
          <w:b/>
          <w:sz w:val="24"/>
          <w:szCs w:val="24"/>
        </w:rPr>
      </w:pPr>
    </w:p>
    <w:p w14:paraId="610FCD53" w14:textId="77777777" w:rsidR="00F72E45" w:rsidRPr="006F52AD" w:rsidRDefault="00F72E45" w:rsidP="00C658FF">
      <w:pPr>
        <w:spacing w:after="0" w:line="480" w:lineRule="auto"/>
        <w:contextualSpacing/>
        <w:jc w:val="both"/>
        <w:rPr>
          <w:rFonts w:ascii="Calibri" w:eastAsia="MS Mincho" w:hAnsi="Calibri" w:cs="Arial"/>
          <w:i/>
        </w:rPr>
      </w:pPr>
      <w:r w:rsidRPr="006F52AD">
        <w:rPr>
          <w:rFonts w:ascii="Times New Roman" w:eastAsia="MS Mincho" w:hAnsi="Times New Roman" w:cs="Times New Roman"/>
          <w:sz w:val="24"/>
          <w:szCs w:val="24"/>
        </w:rPr>
        <w:t>Our findings have indicated that recommendation upgrades and downgrades as well as new coverage initiations of sell−side analysts have differential impacts on the Hong Kong stock market. The results reveal that analysts’ recommendations convey substantial information to investors and result in significant abnormal returns consistent with the predictions of the analysts surrounding the announcement day. On the other hand, the market does not consider new coverage initiations as significant information − the initiations do not result in substantial positive or negative abnormal returns surrounding the announcement day.</w:t>
      </w:r>
    </w:p>
    <w:p w14:paraId="62A05145" w14:textId="77777777" w:rsidR="00F02589" w:rsidRDefault="00F02589" w:rsidP="00F02589">
      <w:pPr>
        <w:spacing w:after="0" w:line="480" w:lineRule="auto"/>
        <w:contextualSpacing/>
        <w:jc w:val="both"/>
        <w:rPr>
          <w:rFonts w:ascii="Times New Roman" w:eastAsia="MS Mincho" w:hAnsi="Times New Roman" w:cs="Times New Roman"/>
          <w:i/>
          <w:sz w:val="24"/>
          <w:szCs w:val="24"/>
        </w:rPr>
      </w:pPr>
    </w:p>
    <w:p w14:paraId="0B3DAACE" w14:textId="15B1D761" w:rsidR="00F72E45" w:rsidRPr="006F52AD" w:rsidRDefault="00F72E45" w:rsidP="00C658FF">
      <w:pPr>
        <w:spacing w:after="0" w:line="480" w:lineRule="auto"/>
        <w:contextualSpacing/>
        <w:jc w:val="both"/>
        <w:rPr>
          <w:rFonts w:ascii="Times New Roman" w:eastAsia="MS Mincho" w:hAnsi="Times New Roman" w:cs="Times New Roman"/>
          <w:sz w:val="24"/>
          <w:szCs w:val="24"/>
        </w:rPr>
      </w:pPr>
      <w:r w:rsidRPr="006F52AD">
        <w:rPr>
          <w:rFonts w:ascii="Times New Roman" w:eastAsia="MS Mincho" w:hAnsi="Times New Roman" w:cs="Times New Roman"/>
          <w:i/>
          <w:sz w:val="24"/>
          <w:szCs w:val="24"/>
        </w:rPr>
        <w:t>5.5 Upgrades and Downgrades during bullish and bearish phases</w:t>
      </w:r>
    </w:p>
    <w:p w14:paraId="57CE5AC1" w14:textId="77777777" w:rsidR="00F72E45" w:rsidRPr="006F52AD" w:rsidRDefault="00F72E45" w:rsidP="00C658FF">
      <w:pPr>
        <w:spacing w:after="0" w:line="480" w:lineRule="auto"/>
        <w:contextualSpacing/>
        <w:jc w:val="both"/>
        <w:rPr>
          <w:rFonts w:ascii="Calibri" w:eastAsia="MS Mincho" w:hAnsi="Calibri" w:cs="Arial"/>
        </w:rPr>
      </w:pPr>
      <w:r w:rsidRPr="006F52AD">
        <w:rPr>
          <w:rFonts w:ascii="Times New Roman" w:eastAsia="MS Mincho" w:hAnsi="Times New Roman" w:cs="Times New Roman"/>
          <w:sz w:val="24"/>
          <w:szCs w:val="24"/>
        </w:rPr>
        <w:lastRenderedPageBreak/>
        <w:tab/>
        <w:t xml:space="preserve"> It is unlikely that the impact of analysts’ recommendations will be identical when the overall market is bullish as against bearish, since analysts may be highly influenced by the overall market conditions when making recommendation upgrades and downgrades. In particular, in the bullish period when investors expect security prices to rise in general and are optimistic about the future of the market, analysts may be more prone to upgrade securities considering the overall market sentiment. Yet, the recommendation may not be justified by the analysts’ earnings forecast for the covered firms (Bagnoli et al., 2009). On the other hand, in bearish periods when market sentiment is pessimistic, analysts may consider that most stocks are declining and factor in the general pessimistic sentiment into their stock analysis. As a result, one </w:t>
      </w:r>
      <w:r>
        <w:rPr>
          <w:rFonts w:ascii="Times New Roman" w:eastAsia="MS Mincho" w:hAnsi="Times New Roman" w:cs="Times New Roman"/>
          <w:sz w:val="24"/>
          <w:szCs w:val="24"/>
        </w:rPr>
        <w:t>might</w:t>
      </w:r>
      <w:r w:rsidRPr="006F52AD">
        <w:rPr>
          <w:rFonts w:ascii="Times New Roman" w:eastAsia="MS Mincho" w:hAnsi="Times New Roman" w:cs="Times New Roman"/>
          <w:sz w:val="24"/>
          <w:szCs w:val="24"/>
        </w:rPr>
        <w:t xml:space="preserve"> expect the price impact of stock upgrades and downgrades to vary in different time phases. Therefore, to determine whether our earlier results for upgrades and downgrades are influenced by market conditions, we investigate the price impacts of recommendation upgrades and downgrades in bullish and bearish markets.</w:t>
      </w:r>
    </w:p>
    <w:p w14:paraId="227C879D" w14:textId="12DF479F" w:rsidR="00F72E45" w:rsidRDefault="00F72E45" w:rsidP="00C658FF">
      <w:pPr>
        <w:spacing w:after="0" w:line="480" w:lineRule="auto"/>
        <w:ind w:firstLine="720"/>
        <w:contextualSpacing/>
        <w:jc w:val="both"/>
        <w:rPr>
          <w:rFonts w:ascii="Times New Roman" w:eastAsia="MS Mincho" w:hAnsi="Times New Roman" w:cs="Times New Roman"/>
          <w:sz w:val="24"/>
          <w:szCs w:val="24"/>
        </w:rPr>
      </w:pPr>
      <w:r w:rsidRPr="006F52AD">
        <w:rPr>
          <w:rFonts w:ascii="Times New Roman" w:eastAsia="MS Mincho" w:hAnsi="Times New Roman" w:cs="Times New Roman"/>
          <w:sz w:val="24"/>
          <w:szCs w:val="24"/>
        </w:rPr>
        <w:t xml:space="preserve"> The bullish period ran from March </w:t>
      </w:r>
      <w:r w:rsidR="00B34650">
        <w:rPr>
          <w:rFonts w:ascii="Times New Roman" w:eastAsia="MS Mincho" w:hAnsi="Times New Roman" w:cs="Times New Roman"/>
          <w:sz w:val="24"/>
          <w:szCs w:val="24"/>
        </w:rPr>
        <w:t xml:space="preserve">9, </w:t>
      </w:r>
      <w:r w:rsidRPr="006F52AD">
        <w:rPr>
          <w:rFonts w:ascii="Times New Roman" w:eastAsia="MS Mincho" w:hAnsi="Times New Roman" w:cs="Times New Roman"/>
          <w:sz w:val="24"/>
          <w:szCs w:val="24"/>
        </w:rPr>
        <w:t xml:space="preserve">2009 to November </w:t>
      </w:r>
      <w:r w:rsidR="00B34650">
        <w:rPr>
          <w:rFonts w:ascii="Times New Roman" w:eastAsia="MS Mincho" w:hAnsi="Times New Roman" w:cs="Times New Roman"/>
          <w:sz w:val="24"/>
          <w:szCs w:val="24"/>
        </w:rPr>
        <w:t xml:space="preserve">8, </w:t>
      </w:r>
      <w:r w:rsidRPr="006F52AD">
        <w:rPr>
          <w:rFonts w:ascii="Times New Roman" w:eastAsia="MS Mincho" w:hAnsi="Times New Roman" w:cs="Times New Roman"/>
          <w:sz w:val="24"/>
          <w:szCs w:val="24"/>
        </w:rPr>
        <w:t xml:space="preserve">2010, the latter being the date of the Hong Kong stock market peak, while the bearish period commenced on November </w:t>
      </w:r>
      <w:r w:rsidR="00B34650">
        <w:rPr>
          <w:rFonts w:ascii="Times New Roman" w:eastAsia="MS Mincho" w:hAnsi="Times New Roman" w:cs="Times New Roman"/>
          <w:sz w:val="24"/>
          <w:szCs w:val="24"/>
        </w:rPr>
        <w:t xml:space="preserve">9, </w:t>
      </w:r>
      <w:r w:rsidRPr="006F52AD">
        <w:rPr>
          <w:rFonts w:ascii="Times New Roman" w:eastAsia="MS Mincho" w:hAnsi="Times New Roman" w:cs="Times New Roman"/>
          <w:sz w:val="24"/>
          <w:szCs w:val="24"/>
        </w:rPr>
        <w:t xml:space="preserve">2010 and ended on January </w:t>
      </w:r>
      <w:r w:rsidR="00B34650">
        <w:rPr>
          <w:rFonts w:ascii="Times New Roman" w:eastAsia="MS Mincho" w:hAnsi="Times New Roman" w:cs="Times New Roman"/>
          <w:sz w:val="24"/>
          <w:szCs w:val="24"/>
        </w:rPr>
        <w:t xml:space="preserve">1, </w:t>
      </w:r>
      <w:r w:rsidRPr="006F52AD">
        <w:rPr>
          <w:rFonts w:ascii="Times New Roman" w:eastAsia="MS Mincho" w:hAnsi="Times New Roman" w:cs="Times New Roman"/>
          <w:sz w:val="24"/>
          <w:szCs w:val="24"/>
        </w:rPr>
        <w:t>2012.</w:t>
      </w:r>
      <w:r>
        <w:rPr>
          <w:rFonts w:ascii="Times New Roman" w:eastAsia="MS Mincho" w:hAnsi="Times New Roman" w:cs="Times New Roman"/>
          <w:sz w:val="24"/>
          <w:szCs w:val="24"/>
        </w:rPr>
        <w:t xml:space="preserve"> </w:t>
      </w:r>
      <w:r w:rsidRPr="006F52AD">
        <w:rPr>
          <w:rFonts w:ascii="Times New Roman" w:eastAsia="MS Mincho" w:hAnsi="Times New Roman" w:cs="Times New Roman"/>
          <w:sz w:val="24"/>
          <w:szCs w:val="24"/>
        </w:rPr>
        <w:t>Throughout the above bullish and bearish sample periods, there are 446 recommendation upgrades (not including 21 that are excluded as they were issued on non-trading days such as holidays and/or weekends) and 428 downgrades in total. There are 292 recommendation upgrades and 267 recommendation downgrades within the bullish phase, against 154 recommendation upgrades and 161 recommendation downgrades within the bearish phase.</w:t>
      </w:r>
    </w:p>
    <w:p w14:paraId="5F48289F" w14:textId="77777777" w:rsidR="00642CD0" w:rsidRPr="006F52AD" w:rsidRDefault="00642CD0" w:rsidP="00C658FF">
      <w:pPr>
        <w:spacing w:after="0" w:line="480" w:lineRule="auto"/>
        <w:ind w:firstLine="720"/>
        <w:contextualSpacing/>
        <w:jc w:val="both"/>
        <w:rPr>
          <w:rFonts w:ascii="Calibri" w:eastAsia="MS Mincho" w:hAnsi="Calibri" w:cs="Arial"/>
        </w:rPr>
      </w:pPr>
    </w:p>
    <w:p w14:paraId="18A6529A" w14:textId="77777777" w:rsidR="00F72E45" w:rsidRPr="006F52AD" w:rsidRDefault="00F72E45" w:rsidP="00C658FF">
      <w:pPr>
        <w:spacing w:after="0" w:line="480" w:lineRule="auto"/>
        <w:contextualSpacing/>
        <w:jc w:val="both"/>
        <w:rPr>
          <w:rFonts w:ascii="Times New Roman" w:eastAsia="MS Mincho" w:hAnsi="Times New Roman" w:cs="Times New Roman"/>
          <w:sz w:val="24"/>
          <w:szCs w:val="24"/>
        </w:rPr>
      </w:pPr>
      <w:r w:rsidRPr="006F52AD">
        <w:rPr>
          <w:rFonts w:ascii="Times New Roman" w:eastAsia="MS Mincho" w:hAnsi="Times New Roman" w:cs="Times New Roman"/>
          <w:i/>
          <w:sz w:val="24"/>
          <w:szCs w:val="24"/>
        </w:rPr>
        <w:t>5.5.1 Impact of recommendation upgrades during the bullish and bearish phases</w:t>
      </w:r>
    </w:p>
    <w:p w14:paraId="3FBBADBF" w14:textId="187326AF" w:rsidR="00F72E45" w:rsidRPr="006F52AD" w:rsidRDefault="00F72E45" w:rsidP="00C658FF">
      <w:pPr>
        <w:spacing w:after="0" w:line="480" w:lineRule="auto"/>
        <w:ind w:firstLine="720"/>
        <w:contextualSpacing/>
        <w:jc w:val="both"/>
        <w:rPr>
          <w:rFonts w:ascii="Calibri" w:eastAsia="MS Mincho" w:hAnsi="Calibri" w:cs="Arial"/>
        </w:rPr>
      </w:pPr>
      <w:r w:rsidRPr="006F52AD">
        <w:rPr>
          <w:rFonts w:ascii="Times New Roman" w:eastAsia="MS Mincho" w:hAnsi="Times New Roman" w:cs="Times New Roman"/>
          <w:sz w:val="24"/>
          <w:szCs w:val="24"/>
        </w:rPr>
        <w:t>The second and fourth columns of Table 6 present the Average Abnormal Returns (</w:t>
      </w:r>
      <w:r w:rsidRPr="00AF1692">
        <w:rPr>
          <w:rFonts w:ascii="Times New Roman" w:eastAsia="MS Mincho" w:hAnsi="Times New Roman" w:cs="Times New Roman"/>
          <w:i/>
          <w:iCs/>
          <w:sz w:val="24"/>
          <w:szCs w:val="24"/>
        </w:rPr>
        <w:t>AAR</w:t>
      </w:r>
      <w:r w:rsidRPr="006F52AD">
        <w:rPr>
          <w:rFonts w:ascii="Times New Roman" w:eastAsia="MS Mincho" w:hAnsi="Times New Roman" w:cs="Times New Roman"/>
          <w:sz w:val="24"/>
          <w:szCs w:val="24"/>
        </w:rPr>
        <w:t xml:space="preserve">) based on </w:t>
      </w:r>
      <w:r w:rsidRPr="00AF1692">
        <w:rPr>
          <w:rFonts w:ascii="Times New Roman" w:eastAsia="MS Mincho" w:hAnsi="Times New Roman" w:cs="Times New Roman"/>
          <w:i/>
          <w:iCs/>
          <w:sz w:val="24"/>
          <w:szCs w:val="24"/>
        </w:rPr>
        <w:t>MM</w:t>
      </w:r>
      <w:r w:rsidRPr="006F52AD">
        <w:rPr>
          <w:rFonts w:ascii="Times New Roman" w:eastAsia="MS Mincho" w:hAnsi="Times New Roman" w:cs="Times New Roman"/>
          <w:sz w:val="24"/>
          <w:szCs w:val="24"/>
        </w:rPr>
        <w:t xml:space="preserve"> residuals for recommendation upgrades during the bullish and bearish phases. </w:t>
      </w:r>
      <w:r w:rsidR="00323A45" w:rsidRPr="006F52AD">
        <w:rPr>
          <w:rFonts w:ascii="Times New Roman" w:eastAsia="MS Mincho" w:hAnsi="Times New Roman" w:cs="Times New Roman"/>
          <w:sz w:val="24"/>
          <w:szCs w:val="24"/>
        </w:rPr>
        <w:lastRenderedPageBreak/>
        <w:t>Like</w:t>
      </w:r>
      <w:r w:rsidRPr="006F52AD">
        <w:rPr>
          <w:rFonts w:ascii="Times New Roman" w:eastAsia="MS Mincho" w:hAnsi="Times New Roman" w:cs="Times New Roman"/>
          <w:sz w:val="24"/>
          <w:szCs w:val="24"/>
        </w:rPr>
        <w:t xml:space="preserve"> previous results, recommendation upgrades produce significantly positive returns on the announcement day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0) in both the bullish and the bearish phases. Yet, the </w:t>
      </w:r>
      <w:r w:rsidRPr="00AF1692">
        <w:rPr>
          <w:rFonts w:ascii="Times New Roman" w:eastAsia="MS Mincho" w:hAnsi="Times New Roman" w:cs="Times New Roman"/>
          <w:i/>
          <w:iCs/>
          <w:sz w:val="24"/>
          <w:szCs w:val="24"/>
        </w:rPr>
        <w:t>AAR</w:t>
      </w:r>
      <w:r w:rsidRPr="00AF1692">
        <w:rPr>
          <w:rFonts w:ascii="Times New Roman" w:eastAsia="MS Mincho" w:hAnsi="Times New Roman" w:cs="Times New Roman"/>
          <w:i/>
          <w:iCs/>
          <w:sz w:val="24"/>
          <w:szCs w:val="24"/>
          <w:vertAlign w:val="subscript"/>
        </w:rPr>
        <w:t>0</w:t>
      </w:r>
      <w:r w:rsidRPr="006F52AD">
        <w:rPr>
          <w:rFonts w:ascii="Times New Roman" w:eastAsia="MS Mincho" w:hAnsi="Times New Roman" w:cs="Times New Roman"/>
          <w:sz w:val="24"/>
          <w:szCs w:val="24"/>
        </w:rPr>
        <w:t xml:space="preserve"> during the bullish phase (0.496%) is slightly higher than that during the bearish phase (0.228%). In other words, in a bullish environment, analyst’s upgrades result in higher abnormal returns on the announcement day perhaps because of the prevailing optimistic environment. In a bearish environment however, investors may be less likely to purchase stocks at the first sight of the information because the overall market sentiment is pessimistic, resulting in relatively lower abnormal returns.</w:t>
      </w:r>
    </w:p>
    <w:p w14:paraId="1E053D06" w14:textId="6E4B3B84" w:rsidR="00F72E45" w:rsidRDefault="00F72E45" w:rsidP="00C658FF">
      <w:pPr>
        <w:spacing w:after="0" w:line="480" w:lineRule="auto"/>
        <w:contextualSpacing/>
        <w:jc w:val="both"/>
        <w:rPr>
          <w:rFonts w:ascii="Times New Roman" w:eastAsia="MS Mincho" w:hAnsi="Times New Roman" w:cs="Times New Roman"/>
          <w:sz w:val="24"/>
          <w:szCs w:val="24"/>
        </w:rPr>
      </w:pPr>
      <w:r w:rsidRPr="006F52AD">
        <w:rPr>
          <w:rFonts w:ascii="Times New Roman" w:eastAsia="MS Mincho" w:hAnsi="Times New Roman" w:cs="Times New Roman"/>
          <w:sz w:val="24"/>
          <w:szCs w:val="24"/>
        </w:rPr>
        <w:tab/>
        <w:t xml:space="preserve">Moreover, the </w:t>
      </w:r>
      <w:r w:rsidRPr="00AF1692">
        <w:rPr>
          <w:rFonts w:ascii="Times New Roman" w:eastAsia="MS Mincho" w:hAnsi="Times New Roman" w:cs="Times New Roman"/>
          <w:i/>
          <w:iCs/>
          <w:sz w:val="24"/>
          <w:szCs w:val="24"/>
        </w:rPr>
        <w:t>AARs</w:t>
      </w:r>
      <w:r w:rsidRPr="006F52AD">
        <w:rPr>
          <w:rFonts w:ascii="Times New Roman" w:eastAsia="MS Mincho" w:hAnsi="Times New Roman" w:cs="Times New Roman"/>
          <w:sz w:val="24"/>
          <w:szCs w:val="24"/>
        </w:rPr>
        <w:t xml:space="preserve"> on the first day in both phases are still significantly positive, which suggests that the high demand in upgraded stocks still exists on the day after the announcement. However, the </w:t>
      </w:r>
      <w:r w:rsidRPr="00AF1692">
        <w:rPr>
          <w:rFonts w:ascii="Times New Roman" w:eastAsia="MS Mincho" w:hAnsi="Times New Roman" w:cs="Times New Roman"/>
          <w:i/>
          <w:iCs/>
          <w:sz w:val="24"/>
          <w:szCs w:val="24"/>
        </w:rPr>
        <w:t>AARs</w:t>
      </w:r>
      <w:r w:rsidRPr="006F52AD">
        <w:rPr>
          <w:rFonts w:ascii="Times New Roman" w:eastAsia="MS Mincho" w:hAnsi="Times New Roman" w:cs="Times New Roman"/>
          <w:sz w:val="24"/>
          <w:szCs w:val="24"/>
        </w:rPr>
        <w:t xml:space="preserve"> remain significantly positive (up until day 4) only during the bearish phase, but not in the bullish phase in which the information is quickly reflected in the security prices and </w:t>
      </w:r>
      <w:r w:rsidRPr="00AF1692">
        <w:rPr>
          <w:rFonts w:ascii="Times New Roman" w:eastAsia="MS Mincho" w:hAnsi="Times New Roman" w:cs="Times New Roman"/>
          <w:i/>
          <w:iCs/>
          <w:sz w:val="24"/>
          <w:szCs w:val="24"/>
        </w:rPr>
        <w:t>AAR</w:t>
      </w:r>
      <w:r w:rsidRPr="006F52AD">
        <w:rPr>
          <w:rFonts w:ascii="Times New Roman" w:eastAsia="MS Mincho" w:hAnsi="Times New Roman" w:cs="Times New Roman"/>
          <w:sz w:val="24"/>
          <w:szCs w:val="24"/>
        </w:rPr>
        <w:t xml:space="preserve"> becomes insignificant from day 2 onwards. Therefore, investors in a bearish environment may require more time to reflect on the upgrades and observe market movements before taking action to purchase the upgraded stocks, such that the resulting positive price effects are staggered for a few days after the stock upgrades.  In fact, when one compares the </w:t>
      </w:r>
      <w:r w:rsidRPr="00AF1692">
        <w:rPr>
          <w:rFonts w:ascii="Times New Roman" w:eastAsia="MS Mincho" w:hAnsi="Times New Roman" w:cs="Times New Roman"/>
          <w:i/>
          <w:iCs/>
          <w:sz w:val="24"/>
          <w:szCs w:val="24"/>
        </w:rPr>
        <w:t>CAR</w:t>
      </w:r>
      <w:r w:rsidRPr="006F52AD">
        <w:rPr>
          <w:rFonts w:ascii="Times New Roman" w:eastAsia="MS Mincho" w:hAnsi="Times New Roman" w:cs="Times New Roman"/>
          <w:sz w:val="24"/>
          <w:szCs w:val="24"/>
        </w:rPr>
        <w:t xml:space="preserve"> plots based on </w:t>
      </w:r>
      <w:r w:rsidRPr="00AF1692">
        <w:rPr>
          <w:rFonts w:ascii="Times New Roman" w:eastAsia="MS Mincho" w:hAnsi="Times New Roman" w:cs="Times New Roman"/>
          <w:i/>
          <w:iCs/>
          <w:sz w:val="24"/>
          <w:szCs w:val="24"/>
        </w:rPr>
        <w:t>MM</w:t>
      </w:r>
      <w:r w:rsidRPr="006F52AD">
        <w:rPr>
          <w:rFonts w:ascii="Times New Roman" w:eastAsia="MS Mincho" w:hAnsi="Times New Roman" w:cs="Times New Roman"/>
          <w:sz w:val="24"/>
          <w:szCs w:val="24"/>
        </w:rPr>
        <w:t xml:space="preserve"> residuals for both bullish and bearish phases (see Figure </w:t>
      </w:r>
      <w:r>
        <w:rPr>
          <w:rFonts w:ascii="Times New Roman" w:eastAsia="MS Mincho" w:hAnsi="Times New Roman" w:cs="Times New Roman"/>
          <w:sz w:val="24"/>
          <w:szCs w:val="24"/>
        </w:rPr>
        <w:t>1</w:t>
      </w:r>
      <w:r w:rsidRPr="006F52AD">
        <w:rPr>
          <w:rFonts w:ascii="Times New Roman" w:eastAsia="MS Mincho" w:hAnsi="Times New Roman" w:cs="Times New Roman"/>
          <w:sz w:val="24"/>
          <w:szCs w:val="24"/>
        </w:rPr>
        <w:t xml:space="preserve">), it becomes even more clear that the positive price impact for upgrades is felt immediately after the announcement, with partial reversal of  some of the gains as one approaches </w:t>
      </w:r>
      <w:r w:rsidRPr="00384E0D">
        <w:rPr>
          <w:rFonts w:ascii="Times New Roman" w:eastAsia="MS Mincho" w:hAnsi="Times New Roman" w:cs="Times New Roman"/>
          <w:i/>
          <w:iCs/>
          <w:sz w:val="24"/>
          <w:szCs w:val="24"/>
        </w:rPr>
        <w:t>t</w:t>
      </w:r>
      <w:r w:rsidRPr="006F52AD">
        <w:rPr>
          <w:rFonts w:ascii="Times New Roman" w:eastAsia="MS Mincho" w:hAnsi="Times New Roman" w:cs="Times New Roman"/>
          <w:sz w:val="24"/>
          <w:szCs w:val="24"/>
        </w:rPr>
        <w:t>=10. On the other hand, in the bearish phase, although there is a smaller price impact just after the announcement, the price increases continue as one approaches the end of the event window. The price adjustment following the upgrades is more gradual in the bearish scenario.</w:t>
      </w:r>
    </w:p>
    <w:p w14:paraId="57373C66" w14:textId="77777777" w:rsidR="00642CD0" w:rsidRPr="006F52AD" w:rsidRDefault="00642CD0" w:rsidP="00C658FF">
      <w:pPr>
        <w:spacing w:after="0" w:line="480" w:lineRule="auto"/>
        <w:contextualSpacing/>
        <w:jc w:val="both"/>
        <w:rPr>
          <w:rFonts w:ascii="Calibri" w:eastAsia="MS Mincho" w:hAnsi="Calibri" w:cs="Arial"/>
        </w:rPr>
      </w:pPr>
    </w:p>
    <w:p w14:paraId="6925DF5A" w14:textId="77777777" w:rsidR="00F72E45" w:rsidRPr="006F52AD" w:rsidRDefault="00F72E45" w:rsidP="00C658FF">
      <w:pPr>
        <w:spacing w:after="0" w:line="480" w:lineRule="auto"/>
        <w:contextualSpacing/>
        <w:jc w:val="center"/>
        <w:rPr>
          <w:rFonts w:ascii="Times New Roman" w:eastAsia="MS Mincho" w:hAnsi="Times New Roman" w:cs="Times New Roman"/>
          <w:b/>
          <w:sz w:val="24"/>
          <w:szCs w:val="24"/>
        </w:rPr>
      </w:pPr>
      <w:r w:rsidRPr="006F52AD">
        <w:rPr>
          <w:rFonts w:ascii="Times New Roman" w:eastAsia="MS Mincho" w:hAnsi="Times New Roman" w:cs="Times New Roman"/>
          <w:b/>
          <w:sz w:val="24"/>
          <w:szCs w:val="24"/>
        </w:rPr>
        <w:t>[Insert Table 6]</w:t>
      </w:r>
    </w:p>
    <w:p w14:paraId="6CF67D59" w14:textId="77777777" w:rsidR="00F72E45" w:rsidRPr="006F52AD" w:rsidRDefault="00F72E45" w:rsidP="00C658FF">
      <w:pPr>
        <w:spacing w:after="0" w:line="480" w:lineRule="auto"/>
        <w:contextualSpacing/>
        <w:jc w:val="both"/>
        <w:rPr>
          <w:rFonts w:ascii="Calibri" w:eastAsia="MS Mincho" w:hAnsi="Calibri" w:cs="Arial"/>
        </w:rPr>
      </w:pPr>
    </w:p>
    <w:p w14:paraId="4733B0A0" w14:textId="77777777" w:rsidR="00F72E45" w:rsidRPr="006F52AD" w:rsidRDefault="00F72E45" w:rsidP="00C658FF">
      <w:pPr>
        <w:spacing w:after="0" w:line="480" w:lineRule="auto"/>
        <w:contextualSpacing/>
        <w:jc w:val="both"/>
        <w:rPr>
          <w:rFonts w:ascii="Times New Roman" w:eastAsia="Times New Roman" w:hAnsi="Times New Roman" w:cs="Times New Roman"/>
          <w:color w:val="000000"/>
          <w:sz w:val="24"/>
          <w:szCs w:val="24"/>
        </w:rPr>
      </w:pPr>
      <w:r w:rsidRPr="006F52AD">
        <w:rPr>
          <w:rFonts w:ascii="Times New Roman" w:eastAsia="MS Mincho" w:hAnsi="Times New Roman" w:cs="Times New Roman"/>
          <w:i/>
          <w:sz w:val="24"/>
          <w:szCs w:val="24"/>
        </w:rPr>
        <w:lastRenderedPageBreak/>
        <w:t>5.5.2 Impact of recommendation downgrades during the bullish and bearish phases</w:t>
      </w:r>
    </w:p>
    <w:p w14:paraId="250BB62E" w14:textId="01CFE12C" w:rsidR="00F72E45" w:rsidRDefault="00F72E45">
      <w:pPr>
        <w:spacing w:after="0" w:line="480" w:lineRule="auto"/>
        <w:ind w:firstLine="720"/>
        <w:contextualSpacing/>
        <w:jc w:val="both"/>
        <w:rPr>
          <w:rFonts w:ascii="Times New Roman" w:eastAsia="MS Mincho" w:hAnsi="Times New Roman" w:cs="Times New Roman"/>
          <w:sz w:val="24"/>
          <w:szCs w:val="24"/>
        </w:rPr>
      </w:pPr>
      <w:r w:rsidRPr="006F52AD">
        <w:rPr>
          <w:rFonts w:ascii="Times New Roman" w:eastAsia="MS Mincho" w:hAnsi="Times New Roman" w:cs="Times New Roman"/>
          <w:sz w:val="24"/>
          <w:szCs w:val="24"/>
        </w:rPr>
        <w:t>Columns two and four in Table 7 show the Average Abnormal Returns (</w:t>
      </w:r>
      <w:r w:rsidRPr="00AF1692">
        <w:rPr>
          <w:rFonts w:ascii="Times New Roman" w:eastAsia="MS Mincho" w:hAnsi="Times New Roman" w:cs="Times New Roman"/>
          <w:i/>
          <w:iCs/>
          <w:sz w:val="24"/>
          <w:szCs w:val="24"/>
        </w:rPr>
        <w:t>AAR</w:t>
      </w:r>
      <w:r w:rsidRPr="006F52AD">
        <w:rPr>
          <w:rFonts w:ascii="Times New Roman" w:eastAsia="MS Mincho" w:hAnsi="Times New Roman" w:cs="Times New Roman"/>
          <w:sz w:val="24"/>
          <w:szCs w:val="24"/>
        </w:rPr>
        <w:t xml:space="preserve">) based on </w:t>
      </w:r>
      <w:r w:rsidRPr="00AF1692">
        <w:rPr>
          <w:rFonts w:ascii="Times New Roman" w:eastAsia="MS Mincho" w:hAnsi="Times New Roman" w:cs="Times New Roman"/>
          <w:i/>
          <w:iCs/>
          <w:sz w:val="24"/>
          <w:szCs w:val="24"/>
        </w:rPr>
        <w:t>MM</w:t>
      </w:r>
      <w:r w:rsidRPr="006F52AD">
        <w:rPr>
          <w:rFonts w:ascii="Times New Roman" w:eastAsia="MS Mincho" w:hAnsi="Times New Roman" w:cs="Times New Roman"/>
          <w:sz w:val="24"/>
          <w:szCs w:val="24"/>
        </w:rPr>
        <w:t xml:space="preserve"> residuals for recommendation downgrades for the bullish and bearish phases. The results reveal that the stock market reacts significantly to the analysts’ downgrades in both bullish and bearish phases. On the day of release (</w:t>
      </w:r>
      <w:r w:rsidRPr="006F52AD">
        <w:rPr>
          <w:rFonts w:ascii="Times New Roman" w:eastAsia="MS Mincho" w:hAnsi="Times New Roman" w:cs="Times New Roman"/>
          <w:i/>
          <w:sz w:val="24"/>
          <w:szCs w:val="24"/>
        </w:rPr>
        <w:t>t</w:t>
      </w:r>
      <w:r w:rsidRPr="006F52AD">
        <w:rPr>
          <w:rFonts w:ascii="Times New Roman" w:eastAsia="MS Mincho" w:hAnsi="Times New Roman" w:cs="Times New Roman"/>
          <w:sz w:val="24"/>
          <w:szCs w:val="24"/>
        </w:rPr>
        <w:t xml:space="preserve"> = 0), both </w:t>
      </w:r>
      <w:r w:rsidRPr="00AF1692">
        <w:rPr>
          <w:rFonts w:ascii="Times New Roman" w:eastAsia="MS Mincho" w:hAnsi="Times New Roman" w:cs="Times New Roman"/>
          <w:i/>
          <w:iCs/>
          <w:sz w:val="24"/>
          <w:szCs w:val="24"/>
        </w:rPr>
        <w:t>AARs</w:t>
      </w:r>
      <w:r w:rsidRPr="006F52AD">
        <w:rPr>
          <w:rFonts w:ascii="Times New Roman" w:eastAsia="MS Mincho" w:hAnsi="Times New Roman" w:cs="Times New Roman"/>
          <w:sz w:val="24"/>
          <w:szCs w:val="24"/>
        </w:rPr>
        <w:t xml:space="preserve"> are significantly negative, with the </w:t>
      </w:r>
      <w:r w:rsidRPr="00AF1692">
        <w:rPr>
          <w:rFonts w:ascii="Times New Roman" w:eastAsia="MS Mincho" w:hAnsi="Times New Roman" w:cs="Times New Roman"/>
          <w:i/>
          <w:iCs/>
          <w:sz w:val="24"/>
          <w:szCs w:val="24"/>
        </w:rPr>
        <w:t>AAR</w:t>
      </w:r>
      <w:r w:rsidRPr="00AF1692">
        <w:rPr>
          <w:rFonts w:ascii="Times New Roman" w:eastAsia="MS Mincho" w:hAnsi="Times New Roman" w:cs="Times New Roman"/>
          <w:i/>
          <w:iCs/>
          <w:sz w:val="24"/>
          <w:szCs w:val="24"/>
          <w:vertAlign w:val="subscript"/>
        </w:rPr>
        <w:t>0</w:t>
      </w:r>
      <w:r w:rsidRPr="006F52AD">
        <w:rPr>
          <w:rFonts w:ascii="Times New Roman" w:eastAsia="MS Mincho" w:hAnsi="Times New Roman" w:cs="Times New Roman"/>
          <w:sz w:val="24"/>
          <w:szCs w:val="24"/>
        </w:rPr>
        <w:t xml:space="preserve"> for the bearish phase (</w:t>
      </w:r>
      <w:r w:rsidRPr="006F52AD">
        <w:rPr>
          <w:rFonts w:ascii="Times New Roman" w:eastAsia="MS Mincho" w:hAnsi="Times New Roman" w:cs="Times New Roman"/>
          <w:i/>
          <w:sz w:val="24"/>
          <w:szCs w:val="24"/>
        </w:rPr>
        <w:t>−</w:t>
      </w:r>
      <w:r w:rsidRPr="006F52AD">
        <w:rPr>
          <w:rFonts w:ascii="Times New Roman" w:eastAsia="MS Mincho" w:hAnsi="Times New Roman" w:cs="Times New Roman"/>
          <w:sz w:val="24"/>
          <w:szCs w:val="24"/>
        </w:rPr>
        <w:t>0.824%) being much lower than that during the bullish period (</w:t>
      </w:r>
      <w:r w:rsidRPr="006F52AD">
        <w:rPr>
          <w:rFonts w:ascii="Times New Roman" w:eastAsia="MS Mincho" w:hAnsi="Times New Roman" w:cs="Times New Roman"/>
          <w:i/>
          <w:sz w:val="24"/>
          <w:szCs w:val="24"/>
        </w:rPr>
        <w:t>−</w:t>
      </w:r>
      <w:r w:rsidRPr="006F52AD">
        <w:rPr>
          <w:rFonts w:ascii="Times New Roman" w:eastAsia="MS Mincho" w:hAnsi="Times New Roman" w:cs="Times New Roman"/>
          <w:sz w:val="24"/>
          <w:szCs w:val="24"/>
        </w:rPr>
        <w:t xml:space="preserve">0.372%). The negative abnormal returns persist and are significant for at least 3 days after the downgrades for both phases. When one compares the </w:t>
      </w:r>
      <w:r w:rsidRPr="00AF1692">
        <w:rPr>
          <w:rFonts w:ascii="Times New Roman" w:eastAsia="MS Mincho" w:hAnsi="Times New Roman" w:cs="Times New Roman"/>
          <w:i/>
          <w:iCs/>
          <w:sz w:val="24"/>
          <w:szCs w:val="24"/>
        </w:rPr>
        <w:t>CAR</w:t>
      </w:r>
      <w:r w:rsidRPr="006F52AD">
        <w:rPr>
          <w:rFonts w:ascii="Times New Roman" w:eastAsia="MS Mincho" w:hAnsi="Times New Roman" w:cs="Times New Roman"/>
          <w:sz w:val="24"/>
          <w:szCs w:val="24"/>
        </w:rPr>
        <w:t xml:space="preserve"> plots based on </w:t>
      </w:r>
      <w:r w:rsidRPr="00AF1692">
        <w:rPr>
          <w:rFonts w:ascii="Times New Roman" w:eastAsia="MS Mincho" w:hAnsi="Times New Roman" w:cs="Times New Roman"/>
          <w:i/>
          <w:iCs/>
          <w:sz w:val="24"/>
          <w:szCs w:val="24"/>
        </w:rPr>
        <w:t>MM</w:t>
      </w:r>
      <w:r w:rsidRPr="006F52AD">
        <w:rPr>
          <w:rFonts w:ascii="Times New Roman" w:eastAsia="MS Mincho" w:hAnsi="Times New Roman" w:cs="Times New Roman"/>
          <w:sz w:val="24"/>
          <w:szCs w:val="24"/>
        </w:rPr>
        <w:t xml:space="preserve"> residuals for both bullish and bearish phases (see Figure </w:t>
      </w:r>
      <w:r>
        <w:rPr>
          <w:rFonts w:ascii="Times New Roman" w:eastAsia="MS Mincho" w:hAnsi="Times New Roman" w:cs="Times New Roman"/>
          <w:sz w:val="24"/>
          <w:szCs w:val="24"/>
        </w:rPr>
        <w:t>2</w:t>
      </w:r>
      <w:r w:rsidRPr="006F52AD">
        <w:rPr>
          <w:rFonts w:ascii="Times New Roman" w:eastAsia="MS Mincho" w:hAnsi="Times New Roman" w:cs="Times New Roman"/>
          <w:sz w:val="24"/>
          <w:szCs w:val="24"/>
        </w:rPr>
        <w:t xml:space="preserve">), we find that the overall negative price impact is quite similar for both phases as one approaches </w:t>
      </w:r>
      <w:r w:rsidRPr="00AF1692">
        <w:rPr>
          <w:rFonts w:ascii="Times New Roman" w:eastAsia="MS Mincho" w:hAnsi="Times New Roman" w:cs="Times New Roman"/>
          <w:i/>
          <w:iCs/>
          <w:sz w:val="24"/>
          <w:szCs w:val="24"/>
        </w:rPr>
        <w:t>t</w:t>
      </w:r>
      <w:r w:rsidRPr="006F52AD">
        <w:rPr>
          <w:rFonts w:ascii="Times New Roman" w:eastAsia="MS Mincho" w:hAnsi="Times New Roman" w:cs="Times New Roman"/>
          <w:sz w:val="24"/>
          <w:szCs w:val="24"/>
        </w:rPr>
        <w:t xml:space="preserve">=10. Thus, although the event day fall is bigger in bearish periods, the price falls in bullish periods are more spread out over the event window. The price adjustment following the downgrades is more gradual in the bullish scenario. </w:t>
      </w:r>
    </w:p>
    <w:p w14:paraId="1EFE022B" w14:textId="77777777" w:rsidR="00A8565D" w:rsidRPr="006F52AD" w:rsidRDefault="00A8565D" w:rsidP="00A8565D">
      <w:pPr>
        <w:spacing w:after="0" w:line="480" w:lineRule="auto"/>
        <w:ind w:firstLine="720"/>
        <w:contextualSpacing/>
        <w:jc w:val="both"/>
        <w:rPr>
          <w:rFonts w:ascii="Times New Roman" w:eastAsia="MS Mincho" w:hAnsi="Times New Roman" w:cs="Times New Roman"/>
          <w:sz w:val="24"/>
          <w:szCs w:val="24"/>
        </w:rPr>
      </w:pPr>
    </w:p>
    <w:p w14:paraId="4D58C433" w14:textId="77777777" w:rsidR="00F72E45" w:rsidRDefault="00F72E45" w:rsidP="00C658FF">
      <w:pPr>
        <w:spacing w:after="0" w:line="480" w:lineRule="auto"/>
        <w:contextualSpacing/>
        <w:jc w:val="center"/>
        <w:rPr>
          <w:rFonts w:ascii="Times New Roman" w:eastAsia="MS Mincho" w:hAnsi="Times New Roman" w:cs="Times New Roman"/>
          <w:b/>
          <w:sz w:val="24"/>
          <w:szCs w:val="24"/>
        </w:rPr>
      </w:pPr>
      <w:r w:rsidRPr="006F52AD">
        <w:rPr>
          <w:rFonts w:ascii="Times New Roman" w:eastAsia="MS Mincho" w:hAnsi="Times New Roman" w:cs="Times New Roman"/>
          <w:b/>
          <w:sz w:val="24"/>
          <w:szCs w:val="24"/>
        </w:rPr>
        <w:t>[Insert Table 7]</w:t>
      </w:r>
    </w:p>
    <w:p w14:paraId="616BA8EC" w14:textId="77777777" w:rsidR="00F72E45" w:rsidRPr="006F52AD" w:rsidRDefault="00F72E45" w:rsidP="00C658FF">
      <w:pPr>
        <w:spacing w:after="0" w:line="480" w:lineRule="auto"/>
        <w:contextualSpacing/>
        <w:jc w:val="center"/>
        <w:rPr>
          <w:rFonts w:ascii="Times New Roman" w:eastAsia="MS Mincho" w:hAnsi="Times New Roman" w:cs="Times New Roman"/>
          <w:b/>
          <w:sz w:val="24"/>
          <w:szCs w:val="24"/>
        </w:rPr>
      </w:pPr>
    </w:p>
    <w:p w14:paraId="7A3C621D" w14:textId="77777777" w:rsidR="00F72E45" w:rsidRPr="006F52AD" w:rsidRDefault="00F72E45" w:rsidP="00C658FF">
      <w:pPr>
        <w:spacing w:after="0" w:line="480" w:lineRule="auto"/>
        <w:contextualSpacing/>
        <w:jc w:val="both"/>
        <w:rPr>
          <w:rFonts w:ascii="Times New Roman" w:eastAsia="Times New Roman" w:hAnsi="Times New Roman" w:cs="Times New Roman"/>
          <w:color w:val="000000"/>
          <w:sz w:val="24"/>
          <w:szCs w:val="24"/>
        </w:rPr>
      </w:pPr>
      <w:r w:rsidRPr="006F52AD">
        <w:rPr>
          <w:rFonts w:ascii="Times New Roman" w:hAnsi="Times New Roman" w:cs="Times New Roman"/>
          <w:i/>
          <w:sz w:val="24"/>
          <w:szCs w:val="24"/>
        </w:rPr>
        <w:t xml:space="preserve">5.5.3 Robustness Tests based on the </w:t>
      </w:r>
      <w:proofErr w:type="spellStart"/>
      <w:r w:rsidRPr="006F52AD">
        <w:rPr>
          <w:rFonts w:ascii="Times New Roman" w:hAnsi="Times New Roman" w:cs="Times New Roman"/>
          <w:i/>
          <w:sz w:val="24"/>
          <w:szCs w:val="24"/>
        </w:rPr>
        <w:t>Fama</w:t>
      </w:r>
      <w:proofErr w:type="spellEnd"/>
      <w:r w:rsidRPr="006F52AD">
        <w:rPr>
          <w:rFonts w:ascii="Times New Roman" w:hAnsi="Times New Roman" w:cs="Times New Roman"/>
          <w:i/>
          <w:sz w:val="24"/>
          <w:szCs w:val="24"/>
        </w:rPr>
        <w:t xml:space="preserve"> &amp; French 3 factor model</w:t>
      </w:r>
    </w:p>
    <w:p w14:paraId="2C8BADF7" w14:textId="0F273C52" w:rsidR="00F72E45" w:rsidRPr="006F52AD" w:rsidRDefault="00F72E45" w:rsidP="00C658FF">
      <w:pPr>
        <w:spacing w:after="0" w:line="480" w:lineRule="auto"/>
        <w:ind w:firstLine="720"/>
        <w:contextualSpacing/>
        <w:jc w:val="both"/>
        <w:rPr>
          <w:rFonts w:ascii="Times New Roman" w:hAnsi="Times New Roman" w:cs="Times New Roman"/>
          <w:bCs/>
          <w:sz w:val="24"/>
          <w:szCs w:val="24"/>
        </w:rPr>
      </w:pPr>
      <w:r w:rsidRPr="006F52AD">
        <w:rPr>
          <w:rFonts w:ascii="Times New Roman" w:hAnsi="Times New Roman" w:cs="Times New Roman"/>
          <w:bCs/>
          <w:sz w:val="24"/>
          <w:szCs w:val="24"/>
        </w:rPr>
        <w:t xml:space="preserve">To check for robustness, we also estimated </w:t>
      </w:r>
      <w:r w:rsidRPr="00AF1692">
        <w:rPr>
          <w:rFonts w:ascii="Times New Roman" w:hAnsi="Times New Roman" w:cs="Times New Roman"/>
          <w:bCs/>
          <w:i/>
          <w:iCs/>
          <w:sz w:val="24"/>
          <w:szCs w:val="24"/>
        </w:rPr>
        <w:t>AARs</w:t>
      </w:r>
      <w:r w:rsidRPr="006F52AD">
        <w:rPr>
          <w:rFonts w:ascii="Times New Roman" w:hAnsi="Times New Roman" w:cs="Times New Roman"/>
          <w:bCs/>
          <w:sz w:val="24"/>
          <w:szCs w:val="24"/>
        </w:rPr>
        <w:t xml:space="preserve"> using the </w:t>
      </w:r>
      <w:proofErr w:type="spellStart"/>
      <w:r w:rsidRPr="006F52AD">
        <w:rPr>
          <w:rFonts w:ascii="Times New Roman" w:hAnsi="Times New Roman" w:cs="Times New Roman"/>
          <w:bCs/>
          <w:sz w:val="24"/>
          <w:szCs w:val="24"/>
        </w:rPr>
        <w:t>Fama</w:t>
      </w:r>
      <w:proofErr w:type="spellEnd"/>
      <w:r w:rsidRPr="006F52AD">
        <w:rPr>
          <w:rFonts w:ascii="Times New Roman" w:hAnsi="Times New Roman" w:cs="Times New Roman"/>
          <w:bCs/>
          <w:sz w:val="24"/>
          <w:szCs w:val="24"/>
        </w:rPr>
        <w:t xml:space="preserve"> &amp; French three factor model, and the results are contained in columns three and five of Tables 6 and 7. Overall, the results are quite consistent with those we have already reported based on </w:t>
      </w:r>
      <w:r w:rsidRPr="00AF1692">
        <w:rPr>
          <w:rFonts w:ascii="Times New Roman" w:hAnsi="Times New Roman" w:cs="Times New Roman"/>
          <w:bCs/>
          <w:i/>
          <w:iCs/>
          <w:sz w:val="24"/>
          <w:szCs w:val="24"/>
        </w:rPr>
        <w:t>MM</w:t>
      </w:r>
      <w:r w:rsidRPr="006F52AD">
        <w:rPr>
          <w:rFonts w:ascii="Times New Roman" w:hAnsi="Times New Roman" w:cs="Times New Roman"/>
          <w:bCs/>
          <w:sz w:val="24"/>
          <w:szCs w:val="24"/>
        </w:rPr>
        <w:t xml:space="preserve"> residuals: Upgrade announcements are followed by price increases, while downgrade announcements are followed by price falls. For upgrades, the event-day returns are </w:t>
      </w:r>
      <w:r w:rsidR="00C96685">
        <w:rPr>
          <w:rFonts w:ascii="Times New Roman" w:hAnsi="Times New Roman" w:cs="Times New Roman"/>
          <w:bCs/>
          <w:sz w:val="24"/>
          <w:szCs w:val="24"/>
        </w:rPr>
        <w:t>0</w:t>
      </w:r>
      <w:r w:rsidRPr="006F52AD">
        <w:rPr>
          <w:rFonts w:ascii="Times New Roman" w:hAnsi="Times New Roman" w:cs="Times New Roman"/>
          <w:bCs/>
          <w:sz w:val="24"/>
          <w:szCs w:val="24"/>
        </w:rPr>
        <w:t xml:space="preserve">.31% and </w:t>
      </w:r>
      <w:r w:rsidR="00C96685">
        <w:rPr>
          <w:rFonts w:ascii="Times New Roman" w:hAnsi="Times New Roman" w:cs="Times New Roman"/>
          <w:bCs/>
          <w:sz w:val="24"/>
          <w:szCs w:val="24"/>
        </w:rPr>
        <w:t>0</w:t>
      </w:r>
      <w:r w:rsidRPr="006F52AD">
        <w:rPr>
          <w:rFonts w:ascii="Times New Roman" w:hAnsi="Times New Roman" w:cs="Times New Roman"/>
          <w:bCs/>
          <w:sz w:val="24"/>
          <w:szCs w:val="24"/>
        </w:rPr>
        <w:t>.02%</w:t>
      </w:r>
      <w:r>
        <w:rPr>
          <w:rFonts w:ascii="Times New Roman" w:hAnsi="Times New Roman" w:cs="Times New Roman"/>
          <w:bCs/>
          <w:sz w:val="24"/>
          <w:szCs w:val="24"/>
        </w:rPr>
        <w:t xml:space="preserve"> </w:t>
      </w:r>
      <w:r w:rsidRPr="006F52AD">
        <w:rPr>
          <w:rFonts w:ascii="Times New Roman" w:hAnsi="Times New Roman" w:cs="Times New Roman"/>
          <w:bCs/>
          <w:sz w:val="24"/>
          <w:szCs w:val="24"/>
        </w:rPr>
        <w:t xml:space="preserve">in bullish and bearish periods, respectively, and statistically significant at the 5% level in the former case. The </w:t>
      </w:r>
      <w:r w:rsidRPr="00AF1692">
        <w:rPr>
          <w:rFonts w:ascii="Times New Roman" w:hAnsi="Times New Roman" w:cs="Times New Roman"/>
          <w:bCs/>
          <w:i/>
          <w:iCs/>
          <w:sz w:val="24"/>
          <w:szCs w:val="24"/>
        </w:rPr>
        <w:t>CAR</w:t>
      </w:r>
      <w:r w:rsidRPr="006F52AD">
        <w:rPr>
          <w:rFonts w:ascii="Times New Roman" w:hAnsi="Times New Roman" w:cs="Times New Roman"/>
          <w:bCs/>
          <w:sz w:val="24"/>
          <w:szCs w:val="24"/>
        </w:rPr>
        <w:t xml:space="preserve"> plots based on the 3-factor residuals show that, between </w:t>
      </w:r>
      <w:r w:rsidRPr="00384E0D">
        <w:rPr>
          <w:rFonts w:ascii="Times New Roman" w:hAnsi="Times New Roman" w:cs="Times New Roman"/>
          <w:bCs/>
          <w:i/>
          <w:iCs/>
          <w:sz w:val="24"/>
          <w:szCs w:val="24"/>
        </w:rPr>
        <w:t>t</w:t>
      </w:r>
      <w:r w:rsidRPr="006F52AD">
        <w:rPr>
          <w:rFonts w:ascii="Times New Roman" w:hAnsi="Times New Roman" w:cs="Times New Roman"/>
          <w:bCs/>
          <w:sz w:val="24"/>
          <w:szCs w:val="24"/>
        </w:rPr>
        <w:t>=</w:t>
      </w:r>
      <w:r w:rsidR="00C96685" w:rsidRPr="006F52AD">
        <w:rPr>
          <w:rFonts w:ascii="Times New Roman" w:eastAsia="MS Mincho" w:hAnsi="Times New Roman" w:cs="Times New Roman"/>
          <w:sz w:val="24"/>
          <w:szCs w:val="24"/>
        </w:rPr>
        <w:t>−</w:t>
      </w:r>
      <w:r w:rsidRPr="006F52AD">
        <w:rPr>
          <w:rFonts w:ascii="Times New Roman" w:hAnsi="Times New Roman" w:cs="Times New Roman"/>
          <w:bCs/>
          <w:sz w:val="24"/>
          <w:szCs w:val="24"/>
        </w:rPr>
        <w:t xml:space="preserve">2 and </w:t>
      </w:r>
      <w:r w:rsidRPr="00384E0D">
        <w:rPr>
          <w:rFonts w:ascii="Times New Roman" w:hAnsi="Times New Roman" w:cs="Times New Roman"/>
          <w:bCs/>
          <w:i/>
          <w:iCs/>
          <w:sz w:val="24"/>
          <w:szCs w:val="24"/>
        </w:rPr>
        <w:t>t</w:t>
      </w:r>
      <w:r w:rsidRPr="006F52AD">
        <w:rPr>
          <w:rFonts w:ascii="Times New Roman" w:hAnsi="Times New Roman" w:cs="Times New Roman"/>
          <w:bCs/>
          <w:sz w:val="24"/>
          <w:szCs w:val="24"/>
        </w:rPr>
        <w:t xml:space="preserve">=10, the overall price increase is around </w:t>
      </w:r>
      <w:r w:rsidR="00C96685">
        <w:rPr>
          <w:rFonts w:ascii="Times New Roman" w:hAnsi="Times New Roman" w:cs="Times New Roman"/>
          <w:bCs/>
          <w:sz w:val="24"/>
          <w:szCs w:val="24"/>
        </w:rPr>
        <w:t>0</w:t>
      </w:r>
      <w:r w:rsidRPr="006F52AD">
        <w:rPr>
          <w:rFonts w:ascii="Times New Roman" w:hAnsi="Times New Roman" w:cs="Times New Roman"/>
          <w:bCs/>
          <w:sz w:val="24"/>
          <w:szCs w:val="24"/>
        </w:rPr>
        <w:t xml:space="preserve">.64% in bullish periods and just under </w:t>
      </w:r>
      <w:r w:rsidR="00C96685">
        <w:rPr>
          <w:rFonts w:ascii="Times New Roman" w:hAnsi="Times New Roman" w:cs="Times New Roman"/>
          <w:bCs/>
          <w:sz w:val="24"/>
          <w:szCs w:val="24"/>
        </w:rPr>
        <w:t>0</w:t>
      </w:r>
      <w:r w:rsidRPr="006F52AD">
        <w:rPr>
          <w:rFonts w:ascii="Times New Roman" w:hAnsi="Times New Roman" w:cs="Times New Roman"/>
          <w:bCs/>
          <w:sz w:val="24"/>
          <w:szCs w:val="24"/>
        </w:rPr>
        <w:t xml:space="preserve">.5% in bearish periods. As was the case with </w:t>
      </w:r>
      <w:r w:rsidRPr="00AF1692">
        <w:rPr>
          <w:rFonts w:ascii="Times New Roman" w:hAnsi="Times New Roman" w:cs="Times New Roman"/>
          <w:bCs/>
          <w:i/>
          <w:iCs/>
          <w:sz w:val="24"/>
          <w:szCs w:val="24"/>
        </w:rPr>
        <w:t>MM</w:t>
      </w:r>
      <w:r w:rsidRPr="006F52AD">
        <w:rPr>
          <w:rFonts w:ascii="Times New Roman" w:hAnsi="Times New Roman" w:cs="Times New Roman"/>
          <w:bCs/>
          <w:sz w:val="24"/>
          <w:szCs w:val="24"/>
        </w:rPr>
        <w:t xml:space="preserve"> residuals, the price adjustments following upgrades w</w:t>
      </w:r>
      <w:r>
        <w:rPr>
          <w:rFonts w:ascii="Times New Roman" w:hAnsi="Times New Roman" w:cs="Times New Roman"/>
          <w:bCs/>
          <w:sz w:val="24"/>
          <w:szCs w:val="24"/>
        </w:rPr>
        <w:t>ere</w:t>
      </w:r>
      <w:r w:rsidRPr="006F52AD">
        <w:rPr>
          <w:rFonts w:ascii="Times New Roman" w:hAnsi="Times New Roman" w:cs="Times New Roman"/>
          <w:bCs/>
          <w:sz w:val="24"/>
          <w:szCs w:val="24"/>
        </w:rPr>
        <w:t xml:space="preserve"> slower in </w:t>
      </w:r>
      <w:r w:rsidRPr="006F52AD">
        <w:rPr>
          <w:rFonts w:ascii="Times New Roman" w:hAnsi="Times New Roman" w:cs="Times New Roman"/>
          <w:bCs/>
          <w:sz w:val="24"/>
          <w:szCs w:val="24"/>
        </w:rPr>
        <w:lastRenderedPageBreak/>
        <w:t xml:space="preserve">bearish periods. Turning to downgrades, the event day returns are </w:t>
      </w:r>
      <w:r w:rsidR="00C96685">
        <w:rPr>
          <w:rFonts w:ascii="Times New Roman" w:hAnsi="Times New Roman" w:cs="Times New Roman"/>
          <w:bCs/>
          <w:sz w:val="24"/>
          <w:szCs w:val="24"/>
        </w:rPr>
        <w:t>0</w:t>
      </w:r>
      <w:r w:rsidRPr="006F52AD">
        <w:rPr>
          <w:rFonts w:ascii="Times New Roman" w:hAnsi="Times New Roman" w:cs="Times New Roman"/>
          <w:bCs/>
          <w:sz w:val="24"/>
          <w:szCs w:val="24"/>
        </w:rPr>
        <w:t xml:space="preserve">.3% and </w:t>
      </w:r>
      <w:r w:rsidR="00C96685" w:rsidRPr="006F52AD">
        <w:rPr>
          <w:rFonts w:ascii="Times New Roman" w:eastAsia="MS Mincho" w:hAnsi="Times New Roman" w:cs="Times New Roman"/>
          <w:sz w:val="24"/>
          <w:szCs w:val="24"/>
        </w:rPr>
        <w:t>−</w:t>
      </w:r>
      <w:r w:rsidR="00C96685">
        <w:rPr>
          <w:rFonts w:ascii="Times New Roman" w:eastAsia="MS Mincho" w:hAnsi="Times New Roman" w:cs="Times New Roman"/>
          <w:sz w:val="24"/>
          <w:szCs w:val="24"/>
        </w:rPr>
        <w:t>0</w:t>
      </w:r>
      <w:r w:rsidRPr="006F52AD">
        <w:rPr>
          <w:rFonts w:ascii="Times New Roman" w:hAnsi="Times New Roman" w:cs="Times New Roman"/>
          <w:bCs/>
          <w:sz w:val="24"/>
          <w:szCs w:val="24"/>
        </w:rPr>
        <w:t>.55%, in bullish and bearish periods, respectively, with only the latter being statistically significant. In bullish periods, it would seem that the significant price declines came towards the end of the event window</w:t>
      </w:r>
      <w:r>
        <w:rPr>
          <w:rFonts w:ascii="Times New Roman" w:hAnsi="Times New Roman" w:cs="Times New Roman"/>
          <w:bCs/>
          <w:sz w:val="24"/>
          <w:szCs w:val="24"/>
        </w:rPr>
        <w:t>.</w:t>
      </w:r>
      <w:r w:rsidRPr="006F52AD">
        <w:rPr>
          <w:rFonts w:ascii="Times New Roman" w:hAnsi="Times New Roman" w:cs="Times New Roman"/>
          <w:bCs/>
          <w:sz w:val="24"/>
          <w:szCs w:val="24"/>
        </w:rPr>
        <w:t xml:space="preserve"> </w:t>
      </w:r>
    </w:p>
    <w:p w14:paraId="059D9EE5" w14:textId="670E749C" w:rsidR="00F72E45" w:rsidRDefault="00F72E45" w:rsidP="00C96685">
      <w:pPr>
        <w:spacing w:after="0" w:line="480" w:lineRule="auto"/>
        <w:ind w:firstLine="720"/>
        <w:contextualSpacing/>
        <w:jc w:val="both"/>
        <w:rPr>
          <w:rFonts w:ascii="Times New Roman" w:eastAsia="MS Mincho" w:hAnsi="Times New Roman" w:cs="Times New Roman"/>
          <w:bCs/>
          <w:sz w:val="24"/>
          <w:szCs w:val="24"/>
        </w:rPr>
      </w:pPr>
      <w:r w:rsidRPr="006F52AD">
        <w:rPr>
          <w:rFonts w:ascii="Times New Roman" w:hAnsi="Times New Roman" w:cs="Times New Roman"/>
          <w:bCs/>
          <w:sz w:val="24"/>
          <w:szCs w:val="24"/>
        </w:rPr>
        <w:t xml:space="preserve">In bearish periods, the </w:t>
      </w:r>
      <w:r w:rsidRPr="00AF1692">
        <w:rPr>
          <w:rFonts w:ascii="Times New Roman" w:hAnsi="Times New Roman" w:cs="Times New Roman"/>
          <w:bCs/>
          <w:i/>
          <w:iCs/>
          <w:sz w:val="24"/>
          <w:szCs w:val="24"/>
        </w:rPr>
        <w:t>AARs</w:t>
      </w:r>
      <w:r w:rsidRPr="006F52AD">
        <w:rPr>
          <w:rFonts w:ascii="Times New Roman" w:hAnsi="Times New Roman" w:cs="Times New Roman"/>
          <w:bCs/>
          <w:sz w:val="24"/>
          <w:szCs w:val="24"/>
        </w:rPr>
        <w:t xml:space="preserve"> remain negative and significant from </w:t>
      </w:r>
      <w:r w:rsidRPr="00AF1692">
        <w:rPr>
          <w:rFonts w:ascii="Times New Roman" w:hAnsi="Times New Roman" w:cs="Times New Roman"/>
          <w:i/>
          <w:iCs/>
          <w:sz w:val="24"/>
          <w:szCs w:val="24"/>
        </w:rPr>
        <w:t>AAR</w:t>
      </w:r>
      <w:r w:rsidRPr="00AF1692">
        <w:rPr>
          <w:rFonts w:ascii="Times New Roman" w:hAnsi="Times New Roman" w:cs="Times New Roman"/>
          <w:i/>
          <w:iCs/>
          <w:sz w:val="24"/>
          <w:szCs w:val="24"/>
          <w:vertAlign w:val="subscript"/>
        </w:rPr>
        <w:t>1</w:t>
      </w:r>
      <w:r w:rsidRPr="006F52AD">
        <w:rPr>
          <w:rFonts w:ascii="Times New Roman" w:hAnsi="Times New Roman" w:cs="Times New Roman"/>
          <w:bCs/>
          <w:sz w:val="24"/>
          <w:szCs w:val="24"/>
        </w:rPr>
        <w:t xml:space="preserve"> to </w:t>
      </w:r>
      <w:r w:rsidRPr="00AF1692">
        <w:rPr>
          <w:rFonts w:ascii="Times New Roman" w:hAnsi="Times New Roman" w:cs="Times New Roman"/>
          <w:bCs/>
          <w:i/>
          <w:iCs/>
          <w:sz w:val="24"/>
          <w:szCs w:val="24"/>
        </w:rPr>
        <w:t>AAR</w:t>
      </w:r>
      <w:r w:rsidRPr="00AF1692">
        <w:rPr>
          <w:rFonts w:ascii="Times New Roman" w:hAnsi="Times New Roman" w:cs="Times New Roman"/>
          <w:bCs/>
          <w:i/>
          <w:iCs/>
          <w:sz w:val="24"/>
          <w:szCs w:val="24"/>
          <w:vertAlign w:val="subscript"/>
        </w:rPr>
        <w:t>2</w:t>
      </w:r>
      <w:r w:rsidRPr="006F52AD">
        <w:rPr>
          <w:rFonts w:ascii="Times New Roman" w:hAnsi="Times New Roman" w:cs="Times New Roman"/>
          <w:sz w:val="24"/>
          <w:szCs w:val="24"/>
          <w:vertAlign w:val="subscript"/>
        </w:rPr>
        <w:t xml:space="preserve">, </w:t>
      </w:r>
      <w:r w:rsidRPr="006F52AD">
        <w:rPr>
          <w:rFonts w:ascii="Times New Roman" w:hAnsi="Times New Roman" w:cs="Times New Roman"/>
          <w:sz w:val="24"/>
          <w:szCs w:val="24"/>
        </w:rPr>
        <w:t xml:space="preserve">and </w:t>
      </w:r>
      <w:r w:rsidRPr="00AF1692">
        <w:rPr>
          <w:rFonts w:ascii="Times New Roman" w:hAnsi="Times New Roman" w:cs="Times New Roman"/>
          <w:i/>
          <w:iCs/>
          <w:sz w:val="24"/>
          <w:szCs w:val="24"/>
        </w:rPr>
        <w:t>AAR</w:t>
      </w:r>
      <w:r w:rsidRPr="00AF1692">
        <w:rPr>
          <w:rFonts w:ascii="Times New Roman" w:hAnsi="Times New Roman" w:cs="Times New Roman"/>
          <w:i/>
          <w:iCs/>
          <w:sz w:val="24"/>
          <w:szCs w:val="24"/>
          <w:vertAlign w:val="subscript"/>
        </w:rPr>
        <w:t>7</w:t>
      </w:r>
      <w:r w:rsidRPr="006F52AD">
        <w:rPr>
          <w:rFonts w:ascii="Times New Roman" w:hAnsi="Times New Roman" w:cs="Times New Roman"/>
          <w:sz w:val="24"/>
          <w:szCs w:val="24"/>
          <w:vertAlign w:val="subscript"/>
        </w:rPr>
        <w:t xml:space="preserve"> </w:t>
      </w:r>
      <w:r w:rsidRPr="006F52AD">
        <w:rPr>
          <w:rFonts w:ascii="Times New Roman" w:hAnsi="Times New Roman" w:cs="Times New Roman"/>
          <w:sz w:val="24"/>
          <w:szCs w:val="24"/>
        </w:rPr>
        <w:t xml:space="preserve">to </w:t>
      </w:r>
      <w:r w:rsidRPr="00AF1692">
        <w:rPr>
          <w:rFonts w:ascii="Times New Roman" w:hAnsi="Times New Roman" w:cs="Times New Roman"/>
          <w:i/>
          <w:iCs/>
          <w:sz w:val="24"/>
          <w:szCs w:val="24"/>
        </w:rPr>
        <w:t>AAR</w:t>
      </w:r>
      <w:r w:rsidRPr="00AF1692">
        <w:rPr>
          <w:rFonts w:ascii="Times New Roman" w:hAnsi="Times New Roman" w:cs="Times New Roman"/>
          <w:i/>
          <w:iCs/>
          <w:sz w:val="24"/>
          <w:szCs w:val="24"/>
          <w:vertAlign w:val="subscript"/>
        </w:rPr>
        <w:t>8</w:t>
      </w:r>
      <w:r w:rsidRPr="006F52AD">
        <w:rPr>
          <w:rFonts w:ascii="Times New Roman" w:hAnsi="Times New Roman" w:cs="Times New Roman"/>
          <w:sz w:val="24"/>
          <w:szCs w:val="24"/>
          <w:vertAlign w:val="subscript"/>
        </w:rPr>
        <w:t xml:space="preserve">. </w:t>
      </w:r>
      <w:r w:rsidRPr="006F52AD">
        <w:rPr>
          <w:rFonts w:ascii="Times New Roman" w:hAnsi="Times New Roman" w:cs="Times New Roman"/>
          <w:bCs/>
          <w:sz w:val="24"/>
          <w:szCs w:val="24"/>
        </w:rPr>
        <w:t xml:space="preserve">Overall, when </w:t>
      </w:r>
      <w:r w:rsidRPr="00AF1692">
        <w:rPr>
          <w:rFonts w:ascii="Times New Roman" w:hAnsi="Times New Roman" w:cs="Times New Roman"/>
          <w:bCs/>
          <w:i/>
          <w:iCs/>
          <w:sz w:val="24"/>
          <w:szCs w:val="24"/>
        </w:rPr>
        <w:t>FF</w:t>
      </w:r>
      <w:r w:rsidRPr="006F52AD">
        <w:rPr>
          <w:rFonts w:ascii="Times New Roman" w:hAnsi="Times New Roman" w:cs="Times New Roman"/>
          <w:bCs/>
          <w:sz w:val="24"/>
          <w:szCs w:val="24"/>
        </w:rPr>
        <w:t xml:space="preserve"> residuals are used, the </w:t>
      </w:r>
      <w:r w:rsidRPr="00AF1692">
        <w:rPr>
          <w:rFonts w:ascii="Times New Roman" w:hAnsi="Times New Roman" w:cs="Times New Roman"/>
          <w:bCs/>
          <w:i/>
          <w:iCs/>
          <w:sz w:val="24"/>
          <w:szCs w:val="24"/>
        </w:rPr>
        <w:t>CAR</w:t>
      </w:r>
      <w:r w:rsidRPr="006F52AD">
        <w:rPr>
          <w:rFonts w:ascii="Times New Roman" w:hAnsi="Times New Roman" w:cs="Times New Roman"/>
          <w:bCs/>
          <w:sz w:val="24"/>
          <w:szCs w:val="24"/>
        </w:rPr>
        <w:t xml:space="preserve"> plots for downgrades show that the price adjustment over the event window happens with a delay in bullish periods. This is again consistent with our findings based on </w:t>
      </w:r>
      <w:r w:rsidRPr="00AF1692">
        <w:rPr>
          <w:rFonts w:ascii="Times New Roman" w:hAnsi="Times New Roman" w:cs="Times New Roman"/>
          <w:bCs/>
          <w:i/>
          <w:iCs/>
          <w:sz w:val="24"/>
          <w:szCs w:val="24"/>
        </w:rPr>
        <w:t>MM</w:t>
      </w:r>
      <w:r w:rsidRPr="006F52AD">
        <w:rPr>
          <w:rFonts w:ascii="Times New Roman" w:hAnsi="Times New Roman" w:cs="Times New Roman"/>
          <w:bCs/>
          <w:sz w:val="24"/>
          <w:szCs w:val="24"/>
        </w:rPr>
        <w:t xml:space="preserve"> residuals. And in bearish periods, the price decline for downgrades (i.e., between </w:t>
      </w:r>
      <w:r w:rsidRPr="00384E0D">
        <w:rPr>
          <w:rFonts w:ascii="Times New Roman" w:hAnsi="Times New Roman" w:cs="Times New Roman"/>
          <w:bCs/>
          <w:i/>
          <w:iCs/>
          <w:sz w:val="24"/>
          <w:szCs w:val="24"/>
        </w:rPr>
        <w:t>t</w:t>
      </w:r>
      <w:r w:rsidR="00C96685" w:rsidRPr="006F52AD">
        <w:rPr>
          <w:rFonts w:ascii="Times New Roman" w:eastAsia="MS Mincho" w:hAnsi="Times New Roman" w:cs="Times New Roman"/>
          <w:sz w:val="24"/>
          <w:szCs w:val="24"/>
        </w:rPr>
        <w:t>−</w:t>
      </w:r>
      <w:r w:rsidRPr="006F52AD">
        <w:rPr>
          <w:rFonts w:ascii="Times New Roman" w:hAnsi="Times New Roman" w:cs="Times New Roman"/>
          <w:bCs/>
          <w:sz w:val="24"/>
          <w:szCs w:val="24"/>
        </w:rPr>
        <w:t xml:space="preserve">2 and </w:t>
      </w:r>
      <w:r w:rsidRPr="00384E0D">
        <w:rPr>
          <w:rFonts w:ascii="Times New Roman" w:hAnsi="Times New Roman" w:cs="Times New Roman"/>
          <w:bCs/>
          <w:i/>
          <w:iCs/>
          <w:sz w:val="24"/>
          <w:szCs w:val="24"/>
        </w:rPr>
        <w:t>t</w:t>
      </w:r>
      <w:r w:rsidRPr="006F52AD">
        <w:rPr>
          <w:rFonts w:ascii="Times New Roman" w:hAnsi="Times New Roman" w:cs="Times New Roman"/>
          <w:bCs/>
          <w:sz w:val="24"/>
          <w:szCs w:val="24"/>
        </w:rPr>
        <w:t>=10) is around</w:t>
      </w:r>
      <w:r w:rsidR="00C96685">
        <w:rPr>
          <w:rFonts w:ascii="Times New Roman" w:hAnsi="Times New Roman" w:cs="Times New Roman"/>
          <w:bCs/>
          <w:sz w:val="24"/>
          <w:szCs w:val="24"/>
        </w:rPr>
        <w:t xml:space="preserve"> </w:t>
      </w:r>
      <w:r w:rsidR="00C96685" w:rsidRPr="006F52AD">
        <w:rPr>
          <w:rFonts w:ascii="Times New Roman" w:eastAsia="MS Mincho" w:hAnsi="Times New Roman" w:cs="Times New Roman"/>
          <w:sz w:val="24"/>
          <w:szCs w:val="24"/>
        </w:rPr>
        <w:t>−</w:t>
      </w:r>
      <w:r w:rsidRPr="006F52AD">
        <w:rPr>
          <w:rFonts w:ascii="Times New Roman" w:hAnsi="Times New Roman" w:cs="Times New Roman"/>
          <w:bCs/>
          <w:sz w:val="24"/>
          <w:szCs w:val="24"/>
        </w:rPr>
        <w:t xml:space="preserve">1.7%. In bullish periods, it is just under </w:t>
      </w:r>
      <w:r w:rsidR="00C96685" w:rsidRPr="006F52AD">
        <w:rPr>
          <w:rFonts w:ascii="Times New Roman" w:eastAsia="MS Mincho" w:hAnsi="Times New Roman" w:cs="Times New Roman"/>
          <w:sz w:val="24"/>
          <w:szCs w:val="24"/>
        </w:rPr>
        <w:t>−</w:t>
      </w:r>
      <w:r w:rsidRPr="006F52AD">
        <w:rPr>
          <w:rFonts w:ascii="Times New Roman" w:hAnsi="Times New Roman" w:cs="Times New Roman"/>
          <w:bCs/>
          <w:sz w:val="24"/>
          <w:szCs w:val="24"/>
        </w:rPr>
        <w:t>2.4%</w:t>
      </w:r>
      <w:r w:rsidRPr="006F52AD">
        <w:rPr>
          <w:rFonts w:ascii="Times New Roman" w:eastAsia="MS Mincho" w:hAnsi="Times New Roman" w:cs="Times New Roman"/>
          <w:bCs/>
          <w:sz w:val="24"/>
          <w:szCs w:val="24"/>
        </w:rPr>
        <w:t>.</w:t>
      </w:r>
      <w:r>
        <w:rPr>
          <w:rStyle w:val="FootnoteReference"/>
          <w:rFonts w:ascii="Times New Roman" w:eastAsia="MS Mincho" w:hAnsi="Times New Roman" w:cs="Times New Roman"/>
          <w:bCs/>
          <w:sz w:val="24"/>
          <w:szCs w:val="24"/>
        </w:rPr>
        <w:footnoteReference w:id="7"/>
      </w:r>
    </w:p>
    <w:p w14:paraId="73E64BB6" w14:textId="77777777" w:rsidR="006E0FEC" w:rsidRPr="006F52AD" w:rsidRDefault="006E0FEC" w:rsidP="00C658FF">
      <w:pPr>
        <w:spacing w:after="0" w:line="480" w:lineRule="auto"/>
        <w:contextualSpacing/>
        <w:jc w:val="both"/>
        <w:rPr>
          <w:rFonts w:ascii="Times New Roman" w:hAnsi="Times New Roman" w:cs="Times New Roman"/>
          <w:bCs/>
          <w:sz w:val="24"/>
          <w:szCs w:val="24"/>
        </w:rPr>
      </w:pPr>
    </w:p>
    <w:p w14:paraId="2075FA0F" w14:textId="78B3746A" w:rsidR="00F72E45" w:rsidRPr="006F52AD" w:rsidRDefault="00F72E45" w:rsidP="00C658FF">
      <w:pPr>
        <w:spacing w:after="0" w:line="480" w:lineRule="auto"/>
        <w:contextualSpacing/>
        <w:jc w:val="both"/>
        <w:rPr>
          <w:rFonts w:ascii="Times New Roman" w:eastAsia="MS Mincho" w:hAnsi="Times New Roman" w:cs="Times New Roman"/>
          <w:i/>
          <w:sz w:val="24"/>
          <w:szCs w:val="24"/>
        </w:rPr>
      </w:pPr>
      <w:r w:rsidRPr="006F52AD">
        <w:rPr>
          <w:rFonts w:ascii="Times New Roman" w:eastAsia="MS Mincho" w:hAnsi="Times New Roman" w:cs="Times New Roman"/>
          <w:i/>
          <w:sz w:val="24"/>
          <w:szCs w:val="24"/>
        </w:rPr>
        <w:t>5.6. Analyst recommendations conditioned on sentiment</w:t>
      </w:r>
    </w:p>
    <w:p w14:paraId="6906DC60" w14:textId="3B716F4E" w:rsidR="00F72E45" w:rsidRPr="006F52AD" w:rsidRDefault="00F72E45" w:rsidP="00C658FF">
      <w:pPr>
        <w:spacing w:after="0" w:line="480" w:lineRule="auto"/>
        <w:ind w:firstLine="720"/>
        <w:contextualSpacing/>
        <w:jc w:val="both"/>
        <w:rPr>
          <w:rFonts w:ascii="Times New Roman" w:eastAsia="MS Mincho" w:hAnsi="Times New Roman" w:cs="Times New Roman"/>
          <w:sz w:val="24"/>
          <w:szCs w:val="24"/>
        </w:rPr>
      </w:pPr>
      <w:r w:rsidRPr="006F52AD">
        <w:rPr>
          <w:rFonts w:ascii="Times New Roman" w:eastAsia="MS Mincho" w:hAnsi="Times New Roman" w:cs="Times New Roman"/>
          <w:sz w:val="24"/>
          <w:szCs w:val="24"/>
        </w:rPr>
        <w:t xml:space="preserve">We look at the whole period ranging from </w:t>
      </w:r>
      <w:r w:rsidR="00A87058">
        <w:rPr>
          <w:rFonts w:ascii="Times New Roman" w:eastAsia="MS Mincho" w:hAnsi="Times New Roman" w:cs="Times New Roman"/>
          <w:sz w:val="24"/>
          <w:szCs w:val="24"/>
        </w:rPr>
        <w:t xml:space="preserve">January 2009 to May 2014 </w:t>
      </w:r>
      <w:r w:rsidRPr="006F52AD">
        <w:rPr>
          <w:rFonts w:ascii="Times New Roman" w:eastAsia="MS Mincho" w:hAnsi="Times New Roman" w:cs="Times New Roman"/>
          <w:sz w:val="24"/>
          <w:szCs w:val="24"/>
        </w:rPr>
        <w:t xml:space="preserve">to gauge the probability of an upgrade / downgrade / hold recommendation of an analyst on a given stock, conditional on the investor sentiment that prevailed in the previous quarter. </w:t>
      </w:r>
    </w:p>
    <w:p w14:paraId="2D729BBC" w14:textId="77777777" w:rsidR="00F72E45" w:rsidRPr="006F52AD" w:rsidRDefault="00F72E45" w:rsidP="00C658FF">
      <w:pPr>
        <w:spacing w:after="0" w:line="480" w:lineRule="auto"/>
        <w:ind w:firstLine="720"/>
        <w:contextualSpacing/>
        <w:jc w:val="both"/>
        <w:rPr>
          <w:rFonts w:ascii="Times New Roman" w:eastAsia="MS Mincho" w:hAnsi="Times New Roman" w:cs="Times New Roman"/>
          <w:sz w:val="24"/>
          <w:szCs w:val="24"/>
        </w:rPr>
      </w:pPr>
      <w:r w:rsidRPr="006F52AD">
        <w:rPr>
          <w:rFonts w:ascii="Times New Roman" w:eastAsia="MS Mincho" w:hAnsi="Times New Roman" w:cs="Times New Roman"/>
          <w:sz w:val="24"/>
          <w:szCs w:val="24"/>
        </w:rPr>
        <w:t xml:space="preserve">We apply our conditional binomial probability framework as in equation to get a better understanding of the possible influence of the investor sentiment at a given moment to a recommendation made by an analyst. We show the expected probability of the joint effect between </w:t>
      </w:r>
      <w:r w:rsidRPr="006F52AD">
        <w:rPr>
          <w:rFonts w:ascii="Times New Roman" w:eastAsia="MS Mincho" w:hAnsi="Times New Roman" w:cs="Times New Roman"/>
          <w:i/>
          <w:sz w:val="24"/>
          <w:szCs w:val="24"/>
        </w:rPr>
        <w:t>rec</w:t>
      </w:r>
      <w:r w:rsidRPr="006F52AD">
        <w:rPr>
          <w:rFonts w:ascii="Times New Roman" w:eastAsia="MS Mincho" w:hAnsi="Times New Roman" w:cs="Times New Roman"/>
          <w:sz w:val="24"/>
          <w:szCs w:val="24"/>
        </w:rPr>
        <w:t xml:space="preserve"> and </w:t>
      </w:r>
      <w:proofErr w:type="spellStart"/>
      <w:r w:rsidRPr="006F52AD">
        <w:rPr>
          <w:rFonts w:ascii="Times New Roman" w:eastAsia="MS Mincho" w:hAnsi="Times New Roman" w:cs="Times New Roman"/>
          <w:i/>
          <w:sz w:val="24"/>
          <w:szCs w:val="24"/>
        </w:rPr>
        <w:t>sen</w:t>
      </w:r>
      <w:proofErr w:type="spellEnd"/>
      <w:r w:rsidRPr="006F52AD">
        <w:rPr>
          <w:rFonts w:ascii="Times New Roman" w:eastAsia="MS Mincho" w:hAnsi="Times New Roman" w:cs="Times New Roman"/>
          <w:sz w:val="24"/>
          <w:szCs w:val="24"/>
        </w:rPr>
        <w:t xml:space="preserve"> </w:t>
      </w:r>
      <m:oMath>
        <m:r>
          <w:rPr>
            <w:rFonts w:ascii="Cambria Math" w:eastAsia="MS Mincho" w:hAnsi="Cambria Math" w:cs="Times New Roman"/>
            <w:sz w:val="24"/>
            <w:szCs w:val="24"/>
          </w:rPr>
          <m:t>E[P</m:t>
        </m:r>
        <m:d>
          <m:dPr>
            <m:ctrlPr>
              <w:rPr>
                <w:rFonts w:ascii="Cambria Math" w:eastAsia="MS Mincho" w:hAnsi="Cambria Math" w:cs="Times New Roman"/>
                <w:i/>
                <w:sz w:val="24"/>
                <w:szCs w:val="24"/>
              </w:rPr>
            </m:ctrlPr>
          </m:dPr>
          <m:e>
            <m:r>
              <w:rPr>
                <w:rFonts w:ascii="Cambria Math" w:eastAsia="MS Mincho" w:hAnsi="Cambria Math" w:cs="Times New Roman"/>
                <w:sz w:val="24"/>
                <w:szCs w:val="24"/>
              </w:rPr>
              <m:t>rec</m:t>
            </m:r>
            <m:r>
              <m:rPr>
                <m:sty m:val="p"/>
              </m:rPr>
              <w:rPr>
                <w:rFonts w:ascii="Cambria Math" w:eastAsia="MS Mincho" w:hAnsi="Cambria Math" w:cs="Times New Roman"/>
                <w:sz w:val="24"/>
                <w:szCs w:val="24"/>
              </w:rPr>
              <m:t>|</m:t>
            </m:r>
            <m:r>
              <w:rPr>
                <w:rFonts w:ascii="Cambria Math" w:eastAsia="MS Mincho" w:hAnsi="Cambria Math" w:cs="Times New Roman"/>
                <w:sz w:val="24"/>
                <w:szCs w:val="24"/>
              </w:rPr>
              <m:t>sen</m:t>
            </m:r>
            <m:ctrlPr>
              <w:rPr>
                <w:rFonts w:ascii="Cambria Math" w:eastAsia="MS Mincho" w:hAnsi="Cambria Math" w:cs="Times New Roman"/>
                <w:sz w:val="24"/>
                <w:szCs w:val="24"/>
              </w:rPr>
            </m:ctrlPr>
          </m:e>
        </m:d>
        <m:r>
          <m:rPr>
            <m:sty m:val="p"/>
          </m:rPr>
          <w:rPr>
            <w:rFonts w:ascii="Cambria Math" w:eastAsia="MS Mincho" w:hAnsi="Cambria Math" w:cs="Times New Roman"/>
            <w:sz w:val="24"/>
            <w:szCs w:val="24"/>
          </w:rPr>
          <m:t>]</m:t>
        </m:r>
      </m:oMath>
      <w:r w:rsidRPr="006F52AD">
        <w:rPr>
          <w:rFonts w:ascii="Times New Roman" w:eastAsia="MS Mincho" w:hAnsi="Times New Roman" w:cs="Times New Roman"/>
          <w:sz w:val="24"/>
          <w:szCs w:val="24"/>
        </w:rPr>
        <w:t xml:space="preserve"> and the resulting effect on the average stock return </w:t>
      </w:r>
      <w:r w:rsidRPr="006F52AD">
        <w:rPr>
          <w:rFonts w:ascii="Times New Roman" w:eastAsia="MS Mincho" w:hAnsi="Times New Roman" w:cs="Times New Roman"/>
          <w:i/>
          <w:sz w:val="24"/>
          <w:szCs w:val="24"/>
        </w:rPr>
        <w:t>r</w:t>
      </w:r>
      <w:r w:rsidRPr="006F52AD">
        <w:rPr>
          <w:rFonts w:ascii="Times New Roman" w:eastAsia="MS Mincho" w:hAnsi="Times New Roman" w:cs="Times New Roman"/>
          <w:sz w:val="24"/>
          <w:szCs w:val="24"/>
        </w:rPr>
        <w:t xml:space="preserve"> from our expected value </w:t>
      </w:r>
      <m:oMath>
        <m:r>
          <w:rPr>
            <w:rFonts w:ascii="Cambria Math" w:eastAsia="MS Mincho" w:hAnsi="Cambria Math" w:cs="Times New Roman"/>
            <w:sz w:val="24"/>
            <w:szCs w:val="24"/>
          </w:rPr>
          <m:t>r</m:t>
        </m:r>
        <m:r>
          <w:rPr>
            <w:rFonts w:ascii="Cambria Math" w:eastAsia="MS Mincho" w:hAnsi="Cambria Math" w:cs="Times New Roman" w:hint="eastAsia"/>
            <w:sz w:val="24"/>
            <w:szCs w:val="24"/>
          </w:rPr>
          <m:t>×</m:t>
        </m:r>
        <m:r>
          <w:rPr>
            <w:rFonts w:ascii="Cambria Math" w:eastAsia="MS Mincho" w:hAnsi="Cambria Math" w:cs="Times New Roman"/>
            <w:sz w:val="24"/>
            <w:szCs w:val="24"/>
          </w:rPr>
          <m:t>E[P</m:t>
        </m:r>
        <m:d>
          <m:dPr>
            <m:ctrlPr>
              <w:rPr>
                <w:rFonts w:ascii="Cambria Math" w:eastAsia="MS Mincho" w:hAnsi="Cambria Math" w:cs="Times New Roman"/>
                <w:i/>
                <w:sz w:val="24"/>
                <w:szCs w:val="24"/>
              </w:rPr>
            </m:ctrlPr>
          </m:dPr>
          <m:e>
            <m:r>
              <w:rPr>
                <w:rFonts w:ascii="Cambria Math" w:eastAsia="MS Mincho" w:hAnsi="Cambria Math" w:cs="Times New Roman"/>
                <w:sz w:val="24"/>
                <w:szCs w:val="24"/>
              </w:rPr>
              <m:t>rec</m:t>
            </m:r>
            <m:r>
              <m:rPr>
                <m:sty m:val="p"/>
              </m:rPr>
              <w:rPr>
                <w:rFonts w:ascii="Cambria Math" w:eastAsia="MS Mincho" w:hAnsi="Cambria Math" w:cs="Times New Roman"/>
                <w:sz w:val="24"/>
                <w:szCs w:val="24"/>
              </w:rPr>
              <m:t>|</m:t>
            </m:r>
            <m:r>
              <w:rPr>
                <w:rFonts w:ascii="Cambria Math" w:eastAsia="MS Mincho" w:hAnsi="Cambria Math" w:cs="Times New Roman"/>
                <w:sz w:val="24"/>
                <w:szCs w:val="24"/>
              </w:rPr>
              <m:t>sen</m:t>
            </m:r>
            <m:ctrlPr>
              <w:rPr>
                <w:rFonts w:ascii="Cambria Math" w:eastAsia="MS Mincho" w:hAnsi="Cambria Math" w:cs="Times New Roman"/>
                <w:sz w:val="24"/>
                <w:szCs w:val="24"/>
              </w:rPr>
            </m:ctrlPr>
          </m:e>
        </m:d>
        <m:r>
          <w:rPr>
            <w:rFonts w:ascii="Cambria Math" w:eastAsia="MS Mincho" w:hAnsi="Cambria Math" w:cs="Times New Roman"/>
            <w:sz w:val="24"/>
            <w:szCs w:val="24"/>
          </w:rPr>
          <m:t>]</m:t>
        </m:r>
      </m:oMath>
      <w:r w:rsidRPr="006F52AD">
        <w:rPr>
          <w:rFonts w:ascii="Times New Roman" w:eastAsia="MS Mincho" w:hAnsi="Times New Roman" w:cs="Times New Roman"/>
          <w:sz w:val="24"/>
          <w:szCs w:val="24"/>
        </w:rPr>
        <w:t>. The following table shows the effects of investor sentiment (</w:t>
      </w:r>
      <w:proofErr w:type="spellStart"/>
      <w:r w:rsidRPr="006F52AD">
        <w:rPr>
          <w:rFonts w:ascii="Times New Roman" w:eastAsia="MS Mincho" w:hAnsi="Times New Roman" w:cs="Times New Roman"/>
          <w:i/>
          <w:sz w:val="24"/>
          <w:szCs w:val="24"/>
        </w:rPr>
        <w:t>sen</w:t>
      </w:r>
      <w:proofErr w:type="spellEnd"/>
      <w:r w:rsidRPr="006F52AD">
        <w:rPr>
          <w:rFonts w:ascii="Times New Roman" w:eastAsia="MS Mincho" w:hAnsi="Times New Roman" w:cs="Times New Roman"/>
          <w:sz w:val="24"/>
          <w:szCs w:val="24"/>
        </w:rPr>
        <w:t>), analyst recommendations (</w:t>
      </w:r>
      <w:r w:rsidRPr="006F52AD">
        <w:rPr>
          <w:rFonts w:ascii="Times New Roman" w:eastAsia="MS Mincho" w:hAnsi="Times New Roman" w:cs="Times New Roman"/>
          <w:i/>
          <w:sz w:val="24"/>
          <w:szCs w:val="24"/>
        </w:rPr>
        <w:t>rec</w:t>
      </w:r>
      <w:r w:rsidRPr="006F52AD">
        <w:rPr>
          <w:rFonts w:ascii="Times New Roman" w:eastAsia="MS Mincho" w:hAnsi="Times New Roman" w:cs="Times New Roman"/>
          <w:sz w:val="24"/>
          <w:szCs w:val="24"/>
        </w:rPr>
        <w:t>), and the corresponding average stock returns (</w:t>
      </w:r>
      <w:r w:rsidRPr="006F52AD">
        <w:rPr>
          <w:rFonts w:ascii="Times New Roman" w:eastAsia="MS Mincho" w:hAnsi="Times New Roman" w:cs="Times New Roman"/>
          <w:i/>
          <w:sz w:val="24"/>
          <w:szCs w:val="24"/>
        </w:rPr>
        <w:t>r</w:t>
      </w:r>
      <w:r w:rsidRPr="006F52AD">
        <w:rPr>
          <w:rFonts w:ascii="Times New Roman" w:eastAsia="MS Mincho" w:hAnsi="Times New Roman" w:cs="Times New Roman"/>
          <w:sz w:val="24"/>
          <w:szCs w:val="24"/>
        </w:rPr>
        <w:t xml:space="preserve">) on a quarterly basis. We also show the expected probability of the joint effect between </w:t>
      </w:r>
      <w:r w:rsidRPr="006F52AD">
        <w:rPr>
          <w:rFonts w:ascii="Times New Roman" w:eastAsia="MS Mincho" w:hAnsi="Times New Roman" w:cs="Times New Roman"/>
          <w:i/>
          <w:sz w:val="24"/>
          <w:szCs w:val="24"/>
        </w:rPr>
        <w:t>rec</w:t>
      </w:r>
      <w:r w:rsidRPr="006F52AD">
        <w:rPr>
          <w:rFonts w:ascii="Times New Roman" w:eastAsia="MS Mincho" w:hAnsi="Times New Roman" w:cs="Times New Roman"/>
          <w:sz w:val="24"/>
          <w:szCs w:val="24"/>
        </w:rPr>
        <w:t xml:space="preserve"> </w:t>
      </w:r>
      <w:r w:rsidRPr="006F52AD">
        <w:rPr>
          <w:rFonts w:ascii="Times New Roman" w:eastAsia="MS Mincho" w:hAnsi="Times New Roman" w:cs="Times New Roman"/>
          <w:sz w:val="24"/>
          <w:szCs w:val="24"/>
        </w:rPr>
        <w:lastRenderedPageBreak/>
        <w:t xml:space="preserve">and </w:t>
      </w:r>
      <w:proofErr w:type="spellStart"/>
      <w:r w:rsidRPr="006F52AD">
        <w:rPr>
          <w:rFonts w:ascii="Times New Roman" w:eastAsia="MS Mincho" w:hAnsi="Times New Roman" w:cs="Times New Roman"/>
          <w:i/>
          <w:sz w:val="24"/>
          <w:szCs w:val="24"/>
        </w:rPr>
        <w:t>sen</w:t>
      </w:r>
      <w:proofErr w:type="spellEnd"/>
      <w:r w:rsidRPr="006F52AD">
        <w:rPr>
          <w:rFonts w:ascii="Times New Roman" w:eastAsia="MS Mincho" w:hAnsi="Times New Roman" w:cs="Times New Roman"/>
          <w:sz w:val="24"/>
          <w:szCs w:val="24"/>
        </w:rPr>
        <w:t xml:space="preserve"> </w:t>
      </w:r>
      <m:oMath>
        <m:r>
          <w:rPr>
            <w:rFonts w:ascii="Cambria Math" w:eastAsia="MS Mincho" w:hAnsi="Cambria Math" w:cs="Times New Roman"/>
            <w:sz w:val="24"/>
            <w:szCs w:val="24"/>
          </w:rPr>
          <m:t>E[P</m:t>
        </m:r>
        <m:d>
          <m:dPr>
            <m:ctrlPr>
              <w:rPr>
                <w:rFonts w:ascii="Cambria Math" w:eastAsia="MS Mincho" w:hAnsi="Cambria Math" w:cs="Times New Roman"/>
                <w:i/>
                <w:sz w:val="24"/>
                <w:szCs w:val="24"/>
              </w:rPr>
            </m:ctrlPr>
          </m:dPr>
          <m:e>
            <m:r>
              <w:rPr>
                <w:rFonts w:ascii="Cambria Math" w:eastAsia="MS Mincho" w:hAnsi="Cambria Math" w:cs="Times New Roman"/>
                <w:sz w:val="24"/>
                <w:szCs w:val="24"/>
              </w:rPr>
              <m:t>rec</m:t>
            </m:r>
            <m:r>
              <m:rPr>
                <m:sty m:val="p"/>
              </m:rPr>
              <w:rPr>
                <w:rFonts w:ascii="Cambria Math" w:eastAsia="MS Mincho" w:hAnsi="Cambria Math" w:cs="Times New Roman"/>
                <w:sz w:val="24"/>
                <w:szCs w:val="24"/>
              </w:rPr>
              <m:t>|</m:t>
            </m:r>
            <m:r>
              <w:rPr>
                <w:rFonts w:ascii="Cambria Math" w:eastAsia="MS Mincho" w:hAnsi="Cambria Math" w:cs="Times New Roman"/>
                <w:sz w:val="24"/>
                <w:szCs w:val="24"/>
              </w:rPr>
              <m:t>sen</m:t>
            </m:r>
            <m:ctrlPr>
              <w:rPr>
                <w:rFonts w:ascii="Cambria Math" w:eastAsia="MS Mincho" w:hAnsi="Cambria Math" w:cs="Times New Roman"/>
                <w:sz w:val="24"/>
                <w:szCs w:val="24"/>
              </w:rPr>
            </m:ctrlPr>
          </m:e>
        </m:d>
        <m:r>
          <m:rPr>
            <m:sty m:val="p"/>
          </m:rPr>
          <w:rPr>
            <w:rFonts w:ascii="Cambria Math" w:eastAsia="MS Mincho" w:hAnsi="Cambria Math" w:cs="Times New Roman"/>
            <w:sz w:val="24"/>
            <w:szCs w:val="24"/>
          </w:rPr>
          <m:t>]</m:t>
        </m:r>
      </m:oMath>
      <w:r w:rsidRPr="006F52AD">
        <w:rPr>
          <w:rFonts w:ascii="Times New Roman" w:eastAsia="MS Mincho" w:hAnsi="Times New Roman" w:cs="Times New Roman"/>
          <w:sz w:val="24"/>
          <w:szCs w:val="24"/>
        </w:rPr>
        <w:t xml:space="preserve"> and the resulting effect on the average stock return </w:t>
      </w:r>
      <w:r w:rsidRPr="006F52AD">
        <w:rPr>
          <w:rFonts w:ascii="Times New Roman" w:eastAsia="MS Mincho" w:hAnsi="Times New Roman" w:cs="Times New Roman"/>
          <w:i/>
          <w:sz w:val="24"/>
          <w:szCs w:val="24"/>
        </w:rPr>
        <w:t>r</w:t>
      </w:r>
      <w:r w:rsidRPr="006F52AD">
        <w:rPr>
          <w:rFonts w:ascii="Times New Roman" w:eastAsia="MS Mincho" w:hAnsi="Times New Roman" w:cs="Times New Roman"/>
          <w:sz w:val="24"/>
          <w:szCs w:val="24"/>
        </w:rPr>
        <w:t xml:space="preserve"> from our expected value </w:t>
      </w:r>
      <m:oMath>
        <m:r>
          <w:rPr>
            <w:rFonts w:ascii="Cambria Math" w:eastAsia="MS Mincho" w:hAnsi="Cambria Math" w:cs="Times New Roman"/>
            <w:sz w:val="24"/>
            <w:szCs w:val="24"/>
          </w:rPr>
          <m:t>r</m:t>
        </m:r>
        <m:r>
          <w:rPr>
            <w:rFonts w:ascii="Cambria Math" w:eastAsia="MS Mincho" w:hAnsi="Cambria Math" w:cs="Times New Roman" w:hint="eastAsia"/>
            <w:sz w:val="24"/>
            <w:szCs w:val="24"/>
          </w:rPr>
          <m:t>×</m:t>
        </m:r>
        <m:r>
          <w:rPr>
            <w:rFonts w:ascii="Cambria Math" w:eastAsia="MS Mincho" w:hAnsi="Cambria Math" w:cs="Times New Roman"/>
            <w:sz w:val="24"/>
            <w:szCs w:val="24"/>
          </w:rPr>
          <m:t>E[P</m:t>
        </m:r>
        <m:d>
          <m:dPr>
            <m:ctrlPr>
              <w:rPr>
                <w:rFonts w:ascii="Cambria Math" w:eastAsia="MS Mincho" w:hAnsi="Cambria Math" w:cs="Times New Roman"/>
                <w:i/>
                <w:sz w:val="24"/>
                <w:szCs w:val="24"/>
              </w:rPr>
            </m:ctrlPr>
          </m:dPr>
          <m:e>
            <m:r>
              <w:rPr>
                <w:rFonts w:ascii="Cambria Math" w:eastAsia="MS Mincho" w:hAnsi="Cambria Math" w:cs="Times New Roman"/>
                <w:sz w:val="24"/>
                <w:szCs w:val="24"/>
              </w:rPr>
              <m:t>rec</m:t>
            </m:r>
            <m:r>
              <m:rPr>
                <m:sty m:val="p"/>
              </m:rPr>
              <w:rPr>
                <w:rFonts w:ascii="Cambria Math" w:eastAsia="MS Mincho" w:hAnsi="Cambria Math" w:cs="Times New Roman"/>
                <w:sz w:val="24"/>
                <w:szCs w:val="24"/>
              </w:rPr>
              <m:t>|</m:t>
            </m:r>
            <m:r>
              <w:rPr>
                <w:rFonts w:ascii="Cambria Math" w:eastAsia="MS Mincho" w:hAnsi="Cambria Math" w:cs="Times New Roman"/>
                <w:sz w:val="24"/>
                <w:szCs w:val="24"/>
              </w:rPr>
              <m:t>sen</m:t>
            </m:r>
            <m:ctrlPr>
              <w:rPr>
                <w:rFonts w:ascii="Cambria Math" w:eastAsia="MS Mincho" w:hAnsi="Cambria Math" w:cs="Times New Roman"/>
                <w:sz w:val="24"/>
                <w:szCs w:val="24"/>
              </w:rPr>
            </m:ctrlPr>
          </m:e>
        </m:d>
        <m:r>
          <w:rPr>
            <w:rFonts w:ascii="Cambria Math" w:eastAsia="MS Mincho" w:hAnsi="Cambria Math" w:cs="Times New Roman"/>
            <w:sz w:val="24"/>
            <w:szCs w:val="24"/>
          </w:rPr>
          <m:t>]</m:t>
        </m:r>
      </m:oMath>
      <w:r w:rsidRPr="006F52AD">
        <w:rPr>
          <w:rFonts w:ascii="Times New Roman" w:eastAsia="MS Mincho" w:hAnsi="Times New Roman" w:cs="Times New Roman"/>
          <w:sz w:val="24"/>
          <w:szCs w:val="24"/>
        </w:rPr>
        <w:t xml:space="preserve">. We show this including and excluding look-ahead bias in Panel A and B, respectively. In Panel C,  we use the Welch’s two sample t-test to show how the average </w:t>
      </w:r>
      <m:oMath>
        <m:r>
          <w:rPr>
            <w:rFonts w:ascii="Cambria Math" w:eastAsia="MS Mincho" w:hAnsi="Cambria Math" w:cs="Times New Roman"/>
            <w:sz w:val="24"/>
            <w:szCs w:val="24"/>
          </w:rPr>
          <m:t>E[P</m:t>
        </m:r>
        <m:d>
          <m:dPr>
            <m:ctrlPr>
              <w:rPr>
                <w:rFonts w:ascii="Cambria Math" w:eastAsia="MS Mincho" w:hAnsi="Cambria Math" w:cs="Times New Roman"/>
                <w:i/>
                <w:sz w:val="24"/>
                <w:szCs w:val="24"/>
              </w:rPr>
            </m:ctrlPr>
          </m:dPr>
          <m:e>
            <m:r>
              <w:rPr>
                <w:rFonts w:ascii="Cambria Math" w:eastAsia="MS Mincho" w:hAnsi="Cambria Math" w:cs="Times New Roman"/>
                <w:sz w:val="24"/>
                <w:szCs w:val="24"/>
              </w:rPr>
              <m:t>rec</m:t>
            </m:r>
            <m:r>
              <m:rPr>
                <m:sty m:val="p"/>
              </m:rPr>
              <w:rPr>
                <w:rFonts w:ascii="Cambria Math" w:eastAsia="MS Mincho" w:hAnsi="Cambria Math" w:cs="Times New Roman"/>
                <w:sz w:val="24"/>
                <w:szCs w:val="24"/>
              </w:rPr>
              <m:t>|</m:t>
            </m:r>
            <m:r>
              <w:rPr>
                <w:rFonts w:ascii="Cambria Math" w:eastAsia="MS Mincho" w:hAnsi="Cambria Math" w:cs="Times New Roman"/>
                <w:sz w:val="24"/>
                <w:szCs w:val="24"/>
              </w:rPr>
              <m:t>sen</m:t>
            </m:r>
            <m:ctrlPr>
              <w:rPr>
                <w:rFonts w:ascii="Cambria Math" w:eastAsia="MS Mincho" w:hAnsi="Cambria Math" w:cs="Times New Roman"/>
                <w:sz w:val="24"/>
                <w:szCs w:val="24"/>
              </w:rPr>
            </m:ctrlPr>
          </m:e>
        </m:d>
        <m:r>
          <m:rPr>
            <m:sty m:val="p"/>
          </m:rPr>
          <w:rPr>
            <w:rFonts w:ascii="Cambria Math" w:eastAsia="MS Mincho" w:hAnsi="Cambria Math" w:cs="Times New Roman"/>
            <w:sz w:val="24"/>
            <w:szCs w:val="24"/>
          </w:rPr>
          <m:t>]</m:t>
        </m:r>
      </m:oMath>
      <w:r w:rsidRPr="006F52AD">
        <w:rPr>
          <w:rFonts w:ascii="Times New Roman" w:eastAsia="MS Mincho" w:hAnsi="Times New Roman" w:cs="Times New Roman"/>
          <w:sz w:val="24"/>
          <w:szCs w:val="24"/>
        </w:rPr>
        <w:t xml:space="preserve">or </w:t>
      </w:r>
      <m:oMath>
        <m:r>
          <w:rPr>
            <w:rFonts w:ascii="Cambria Math" w:eastAsia="MS Mincho" w:hAnsi="Cambria Math" w:cs="Times New Roman"/>
            <w:sz w:val="24"/>
            <w:szCs w:val="24"/>
          </w:rPr>
          <m:t>r</m:t>
        </m:r>
        <m:r>
          <w:rPr>
            <w:rFonts w:ascii="Cambria Math" w:eastAsia="MS Mincho" w:hAnsi="Cambria Math" w:cs="Times New Roman" w:hint="eastAsia"/>
            <w:sz w:val="24"/>
            <w:szCs w:val="24"/>
          </w:rPr>
          <m:t>×</m:t>
        </m:r>
        <m:r>
          <w:rPr>
            <w:rFonts w:ascii="Cambria Math" w:eastAsia="MS Mincho" w:hAnsi="Cambria Math" w:cs="Times New Roman"/>
            <w:sz w:val="24"/>
            <w:szCs w:val="24"/>
          </w:rPr>
          <m:t>E[P</m:t>
        </m:r>
        <m:d>
          <m:dPr>
            <m:ctrlPr>
              <w:rPr>
                <w:rFonts w:ascii="Cambria Math" w:eastAsia="MS Mincho" w:hAnsi="Cambria Math" w:cs="Times New Roman"/>
                <w:i/>
                <w:sz w:val="24"/>
                <w:szCs w:val="24"/>
              </w:rPr>
            </m:ctrlPr>
          </m:dPr>
          <m:e>
            <m:r>
              <w:rPr>
                <w:rFonts w:ascii="Cambria Math" w:eastAsia="MS Mincho" w:hAnsi="Cambria Math" w:cs="Times New Roman"/>
                <w:sz w:val="24"/>
                <w:szCs w:val="24"/>
              </w:rPr>
              <m:t>rec</m:t>
            </m:r>
            <m:r>
              <m:rPr>
                <m:sty m:val="p"/>
              </m:rPr>
              <w:rPr>
                <w:rFonts w:ascii="Cambria Math" w:eastAsia="MS Mincho" w:hAnsi="Cambria Math" w:cs="Times New Roman"/>
                <w:sz w:val="24"/>
                <w:szCs w:val="24"/>
              </w:rPr>
              <m:t>|</m:t>
            </m:r>
            <m:r>
              <w:rPr>
                <w:rFonts w:ascii="Cambria Math" w:eastAsia="MS Mincho" w:hAnsi="Cambria Math" w:cs="Times New Roman"/>
                <w:sz w:val="24"/>
                <w:szCs w:val="24"/>
              </w:rPr>
              <m:t>sen</m:t>
            </m:r>
            <m:ctrlPr>
              <w:rPr>
                <w:rFonts w:ascii="Cambria Math" w:eastAsia="MS Mincho" w:hAnsi="Cambria Math" w:cs="Times New Roman"/>
                <w:sz w:val="24"/>
                <w:szCs w:val="24"/>
              </w:rPr>
            </m:ctrlPr>
          </m:e>
        </m:d>
        <m:r>
          <w:rPr>
            <w:rFonts w:ascii="Cambria Math" w:eastAsia="MS Mincho" w:hAnsi="Cambria Math" w:cs="Times New Roman"/>
            <w:sz w:val="24"/>
            <w:szCs w:val="24"/>
          </w:rPr>
          <m:t>]</m:t>
        </m:r>
      </m:oMath>
      <w:r w:rsidRPr="006F52AD">
        <w:rPr>
          <w:rFonts w:ascii="Times New Roman" w:eastAsia="MS Mincho" w:hAnsi="Times New Roman" w:cs="Times New Roman"/>
          <w:sz w:val="24"/>
          <w:szCs w:val="24"/>
        </w:rPr>
        <w:t xml:space="preserve"> becomes significantly different between positive and negative sentiments, and with and without look-ahead bias. We express the positive (negative) sentiment including and excluding look-ahead bias as </w:t>
      </w:r>
      <w:proofErr w:type="spellStart"/>
      <w:r w:rsidRPr="006F52AD">
        <w:rPr>
          <w:rFonts w:ascii="Times New Roman" w:eastAsia="MS Mincho" w:hAnsi="Times New Roman" w:cs="Times New Roman"/>
          <w:sz w:val="24"/>
          <w:szCs w:val="24"/>
        </w:rPr>
        <w:t>Positive</w:t>
      </w:r>
      <w:r w:rsidRPr="006F52AD">
        <w:rPr>
          <w:rFonts w:ascii="Times New Roman" w:eastAsia="MS Mincho" w:hAnsi="Times New Roman" w:cs="Times New Roman"/>
          <w:sz w:val="24"/>
          <w:szCs w:val="24"/>
          <w:vertAlign w:val="superscript"/>
        </w:rPr>
        <w:t>bias</w:t>
      </w:r>
      <w:proofErr w:type="spellEnd"/>
      <w:r w:rsidRPr="006F52AD">
        <w:rPr>
          <w:rFonts w:ascii="Times New Roman" w:eastAsia="MS Mincho" w:hAnsi="Times New Roman" w:cs="Times New Roman"/>
          <w:sz w:val="24"/>
          <w:szCs w:val="24"/>
          <w:vertAlign w:val="superscript"/>
        </w:rPr>
        <w:t xml:space="preserve"> </w:t>
      </w:r>
      <w:r w:rsidRPr="006F52AD">
        <w:rPr>
          <w:rFonts w:ascii="Times New Roman" w:eastAsia="MS Mincho" w:hAnsi="Times New Roman" w:cs="Times New Roman"/>
          <w:sz w:val="24"/>
          <w:szCs w:val="24"/>
        </w:rPr>
        <w:t>(</w:t>
      </w:r>
      <w:proofErr w:type="spellStart"/>
      <w:r w:rsidRPr="006F52AD">
        <w:rPr>
          <w:rFonts w:ascii="Times New Roman" w:eastAsia="MS Mincho" w:hAnsi="Times New Roman" w:cs="Times New Roman"/>
          <w:sz w:val="24"/>
          <w:szCs w:val="24"/>
        </w:rPr>
        <w:t>Negative</w:t>
      </w:r>
      <w:r w:rsidRPr="006F52AD">
        <w:rPr>
          <w:rFonts w:ascii="Times New Roman" w:eastAsia="MS Mincho" w:hAnsi="Times New Roman" w:cs="Times New Roman"/>
          <w:sz w:val="24"/>
          <w:szCs w:val="24"/>
          <w:vertAlign w:val="superscript"/>
        </w:rPr>
        <w:t>bias</w:t>
      </w:r>
      <w:proofErr w:type="spellEnd"/>
      <w:r w:rsidRPr="006F52AD">
        <w:rPr>
          <w:rFonts w:ascii="Times New Roman" w:eastAsia="MS Mincho" w:hAnsi="Times New Roman" w:cs="Times New Roman"/>
          <w:sz w:val="24"/>
          <w:szCs w:val="24"/>
        </w:rPr>
        <w:t xml:space="preserve">) and </w:t>
      </w:r>
      <w:proofErr w:type="spellStart"/>
      <w:r w:rsidRPr="006F52AD">
        <w:rPr>
          <w:rFonts w:ascii="Times New Roman" w:eastAsia="MS Mincho" w:hAnsi="Times New Roman" w:cs="Times New Roman"/>
          <w:sz w:val="24"/>
          <w:szCs w:val="24"/>
        </w:rPr>
        <w:t>Positive</w:t>
      </w:r>
      <w:r w:rsidRPr="006F52AD">
        <w:rPr>
          <w:rFonts w:ascii="Times New Roman" w:eastAsia="MS Mincho" w:hAnsi="Times New Roman" w:cs="Times New Roman"/>
          <w:sz w:val="24"/>
          <w:szCs w:val="24"/>
          <w:vertAlign w:val="superscript"/>
        </w:rPr>
        <w:t>no</w:t>
      </w:r>
      <w:proofErr w:type="spellEnd"/>
      <w:r w:rsidRPr="006F52AD">
        <w:rPr>
          <w:rFonts w:ascii="Times New Roman" w:eastAsia="MS Mincho" w:hAnsi="Times New Roman" w:cs="Times New Roman"/>
          <w:sz w:val="24"/>
          <w:szCs w:val="24"/>
          <w:vertAlign w:val="superscript"/>
        </w:rPr>
        <w:t xml:space="preserve"> bias</w:t>
      </w:r>
      <w:r w:rsidRPr="006F52AD">
        <w:rPr>
          <w:rFonts w:ascii="Times New Roman" w:eastAsia="MS Mincho" w:hAnsi="Times New Roman" w:cs="Times New Roman"/>
          <w:sz w:val="24"/>
          <w:szCs w:val="24"/>
        </w:rPr>
        <w:t>(</w:t>
      </w:r>
      <w:proofErr w:type="spellStart"/>
      <w:r w:rsidRPr="006F52AD">
        <w:rPr>
          <w:rFonts w:ascii="Times New Roman" w:eastAsia="MS Mincho" w:hAnsi="Times New Roman" w:cs="Times New Roman"/>
          <w:sz w:val="24"/>
          <w:szCs w:val="24"/>
        </w:rPr>
        <w:t>Negative</w:t>
      </w:r>
      <w:r w:rsidRPr="006F52AD">
        <w:rPr>
          <w:rFonts w:ascii="Times New Roman" w:eastAsia="MS Mincho" w:hAnsi="Times New Roman" w:cs="Times New Roman"/>
          <w:sz w:val="24"/>
          <w:szCs w:val="24"/>
          <w:vertAlign w:val="superscript"/>
        </w:rPr>
        <w:t>no</w:t>
      </w:r>
      <w:proofErr w:type="spellEnd"/>
      <w:r w:rsidRPr="006F52AD">
        <w:rPr>
          <w:rFonts w:ascii="Times New Roman" w:eastAsia="MS Mincho" w:hAnsi="Times New Roman" w:cs="Times New Roman"/>
          <w:sz w:val="24"/>
          <w:szCs w:val="24"/>
          <w:vertAlign w:val="superscript"/>
        </w:rPr>
        <w:t xml:space="preserve"> bias</w:t>
      </w:r>
      <w:r w:rsidRPr="006F52AD">
        <w:rPr>
          <w:rFonts w:ascii="Times New Roman" w:eastAsia="MS Mincho" w:hAnsi="Times New Roman" w:cs="Times New Roman"/>
          <w:sz w:val="24"/>
          <w:szCs w:val="24"/>
        </w:rPr>
        <w:t>), respectively. The Cohen’s d provides the effect size that, as a rule of thumb, if the absolute value is greater than 0.8 and closer to 2, the corresponding Welch’s t-test result between two sample groups is valid although the sample size is small. Panel D shows the descriptions of the variables used in this table.</w:t>
      </w:r>
    </w:p>
    <w:p w14:paraId="20CD4BB2" w14:textId="77777777" w:rsidR="00F72E45" w:rsidRPr="006F52AD" w:rsidRDefault="00F72E45" w:rsidP="00C658FF">
      <w:pPr>
        <w:spacing w:after="0" w:line="480" w:lineRule="auto"/>
        <w:contextualSpacing/>
        <w:jc w:val="both"/>
        <w:rPr>
          <w:rFonts w:ascii="Times New Roman" w:eastAsia="MS Mincho" w:hAnsi="Times New Roman" w:cs="Times New Roman"/>
          <w:sz w:val="24"/>
          <w:szCs w:val="24"/>
        </w:rPr>
      </w:pPr>
    </w:p>
    <w:p w14:paraId="7EDDC1AE" w14:textId="7D150239" w:rsidR="00F72E45" w:rsidRDefault="00F72E45" w:rsidP="00C658FF">
      <w:pPr>
        <w:spacing w:after="0" w:line="480" w:lineRule="auto"/>
        <w:contextualSpacing/>
        <w:jc w:val="center"/>
        <w:rPr>
          <w:rFonts w:ascii="Times New Roman" w:eastAsia="MS Mincho" w:hAnsi="Times New Roman" w:cs="Times New Roman"/>
          <w:b/>
          <w:sz w:val="24"/>
          <w:szCs w:val="24"/>
        </w:rPr>
      </w:pPr>
      <w:r w:rsidRPr="006F52AD">
        <w:rPr>
          <w:rFonts w:ascii="Times New Roman" w:eastAsia="MS Mincho" w:hAnsi="Times New Roman" w:cs="Times New Roman"/>
          <w:b/>
          <w:sz w:val="24"/>
          <w:szCs w:val="24"/>
        </w:rPr>
        <w:t>[Insert Table 8]</w:t>
      </w:r>
    </w:p>
    <w:p w14:paraId="2A033780" w14:textId="77777777" w:rsidR="00642CD0" w:rsidRPr="006F52AD" w:rsidRDefault="00642CD0" w:rsidP="00C658FF">
      <w:pPr>
        <w:spacing w:after="0" w:line="480" w:lineRule="auto"/>
        <w:contextualSpacing/>
        <w:jc w:val="center"/>
        <w:rPr>
          <w:rFonts w:ascii="Times New Roman" w:eastAsia="MS Mincho" w:hAnsi="Times New Roman" w:cs="Times New Roman"/>
          <w:b/>
          <w:sz w:val="24"/>
          <w:szCs w:val="24"/>
        </w:rPr>
      </w:pPr>
    </w:p>
    <w:p w14:paraId="14FCC3D0" w14:textId="64F367A5" w:rsidR="00F72E45" w:rsidRDefault="00F72E45" w:rsidP="00B52E2F">
      <w:pPr>
        <w:spacing w:after="0" w:line="480" w:lineRule="auto"/>
        <w:ind w:firstLine="720"/>
        <w:contextualSpacing/>
        <w:jc w:val="both"/>
        <w:rPr>
          <w:rFonts w:ascii="Times New Roman" w:eastAsia="MS Mincho" w:hAnsi="Times New Roman" w:cs="Times New Roman"/>
          <w:sz w:val="24"/>
          <w:szCs w:val="24"/>
        </w:rPr>
      </w:pPr>
      <w:r w:rsidRPr="006F52AD">
        <w:rPr>
          <w:rFonts w:ascii="Times New Roman" w:eastAsia="MS Mincho" w:hAnsi="Times New Roman" w:cs="Times New Roman"/>
          <w:sz w:val="24"/>
          <w:szCs w:val="24"/>
        </w:rPr>
        <w:t xml:space="preserve">We see an emergence of a clear pattern in both panel A and B from table 8. In general, we find that the positive investor sentiment change corresponds with changes of analyst recommendations. We find the following stylized results interpreted from Panel A and B of table 8. </w:t>
      </w:r>
    </w:p>
    <w:p w14:paraId="68DC1FBF" w14:textId="77777777" w:rsidR="006E0FEC" w:rsidRPr="006F52AD" w:rsidRDefault="006E0FEC" w:rsidP="00C658FF">
      <w:pPr>
        <w:spacing w:after="0" w:line="480" w:lineRule="auto"/>
        <w:ind w:firstLine="720"/>
        <w:contextualSpacing/>
        <w:jc w:val="both"/>
        <w:rPr>
          <w:rFonts w:ascii="Times New Roman" w:eastAsia="MS Mincho" w:hAnsi="Times New Roman" w:cs="Times New Roman"/>
          <w:sz w:val="24"/>
          <w:szCs w:val="24"/>
        </w:rPr>
      </w:pPr>
    </w:p>
    <w:p w14:paraId="12B4F617" w14:textId="77777777" w:rsidR="00F72E45" w:rsidRPr="006F52AD" w:rsidRDefault="00F72E45" w:rsidP="00C658FF">
      <w:pPr>
        <w:spacing w:after="0" w:line="480" w:lineRule="auto"/>
        <w:contextualSpacing/>
        <w:jc w:val="both"/>
        <w:rPr>
          <w:rFonts w:ascii="Times New Roman" w:eastAsia="MS Mincho" w:hAnsi="Times New Roman" w:cs="Times New Roman"/>
          <w:i/>
          <w:iCs/>
          <w:sz w:val="24"/>
          <w:szCs w:val="24"/>
          <w:u w:val="single"/>
        </w:rPr>
      </w:pPr>
      <w:r w:rsidRPr="006F52AD">
        <w:rPr>
          <w:rFonts w:ascii="Times New Roman" w:eastAsia="MS Mincho" w:hAnsi="Times New Roman" w:cs="Times New Roman"/>
          <w:i/>
          <w:iCs/>
          <w:sz w:val="24"/>
          <w:szCs w:val="24"/>
          <w:u w:val="single"/>
        </w:rPr>
        <w:t>In the presence of look ahead bias</w:t>
      </w:r>
    </w:p>
    <w:p w14:paraId="43518568" w14:textId="5FBAD76C" w:rsidR="00F72E45" w:rsidRDefault="00F72E45" w:rsidP="00B52E2F">
      <w:pPr>
        <w:spacing w:after="0" w:line="480" w:lineRule="auto"/>
        <w:ind w:firstLine="720"/>
        <w:contextualSpacing/>
        <w:jc w:val="both"/>
        <w:rPr>
          <w:rFonts w:ascii="Times New Roman" w:eastAsia="MS Mincho" w:hAnsi="Times New Roman" w:cs="Times New Roman"/>
          <w:sz w:val="24"/>
          <w:szCs w:val="24"/>
        </w:rPr>
      </w:pPr>
      <w:r w:rsidRPr="006F52AD">
        <w:rPr>
          <w:rFonts w:ascii="Times New Roman" w:eastAsia="MS Mincho" w:hAnsi="Times New Roman" w:cs="Times New Roman"/>
          <w:sz w:val="24"/>
          <w:szCs w:val="24"/>
        </w:rPr>
        <w:t>Whilst the probability on average of ending up with an upgrade status (irrespective of start status) is very similar whether one was in a positive or a negative sentiment the expected return of all corresponding moves is an order of magnitude higher when one starts with a positive sentiment as opposed to a negative one.</w:t>
      </w:r>
    </w:p>
    <w:p w14:paraId="1DE73FCD" w14:textId="77777777" w:rsidR="006E0FEC" w:rsidRPr="006F52AD" w:rsidRDefault="006E0FEC" w:rsidP="00C658FF">
      <w:pPr>
        <w:spacing w:after="0" w:line="480" w:lineRule="auto"/>
        <w:ind w:firstLine="720"/>
        <w:contextualSpacing/>
        <w:jc w:val="both"/>
        <w:rPr>
          <w:rFonts w:ascii="Times New Roman" w:eastAsia="MS Mincho" w:hAnsi="Times New Roman" w:cs="Times New Roman"/>
          <w:sz w:val="24"/>
          <w:szCs w:val="24"/>
        </w:rPr>
      </w:pPr>
    </w:p>
    <w:p w14:paraId="6FDAFFD0" w14:textId="77777777" w:rsidR="00F72E45" w:rsidRPr="006F52AD" w:rsidRDefault="00F72E45" w:rsidP="00C658FF">
      <w:pPr>
        <w:spacing w:after="0" w:line="480" w:lineRule="auto"/>
        <w:contextualSpacing/>
        <w:jc w:val="both"/>
        <w:rPr>
          <w:rFonts w:ascii="Times New Roman" w:eastAsia="MS Mincho" w:hAnsi="Times New Roman" w:cs="Times New Roman"/>
          <w:i/>
          <w:iCs/>
          <w:sz w:val="24"/>
          <w:szCs w:val="24"/>
          <w:u w:val="single"/>
        </w:rPr>
      </w:pPr>
      <w:r w:rsidRPr="006F52AD">
        <w:rPr>
          <w:rFonts w:ascii="Times New Roman" w:eastAsia="MS Mincho" w:hAnsi="Times New Roman" w:cs="Times New Roman"/>
          <w:i/>
          <w:iCs/>
          <w:sz w:val="24"/>
          <w:szCs w:val="24"/>
          <w:u w:val="single"/>
        </w:rPr>
        <w:t xml:space="preserve">When there is no look ahead bias, </w:t>
      </w:r>
    </w:p>
    <w:p w14:paraId="3F94CB05" w14:textId="77777777" w:rsidR="00F72E45" w:rsidRPr="006F52AD" w:rsidRDefault="00F72E45" w:rsidP="00C658FF">
      <w:pPr>
        <w:spacing w:after="0" w:line="480" w:lineRule="auto"/>
        <w:ind w:firstLine="720"/>
        <w:contextualSpacing/>
        <w:jc w:val="both"/>
        <w:rPr>
          <w:rFonts w:ascii="Times New Roman" w:eastAsia="MS Mincho" w:hAnsi="Times New Roman" w:cs="Times New Roman"/>
          <w:sz w:val="24"/>
          <w:szCs w:val="24"/>
        </w:rPr>
      </w:pPr>
      <w:r w:rsidRPr="006F52AD">
        <w:rPr>
          <w:rFonts w:ascii="Times New Roman" w:eastAsia="MS Mincho" w:hAnsi="Times New Roman" w:cs="Times New Roman"/>
          <w:sz w:val="24"/>
          <w:szCs w:val="24"/>
        </w:rPr>
        <w:lastRenderedPageBreak/>
        <w:t>Both the probability on average of ending up with an upgrade status (irrespective of start status) is higher if one was in a positive as opposed to a negative sentiment and the expected return of all corresponding moves is an order of magnitude higher when one starts with a positive sentiment as opposed to a negative one.</w:t>
      </w:r>
    </w:p>
    <w:p w14:paraId="2CCFCA1A" w14:textId="09C7DF20" w:rsidR="00F72E45" w:rsidRPr="006F52AD" w:rsidRDefault="00F72E45" w:rsidP="00C658FF">
      <w:pPr>
        <w:spacing w:after="0" w:line="480" w:lineRule="auto"/>
        <w:ind w:firstLine="720"/>
        <w:contextualSpacing/>
        <w:jc w:val="both"/>
        <w:rPr>
          <w:rFonts w:ascii="Times New Roman" w:eastAsia="MS Mincho" w:hAnsi="Times New Roman" w:cs="Times New Roman"/>
          <w:sz w:val="24"/>
          <w:szCs w:val="24"/>
        </w:rPr>
      </w:pPr>
      <w:r w:rsidRPr="006F52AD">
        <w:rPr>
          <w:rFonts w:ascii="Times New Roman" w:eastAsia="MS Mincho" w:hAnsi="Times New Roman" w:cs="Times New Roman"/>
          <w:sz w:val="24"/>
          <w:szCs w:val="24"/>
        </w:rPr>
        <w:t xml:space="preserve">As shown in panel C when one considers the expected returns to the </w:t>
      </w:r>
      <w:r w:rsidR="00A87058" w:rsidRPr="006F52AD">
        <w:rPr>
          <w:rFonts w:ascii="Times New Roman" w:eastAsia="MS Mincho" w:hAnsi="Times New Roman" w:cs="Times New Roman"/>
          <w:sz w:val="24"/>
          <w:szCs w:val="24"/>
        </w:rPr>
        <w:t>investors,</w:t>
      </w:r>
      <w:r w:rsidRPr="006F52AD">
        <w:rPr>
          <w:rFonts w:ascii="Times New Roman" w:eastAsia="MS Mincho" w:hAnsi="Times New Roman" w:cs="Times New Roman"/>
          <w:sz w:val="24"/>
          <w:szCs w:val="24"/>
        </w:rPr>
        <w:t xml:space="preserve"> we see that the positive sentiment effect tends to dominate the negative one across different types of permutations. i.e. In the presence of look ahead bias the differential returns when one is in a </w:t>
      </w:r>
      <w:r w:rsidRPr="006F52AD">
        <w:rPr>
          <w:rFonts w:ascii="Times New Roman" w:eastAsia="MS Mincho" w:hAnsi="Times New Roman" w:cs="Times New Roman"/>
          <w:i/>
          <w:iCs/>
          <w:sz w:val="24"/>
          <w:szCs w:val="24"/>
        </w:rPr>
        <w:t>positive</w:t>
      </w:r>
      <w:r w:rsidRPr="006F52AD">
        <w:rPr>
          <w:rFonts w:ascii="Times New Roman" w:eastAsia="MS Mincho" w:hAnsi="Times New Roman" w:cs="Times New Roman"/>
          <w:sz w:val="24"/>
          <w:szCs w:val="24"/>
        </w:rPr>
        <w:t xml:space="preserve"> sentiment (as opposed to a </w:t>
      </w:r>
      <w:r w:rsidRPr="006F52AD">
        <w:rPr>
          <w:rFonts w:ascii="Times New Roman" w:eastAsia="MS Mincho" w:hAnsi="Times New Roman" w:cs="Times New Roman"/>
          <w:i/>
          <w:iCs/>
          <w:sz w:val="24"/>
          <w:szCs w:val="24"/>
        </w:rPr>
        <w:t>negative</w:t>
      </w:r>
      <w:r w:rsidRPr="006F52AD">
        <w:rPr>
          <w:rFonts w:ascii="Times New Roman" w:eastAsia="MS Mincho" w:hAnsi="Times New Roman" w:cs="Times New Roman"/>
          <w:sz w:val="24"/>
          <w:szCs w:val="24"/>
        </w:rPr>
        <w:t xml:space="preserve"> one) is statistically significant at 1%.  Furthermore, when one considers the effect between ‘</w:t>
      </w:r>
      <w:r w:rsidRPr="006F52AD">
        <w:rPr>
          <w:rFonts w:ascii="Times New Roman" w:eastAsia="MS Mincho" w:hAnsi="Times New Roman" w:cs="Times New Roman"/>
          <w:i/>
          <w:iCs/>
          <w:sz w:val="24"/>
          <w:szCs w:val="24"/>
        </w:rPr>
        <w:t>with</w:t>
      </w:r>
      <w:r w:rsidRPr="006F52AD">
        <w:rPr>
          <w:rFonts w:ascii="Times New Roman" w:eastAsia="MS Mincho" w:hAnsi="Times New Roman" w:cs="Times New Roman"/>
          <w:sz w:val="24"/>
          <w:szCs w:val="24"/>
        </w:rPr>
        <w:t>’ and ‘</w:t>
      </w:r>
      <w:r w:rsidRPr="006F52AD">
        <w:rPr>
          <w:rFonts w:ascii="Times New Roman" w:eastAsia="MS Mincho" w:hAnsi="Times New Roman" w:cs="Times New Roman"/>
          <w:i/>
          <w:iCs/>
          <w:sz w:val="24"/>
          <w:szCs w:val="24"/>
        </w:rPr>
        <w:t>without</w:t>
      </w:r>
      <w:r w:rsidRPr="006F52AD">
        <w:rPr>
          <w:rFonts w:ascii="Times New Roman" w:eastAsia="MS Mincho" w:hAnsi="Times New Roman" w:cs="Times New Roman"/>
          <w:sz w:val="24"/>
          <w:szCs w:val="24"/>
        </w:rPr>
        <w:t xml:space="preserve">’ </w:t>
      </w:r>
      <w:r w:rsidRPr="006F52AD">
        <w:rPr>
          <w:rFonts w:ascii="Times New Roman" w:eastAsia="MS Mincho" w:hAnsi="Times New Roman" w:cs="Times New Roman"/>
          <w:i/>
          <w:iCs/>
          <w:sz w:val="24"/>
          <w:szCs w:val="24"/>
        </w:rPr>
        <w:t>look ahead bias</w:t>
      </w:r>
      <w:r w:rsidRPr="006F52AD">
        <w:rPr>
          <w:rFonts w:ascii="Times New Roman" w:eastAsia="MS Mincho" w:hAnsi="Times New Roman" w:cs="Times New Roman"/>
          <w:sz w:val="24"/>
          <w:szCs w:val="24"/>
        </w:rPr>
        <w:t xml:space="preserve"> the differential returns when one is in a positive sentiment (as opposed to a negative one) is also statistically significant at 1%. We also find that the differential returns between the two corresponding </w:t>
      </w:r>
      <w:r w:rsidRPr="006F52AD">
        <w:rPr>
          <w:rFonts w:ascii="Times New Roman" w:eastAsia="MS Mincho" w:hAnsi="Times New Roman" w:cs="Times New Roman"/>
          <w:i/>
          <w:iCs/>
          <w:sz w:val="24"/>
          <w:szCs w:val="24"/>
        </w:rPr>
        <w:t>positive sentiments</w:t>
      </w:r>
      <w:r w:rsidRPr="006F52AD">
        <w:rPr>
          <w:rFonts w:ascii="Times New Roman" w:eastAsia="MS Mincho" w:hAnsi="Times New Roman" w:cs="Times New Roman"/>
          <w:sz w:val="24"/>
          <w:szCs w:val="24"/>
        </w:rPr>
        <w:t xml:space="preserve"> with and without look ahead bias also statistically significant at 1%. Our results have important implications to capital market investors as one could argue that these investors would be more concerned about their expected returns.</w:t>
      </w:r>
    </w:p>
    <w:p w14:paraId="3A89252E" w14:textId="5874E777" w:rsidR="00F72E45" w:rsidRDefault="00F72E45" w:rsidP="00C658FF">
      <w:pPr>
        <w:spacing w:after="0" w:line="480" w:lineRule="auto"/>
        <w:ind w:firstLine="720"/>
        <w:contextualSpacing/>
        <w:jc w:val="both"/>
        <w:rPr>
          <w:rFonts w:ascii="Times New Roman" w:eastAsia="MS Mincho" w:hAnsi="Times New Roman" w:cs="Times New Roman"/>
          <w:sz w:val="24"/>
          <w:szCs w:val="24"/>
        </w:rPr>
      </w:pPr>
      <w:r w:rsidRPr="006F52AD">
        <w:rPr>
          <w:rFonts w:ascii="Times New Roman" w:eastAsia="MS Mincho" w:hAnsi="Times New Roman" w:cs="Times New Roman"/>
          <w:sz w:val="24"/>
          <w:szCs w:val="24"/>
        </w:rPr>
        <w:t xml:space="preserve">These results align with Bagnoli et al. (2009) and </w:t>
      </w:r>
      <w:proofErr w:type="spellStart"/>
      <w:r w:rsidRPr="006F52AD">
        <w:rPr>
          <w:rFonts w:ascii="Times New Roman" w:eastAsia="Times New Roman" w:hAnsi="Times New Roman" w:cs="Times New Roman"/>
          <w:sz w:val="24"/>
          <w:szCs w:val="24"/>
        </w:rPr>
        <w:t>Corredor</w:t>
      </w:r>
      <w:proofErr w:type="spellEnd"/>
      <w:r w:rsidRPr="006F52AD">
        <w:rPr>
          <w:rFonts w:ascii="Times New Roman" w:eastAsia="Times New Roman" w:hAnsi="Times New Roman" w:cs="Times New Roman"/>
          <w:sz w:val="24"/>
          <w:szCs w:val="24"/>
        </w:rPr>
        <w:t xml:space="preserve"> et al.’s (2013) </w:t>
      </w:r>
      <w:r w:rsidRPr="006F52AD">
        <w:rPr>
          <w:rFonts w:ascii="Times New Roman" w:eastAsia="MS Mincho" w:hAnsi="Times New Roman" w:cs="Times New Roman"/>
          <w:sz w:val="24"/>
          <w:szCs w:val="24"/>
        </w:rPr>
        <w:t xml:space="preserve">arguments that the analysts are more heavily affected and biased by positive investor sentiment when issuing favorable stock recommendations as we also find the positive investor sentiment effect from all types of stock recommendations in Hong Kong financial markets. As we also find positive expected stock returns under positive investor sentiment contingent on various analyst recommendations consistent with Barber et al. (2001) and Womack (1996). Thus, the investor market sentiment is still a critical factor affecting not only the analyst recommendations but also the corresponding stock returns in the Hong Kong financial markets. </w:t>
      </w:r>
    </w:p>
    <w:p w14:paraId="7BFBED3F" w14:textId="77777777" w:rsidR="00323A45" w:rsidRPr="006F52AD" w:rsidRDefault="00323A45" w:rsidP="00C658FF">
      <w:pPr>
        <w:spacing w:after="0" w:line="480" w:lineRule="auto"/>
        <w:contextualSpacing/>
        <w:jc w:val="both"/>
        <w:rPr>
          <w:rFonts w:ascii="Times New Roman" w:eastAsia="MS Mincho" w:hAnsi="Times New Roman" w:cs="Times New Roman"/>
          <w:b/>
          <w:sz w:val="24"/>
          <w:szCs w:val="24"/>
        </w:rPr>
      </w:pPr>
    </w:p>
    <w:p w14:paraId="6E5CC400" w14:textId="77777777" w:rsidR="00F20569" w:rsidRPr="004D5393" w:rsidRDefault="00F20569" w:rsidP="00C658FF">
      <w:pPr>
        <w:spacing w:after="0" w:line="48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6. </w:t>
      </w:r>
      <w:r w:rsidRPr="004D5393">
        <w:rPr>
          <w:rFonts w:ascii="Times New Roman" w:hAnsi="Times New Roman" w:cs="Times New Roman"/>
          <w:b/>
          <w:bCs/>
          <w:sz w:val="24"/>
          <w:szCs w:val="24"/>
        </w:rPr>
        <w:t xml:space="preserve">Conclusions and implications of </w:t>
      </w:r>
      <w:r>
        <w:rPr>
          <w:rFonts w:ascii="Times New Roman" w:hAnsi="Times New Roman" w:cs="Times New Roman"/>
          <w:b/>
          <w:bCs/>
          <w:sz w:val="24"/>
          <w:szCs w:val="24"/>
        </w:rPr>
        <w:t xml:space="preserve">the </w:t>
      </w:r>
      <w:r w:rsidRPr="004D5393">
        <w:rPr>
          <w:rFonts w:ascii="Times New Roman" w:hAnsi="Times New Roman" w:cs="Times New Roman"/>
          <w:b/>
          <w:bCs/>
          <w:sz w:val="24"/>
          <w:szCs w:val="24"/>
        </w:rPr>
        <w:t>study</w:t>
      </w:r>
    </w:p>
    <w:p w14:paraId="77D824C4" w14:textId="4171CD83" w:rsidR="00F20569" w:rsidRPr="004D5393" w:rsidRDefault="00F20569" w:rsidP="00C658FF">
      <w:pPr>
        <w:spacing w:after="0" w:line="480" w:lineRule="auto"/>
        <w:ind w:firstLine="720"/>
        <w:contextualSpacing/>
        <w:jc w:val="both"/>
        <w:rPr>
          <w:rFonts w:ascii="Times New Roman" w:hAnsi="Times New Roman" w:cs="Times New Roman"/>
          <w:bCs/>
          <w:sz w:val="24"/>
          <w:szCs w:val="24"/>
        </w:rPr>
      </w:pPr>
      <w:r w:rsidRPr="004D5393">
        <w:rPr>
          <w:rFonts w:ascii="Times New Roman" w:hAnsi="Times New Roman" w:cs="Times New Roman"/>
          <w:sz w:val="24"/>
          <w:szCs w:val="24"/>
        </w:rPr>
        <w:lastRenderedPageBreak/>
        <w:t xml:space="preserve">This study examines the short−term price impact of stock recommendations issued by sell−side analysts on 26 major constituent stocks of the Hang Seng Index, the market benchmark </w:t>
      </w:r>
      <w:r w:rsidRPr="004D5393">
        <w:rPr>
          <w:rFonts w:ascii="Times New Roman" w:hAnsi="Times New Roman" w:cs="Times New Roman"/>
          <w:bCs/>
          <w:sz w:val="24"/>
          <w:szCs w:val="24"/>
        </w:rPr>
        <w:t xml:space="preserve">monitoring daily movement of the largest companies listed on the </w:t>
      </w:r>
      <w:hyperlink r:id="rId13" w:tooltip="Hong Kong Stock Exchange" w:history="1">
        <w:r w:rsidRPr="004D5393">
          <w:rPr>
            <w:rFonts w:ascii="Times New Roman" w:hAnsi="Times New Roman" w:cs="Times New Roman"/>
            <w:bCs/>
            <w:sz w:val="24"/>
            <w:szCs w:val="24"/>
          </w:rPr>
          <w:t>Hong Kong Stocks</w:t>
        </w:r>
      </w:hyperlink>
      <w:r w:rsidRPr="004D5393">
        <w:rPr>
          <w:rFonts w:ascii="Times New Roman" w:hAnsi="Times New Roman" w:cs="Times New Roman"/>
          <w:bCs/>
          <w:sz w:val="24"/>
          <w:szCs w:val="24"/>
        </w:rPr>
        <w:t xml:space="preserve"> Exchange. Numerous academic studies show that stock analysts play an important role in the stock market in which their recommendations deliver substantial information to the investors, resulting in different levels of price impact. </w:t>
      </w:r>
    </w:p>
    <w:p w14:paraId="3A075B47" w14:textId="77777777" w:rsidR="00F20569" w:rsidRPr="00416268" w:rsidRDefault="00F20569" w:rsidP="00C658FF">
      <w:pPr>
        <w:spacing w:after="0" w:line="480" w:lineRule="auto"/>
        <w:contextualSpacing/>
        <w:jc w:val="both"/>
        <w:rPr>
          <w:rFonts w:ascii="Times New Roman" w:hAnsi="Times New Roman" w:cs="Times New Roman"/>
          <w:bCs/>
          <w:sz w:val="24"/>
          <w:szCs w:val="24"/>
        </w:rPr>
      </w:pPr>
      <w:r w:rsidRPr="00416268">
        <w:rPr>
          <w:rFonts w:ascii="Times New Roman" w:hAnsi="Times New Roman" w:cs="Times New Roman"/>
          <w:bCs/>
          <w:sz w:val="24"/>
          <w:szCs w:val="24"/>
        </w:rPr>
        <w:tab/>
        <w:t>We analyze</w:t>
      </w:r>
      <w:r w:rsidRPr="004D5393">
        <w:rPr>
          <w:rFonts w:ascii="Times New Roman" w:hAnsi="Times New Roman" w:cs="Times New Roman"/>
          <w:bCs/>
          <w:sz w:val="24"/>
          <w:szCs w:val="24"/>
        </w:rPr>
        <w:t xml:space="preserve"> the </w:t>
      </w:r>
      <w:r w:rsidRPr="00416268">
        <w:rPr>
          <w:rFonts w:ascii="Times New Roman" w:hAnsi="Times New Roman" w:cs="Times New Roman"/>
          <w:bCs/>
          <w:sz w:val="24"/>
          <w:szCs w:val="24"/>
        </w:rPr>
        <w:t>Hong Kong stock market reactions</w:t>
      </w:r>
      <w:r w:rsidRPr="004D5393">
        <w:rPr>
          <w:rFonts w:ascii="Times New Roman" w:hAnsi="Times New Roman" w:cs="Times New Roman"/>
          <w:bCs/>
          <w:sz w:val="24"/>
          <w:szCs w:val="24"/>
        </w:rPr>
        <w:t xml:space="preserve"> </w:t>
      </w:r>
      <w:r w:rsidRPr="00416268">
        <w:rPr>
          <w:rFonts w:ascii="Times New Roman" w:hAnsi="Times New Roman" w:cs="Times New Roman"/>
          <w:bCs/>
          <w:sz w:val="24"/>
          <w:szCs w:val="24"/>
        </w:rPr>
        <w:t>from</w:t>
      </w:r>
      <w:r w:rsidRPr="004D5393">
        <w:rPr>
          <w:rFonts w:ascii="Times New Roman" w:hAnsi="Times New Roman" w:cs="Times New Roman"/>
          <w:bCs/>
          <w:sz w:val="24"/>
          <w:szCs w:val="24"/>
        </w:rPr>
        <w:t xml:space="preserve"> analysts’ stock recommendations </w:t>
      </w:r>
      <w:r w:rsidRPr="00416268">
        <w:rPr>
          <w:rFonts w:ascii="Times New Roman" w:hAnsi="Times New Roman" w:cs="Times New Roman"/>
          <w:bCs/>
          <w:sz w:val="24"/>
          <w:szCs w:val="24"/>
        </w:rPr>
        <w:t>(</w:t>
      </w:r>
      <w:r w:rsidRPr="004D5393">
        <w:rPr>
          <w:rFonts w:ascii="Times New Roman" w:hAnsi="Times New Roman" w:cs="Times New Roman"/>
          <w:bCs/>
          <w:sz w:val="24"/>
          <w:szCs w:val="24"/>
        </w:rPr>
        <w:t>1696 upgrades and downgrades</w:t>
      </w:r>
      <w:r w:rsidRPr="00416268">
        <w:rPr>
          <w:rFonts w:ascii="Times New Roman" w:hAnsi="Times New Roman" w:cs="Times New Roman"/>
          <w:bCs/>
          <w:sz w:val="24"/>
          <w:szCs w:val="24"/>
        </w:rPr>
        <w:t xml:space="preserve">, and </w:t>
      </w:r>
      <w:r w:rsidRPr="004D5393">
        <w:rPr>
          <w:rFonts w:ascii="Times New Roman" w:hAnsi="Times New Roman" w:cs="Times New Roman"/>
          <w:bCs/>
          <w:sz w:val="24"/>
          <w:szCs w:val="24"/>
        </w:rPr>
        <w:t>504 initiation coverages</w:t>
      </w:r>
      <w:r w:rsidRPr="00416268">
        <w:rPr>
          <w:rFonts w:ascii="Times New Roman" w:hAnsi="Times New Roman" w:cs="Times New Roman"/>
          <w:bCs/>
          <w:sz w:val="24"/>
          <w:szCs w:val="24"/>
        </w:rPr>
        <w:t>)</w:t>
      </w:r>
      <w:r w:rsidRPr="004D5393">
        <w:rPr>
          <w:rFonts w:ascii="Times New Roman" w:hAnsi="Times New Roman" w:cs="Times New Roman"/>
          <w:bCs/>
          <w:sz w:val="24"/>
          <w:szCs w:val="24"/>
        </w:rPr>
        <w:t xml:space="preserve"> </w:t>
      </w:r>
      <w:r w:rsidRPr="00416268">
        <w:rPr>
          <w:rFonts w:ascii="Times New Roman" w:hAnsi="Times New Roman" w:cs="Times New Roman"/>
          <w:bCs/>
          <w:sz w:val="24"/>
          <w:szCs w:val="24"/>
        </w:rPr>
        <w:t xml:space="preserve">and consider the ongoing market sentiments. We find that the analysts’ upgrade recommendations result in significantly positive market reactions around the announcement day since these deliver newly favorable information to the investors. Similarly, we also find significantly negative market reactions to analysts’ downgrade recommendations, which shows even larger reactions in absolute figure compared to the market reactions to analysts’ upgrade recommendations. </w:t>
      </w:r>
      <w:bookmarkStart w:id="0" w:name="_Hlk46792450"/>
      <w:r w:rsidRPr="00416268">
        <w:rPr>
          <w:rFonts w:ascii="Times New Roman" w:hAnsi="Times New Roman" w:cs="Times New Roman"/>
          <w:bCs/>
          <w:sz w:val="24"/>
          <w:szCs w:val="24"/>
        </w:rPr>
        <w:t xml:space="preserve">Therefore, the investors are more sensitive to losses than to gains consistent with prospect theory by </w:t>
      </w:r>
      <w:r w:rsidRPr="004D5393">
        <w:rPr>
          <w:rFonts w:ascii="Times New Roman" w:hAnsi="Times New Roman" w:cs="Times New Roman"/>
          <w:bCs/>
          <w:sz w:val="24"/>
          <w:szCs w:val="24"/>
        </w:rPr>
        <w:t>Kahneman and Tversky</w:t>
      </w:r>
      <w:r w:rsidRPr="00416268">
        <w:rPr>
          <w:rFonts w:ascii="Times New Roman" w:hAnsi="Times New Roman" w:cs="Times New Roman"/>
          <w:bCs/>
          <w:sz w:val="24"/>
          <w:szCs w:val="24"/>
        </w:rPr>
        <w:t xml:space="preserve"> (</w:t>
      </w:r>
      <w:r w:rsidRPr="004D5393">
        <w:rPr>
          <w:rFonts w:ascii="Times New Roman" w:hAnsi="Times New Roman" w:cs="Times New Roman"/>
          <w:bCs/>
          <w:sz w:val="24"/>
          <w:szCs w:val="24"/>
        </w:rPr>
        <w:t>1979)</w:t>
      </w:r>
      <w:r w:rsidRPr="00416268">
        <w:rPr>
          <w:rFonts w:ascii="Times New Roman" w:hAnsi="Times New Roman" w:cs="Times New Roman"/>
          <w:bCs/>
          <w:sz w:val="24"/>
          <w:szCs w:val="24"/>
        </w:rPr>
        <w:t>. On the other hand, the market reactions to initiation coverage with buy and sell recommendations are insignificant since these do not deliver enough information to the market or the market may reflect all this related information too quickly,</w:t>
      </w:r>
      <w:r w:rsidRPr="004D5393">
        <w:rPr>
          <w:rFonts w:ascii="Times New Roman" w:hAnsi="Times New Roman" w:cs="Times New Roman"/>
          <w:bCs/>
          <w:sz w:val="24"/>
          <w:szCs w:val="24"/>
        </w:rPr>
        <w:t xml:space="preserve"> </w:t>
      </w:r>
      <w:r w:rsidRPr="00416268">
        <w:rPr>
          <w:rFonts w:ascii="Times New Roman" w:hAnsi="Times New Roman" w:cs="Times New Roman"/>
          <w:bCs/>
          <w:sz w:val="24"/>
          <w:szCs w:val="24"/>
        </w:rPr>
        <w:t>contrary to Branson et al. (1998) and Irvine (2003).  Then we assess the short−term impact of analysts’ recommendations under two bullish and bearish market conditions. We find that the investors react more optimistically to upgrade recommendations during bullish phase but react even more pessimistically to downgrades during bearish phase confirming more loss sensitive investors’ behaviors.</w:t>
      </w:r>
    </w:p>
    <w:bookmarkEnd w:id="0"/>
    <w:p w14:paraId="4745982C" w14:textId="77777777" w:rsidR="00F20569" w:rsidRDefault="00F20569" w:rsidP="00C658FF">
      <w:pPr>
        <w:spacing w:after="0" w:line="480" w:lineRule="auto"/>
        <w:ind w:firstLine="720"/>
        <w:contextualSpacing/>
        <w:jc w:val="both"/>
        <w:rPr>
          <w:rStyle w:val="CommentReference"/>
          <w:rFonts w:ascii="Times New Roman" w:hAnsi="Times New Roman" w:cs="Times New Roman"/>
          <w:sz w:val="24"/>
          <w:szCs w:val="24"/>
        </w:rPr>
      </w:pPr>
      <w:r w:rsidRPr="00416268">
        <w:rPr>
          <w:rFonts w:ascii="Times New Roman" w:hAnsi="Times New Roman" w:cs="Times New Roman"/>
          <w:sz w:val="24"/>
          <w:szCs w:val="24"/>
        </w:rPr>
        <w:t>We apply the conditional probability framework</w:t>
      </w:r>
      <w:r w:rsidRPr="004D5393">
        <w:rPr>
          <w:rFonts w:ascii="Times New Roman" w:hAnsi="Times New Roman" w:cs="Times New Roman"/>
          <w:sz w:val="24"/>
          <w:szCs w:val="24"/>
        </w:rPr>
        <w:t xml:space="preserve"> </w:t>
      </w:r>
      <w:r w:rsidRPr="00416268">
        <w:rPr>
          <w:rFonts w:ascii="Times New Roman" w:hAnsi="Times New Roman" w:cs="Times New Roman"/>
          <w:sz w:val="24"/>
          <w:szCs w:val="24"/>
        </w:rPr>
        <w:t>to the</w:t>
      </w:r>
      <w:r w:rsidRPr="004D5393">
        <w:rPr>
          <w:rFonts w:ascii="Times New Roman" w:hAnsi="Times New Roman" w:cs="Times New Roman"/>
          <w:sz w:val="24"/>
          <w:szCs w:val="24"/>
        </w:rPr>
        <w:t xml:space="preserve"> analyst recommendation</w:t>
      </w:r>
      <w:r w:rsidRPr="00416268">
        <w:rPr>
          <w:rFonts w:ascii="Times New Roman" w:hAnsi="Times New Roman" w:cs="Times New Roman"/>
          <w:sz w:val="24"/>
          <w:szCs w:val="24"/>
        </w:rPr>
        <w:t>s</w:t>
      </w:r>
      <w:r w:rsidRPr="004D5393">
        <w:rPr>
          <w:rFonts w:ascii="Times New Roman" w:hAnsi="Times New Roman" w:cs="Times New Roman"/>
          <w:sz w:val="24"/>
          <w:szCs w:val="24"/>
        </w:rPr>
        <w:t xml:space="preserve"> </w:t>
      </w:r>
      <w:r w:rsidRPr="00416268">
        <w:rPr>
          <w:rFonts w:ascii="Times New Roman" w:hAnsi="Times New Roman" w:cs="Times New Roman"/>
          <w:sz w:val="24"/>
          <w:szCs w:val="24"/>
        </w:rPr>
        <w:t>conditioned o</w:t>
      </w:r>
      <w:r w:rsidRPr="004D5393">
        <w:rPr>
          <w:rFonts w:ascii="Times New Roman" w:hAnsi="Times New Roman" w:cs="Times New Roman"/>
          <w:sz w:val="24"/>
          <w:szCs w:val="24"/>
        </w:rPr>
        <w:t xml:space="preserve">n the investor sentiment and </w:t>
      </w:r>
      <w:r w:rsidRPr="00416268">
        <w:rPr>
          <w:rFonts w:ascii="Times New Roman" w:hAnsi="Times New Roman" w:cs="Times New Roman"/>
          <w:sz w:val="24"/>
          <w:szCs w:val="24"/>
        </w:rPr>
        <w:t xml:space="preserve">estimate </w:t>
      </w:r>
      <w:r w:rsidRPr="004D5393">
        <w:rPr>
          <w:rFonts w:ascii="Times New Roman" w:hAnsi="Times New Roman" w:cs="Times New Roman"/>
          <w:sz w:val="24"/>
          <w:szCs w:val="24"/>
        </w:rPr>
        <w:t xml:space="preserve">the corresponding expected stock returns. Our finding </w:t>
      </w:r>
      <w:r>
        <w:rPr>
          <w:rFonts w:ascii="Times New Roman" w:hAnsi="Times New Roman" w:cs="Times New Roman"/>
          <w:sz w:val="24"/>
          <w:szCs w:val="24"/>
        </w:rPr>
        <w:t xml:space="preserve">shows that with </w:t>
      </w:r>
      <w:r w:rsidRPr="004B5B59">
        <w:rPr>
          <w:rFonts w:ascii="Times New Roman" w:hAnsi="Times New Roman" w:cs="Times New Roman"/>
          <w:sz w:val="24"/>
          <w:szCs w:val="24"/>
        </w:rPr>
        <w:t xml:space="preserve">look ahead bias the differential returns when one is in a positive </w:t>
      </w:r>
      <w:r w:rsidRPr="004B5B59">
        <w:rPr>
          <w:rFonts w:ascii="Times New Roman" w:hAnsi="Times New Roman" w:cs="Times New Roman"/>
          <w:sz w:val="24"/>
          <w:szCs w:val="24"/>
        </w:rPr>
        <w:lastRenderedPageBreak/>
        <w:t>sentiment as opposed to a negative one</w:t>
      </w:r>
      <w:r>
        <w:rPr>
          <w:rFonts w:ascii="Times New Roman" w:hAnsi="Times New Roman" w:cs="Times New Roman"/>
          <w:sz w:val="24"/>
          <w:szCs w:val="24"/>
        </w:rPr>
        <w:t>,</w:t>
      </w:r>
      <w:r w:rsidRPr="004B5B59">
        <w:rPr>
          <w:rFonts w:ascii="Times New Roman" w:hAnsi="Times New Roman" w:cs="Times New Roman"/>
          <w:sz w:val="24"/>
          <w:szCs w:val="24"/>
        </w:rPr>
        <w:t xml:space="preserve"> is significant, </w:t>
      </w:r>
      <w:r>
        <w:rPr>
          <w:rFonts w:ascii="Times New Roman" w:hAnsi="Times New Roman" w:cs="Times New Roman"/>
          <w:sz w:val="24"/>
          <w:szCs w:val="24"/>
        </w:rPr>
        <w:t xml:space="preserve">and that </w:t>
      </w:r>
      <w:r w:rsidRPr="004B5B59">
        <w:rPr>
          <w:rFonts w:ascii="Times New Roman" w:hAnsi="Times New Roman" w:cs="Times New Roman"/>
          <w:sz w:val="24"/>
          <w:szCs w:val="24"/>
        </w:rPr>
        <w:t xml:space="preserve">the differential returns </w:t>
      </w:r>
      <w:r>
        <w:rPr>
          <w:rFonts w:ascii="Times New Roman" w:hAnsi="Times New Roman" w:cs="Times New Roman"/>
          <w:sz w:val="24"/>
          <w:szCs w:val="24"/>
        </w:rPr>
        <w:t xml:space="preserve">between </w:t>
      </w:r>
      <w:r w:rsidRPr="004B5B59">
        <w:rPr>
          <w:rFonts w:ascii="Times New Roman" w:hAnsi="Times New Roman" w:cs="Times New Roman"/>
          <w:sz w:val="24"/>
          <w:szCs w:val="24"/>
        </w:rPr>
        <w:t>the two corresponding positive sentiments with and without look ahead bias also statistically significant</w:t>
      </w:r>
      <w:r>
        <w:rPr>
          <w:rFonts w:ascii="Times New Roman" w:hAnsi="Times New Roman" w:cs="Times New Roman"/>
          <w:sz w:val="24"/>
          <w:szCs w:val="24"/>
        </w:rPr>
        <w:t>. Our findings have implications to capital market participants as they suggest that exploitable trading strategies can be developed for the Hong Kong market with the information of the market sentiment in the past.</w:t>
      </w:r>
    </w:p>
    <w:p w14:paraId="117D453C" w14:textId="20E3F257" w:rsidR="00F20569" w:rsidRDefault="00F20569" w:rsidP="00B52E2F">
      <w:pPr>
        <w:spacing w:after="0" w:line="480" w:lineRule="auto"/>
        <w:ind w:firstLine="720"/>
        <w:contextualSpacing/>
        <w:jc w:val="both"/>
        <w:rPr>
          <w:rFonts w:ascii="Times New Roman" w:hAnsi="Times New Roman" w:cs="Times New Roman"/>
          <w:sz w:val="24"/>
          <w:szCs w:val="24"/>
        </w:rPr>
      </w:pPr>
      <w:bookmarkStart w:id="1" w:name="_Hlk46792895"/>
      <w:r w:rsidRPr="004D5393">
        <w:rPr>
          <w:rFonts w:ascii="Times New Roman" w:hAnsi="Times New Roman" w:cs="Times New Roman"/>
          <w:sz w:val="24"/>
          <w:szCs w:val="24"/>
        </w:rPr>
        <w:t xml:space="preserve">This study provides evidence in support to the fact that analysts’ recommendation upgrades and downgrades deliver permanent and significant information to the Hong Kong stock market. However, analysts’ initiation coverages convey little information and bring about limited impact to the stock market. In addition, analysts’ upgrades and downgrades result in significant price impact to different extents in the bullish and the bearish phases.  </w:t>
      </w:r>
    </w:p>
    <w:p w14:paraId="63D4B2FE" w14:textId="1785F5C7" w:rsidR="006E0FEC" w:rsidRDefault="006E0FEC" w:rsidP="00B34650">
      <w:pPr>
        <w:spacing w:after="0" w:line="480" w:lineRule="auto"/>
        <w:ind w:firstLine="720"/>
        <w:contextualSpacing/>
        <w:jc w:val="both"/>
        <w:rPr>
          <w:rFonts w:ascii="Times New Roman" w:hAnsi="Times New Roman" w:cs="Times New Roman"/>
          <w:b/>
          <w:sz w:val="24"/>
          <w:szCs w:val="24"/>
        </w:rPr>
      </w:pPr>
    </w:p>
    <w:p w14:paraId="0932A318" w14:textId="2C81322C" w:rsidR="00B34650" w:rsidRDefault="00B34650" w:rsidP="00B34650">
      <w:pPr>
        <w:spacing w:after="0" w:line="480" w:lineRule="auto"/>
        <w:ind w:firstLine="720"/>
        <w:contextualSpacing/>
        <w:jc w:val="both"/>
        <w:rPr>
          <w:rFonts w:ascii="Times New Roman" w:hAnsi="Times New Roman" w:cs="Times New Roman"/>
          <w:b/>
          <w:sz w:val="24"/>
          <w:szCs w:val="24"/>
        </w:rPr>
      </w:pPr>
    </w:p>
    <w:p w14:paraId="736E79E1" w14:textId="772FF962" w:rsidR="00B34650" w:rsidRDefault="00B34650" w:rsidP="00B34650">
      <w:pPr>
        <w:spacing w:after="0" w:line="480" w:lineRule="auto"/>
        <w:ind w:firstLine="720"/>
        <w:contextualSpacing/>
        <w:jc w:val="both"/>
        <w:rPr>
          <w:rFonts w:ascii="Times New Roman" w:hAnsi="Times New Roman" w:cs="Times New Roman"/>
          <w:b/>
          <w:sz w:val="24"/>
          <w:szCs w:val="24"/>
        </w:rPr>
      </w:pPr>
    </w:p>
    <w:p w14:paraId="067F25A2" w14:textId="4E5F6071" w:rsidR="007C6349" w:rsidRDefault="007C6349" w:rsidP="00B34650">
      <w:pPr>
        <w:spacing w:after="0" w:line="480" w:lineRule="auto"/>
        <w:ind w:firstLine="720"/>
        <w:contextualSpacing/>
        <w:jc w:val="both"/>
        <w:rPr>
          <w:rFonts w:ascii="Times New Roman" w:hAnsi="Times New Roman" w:cs="Times New Roman"/>
          <w:b/>
          <w:sz w:val="24"/>
          <w:szCs w:val="24"/>
        </w:rPr>
      </w:pPr>
    </w:p>
    <w:p w14:paraId="3C03ADB0" w14:textId="3ADE9A98" w:rsidR="007C6349" w:rsidRDefault="007C6349" w:rsidP="00B34650">
      <w:pPr>
        <w:spacing w:after="0" w:line="480" w:lineRule="auto"/>
        <w:ind w:firstLine="720"/>
        <w:contextualSpacing/>
        <w:jc w:val="both"/>
        <w:rPr>
          <w:rFonts w:ascii="Times New Roman" w:hAnsi="Times New Roman" w:cs="Times New Roman"/>
          <w:b/>
          <w:sz w:val="24"/>
          <w:szCs w:val="24"/>
        </w:rPr>
      </w:pPr>
    </w:p>
    <w:p w14:paraId="08DD9649" w14:textId="7920D220" w:rsidR="007C6349" w:rsidRDefault="007C6349" w:rsidP="00B34650">
      <w:pPr>
        <w:spacing w:after="0" w:line="480" w:lineRule="auto"/>
        <w:ind w:firstLine="720"/>
        <w:contextualSpacing/>
        <w:jc w:val="both"/>
        <w:rPr>
          <w:rFonts w:ascii="Times New Roman" w:hAnsi="Times New Roman" w:cs="Times New Roman"/>
          <w:b/>
          <w:sz w:val="24"/>
          <w:szCs w:val="24"/>
        </w:rPr>
      </w:pPr>
    </w:p>
    <w:p w14:paraId="7B2A0172" w14:textId="224105F9" w:rsidR="007C6349" w:rsidRDefault="007C6349" w:rsidP="00B34650">
      <w:pPr>
        <w:spacing w:after="0" w:line="480" w:lineRule="auto"/>
        <w:ind w:firstLine="720"/>
        <w:contextualSpacing/>
        <w:jc w:val="both"/>
        <w:rPr>
          <w:rFonts w:ascii="Times New Roman" w:hAnsi="Times New Roman" w:cs="Times New Roman"/>
          <w:b/>
          <w:sz w:val="24"/>
          <w:szCs w:val="24"/>
        </w:rPr>
      </w:pPr>
    </w:p>
    <w:p w14:paraId="338EDE4D" w14:textId="497CA9BE" w:rsidR="007C6349" w:rsidRDefault="007C6349" w:rsidP="00B34650">
      <w:pPr>
        <w:spacing w:after="0" w:line="480" w:lineRule="auto"/>
        <w:ind w:firstLine="720"/>
        <w:contextualSpacing/>
        <w:jc w:val="both"/>
        <w:rPr>
          <w:rFonts w:ascii="Times New Roman" w:hAnsi="Times New Roman" w:cs="Times New Roman"/>
          <w:b/>
          <w:sz w:val="24"/>
          <w:szCs w:val="24"/>
        </w:rPr>
      </w:pPr>
    </w:p>
    <w:p w14:paraId="4E88BEAE" w14:textId="3F17FCC7" w:rsidR="007C6349" w:rsidRDefault="007C6349" w:rsidP="00B34650">
      <w:pPr>
        <w:spacing w:after="0" w:line="480" w:lineRule="auto"/>
        <w:ind w:firstLine="720"/>
        <w:contextualSpacing/>
        <w:jc w:val="both"/>
        <w:rPr>
          <w:rFonts w:ascii="Times New Roman" w:hAnsi="Times New Roman" w:cs="Times New Roman"/>
          <w:b/>
          <w:sz w:val="24"/>
          <w:szCs w:val="24"/>
        </w:rPr>
      </w:pPr>
    </w:p>
    <w:p w14:paraId="1649227B" w14:textId="22573F2D" w:rsidR="007C6349" w:rsidRDefault="007C6349" w:rsidP="00B34650">
      <w:pPr>
        <w:spacing w:after="0" w:line="480" w:lineRule="auto"/>
        <w:ind w:firstLine="720"/>
        <w:contextualSpacing/>
        <w:jc w:val="both"/>
        <w:rPr>
          <w:rFonts w:ascii="Times New Roman" w:hAnsi="Times New Roman" w:cs="Times New Roman"/>
          <w:b/>
          <w:sz w:val="24"/>
          <w:szCs w:val="24"/>
        </w:rPr>
      </w:pPr>
    </w:p>
    <w:p w14:paraId="081F701A" w14:textId="751360CA" w:rsidR="007C6349" w:rsidRDefault="007C6349" w:rsidP="00B34650">
      <w:pPr>
        <w:spacing w:after="0" w:line="480" w:lineRule="auto"/>
        <w:ind w:firstLine="720"/>
        <w:contextualSpacing/>
        <w:jc w:val="both"/>
        <w:rPr>
          <w:rFonts w:ascii="Times New Roman" w:hAnsi="Times New Roman" w:cs="Times New Roman"/>
          <w:b/>
          <w:sz w:val="24"/>
          <w:szCs w:val="24"/>
        </w:rPr>
      </w:pPr>
    </w:p>
    <w:p w14:paraId="03750CCA" w14:textId="20E0E7FF" w:rsidR="007C6349" w:rsidRDefault="007C6349" w:rsidP="00B34650">
      <w:pPr>
        <w:spacing w:after="0" w:line="480" w:lineRule="auto"/>
        <w:ind w:firstLine="720"/>
        <w:contextualSpacing/>
        <w:jc w:val="both"/>
        <w:rPr>
          <w:rFonts w:ascii="Times New Roman" w:hAnsi="Times New Roman" w:cs="Times New Roman"/>
          <w:b/>
          <w:sz w:val="24"/>
          <w:szCs w:val="24"/>
        </w:rPr>
      </w:pPr>
    </w:p>
    <w:p w14:paraId="6F30F76D" w14:textId="77777777" w:rsidR="007C6349" w:rsidRDefault="007C6349" w:rsidP="00B34650">
      <w:pPr>
        <w:spacing w:after="0" w:line="480" w:lineRule="auto"/>
        <w:ind w:firstLine="720"/>
        <w:contextualSpacing/>
        <w:jc w:val="both"/>
        <w:rPr>
          <w:rFonts w:ascii="Times New Roman" w:hAnsi="Times New Roman" w:cs="Times New Roman"/>
          <w:b/>
          <w:sz w:val="24"/>
          <w:szCs w:val="24"/>
        </w:rPr>
      </w:pPr>
    </w:p>
    <w:p w14:paraId="3DDF9A91" w14:textId="24E32ED3" w:rsidR="00B34650" w:rsidRDefault="00B34650" w:rsidP="00B34650">
      <w:pPr>
        <w:spacing w:after="0" w:line="480" w:lineRule="auto"/>
        <w:ind w:firstLine="720"/>
        <w:contextualSpacing/>
        <w:jc w:val="both"/>
        <w:rPr>
          <w:rFonts w:ascii="Times New Roman" w:hAnsi="Times New Roman" w:cs="Times New Roman"/>
          <w:b/>
          <w:sz w:val="24"/>
          <w:szCs w:val="24"/>
        </w:rPr>
      </w:pPr>
    </w:p>
    <w:p w14:paraId="3A882CC5" w14:textId="4D275F66" w:rsidR="00B34650" w:rsidRDefault="00B34650" w:rsidP="00B34650">
      <w:pPr>
        <w:spacing w:after="0" w:line="480" w:lineRule="auto"/>
        <w:ind w:firstLine="720"/>
        <w:contextualSpacing/>
        <w:jc w:val="both"/>
        <w:rPr>
          <w:rFonts w:ascii="Times New Roman" w:hAnsi="Times New Roman" w:cs="Times New Roman"/>
          <w:b/>
          <w:sz w:val="24"/>
          <w:szCs w:val="24"/>
        </w:rPr>
      </w:pPr>
    </w:p>
    <w:bookmarkEnd w:id="1"/>
    <w:p w14:paraId="6F795802" w14:textId="77777777" w:rsidR="00E923F6" w:rsidRPr="00744D7E" w:rsidRDefault="00E923F6" w:rsidP="00E923F6">
      <w:pPr>
        <w:autoSpaceDE w:val="0"/>
        <w:autoSpaceDN w:val="0"/>
        <w:adjustRightInd w:val="0"/>
        <w:spacing w:after="0" w:line="240" w:lineRule="auto"/>
        <w:jc w:val="both"/>
        <w:rPr>
          <w:rFonts w:ascii="Times New Roman" w:hAnsi="Times New Roman" w:cs="Times New Roman"/>
          <w:b/>
          <w:sz w:val="32"/>
          <w:szCs w:val="32"/>
        </w:rPr>
      </w:pPr>
      <w:r w:rsidRPr="007E53CC">
        <w:rPr>
          <w:rFonts w:ascii="Times New Roman" w:hAnsi="Times New Roman" w:cs="Times New Roman"/>
          <w:b/>
          <w:sz w:val="24"/>
          <w:szCs w:val="24"/>
        </w:rPr>
        <w:lastRenderedPageBreak/>
        <w:t>References</w:t>
      </w:r>
    </w:p>
    <w:p w14:paraId="1D322D8E" w14:textId="77777777" w:rsidR="00E923F6" w:rsidRPr="00B158FF" w:rsidRDefault="00E923F6" w:rsidP="00E923F6">
      <w:pPr>
        <w:autoSpaceDE w:val="0"/>
        <w:autoSpaceDN w:val="0"/>
        <w:adjustRightInd w:val="0"/>
        <w:spacing w:after="0" w:line="240" w:lineRule="auto"/>
        <w:jc w:val="both"/>
        <w:rPr>
          <w:rFonts w:ascii="Times New Roman" w:hAnsi="Times New Roman" w:cs="Times New Roman"/>
          <w:sz w:val="28"/>
          <w:szCs w:val="28"/>
        </w:rPr>
      </w:pPr>
    </w:p>
    <w:p w14:paraId="290A588F" w14:textId="71DB5C4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Agrawal, A. </w:t>
      </w:r>
      <w:r w:rsidR="00441DC6">
        <w:rPr>
          <w:rFonts w:ascii="Times New Roman" w:hAnsi="Times New Roman" w:cs="Times New Roman"/>
          <w:color w:val="000000"/>
          <w:sz w:val="24"/>
          <w:szCs w:val="24"/>
        </w:rPr>
        <w:t>&amp;</w:t>
      </w:r>
      <w:r w:rsidR="00441DC6" w:rsidRPr="00521CC7">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 xml:space="preserve">Chen, M. (2008). Do analyst conflicts matter? Evidence from stock recommendations. </w:t>
      </w:r>
      <w:r w:rsidRPr="00521CC7">
        <w:rPr>
          <w:rFonts w:ascii="Times New Roman" w:hAnsi="Times New Roman" w:cs="Times New Roman"/>
          <w:i/>
          <w:color w:val="000000"/>
          <w:sz w:val="24"/>
          <w:szCs w:val="24"/>
        </w:rPr>
        <w:t>Journal of Law and Economics</w:t>
      </w:r>
      <w:r w:rsidRPr="00521CC7">
        <w:rPr>
          <w:rFonts w:ascii="Times New Roman" w:hAnsi="Times New Roman" w:cs="Times New Roman"/>
          <w:color w:val="000000"/>
          <w:sz w:val="24"/>
          <w:szCs w:val="24"/>
        </w:rPr>
        <w:t>, 51(3), pp. 503</w:t>
      </w:r>
      <w:r>
        <w:rPr>
          <w:rFonts w:ascii="Times New Roman" w:hAnsi="Times New Roman" w:cs="Times New Roman"/>
          <w:i/>
          <w:sz w:val="24"/>
          <w:szCs w:val="24"/>
        </w:rPr>
        <w:t>−</w:t>
      </w:r>
      <w:r w:rsidRPr="00521CC7">
        <w:rPr>
          <w:rFonts w:ascii="Times New Roman" w:hAnsi="Times New Roman" w:cs="Times New Roman"/>
          <w:color w:val="000000"/>
          <w:sz w:val="24"/>
          <w:szCs w:val="24"/>
        </w:rPr>
        <w:t>537.</w:t>
      </w:r>
    </w:p>
    <w:p w14:paraId="0CF433BA" w14:textId="77777777" w:rsidR="00E923F6" w:rsidRDefault="00E923F6" w:rsidP="00E923F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516F726" w14:textId="6DF4FFE8" w:rsidR="00441DC6" w:rsidRDefault="00E923F6" w:rsidP="00E923F6">
      <w:pPr>
        <w:autoSpaceDE w:val="0"/>
        <w:autoSpaceDN w:val="0"/>
        <w:adjustRightInd w:val="0"/>
        <w:spacing w:after="0" w:line="240" w:lineRule="auto"/>
        <w:jc w:val="both"/>
        <w:rPr>
          <w:rFonts w:ascii="Times New Roman" w:hAnsi="Times New Roman" w:cs="Times New Roman"/>
          <w:sz w:val="24"/>
          <w:szCs w:val="24"/>
          <w:lang w:val="en"/>
        </w:rPr>
      </w:pPr>
      <w:r w:rsidRPr="0027102F">
        <w:rPr>
          <w:rFonts w:ascii="Times New Roman" w:eastAsia="Times New Roman" w:hAnsi="Times New Roman" w:cs="Times New Roman"/>
          <w:sz w:val="24"/>
          <w:szCs w:val="24"/>
          <w:lang w:eastAsia="en-GB"/>
        </w:rPr>
        <w:t>Aggarwal, R., Mishra, D. &amp; Wilson, C. (2018)</w:t>
      </w:r>
      <w:r w:rsidR="00B37719">
        <w:rPr>
          <w:rFonts w:ascii="Times New Roman" w:eastAsia="Times New Roman" w:hAnsi="Times New Roman" w:cs="Times New Roman"/>
          <w:sz w:val="24"/>
          <w:szCs w:val="24"/>
          <w:lang w:eastAsia="en-GB"/>
        </w:rPr>
        <w:t>.</w:t>
      </w:r>
      <w:r w:rsidRPr="0027102F">
        <w:rPr>
          <w:rFonts w:ascii="Times New Roman" w:eastAsia="Times New Roman" w:hAnsi="Times New Roman" w:cs="Times New Roman"/>
          <w:sz w:val="24"/>
          <w:szCs w:val="24"/>
          <w:lang w:eastAsia="en-GB"/>
        </w:rPr>
        <w:t xml:space="preserve"> </w:t>
      </w:r>
      <w:r w:rsidRPr="0027102F">
        <w:rPr>
          <w:rFonts w:ascii="Times New Roman" w:hAnsi="Times New Roman" w:cs="Times New Roman"/>
          <w:sz w:val="24"/>
          <w:szCs w:val="24"/>
          <w:lang w:val="en"/>
        </w:rPr>
        <w:t xml:space="preserve">Analyst recommendations and the implied cost </w:t>
      </w:r>
    </w:p>
    <w:p w14:paraId="6147D9E6" w14:textId="7DAFC534" w:rsidR="00E923F6" w:rsidRDefault="00441DC6" w:rsidP="00E923F6">
      <w:pPr>
        <w:autoSpaceDE w:val="0"/>
        <w:autoSpaceDN w:val="0"/>
        <w:adjustRightInd w:val="0"/>
        <w:spacing w:after="0" w:line="240" w:lineRule="auto"/>
        <w:jc w:val="both"/>
        <w:rPr>
          <w:rFonts w:ascii="Times New Roman" w:eastAsia="Times New Roman" w:hAnsi="Times New Roman" w:cs="Times New Roman"/>
          <w:i/>
          <w:sz w:val="24"/>
          <w:szCs w:val="24"/>
          <w:lang w:eastAsia="en-GB"/>
        </w:rPr>
      </w:pPr>
      <w:r>
        <w:rPr>
          <w:rFonts w:ascii="Times New Roman" w:hAnsi="Times New Roman" w:cs="Times New Roman"/>
          <w:sz w:val="24"/>
          <w:szCs w:val="24"/>
          <w:lang w:val="en"/>
        </w:rPr>
        <w:t xml:space="preserve">          </w:t>
      </w:r>
      <w:r w:rsidR="00E923F6" w:rsidRPr="0027102F">
        <w:rPr>
          <w:rFonts w:ascii="Times New Roman" w:hAnsi="Times New Roman" w:cs="Times New Roman"/>
          <w:sz w:val="24"/>
          <w:szCs w:val="24"/>
          <w:lang w:val="en"/>
        </w:rPr>
        <w:t xml:space="preserve">of equity. </w:t>
      </w:r>
      <w:r w:rsidR="00E923F6" w:rsidRPr="0027102F">
        <w:rPr>
          <w:rFonts w:ascii="Times New Roman" w:eastAsia="Times New Roman" w:hAnsi="Times New Roman" w:cs="Times New Roman"/>
          <w:i/>
          <w:sz w:val="24"/>
          <w:szCs w:val="24"/>
          <w:lang w:eastAsia="en-GB"/>
        </w:rPr>
        <w:t xml:space="preserve">Review of Quantitative Finance and Accounting, </w:t>
      </w:r>
      <w:r w:rsidR="00E923F6" w:rsidRPr="00C658FF">
        <w:rPr>
          <w:rFonts w:ascii="Times New Roman" w:eastAsia="Times New Roman" w:hAnsi="Times New Roman" w:cs="Times New Roman"/>
          <w:iCs/>
          <w:sz w:val="24"/>
          <w:szCs w:val="24"/>
          <w:lang w:eastAsia="en-GB"/>
        </w:rPr>
        <w:t>50(3),</w:t>
      </w:r>
      <w:r>
        <w:rPr>
          <w:rFonts w:ascii="Times New Roman" w:eastAsia="Times New Roman" w:hAnsi="Times New Roman" w:cs="Times New Roman"/>
          <w:i/>
          <w:sz w:val="24"/>
          <w:szCs w:val="24"/>
          <w:lang w:eastAsia="en-GB"/>
        </w:rPr>
        <w:t xml:space="preserve"> </w:t>
      </w:r>
      <w:r w:rsidR="00E923F6" w:rsidRPr="00521CC7">
        <w:rPr>
          <w:rFonts w:ascii="Times New Roman" w:hAnsi="Times New Roman" w:cs="Times New Roman"/>
          <w:color w:val="000000"/>
          <w:sz w:val="24"/>
          <w:szCs w:val="24"/>
        </w:rPr>
        <w:t xml:space="preserve">pp. </w:t>
      </w:r>
      <w:r w:rsidR="00E923F6" w:rsidRPr="004D5393">
        <w:rPr>
          <w:rFonts w:ascii="Times New Roman" w:eastAsia="Times New Roman" w:hAnsi="Times New Roman" w:cs="Times New Roman"/>
          <w:iCs/>
          <w:sz w:val="24"/>
          <w:szCs w:val="24"/>
          <w:lang w:eastAsia="en-GB"/>
        </w:rPr>
        <w:t>717</w:t>
      </w:r>
      <w:r w:rsidR="00221AAA">
        <w:rPr>
          <w:rFonts w:ascii="Times New Roman" w:hAnsi="Times New Roman" w:cs="Times New Roman"/>
          <w:i/>
          <w:sz w:val="24"/>
          <w:szCs w:val="24"/>
        </w:rPr>
        <w:t>−</w:t>
      </w:r>
      <w:r w:rsidR="00E923F6" w:rsidRPr="004D5393">
        <w:rPr>
          <w:rFonts w:ascii="Times New Roman" w:eastAsia="Times New Roman" w:hAnsi="Times New Roman" w:cs="Times New Roman"/>
          <w:iCs/>
          <w:sz w:val="24"/>
          <w:szCs w:val="24"/>
          <w:lang w:eastAsia="en-GB"/>
        </w:rPr>
        <w:t>743</w:t>
      </w:r>
      <w:r w:rsidR="00E923F6" w:rsidRPr="0027102F">
        <w:rPr>
          <w:rFonts w:ascii="Times New Roman" w:eastAsia="Times New Roman" w:hAnsi="Times New Roman" w:cs="Times New Roman"/>
          <w:i/>
          <w:sz w:val="24"/>
          <w:szCs w:val="24"/>
          <w:lang w:eastAsia="en-GB"/>
        </w:rPr>
        <w:t xml:space="preserve">. </w:t>
      </w:r>
    </w:p>
    <w:p w14:paraId="1C7F3635" w14:textId="77777777" w:rsidR="00E923F6" w:rsidRDefault="00E923F6" w:rsidP="00E923F6">
      <w:pPr>
        <w:autoSpaceDE w:val="0"/>
        <w:autoSpaceDN w:val="0"/>
        <w:adjustRightInd w:val="0"/>
        <w:spacing w:after="0" w:line="240" w:lineRule="auto"/>
        <w:jc w:val="both"/>
        <w:rPr>
          <w:rFonts w:ascii="Times New Roman" w:eastAsia="Times New Roman" w:hAnsi="Times New Roman" w:cs="Times New Roman"/>
          <w:i/>
          <w:sz w:val="24"/>
          <w:szCs w:val="24"/>
          <w:lang w:eastAsia="en-GB"/>
        </w:rPr>
      </w:pPr>
    </w:p>
    <w:p w14:paraId="574F4713" w14:textId="42693010" w:rsidR="00E923F6" w:rsidRPr="00295A81"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295A81">
        <w:rPr>
          <w:rFonts w:ascii="Times New Roman" w:hAnsi="Times New Roman" w:cs="Times New Roman"/>
          <w:color w:val="000000"/>
          <w:sz w:val="24"/>
          <w:szCs w:val="24"/>
        </w:rPr>
        <w:t xml:space="preserve">Ahmad, W., Sehgal, S. &amp; </w:t>
      </w:r>
      <w:proofErr w:type="spellStart"/>
      <w:r w:rsidRPr="00295A81">
        <w:rPr>
          <w:rFonts w:ascii="Times New Roman" w:hAnsi="Times New Roman" w:cs="Times New Roman"/>
          <w:color w:val="000000"/>
          <w:sz w:val="24"/>
          <w:szCs w:val="24"/>
        </w:rPr>
        <w:t>Bhanumurthy</w:t>
      </w:r>
      <w:proofErr w:type="spellEnd"/>
      <w:r w:rsidRPr="00295A81">
        <w:rPr>
          <w:rFonts w:ascii="Times New Roman" w:hAnsi="Times New Roman" w:cs="Times New Roman"/>
          <w:color w:val="000000"/>
          <w:sz w:val="24"/>
          <w:szCs w:val="24"/>
        </w:rPr>
        <w:t xml:space="preserve">, N. R. (2013). Eurozone crisis and BRIICKS stock markets: Contagion or market interdependence? </w:t>
      </w:r>
      <w:r w:rsidRPr="00C658FF">
        <w:rPr>
          <w:rFonts w:ascii="Times New Roman" w:hAnsi="Times New Roman" w:cs="Times New Roman"/>
          <w:i/>
          <w:iCs/>
          <w:color w:val="000000"/>
          <w:sz w:val="24"/>
          <w:szCs w:val="24"/>
        </w:rPr>
        <w:t>Economic Modelling</w:t>
      </w:r>
      <w:r w:rsidRPr="00295A81">
        <w:rPr>
          <w:rFonts w:ascii="Times New Roman" w:hAnsi="Times New Roman" w:cs="Times New Roman"/>
          <w:color w:val="000000"/>
          <w:sz w:val="24"/>
          <w:szCs w:val="24"/>
        </w:rPr>
        <w:t xml:space="preserve">, 33, </w:t>
      </w:r>
      <w:r w:rsidR="00441DC6">
        <w:rPr>
          <w:rFonts w:ascii="Times New Roman" w:hAnsi="Times New Roman" w:cs="Times New Roman"/>
          <w:color w:val="000000"/>
          <w:sz w:val="24"/>
          <w:szCs w:val="24"/>
        </w:rPr>
        <w:t xml:space="preserve">pp. </w:t>
      </w:r>
      <w:r w:rsidRPr="00295A81">
        <w:rPr>
          <w:rFonts w:ascii="Times New Roman" w:hAnsi="Times New Roman" w:cs="Times New Roman"/>
          <w:color w:val="000000"/>
          <w:sz w:val="24"/>
          <w:szCs w:val="24"/>
        </w:rPr>
        <w:t>209</w:t>
      </w:r>
      <w:r w:rsidR="00221AAA">
        <w:rPr>
          <w:rFonts w:ascii="Times New Roman" w:hAnsi="Times New Roman" w:cs="Times New Roman"/>
          <w:i/>
          <w:sz w:val="24"/>
          <w:szCs w:val="24"/>
        </w:rPr>
        <w:t>−</w:t>
      </w:r>
      <w:r w:rsidRPr="00295A81">
        <w:rPr>
          <w:rFonts w:ascii="Times New Roman" w:hAnsi="Times New Roman" w:cs="Times New Roman"/>
          <w:color w:val="000000"/>
          <w:sz w:val="24"/>
          <w:szCs w:val="24"/>
        </w:rPr>
        <w:t>225.</w:t>
      </w:r>
    </w:p>
    <w:p w14:paraId="17668A1B" w14:textId="77777777" w:rsidR="00E923F6" w:rsidRDefault="00E923F6" w:rsidP="00E923F6">
      <w:pPr>
        <w:autoSpaceDE w:val="0"/>
        <w:autoSpaceDN w:val="0"/>
        <w:adjustRightInd w:val="0"/>
        <w:spacing w:after="0" w:line="240" w:lineRule="auto"/>
        <w:jc w:val="both"/>
        <w:rPr>
          <w:rFonts w:ascii="Times New Roman" w:eastAsia="Times New Roman" w:hAnsi="Times New Roman" w:cs="Times New Roman"/>
          <w:i/>
          <w:sz w:val="24"/>
          <w:szCs w:val="24"/>
          <w:lang w:eastAsia="en-GB"/>
        </w:rPr>
      </w:pPr>
    </w:p>
    <w:p w14:paraId="53CCFE5B" w14:textId="77866DEA" w:rsidR="00E923F6" w:rsidRPr="006D0A49" w:rsidRDefault="00E923F6" w:rsidP="00E923F6">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en-GB"/>
        </w:rPr>
      </w:pPr>
      <w:proofErr w:type="spellStart"/>
      <w:r w:rsidRPr="006D0A49">
        <w:rPr>
          <w:rFonts w:ascii="Times New Roman" w:hAnsi="Times New Roman" w:cs="Times New Roman"/>
          <w:color w:val="000000"/>
          <w:sz w:val="24"/>
          <w:szCs w:val="24"/>
        </w:rPr>
        <w:t>Amiram</w:t>
      </w:r>
      <w:proofErr w:type="spellEnd"/>
      <w:r w:rsidRPr="006D0A49">
        <w:rPr>
          <w:rFonts w:ascii="Times New Roman" w:eastAsia="Times New Roman" w:hAnsi="Times New Roman" w:cs="Times New Roman"/>
          <w:sz w:val="24"/>
          <w:szCs w:val="24"/>
          <w:lang w:eastAsia="en-GB"/>
        </w:rPr>
        <w:t>, D</w:t>
      </w:r>
      <w:r w:rsidR="002F76DC">
        <w:rPr>
          <w:rFonts w:ascii="Times New Roman" w:eastAsia="Times New Roman" w:hAnsi="Times New Roman" w:cs="Times New Roman"/>
          <w:sz w:val="24"/>
          <w:szCs w:val="24"/>
          <w:lang w:eastAsia="en-GB"/>
        </w:rPr>
        <w:t>.,</w:t>
      </w:r>
      <w:r w:rsidRPr="006D0A49">
        <w:rPr>
          <w:rFonts w:ascii="Times New Roman" w:eastAsia="Times New Roman" w:hAnsi="Times New Roman" w:cs="Times New Roman"/>
          <w:sz w:val="24"/>
          <w:szCs w:val="24"/>
          <w:lang w:eastAsia="en-GB"/>
        </w:rPr>
        <w:t xml:space="preserve"> Owens, E &amp; Rozenbaum, O</w:t>
      </w:r>
      <w:r w:rsidR="002F76DC">
        <w:rPr>
          <w:rFonts w:ascii="Times New Roman" w:eastAsia="Times New Roman" w:hAnsi="Times New Roman" w:cs="Times New Roman"/>
          <w:sz w:val="24"/>
          <w:szCs w:val="24"/>
          <w:lang w:eastAsia="en-GB"/>
        </w:rPr>
        <w:t>.</w:t>
      </w:r>
      <w:r w:rsidRPr="006D0A49">
        <w:rPr>
          <w:rFonts w:ascii="Times New Roman" w:eastAsia="Times New Roman" w:hAnsi="Times New Roman" w:cs="Times New Roman"/>
          <w:sz w:val="24"/>
          <w:szCs w:val="24"/>
          <w:lang w:eastAsia="en-GB"/>
        </w:rPr>
        <w:t xml:space="preserve"> </w:t>
      </w:r>
      <w:r w:rsidR="002F76DC">
        <w:rPr>
          <w:rFonts w:ascii="Times New Roman" w:eastAsia="Times New Roman" w:hAnsi="Times New Roman" w:cs="Times New Roman"/>
          <w:sz w:val="24"/>
          <w:szCs w:val="24"/>
          <w:lang w:eastAsia="en-GB"/>
        </w:rPr>
        <w:t>(</w:t>
      </w:r>
      <w:r w:rsidRPr="006D0A49">
        <w:rPr>
          <w:rFonts w:ascii="Times New Roman" w:eastAsia="Times New Roman" w:hAnsi="Times New Roman" w:cs="Times New Roman"/>
          <w:sz w:val="24"/>
          <w:szCs w:val="24"/>
          <w:lang w:eastAsia="en-GB"/>
        </w:rPr>
        <w:t>2016</w:t>
      </w:r>
      <w:r w:rsidR="002F76DC">
        <w:rPr>
          <w:rFonts w:ascii="Times New Roman" w:eastAsia="Times New Roman" w:hAnsi="Times New Roman" w:cs="Times New Roman"/>
          <w:sz w:val="24"/>
          <w:szCs w:val="24"/>
          <w:lang w:eastAsia="en-GB"/>
        </w:rPr>
        <w:t>)</w:t>
      </w:r>
      <w:r w:rsidRPr="006D0A49">
        <w:rPr>
          <w:rFonts w:ascii="Times New Roman" w:eastAsia="Times New Roman" w:hAnsi="Times New Roman" w:cs="Times New Roman"/>
          <w:sz w:val="24"/>
          <w:szCs w:val="24"/>
          <w:lang w:eastAsia="en-GB"/>
        </w:rPr>
        <w:t xml:space="preserve">. Do information releases increase or decrease information asymmetry? New evidence from analyst forecast announcements, </w:t>
      </w:r>
      <w:r w:rsidRPr="006D0A49">
        <w:rPr>
          <w:rFonts w:ascii="Times New Roman" w:eastAsia="Times New Roman" w:hAnsi="Times New Roman" w:cs="Times New Roman"/>
          <w:i/>
          <w:iCs/>
          <w:sz w:val="24"/>
          <w:szCs w:val="24"/>
          <w:lang w:eastAsia="en-GB"/>
        </w:rPr>
        <w:t xml:space="preserve">Journal of Accounting and Economics, Elsevier, </w:t>
      </w:r>
      <w:r w:rsidRPr="00C658FF">
        <w:rPr>
          <w:rFonts w:ascii="Times New Roman" w:eastAsia="Times New Roman" w:hAnsi="Times New Roman" w:cs="Times New Roman"/>
          <w:sz w:val="24"/>
          <w:szCs w:val="24"/>
          <w:lang w:eastAsia="en-GB"/>
        </w:rPr>
        <w:t>62(1)</w:t>
      </w:r>
      <w:r w:rsidRPr="002F76DC">
        <w:rPr>
          <w:rFonts w:ascii="Times New Roman" w:eastAsia="Times New Roman" w:hAnsi="Times New Roman" w:cs="Times New Roman"/>
          <w:sz w:val="24"/>
          <w:szCs w:val="24"/>
          <w:lang w:eastAsia="en-GB"/>
        </w:rPr>
        <w:t>,</w:t>
      </w:r>
      <w:r w:rsidRPr="006D0A49">
        <w:rPr>
          <w:rFonts w:ascii="Times New Roman" w:eastAsia="Times New Roman" w:hAnsi="Times New Roman" w:cs="Times New Roman"/>
          <w:sz w:val="24"/>
          <w:szCs w:val="24"/>
          <w:lang w:eastAsia="en-GB"/>
        </w:rPr>
        <w:t xml:space="preserve"> </w:t>
      </w:r>
      <w:r w:rsidR="002F76DC">
        <w:rPr>
          <w:rFonts w:ascii="Times New Roman" w:eastAsia="Times New Roman" w:hAnsi="Times New Roman" w:cs="Times New Roman"/>
          <w:sz w:val="24"/>
          <w:szCs w:val="24"/>
          <w:lang w:eastAsia="en-GB"/>
        </w:rPr>
        <w:t>pp.</w:t>
      </w:r>
      <w:r w:rsidR="002F76DC" w:rsidRPr="006D0A49">
        <w:rPr>
          <w:rFonts w:ascii="Times New Roman" w:eastAsia="Times New Roman" w:hAnsi="Times New Roman" w:cs="Times New Roman"/>
          <w:sz w:val="24"/>
          <w:szCs w:val="24"/>
          <w:lang w:eastAsia="en-GB"/>
        </w:rPr>
        <w:t xml:space="preserve"> </w:t>
      </w:r>
      <w:r w:rsidRPr="006D0A49">
        <w:rPr>
          <w:rFonts w:ascii="Times New Roman" w:eastAsia="Times New Roman" w:hAnsi="Times New Roman" w:cs="Times New Roman"/>
          <w:sz w:val="24"/>
          <w:szCs w:val="24"/>
          <w:lang w:eastAsia="en-GB"/>
        </w:rPr>
        <w:t>121</w:t>
      </w:r>
      <w:r w:rsidR="00221AAA">
        <w:rPr>
          <w:rFonts w:ascii="Times New Roman" w:hAnsi="Times New Roman" w:cs="Times New Roman"/>
          <w:i/>
          <w:sz w:val="24"/>
          <w:szCs w:val="24"/>
        </w:rPr>
        <w:t>−</w:t>
      </w:r>
      <w:r w:rsidRPr="006D0A49">
        <w:rPr>
          <w:rFonts w:ascii="Times New Roman" w:eastAsia="Times New Roman" w:hAnsi="Times New Roman" w:cs="Times New Roman"/>
          <w:sz w:val="24"/>
          <w:szCs w:val="24"/>
          <w:lang w:eastAsia="en-GB"/>
        </w:rPr>
        <w:t xml:space="preserve">138. </w:t>
      </w:r>
    </w:p>
    <w:p w14:paraId="7A46CD02"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0933D1C5" w14:textId="7B33AF2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Ang, A., Ng, H., Quah, P. </w:t>
      </w:r>
      <w:r w:rsidR="002F76DC">
        <w:rPr>
          <w:rFonts w:ascii="Times New Roman" w:hAnsi="Times New Roman" w:cs="Times New Roman"/>
          <w:color w:val="000000"/>
          <w:sz w:val="24"/>
          <w:szCs w:val="24"/>
        </w:rPr>
        <w:t>&amp;</w:t>
      </w:r>
      <w:r w:rsidR="002F76DC" w:rsidRPr="00521CC7">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Tan, H. (1998). An Analysis of the Performance of Buy Recommendations of Stock</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 xml:space="preserve">broking Firms in Singapore. </w:t>
      </w:r>
      <w:r w:rsidRPr="00521CC7">
        <w:rPr>
          <w:rFonts w:ascii="Times New Roman" w:hAnsi="Times New Roman" w:cs="Times New Roman"/>
          <w:i/>
          <w:color w:val="000000"/>
          <w:sz w:val="24"/>
          <w:szCs w:val="24"/>
        </w:rPr>
        <w:t>Asia</w:t>
      </w:r>
      <w:r>
        <w:rPr>
          <w:rFonts w:ascii="Times New Roman" w:hAnsi="Times New Roman" w:cs="Times New Roman"/>
          <w:i/>
          <w:color w:val="000000"/>
          <w:sz w:val="24"/>
          <w:szCs w:val="24"/>
        </w:rPr>
        <w:t>−</w:t>
      </w:r>
      <w:r w:rsidRPr="00521CC7">
        <w:rPr>
          <w:rFonts w:ascii="Times New Roman" w:hAnsi="Times New Roman" w:cs="Times New Roman"/>
          <w:i/>
          <w:color w:val="000000"/>
          <w:sz w:val="24"/>
          <w:szCs w:val="24"/>
        </w:rPr>
        <w:t>Pacific Journal of Accounting</w:t>
      </w:r>
      <w:r>
        <w:rPr>
          <w:rFonts w:ascii="Times New Roman" w:hAnsi="Times New Roman" w:cs="Times New Roman"/>
          <w:color w:val="000000"/>
          <w:sz w:val="24"/>
          <w:szCs w:val="24"/>
        </w:rPr>
        <w:t>, 5(2), pp.199</w:t>
      </w:r>
      <w:r>
        <w:rPr>
          <w:rFonts w:ascii="Times New Roman" w:hAnsi="Times New Roman" w:cs="Times New Roman"/>
          <w:i/>
          <w:sz w:val="24"/>
          <w:szCs w:val="24"/>
        </w:rPr>
        <w:t>−</w:t>
      </w:r>
      <w:r w:rsidRPr="00521CC7">
        <w:rPr>
          <w:rFonts w:ascii="Times New Roman" w:hAnsi="Times New Roman" w:cs="Times New Roman"/>
          <w:color w:val="000000"/>
          <w:sz w:val="24"/>
          <w:szCs w:val="24"/>
        </w:rPr>
        <w:t>221.</w:t>
      </w:r>
    </w:p>
    <w:p w14:paraId="240338C7"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55379E2C" w14:textId="7339F145" w:rsidR="00976318" w:rsidRPr="006A21B5" w:rsidRDefault="00976318" w:rsidP="00976318">
      <w:pPr>
        <w:pStyle w:val="Heading1"/>
        <w:spacing w:before="0"/>
        <w:textAlignment w:val="baseline"/>
        <w:rPr>
          <w:rFonts w:ascii="Times New Roman" w:hAnsi="Times New Roman" w:cs="Times New Roman"/>
          <w:b w:val="0"/>
          <w:color w:val="FF0000"/>
          <w:sz w:val="24"/>
          <w:szCs w:val="24"/>
          <w:bdr w:val="none" w:sz="0" w:space="0" w:color="auto" w:frame="1"/>
        </w:rPr>
      </w:pPr>
      <w:r w:rsidRPr="006A21B5">
        <w:rPr>
          <w:rFonts w:ascii="Times New Roman" w:hAnsi="Times New Roman" w:cs="Times New Roman"/>
          <w:b w:val="0"/>
          <w:color w:val="FF0000"/>
          <w:sz w:val="24"/>
          <w:szCs w:val="24"/>
          <w:bdr w:val="none" w:sz="0" w:space="0" w:color="auto" w:frame="1"/>
        </w:rPr>
        <w:t xml:space="preserve">Arif, S. </w:t>
      </w:r>
      <w:r w:rsidR="005D325E">
        <w:rPr>
          <w:rFonts w:ascii="Times New Roman" w:hAnsi="Times New Roman" w:cs="Times New Roman"/>
          <w:b w:val="0"/>
          <w:color w:val="FF0000"/>
          <w:sz w:val="24"/>
          <w:szCs w:val="24"/>
          <w:bdr w:val="none" w:sz="0" w:space="0" w:color="auto" w:frame="1"/>
        </w:rPr>
        <w:t>&amp;</w:t>
      </w:r>
      <w:r w:rsidRPr="006A21B5">
        <w:rPr>
          <w:rFonts w:ascii="Times New Roman" w:hAnsi="Times New Roman" w:cs="Times New Roman"/>
          <w:b w:val="0"/>
          <w:color w:val="FF0000"/>
          <w:sz w:val="24"/>
          <w:szCs w:val="24"/>
          <w:bdr w:val="none" w:sz="0" w:space="0" w:color="auto" w:frame="1"/>
        </w:rPr>
        <w:t xml:space="preserve"> De George, E. (2020)</w:t>
      </w:r>
      <w:r w:rsidR="006A21B5" w:rsidRPr="006A21B5">
        <w:rPr>
          <w:rFonts w:ascii="Times New Roman" w:hAnsi="Times New Roman" w:cs="Times New Roman"/>
          <w:b w:val="0"/>
          <w:color w:val="FF0000"/>
          <w:sz w:val="24"/>
          <w:szCs w:val="24"/>
          <w:bdr w:val="none" w:sz="0" w:space="0" w:color="auto" w:frame="1"/>
        </w:rPr>
        <w:t>.</w:t>
      </w:r>
      <w:r w:rsidRPr="006A21B5">
        <w:rPr>
          <w:rFonts w:ascii="Times New Roman" w:hAnsi="Times New Roman" w:cs="Times New Roman"/>
          <w:b w:val="0"/>
          <w:color w:val="FF0000"/>
          <w:sz w:val="24"/>
          <w:szCs w:val="24"/>
          <w:bdr w:val="none" w:sz="0" w:space="0" w:color="auto" w:frame="1"/>
        </w:rPr>
        <w:t xml:space="preserve"> The Dark Side of Low Financial Reporting </w:t>
      </w:r>
      <w:r w:rsidR="006A21B5" w:rsidRPr="006A21B5">
        <w:rPr>
          <w:rFonts w:ascii="Times New Roman" w:hAnsi="Times New Roman" w:cs="Times New Roman"/>
          <w:b w:val="0"/>
          <w:color w:val="FF0000"/>
          <w:sz w:val="24"/>
          <w:szCs w:val="24"/>
          <w:bdr w:val="none" w:sz="0" w:space="0" w:color="auto" w:frame="1"/>
        </w:rPr>
        <w:t>Frequency:</w:t>
      </w:r>
    </w:p>
    <w:p w14:paraId="2F00397C" w14:textId="77777777" w:rsidR="006A21B5" w:rsidRPr="006A21B5" w:rsidRDefault="00976318" w:rsidP="006A21B5">
      <w:pPr>
        <w:pStyle w:val="Heading1"/>
        <w:spacing w:before="0"/>
        <w:jc w:val="both"/>
        <w:textAlignment w:val="baseline"/>
        <w:rPr>
          <w:rFonts w:ascii="Times New Roman" w:hAnsi="Times New Roman" w:cs="Times New Roman"/>
          <w:b w:val="0"/>
          <w:color w:val="FF0000"/>
          <w:sz w:val="24"/>
          <w:szCs w:val="24"/>
          <w:bdr w:val="none" w:sz="0" w:space="0" w:color="auto" w:frame="1"/>
        </w:rPr>
      </w:pPr>
      <w:r w:rsidRPr="006A21B5">
        <w:rPr>
          <w:rFonts w:ascii="Times New Roman" w:hAnsi="Times New Roman" w:cs="Times New Roman"/>
          <w:b w:val="0"/>
          <w:color w:val="FF0000"/>
          <w:sz w:val="24"/>
          <w:szCs w:val="24"/>
          <w:bdr w:val="none" w:sz="0" w:space="0" w:color="auto" w:frame="1"/>
        </w:rPr>
        <w:tab/>
        <w:t> </w:t>
      </w:r>
      <w:r w:rsidRPr="006A21B5">
        <w:rPr>
          <w:rStyle w:val="Strong"/>
          <w:rFonts w:ascii="Times New Roman" w:hAnsi="Times New Roman" w:cs="Times New Roman"/>
          <w:bCs/>
          <w:color w:val="FF0000"/>
          <w:sz w:val="24"/>
          <w:szCs w:val="24"/>
          <w:bdr w:val="none" w:sz="0" w:space="0" w:color="auto" w:frame="1"/>
        </w:rPr>
        <w:t>Investors</w:t>
      </w:r>
      <w:r w:rsidRPr="006A21B5">
        <w:rPr>
          <w:rFonts w:ascii="Times New Roman" w:hAnsi="Times New Roman" w:cs="Times New Roman"/>
          <w:b w:val="0"/>
          <w:color w:val="FF0000"/>
          <w:sz w:val="24"/>
          <w:szCs w:val="24"/>
          <w:bdr w:val="none" w:sz="0" w:space="0" w:color="auto" w:frame="1"/>
        </w:rPr>
        <w:t>' Reliance on Alternative Sources of Earnings News and</w:t>
      </w:r>
      <w:r w:rsidR="006A21B5" w:rsidRPr="006A21B5">
        <w:rPr>
          <w:rFonts w:ascii="Times New Roman" w:hAnsi="Times New Roman" w:cs="Times New Roman"/>
          <w:b w:val="0"/>
          <w:color w:val="FF0000"/>
          <w:sz w:val="24"/>
          <w:szCs w:val="24"/>
          <w:bdr w:val="none" w:sz="0" w:space="0" w:color="auto" w:frame="1"/>
        </w:rPr>
        <w:t xml:space="preserve"> Excessive </w:t>
      </w:r>
    </w:p>
    <w:p w14:paraId="451176D8" w14:textId="749D0446" w:rsidR="00976318" w:rsidRPr="006A21B5" w:rsidRDefault="006A21B5" w:rsidP="006A21B5">
      <w:pPr>
        <w:pStyle w:val="Heading1"/>
        <w:spacing w:before="0" w:after="240"/>
        <w:jc w:val="both"/>
        <w:textAlignment w:val="baseline"/>
        <w:rPr>
          <w:b w:val="0"/>
          <w:color w:val="FF0000"/>
          <w:sz w:val="24"/>
          <w:szCs w:val="24"/>
        </w:rPr>
      </w:pPr>
      <w:r w:rsidRPr="006A21B5">
        <w:rPr>
          <w:rFonts w:ascii="Times New Roman" w:hAnsi="Times New Roman" w:cs="Times New Roman"/>
          <w:b w:val="0"/>
          <w:color w:val="FF0000"/>
          <w:sz w:val="24"/>
          <w:szCs w:val="24"/>
          <w:bdr w:val="none" w:sz="0" w:space="0" w:color="auto" w:frame="1"/>
        </w:rPr>
        <w:tab/>
        <w:t xml:space="preserve">Information </w:t>
      </w:r>
      <w:r w:rsidR="00976318" w:rsidRPr="006A21B5">
        <w:rPr>
          <w:rFonts w:ascii="Times New Roman" w:hAnsi="Times New Roman" w:cs="Times New Roman"/>
          <w:b w:val="0"/>
          <w:color w:val="FF0000"/>
          <w:sz w:val="24"/>
          <w:szCs w:val="24"/>
          <w:bdr w:val="none" w:sz="0" w:space="0" w:color="auto" w:frame="1"/>
        </w:rPr>
        <w:t xml:space="preserve">Spillovers. </w:t>
      </w:r>
      <w:hyperlink r:id="rId14" w:tooltip="Search for Accounting Review" w:history="1">
        <w:r w:rsidR="00976318" w:rsidRPr="006A21B5">
          <w:rPr>
            <w:rStyle w:val="Hyperlink"/>
            <w:rFonts w:ascii="Times New Roman" w:hAnsi="Times New Roman" w:cs="Times New Roman"/>
            <w:b w:val="0"/>
            <w:i/>
            <w:color w:val="FF0000"/>
            <w:sz w:val="24"/>
            <w:szCs w:val="24"/>
            <w:u w:val="none"/>
            <w:bdr w:val="none" w:sz="0" w:space="0" w:color="auto" w:frame="1"/>
          </w:rPr>
          <w:t>Accounting Review</w:t>
        </w:r>
      </w:hyperlink>
      <w:r w:rsidR="00976318" w:rsidRPr="006A21B5">
        <w:rPr>
          <w:rFonts w:ascii="Times New Roman" w:hAnsi="Times New Roman" w:cs="Times New Roman"/>
          <w:b w:val="0"/>
          <w:color w:val="FF0000"/>
          <w:sz w:val="24"/>
          <w:szCs w:val="24"/>
        </w:rPr>
        <w:t>, 95(6), 23-49</w:t>
      </w:r>
      <w:r w:rsidR="00976318" w:rsidRPr="006A21B5">
        <w:rPr>
          <w:b w:val="0"/>
          <w:color w:val="FF0000"/>
          <w:sz w:val="24"/>
          <w:szCs w:val="24"/>
        </w:rPr>
        <w:t>.</w:t>
      </w:r>
    </w:p>
    <w:p w14:paraId="2AA5E557" w14:textId="35A1B5CD"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Bagnoli, M., Clement, M., Crawley, M. </w:t>
      </w:r>
      <w:r w:rsidR="002F76DC">
        <w:rPr>
          <w:rFonts w:ascii="Times New Roman" w:hAnsi="Times New Roman" w:cs="Times New Roman"/>
          <w:color w:val="000000"/>
          <w:sz w:val="24"/>
          <w:szCs w:val="24"/>
        </w:rPr>
        <w:t>&amp;</w:t>
      </w:r>
      <w:r w:rsidR="002F76DC" w:rsidRPr="00521CC7">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Watts, S. (20</w:t>
      </w:r>
      <w:r>
        <w:rPr>
          <w:rFonts w:ascii="Times New Roman" w:hAnsi="Times New Roman" w:cs="Times New Roman"/>
          <w:color w:val="000000"/>
          <w:sz w:val="24"/>
          <w:szCs w:val="24"/>
        </w:rPr>
        <w:t>09</w:t>
      </w:r>
      <w:r w:rsidRPr="00521CC7">
        <w:rPr>
          <w:rFonts w:ascii="Times New Roman" w:hAnsi="Times New Roman" w:cs="Times New Roman"/>
          <w:color w:val="000000"/>
          <w:sz w:val="24"/>
          <w:szCs w:val="24"/>
        </w:rPr>
        <w:t>). The Relative Profitability of Analysts’ Stock Recommendations: What Role Does Investor Sentiment</w:t>
      </w:r>
      <w:r w:rsidR="002F76DC">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 xml:space="preserve">Play? </w:t>
      </w:r>
      <w:r w:rsidRPr="00C658FF">
        <w:rPr>
          <w:rFonts w:ascii="Times New Roman" w:eastAsia="Times New Roman" w:hAnsi="Times New Roman" w:cs="Times New Roman"/>
          <w:i/>
          <w:iCs/>
          <w:sz w:val="24"/>
          <w:szCs w:val="24"/>
          <w:lang w:val="en"/>
        </w:rPr>
        <w:t>Available at SSRN: https://ssrn.com/abstract=1430617</w:t>
      </w:r>
    </w:p>
    <w:p w14:paraId="395BF32D"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523B56FE" w14:textId="77777777" w:rsidR="002B095C" w:rsidRDefault="002B095C" w:rsidP="002B095C">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Baker, M., </w:t>
      </w:r>
      <w:r>
        <w:rPr>
          <w:rFonts w:ascii="Times New Roman" w:hAnsi="Times New Roman" w:cs="Times New Roman"/>
          <w:color w:val="000000"/>
          <w:sz w:val="24"/>
          <w:szCs w:val="24"/>
        </w:rPr>
        <w:t>&amp;</w:t>
      </w:r>
      <w:r w:rsidRPr="00521CC7">
        <w:rPr>
          <w:rFonts w:ascii="Times New Roman" w:hAnsi="Times New Roman" w:cs="Times New Roman"/>
          <w:color w:val="000000"/>
          <w:sz w:val="24"/>
          <w:szCs w:val="24"/>
        </w:rPr>
        <w:t xml:space="preserve"> </w:t>
      </w:r>
      <w:proofErr w:type="spellStart"/>
      <w:r w:rsidRPr="00521CC7">
        <w:rPr>
          <w:rFonts w:ascii="Times New Roman" w:hAnsi="Times New Roman" w:cs="Times New Roman"/>
          <w:color w:val="000000"/>
          <w:sz w:val="24"/>
          <w:szCs w:val="24"/>
        </w:rPr>
        <w:t>Wurgler</w:t>
      </w:r>
      <w:proofErr w:type="spellEnd"/>
      <w:r>
        <w:rPr>
          <w:rFonts w:ascii="Times New Roman" w:hAnsi="Times New Roman" w:cs="Times New Roman"/>
          <w:color w:val="000000"/>
          <w:sz w:val="24"/>
          <w:szCs w:val="24"/>
        </w:rPr>
        <w:t>, J. (</w:t>
      </w:r>
      <w:r w:rsidRPr="003E386A">
        <w:rPr>
          <w:rFonts w:ascii="Times New Roman" w:hAnsi="Times New Roman" w:cs="Times New Roman"/>
          <w:color w:val="000000"/>
          <w:sz w:val="24"/>
          <w:szCs w:val="24"/>
        </w:rPr>
        <w:t>2006</w:t>
      </w:r>
      <w:r>
        <w:rPr>
          <w:rFonts w:ascii="Times New Roman" w:hAnsi="Times New Roman" w:cs="Times New Roman"/>
          <w:color w:val="000000"/>
          <w:sz w:val="24"/>
          <w:szCs w:val="24"/>
        </w:rPr>
        <w:t xml:space="preserve">). </w:t>
      </w:r>
      <w:r w:rsidRPr="003E386A">
        <w:rPr>
          <w:rFonts w:ascii="Times New Roman" w:hAnsi="Times New Roman" w:cs="Times New Roman"/>
          <w:color w:val="000000"/>
          <w:sz w:val="24"/>
          <w:szCs w:val="24"/>
        </w:rPr>
        <w:t>Investor sentiment and the cross-section of returns</w:t>
      </w:r>
      <w:r>
        <w:rPr>
          <w:rFonts w:ascii="Times New Roman" w:hAnsi="Times New Roman" w:cs="Times New Roman"/>
          <w:color w:val="000000"/>
          <w:sz w:val="24"/>
          <w:szCs w:val="24"/>
        </w:rPr>
        <w:t xml:space="preserve">, </w:t>
      </w:r>
      <w:r w:rsidRPr="00C62241">
        <w:rPr>
          <w:rFonts w:ascii="Times New Roman" w:hAnsi="Times New Roman" w:cs="Times New Roman"/>
          <w:i/>
          <w:iCs/>
          <w:color w:val="000000"/>
          <w:sz w:val="24"/>
          <w:szCs w:val="24"/>
        </w:rPr>
        <w:t>Journal of Finance</w:t>
      </w:r>
      <w:r w:rsidRPr="003E386A">
        <w:rPr>
          <w:rFonts w:ascii="Times New Roman" w:hAnsi="Times New Roman" w:cs="Times New Roman"/>
          <w:color w:val="000000"/>
          <w:sz w:val="24"/>
          <w:szCs w:val="24"/>
        </w:rPr>
        <w:t>, 61, pp. 1645</w:t>
      </w:r>
      <w:r>
        <w:rPr>
          <w:rFonts w:ascii="Times New Roman" w:hAnsi="Times New Roman" w:cs="Times New Roman"/>
          <w:i/>
          <w:sz w:val="24"/>
          <w:szCs w:val="24"/>
        </w:rPr>
        <w:t>−</w:t>
      </w:r>
      <w:r w:rsidRPr="003E386A">
        <w:rPr>
          <w:rFonts w:ascii="Times New Roman" w:hAnsi="Times New Roman" w:cs="Times New Roman"/>
          <w:color w:val="000000"/>
          <w:sz w:val="24"/>
          <w:szCs w:val="24"/>
        </w:rPr>
        <w:t>1680</w:t>
      </w:r>
      <w:r>
        <w:rPr>
          <w:rFonts w:ascii="Times New Roman" w:hAnsi="Times New Roman" w:cs="Times New Roman"/>
          <w:color w:val="000000"/>
          <w:sz w:val="24"/>
          <w:szCs w:val="24"/>
        </w:rPr>
        <w:t>.</w:t>
      </w:r>
    </w:p>
    <w:p w14:paraId="2104DA67" w14:textId="77777777" w:rsidR="002B095C" w:rsidRDefault="002B095C"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178CE482" w14:textId="7AF4EBBE"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Baker, M., </w:t>
      </w:r>
      <w:r w:rsidR="002F76DC">
        <w:rPr>
          <w:rFonts w:ascii="Times New Roman" w:hAnsi="Times New Roman" w:cs="Times New Roman"/>
          <w:color w:val="000000"/>
          <w:sz w:val="24"/>
          <w:szCs w:val="24"/>
        </w:rPr>
        <w:t>&amp;</w:t>
      </w:r>
      <w:r w:rsidR="002F76DC" w:rsidRPr="00521CC7">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 xml:space="preserve">J. </w:t>
      </w:r>
      <w:proofErr w:type="spellStart"/>
      <w:r w:rsidRPr="00521CC7">
        <w:rPr>
          <w:rFonts w:ascii="Times New Roman" w:hAnsi="Times New Roman" w:cs="Times New Roman"/>
          <w:color w:val="000000"/>
          <w:sz w:val="24"/>
          <w:szCs w:val="24"/>
        </w:rPr>
        <w:t>Wurgler</w:t>
      </w:r>
      <w:proofErr w:type="spellEnd"/>
      <w:r w:rsidRPr="00521CC7">
        <w:rPr>
          <w:rFonts w:ascii="Times New Roman" w:hAnsi="Times New Roman" w:cs="Times New Roman"/>
          <w:color w:val="000000"/>
          <w:sz w:val="24"/>
          <w:szCs w:val="24"/>
        </w:rPr>
        <w:t xml:space="preserve">. (2007). Investor Sentiment in the Stock Market. </w:t>
      </w:r>
      <w:r w:rsidRPr="00521CC7">
        <w:rPr>
          <w:rFonts w:ascii="Times New Roman" w:hAnsi="Times New Roman" w:cs="Times New Roman"/>
          <w:i/>
          <w:color w:val="000000"/>
          <w:sz w:val="24"/>
          <w:szCs w:val="24"/>
        </w:rPr>
        <w:t>Journal of Economic Perspectives</w:t>
      </w:r>
      <w:r>
        <w:rPr>
          <w:rFonts w:ascii="Times New Roman" w:hAnsi="Times New Roman" w:cs="Times New Roman"/>
          <w:iCs/>
          <w:color w:val="000000"/>
          <w:sz w:val="24"/>
          <w:szCs w:val="24"/>
        </w:rPr>
        <w:t>,</w:t>
      </w:r>
      <w:r w:rsidRPr="00521CC7">
        <w:rPr>
          <w:rFonts w:ascii="Times New Roman" w:hAnsi="Times New Roman" w:cs="Times New Roman"/>
          <w:color w:val="000000"/>
          <w:sz w:val="24"/>
          <w:szCs w:val="24"/>
        </w:rPr>
        <w:t xml:space="preserve"> 21</w:t>
      </w:r>
      <w:r>
        <w:rPr>
          <w:rFonts w:ascii="Times New Roman" w:hAnsi="Times New Roman" w:cs="Times New Roman"/>
          <w:color w:val="000000"/>
          <w:sz w:val="24"/>
          <w:szCs w:val="24"/>
        </w:rPr>
        <w:t>(2),</w:t>
      </w:r>
      <w:r w:rsidRPr="00521CC7">
        <w:rPr>
          <w:rFonts w:ascii="Times New Roman" w:hAnsi="Times New Roman" w:cs="Times New Roman"/>
          <w:color w:val="000000"/>
          <w:sz w:val="24"/>
          <w:szCs w:val="24"/>
        </w:rPr>
        <w:t xml:space="preserve"> pp. 129</w:t>
      </w:r>
      <w:r>
        <w:rPr>
          <w:rFonts w:ascii="Times New Roman" w:hAnsi="Times New Roman" w:cs="Times New Roman"/>
          <w:i/>
          <w:sz w:val="24"/>
          <w:szCs w:val="24"/>
        </w:rPr>
        <w:t>−</w:t>
      </w:r>
      <w:r w:rsidRPr="00521CC7">
        <w:rPr>
          <w:rFonts w:ascii="Times New Roman" w:hAnsi="Times New Roman" w:cs="Times New Roman"/>
          <w:color w:val="000000"/>
          <w:sz w:val="24"/>
          <w:szCs w:val="24"/>
        </w:rPr>
        <w:t>151.</w:t>
      </w:r>
    </w:p>
    <w:p w14:paraId="4A2B6185" w14:textId="7D490BF8" w:rsidR="003E386A" w:rsidRDefault="003E386A"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5E8D97CC" w14:textId="6D33A6FB"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Barber, B., </w:t>
      </w:r>
      <w:proofErr w:type="spellStart"/>
      <w:r w:rsidRPr="00521CC7">
        <w:rPr>
          <w:rFonts w:ascii="Times New Roman" w:hAnsi="Times New Roman" w:cs="Times New Roman"/>
          <w:color w:val="000000"/>
          <w:sz w:val="24"/>
          <w:szCs w:val="24"/>
        </w:rPr>
        <w:t>Lehavy</w:t>
      </w:r>
      <w:proofErr w:type="spellEnd"/>
      <w:r w:rsidRPr="00521CC7">
        <w:rPr>
          <w:rFonts w:ascii="Times New Roman" w:hAnsi="Times New Roman" w:cs="Times New Roman"/>
          <w:color w:val="000000"/>
          <w:sz w:val="24"/>
          <w:szCs w:val="24"/>
        </w:rPr>
        <w:t xml:space="preserve">, R., McNichols, M. </w:t>
      </w:r>
      <w:r w:rsidR="00A67605">
        <w:rPr>
          <w:rFonts w:ascii="Times New Roman" w:hAnsi="Times New Roman" w:cs="Times New Roman"/>
          <w:color w:val="000000"/>
          <w:sz w:val="24"/>
          <w:szCs w:val="24"/>
        </w:rPr>
        <w:t>&amp;</w:t>
      </w:r>
      <w:r w:rsidRPr="00521CC7">
        <w:rPr>
          <w:rFonts w:ascii="Times New Roman" w:hAnsi="Times New Roman" w:cs="Times New Roman"/>
          <w:color w:val="000000"/>
          <w:sz w:val="24"/>
          <w:szCs w:val="24"/>
        </w:rPr>
        <w:t xml:space="preserve"> </w:t>
      </w:r>
      <w:proofErr w:type="spellStart"/>
      <w:r w:rsidRPr="00521CC7">
        <w:rPr>
          <w:rFonts w:ascii="Times New Roman" w:hAnsi="Times New Roman" w:cs="Times New Roman"/>
          <w:color w:val="000000"/>
          <w:sz w:val="24"/>
          <w:szCs w:val="24"/>
        </w:rPr>
        <w:t>Trueman</w:t>
      </w:r>
      <w:proofErr w:type="spellEnd"/>
      <w:r w:rsidRPr="00521CC7">
        <w:rPr>
          <w:rFonts w:ascii="Times New Roman" w:hAnsi="Times New Roman" w:cs="Times New Roman"/>
          <w:color w:val="000000"/>
          <w:sz w:val="24"/>
          <w:szCs w:val="24"/>
        </w:rPr>
        <w:t xml:space="preserve">, B. (2001). Can investors profit from the prophets? Security analyst recommendations and stock returns. </w:t>
      </w:r>
      <w:r w:rsidRPr="00521CC7">
        <w:rPr>
          <w:rFonts w:ascii="Times New Roman" w:hAnsi="Times New Roman" w:cs="Times New Roman"/>
          <w:i/>
          <w:iCs/>
          <w:color w:val="000000"/>
          <w:sz w:val="24"/>
          <w:szCs w:val="24"/>
        </w:rPr>
        <w:t>The Journal of Finance</w:t>
      </w:r>
      <w:r w:rsidRPr="00521CC7">
        <w:rPr>
          <w:rFonts w:ascii="Times New Roman" w:hAnsi="Times New Roman" w:cs="Times New Roman"/>
          <w:color w:val="000000"/>
          <w:sz w:val="24"/>
          <w:szCs w:val="24"/>
        </w:rPr>
        <w:t>, 56(2), pp. 531</w:t>
      </w:r>
      <w:r>
        <w:rPr>
          <w:rFonts w:ascii="Times New Roman" w:hAnsi="Times New Roman" w:cs="Times New Roman"/>
          <w:i/>
          <w:sz w:val="24"/>
          <w:szCs w:val="24"/>
        </w:rPr>
        <w:t>−</w:t>
      </w:r>
      <w:r w:rsidRPr="00521CC7">
        <w:rPr>
          <w:rFonts w:ascii="Times New Roman" w:hAnsi="Times New Roman" w:cs="Times New Roman"/>
          <w:color w:val="000000"/>
          <w:sz w:val="24"/>
          <w:szCs w:val="24"/>
        </w:rPr>
        <w:t>563.</w:t>
      </w:r>
    </w:p>
    <w:p w14:paraId="790555EE"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5CBE9015" w14:textId="782E9864"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Barber, B., </w:t>
      </w:r>
      <w:proofErr w:type="spellStart"/>
      <w:r w:rsidRPr="00521CC7">
        <w:rPr>
          <w:rFonts w:ascii="Times New Roman" w:hAnsi="Times New Roman" w:cs="Times New Roman"/>
          <w:color w:val="000000"/>
          <w:sz w:val="24"/>
          <w:szCs w:val="24"/>
        </w:rPr>
        <w:t>Lehavy</w:t>
      </w:r>
      <w:proofErr w:type="spellEnd"/>
      <w:r w:rsidRPr="00521CC7">
        <w:rPr>
          <w:rFonts w:ascii="Times New Roman" w:hAnsi="Times New Roman" w:cs="Times New Roman"/>
          <w:color w:val="000000"/>
          <w:sz w:val="24"/>
          <w:szCs w:val="24"/>
        </w:rPr>
        <w:t xml:space="preserve">, R. </w:t>
      </w:r>
      <w:r w:rsidR="002F76DC">
        <w:rPr>
          <w:rFonts w:ascii="Times New Roman" w:hAnsi="Times New Roman" w:cs="Times New Roman"/>
          <w:color w:val="000000"/>
          <w:sz w:val="24"/>
          <w:szCs w:val="24"/>
        </w:rPr>
        <w:t>&amp;</w:t>
      </w:r>
      <w:r w:rsidR="002F76DC" w:rsidRPr="00521CC7">
        <w:rPr>
          <w:rFonts w:ascii="Times New Roman" w:hAnsi="Times New Roman" w:cs="Times New Roman"/>
          <w:color w:val="000000"/>
          <w:sz w:val="24"/>
          <w:szCs w:val="24"/>
        </w:rPr>
        <w:t xml:space="preserve"> </w:t>
      </w:r>
      <w:proofErr w:type="spellStart"/>
      <w:r w:rsidRPr="00521CC7">
        <w:rPr>
          <w:rFonts w:ascii="Times New Roman" w:hAnsi="Times New Roman" w:cs="Times New Roman"/>
          <w:color w:val="000000"/>
          <w:sz w:val="24"/>
          <w:szCs w:val="24"/>
        </w:rPr>
        <w:t>Trueman</w:t>
      </w:r>
      <w:proofErr w:type="spellEnd"/>
      <w:r w:rsidRPr="00521CC7">
        <w:rPr>
          <w:rFonts w:ascii="Times New Roman" w:hAnsi="Times New Roman" w:cs="Times New Roman"/>
          <w:color w:val="000000"/>
          <w:sz w:val="24"/>
          <w:szCs w:val="24"/>
        </w:rPr>
        <w:t xml:space="preserve">, B. (2007). Comparing the stock recommendation performance of investment banks and independent research firms. </w:t>
      </w:r>
      <w:r w:rsidRPr="00521CC7">
        <w:rPr>
          <w:rFonts w:ascii="Times New Roman" w:hAnsi="Times New Roman" w:cs="Times New Roman"/>
          <w:i/>
          <w:iCs/>
          <w:color w:val="000000"/>
          <w:sz w:val="24"/>
          <w:szCs w:val="24"/>
        </w:rPr>
        <w:t>Journal of Financial Economics</w:t>
      </w:r>
      <w:r w:rsidRPr="00521CC7">
        <w:rPr>
          <w:rFonts w:ascii="Times New Roman" w:hAnsi="Times New Roman" w:cs="Times New Roman"/>
          <w:color w:val="000000"/>
          <w:sz w:val="24"/>
          <w:szCs w:val="24"/>
        </w:rPr>
        <w:t>, 85(2), pp.</w:t>
      </w:r>
      <w:r w:rsidR="002F76DC">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490</w:t>
      </w:r>
      <w:r>
        <w:rPr>
          <w:rFonts w:ascii="Times New Roman" w:hAnsi="Times New Roman" w:cs="Times New Roman"/>
          <w:i/>
          <w:sz w:val="24"/>
          <w:szCs w:val="24"/>
        </w:rPr>
        <w:t>−</w:t>
      </w:r>
      <w:r w:rsidRPr="00521CC7">
        <w:rPr>
          <w:rFonts w:ascii="Times New Roman" w:hAnsi="Times New Roman" w:cs="Times New Roman"/>
          <w:color w:val="000000"/>
          <w:sz w:val="24"/>
          <w:szCs w:val="24"/>
        </w:rPr>
        <w:t>517.</w:t>
      </w:r>
    </w:p>
    <w:p w14:paraId="15AA62F4"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44A2DEA4" w14:textId="453965E5"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Barber, B., </w:t>
      </w:r>
      <w:proofErr w:type="spellStart"/>
      <w:r w:rsidRPr="00521CC7">
        <w:rPr>
          <w:rFonts w:ascii="Times New Roman" w:hAnsi="Times New Roman" w:cs="Times New Roman"/>
          <w:color w:val="000000"/>
          <w:sz w:val="24"/>
          <w:szCs w:val="24"/>
        </w:rPr>
        <w:t>Lehavy</w:t>
      </w:r>
      <w:proofErr w:type="spellEnd"/>
      <w:r w:rsidRPr="00521CC7">
        <w:rPr>
          <w:rFonts w:ascii="Times New Roman" w:hAnsi="Times New Roman" w:cs="Times New Roman"/>
          <w:color w:val="000000"/>
          <w:sz w:val="24"/>
          <w:szCs w:val="24"/>
        </w:rPr>
        <w:t xml:space="preserve"> R. </w:t>
      </w:r>
      <w:r w:rsidR="002F76DC">
        <w:rPr>
          <w:rFonts w:ascii="Times New Roman" w:hAnsi="Times New Roman" w:cs="Times New Roman"/>
          <w:color w:val="000000"/>
          <w:sz w:val="24"/>
          <w:szCs w:val="24"/>
        </w:rPr>
        <w:t>&amp;</w:t>
      </w:r>
      <w:r w:rsidR="002F76DC" w:rsidRPr="00521CC7">
        <w:rPr>
          <w:rFonts w:ascii="Times New Roman" w:hAnsi="Times New Roman" w:cs="Times New Roman"/>
          <w:color w:val="000000"/>
          <w:sz w:val="24"/>
          <w:szCs w:val="24"/>
        </w:rPr>
        <w:t xml:space="preserve"> </w:t>
      </w:r>
      <w:proofErr w:type="spellStart"/>
      <w:r w:rsidRPr="00521CC7">
        <w:rPr>
          <w:rFonts w:ascii="Times New Roman" w:hAnsi="Times New Roman" w:cs="Times New Roman"/>
          <w:color w:val="000000"/>
          <w:sz w:val="24"/>
          <w:szCs w:val="24"/>
        </w:rPr>
        <w:t>Trueman</w:t>
      </w:r>
      <w:proofErr w:type="spellEnd"/>
      <w:r w:rsidRPr="00521CC7">
        <w:rPr>
          <w:rFonts w:ascii="Times New Roman" w:hAnsi="Times New Roman" w:cs="Times New Roman"/>
          <w:color w:val="000000"/>
          <w:sz w:val="24"/>
          <w:szCs w:val="24"/>
        </w:rPr>
        <w:t xml:space="preserve"> B. (2010). Ratings Changes, Ratings Levels, and the Predictive Value of Analysts’ Recommendations. </w:t>
      </w:r>
      <w:r w:rsidRPr="00521CC7">
        <w:rPr>
          <w:rFonts w:ascii="Times New Roman" w:hAnsi="Times New Roman" w:cs="Times New Roman"/>
          <w:i/>
          <w:color w:val="000000"/>
          <w:sz w:val="24"/>
          <w:szCs w:val="24"/>
        </w:rPr>
        <w:t>Financial Management</w:t>
      </w:r>
      <w:r w:rsidR="002F76DC">
        <w:rPr>
          <w:rFonts w:ascii="Times New Roman" w:hAnsi="Times New Roman" w:cs="Times New Roman"/>
          <w:iCs/>
          <w:color w:val="000000"/>
          <w:sz w:val="24"/>
          <w:szCs w:val="24"/>
        </w:rPr>
        <w:t>,</w:t>
      </w:r>
      <w:r>
        <w:rPr>
          <w:rFonts w:ascii="Times New Roman" w:hAnsi="Times New Roman" w:cs="Times New Roman"/>
          <w:color w:val="000000"/>
          <w:sz w:val="24"/>
          <w:szCs w:val="24"/>
        </w:rPr>
        <w:t xml:space="preserve"> 39(2), pp.533</w:t>
      </w:r>
      <w:r>
        <w:rPr>
          <w:rFonts w:ascii="Times New Roman" w:hAnsi="Times New Roman" w:cs="Times New Roman"/>
          <w:i/>
          <w:sz w:val="24"/>
          <w:szCs w:val="24"/>
        </w:rPr>
        <w:t>−</w:t>
      </w:r>
      <w:r>
        <w:rPr>
          <w:rFonts w:ascii="Times New Roman" w:hAnsi="Times New Roman" w:cs="Times New Roman"/>
          <w:color w:val="000000"/>
          <w:sz w:val="24"/>
          <w:szCs w:val="24"/>
        </w:rPr>
        <w:t>553.</w:t>
      </w:r>
    </w:p>
    <w:p w14:paraId="374415AA"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797C9286" w14:textId="57485AE6" w:rsidR="00EB027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7E4761">
        <w:rPr>
          <w:rFonts w:ascii="Times New Roman" w:hAnsi="Times New Roman" w:cs="Times New Roman"/>
          <w:color w:val="000000"/>
          <w:sz w:val="24"/>
          <w:szCs w:val="24"/>
        </w:rPr>
        <w:t>Beaver, W.H. (1966)</w:t>
      </w:r>
      <w:r w:rsidR="002F76DC">
        <w:rPr>
          <w:rFonts w:ascii="Times New Roman" w:hAnsi="Times New Roman" w:cs="Times New Roman"/>
          <w:color w:val="000000"/>
          <w:sz w:val="24"/>
          <w:szCs w:val="24"/>
        </w:rPr>
        <w:t>.</w:t>
      </w:r>
      <w:r w:rsidRPr="007E4761">
        <w:rPr>
          <w:rFonts w:ascii="Times New Roman" w:hAnsi="Times New Roman" w:cs="Times New Roman"/>
          <w:color w:val="000000"/>
          <w:sz w:val="24"/>
          <w:szCs w:val="24"/>
        </w:rPr>
        <w:t xml:space="preserve"> Financial ratios as predictors of </w:t>
      </w:r>
      <w:r w:rsidR="00EB0276" w:rsidRPr="007E4761">
        <w:rPr>
          <w:rFonts w:ascii="Times New Roman" w:hAnsi="Times New Roman" w:cs="Times New Roman"/>
          <w:color w:val="000000"/>
          <w:sz w:val="24"/>
          <w:szCs w:val="24"/>
        </w:rPr>
        <w:t xml:space="preserve">failure, </w:t>
      </w:r>
      <w:r w:rsidR="00EB0276" w:rsidRPr="00C658FF">
        <w:rPr>
          <w:rFonts w:ascii="Times New Roman" w:hAnsi="Times New Roman" w:cs="Times New Roman"/>
          <w:i/>
          <w:iCs/>
          <w:color w:val="000000"/>
          <w:sz w:val="24"/>
          <w:szCs w:val="24"/>
        </w:rPr>
        <w:t>Journal</w:t>
      </w:r>
      <w:r w:rsidRPr="00C658FF">
        <w:rPr>
          <w:rFonts w:ascii="Times New Roman" w:hAnsi="Times New Roman" w:cs="Times New Roman"/>
          <w:i/>
          <w:iCs/>
          <w:color w:val="000000"/>
          <w:sz w:val="24"/>
          <w:szCs w:val="24"/>
        </w:rPr>
        <w:t xml:space="preserve"> of Accounting Research</w:t>
      </w:r>
      <w:r w:rsidRPr="007E476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E4761">
        <w:rPr>
          <w:rFonts w:ascii="Times New Roman" w:hAnsi="Times New Roman" w:cs="Times New Roman"/>
          <w:color w:val="000000"/>
          <w:sz w:val="24"/>
          <w:szCs w:val="24"/>
        </w:rPr>
        <w:t>4, pp. 71</w:t>
      </w:r>
      <w:r w:rsidR="002F76DC">
        <w:rPr>
          <w:rFonts w:ascii="Times New Roman" w:hAnsi="Times New Roman" w:cs="Times New Roman"/>
          <w:i/>
          <w:sz w:val="24"/>
          <w:szCs w:val="24"/>
        </w:rPr>
        <w:t>−</w:t>
      </w:r>
      <w:r w:rsidRPr="007E4761">
        <w:rPr>
          <w:rFonts w:ascii="Times New Roman" w:hAnsi="Times New Roman" w:cs="Times New Roman"/>
          <w:color w:val="000000"/>
          <w:sz w:val="24"/>
          <w:szCs w:val="24"/>
        </w:rPr>
        <w:t>111.</w:t>
      </w:r>
    </w:p>
    <w:p w14:paraId="24DB1745" w14:textId="77777777" w:rsidR="00EB0276" w:rsidRDefault="00EB027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49FFFDAA" w14:textId="5E4CB7E6"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7E4761">
        <w:rPr>
          <w:rFonts w:ascii="Times New Roman" w:hAnsi="Times New Roman" w:cs="Times New Roman"/>
          <w:color w:val="000000"/>
          <w:sz w:val="24"/>
          <w:szCs w:val="24"/>
        </w:rPr>
        <w:lastRenderedPageBreak/>
        <w:t>Beaver, W.H.  (1968)</w:t>
      </w:r>
      <w:r w:rsidR="002F76DC">
        <w:rPr>
          <w:rFonts w:ascii="Times New Roman" w:hAnsi="Times New Roman" w:cs="Times New Roman"/>
          <w:color w:val="000000"/>
          <w:sz w:val="24"/>
          <w:szCs w:val="24"/>
        </w:rPr>
        <w:t>.</w:t>
      </w:r>
      <w:r w:rsidRPr="007E4761">
        <w:rPr>
          <w:rFonts w:ascii="Times New Roman" w:hAnsi="Times New Roman" w:cs="Times New Roman"/>
          <w:color w:val="000000"/>
          <w:sz w:val="24"/>
          <w:szCs w:val="24"/>
        </w:rPr>
        <w:t xml:space="preserve"> Market prices, financial </w:t>
      </w:r>
      <w:r w:rsidR="00EB0276" w:rsidRPr="007E4761">
        <w:rPr>
          <w:rFonts w:ascii="Times New Roman" w:hAnsi="Times New Roman" w:cs="Times New Roman"/>
          <w:color w:val="000000"/>
          <w:sz w:val="24"/>
          <w:szCs w:val="24"/>
        </w:rPr>
        <w:t>ratios and the prediction of failure</w:t>
      </w:r>
      <w:r w:rsidRPr="007E4761">
        <w:rPr>
          <w:rFonts w:ascii="Times New Roman" w:hAnsi="Times New Roman" w:cs="Times New Roman"/>
          <w:color w:val="000000"/>
          <w:sz w:val="24"/>
          <w:szCs w:val="24"/>
        </w:rPr>
        <w:t xml:space="preserve">, </w:t>
      </w:r>
      <w:r w:rsidRPr="00C658FF">
        <w:rPr>
          <w:rFonts w:ascii="Times New Roman" w:hAnsi="Times New Roman" w:cs="Times New Roman"/>
          <w:i/>
          <w:iCs/>
          <w:color w:val="000000"/>
          <w:sz w:val="24"/>
          <w:szCs w:val="24"/>
        </w:rPr>
        <w:t>Journal of Accounting Research</w:t>
      </w:r>
      <w:r w:rsidRPr="007E4761">
        <w:rPr>
          <w:rFonts w:ascii="Times New Roman" w:hAnsi="Times New Roman" w:cs="Times New Roman"/>
          <w:color w:val="000000"/>
          <w:sz w:val="24"/>
          <w:szCs w:val="24"/>
        </w:rPr>
        <w:t xml:space="preserve">, 6 </w:t>
      </w:r>
      <w:r w:rsidR="002F76DC">
        <w:rPr>
          <w:rFonts w:ascii="Times New Roman" w:hAnsi="Times New Roman" w:cs="Times New Roman"/>
          <w:color w:val="000000"/>
          <w:sz w:val="24"/>
          <w:szCs w:val="24"/>
        </w:rPr>
        <w:t>(</w:t>
      </w:r>
      <w:r w:rsidRPr="007E4761">
        <w:rPr>
          <w:rFonts w:ascii="Times New Roman" w:hAnsi="Times New Roman" w:cs="Times New Roman"/>
          <w:color w:val="000000"/>
          <w:sz w:val="24"/>
          <w:szCs w:val="24"/>
        </w:rPr>
        <w:t>2</w:t>
      </w:r>
      <w:r w:rsidR="002F76DC">
        <w:rPr>
          <w:rFonts w:ascii="Times New Roman" w:hAnsi="Times New Roman" w:cs="Times New Roman"/>
          <w:color w:val="000000"/>
          <w:sz w:val="24"/>
          <w:szCs w:val="24"/>
        </w:rPr>
        <w:t>)</w:t>
      </w:r>
      <w:r w:rsidRPr="007E4761">
        <w:rPr>
          <w:rFonts w:ascii="Times New Roman" w:hAnsi="Times New Roman" w:cs="Times New Roman"/>
          <w:color w:val="000000"/>
          <w:sz w:val="24"/>
          <w:szCs w:val="24"/>
        </w:rPr>
        <w:t>, pp. 179</w:t>
      </w:r>
      <w:r w:rsidR="002F76DC">
        <w:rPr>
          <w:rFonts w:ascii="Times New Roman" w:hAnsi="Times New Roman" w:cs="Times New Roman"/>
          <w:i/>
          <w:sz w:val="24"/>
          <w:szCs w:val="24"/>
        </w:rPr>
        <w:t>−</w:t>
      </w:r>
      <w:r w:rsidRPr="007E4761">
        <w:rPr>
          <w:rFonts w:ascii="Times New Roman" w:hAnsi="Times New Roman" w:cs="Times New Roman"/>
          <w:color w:val="000000"/>
          <w:sz w:val="24"/>
          <w:szCs w:val="24"/>
        </w:rPr>
        <w:t>92.</w:t>
      </w:r>
    </w:p>
    <w:p w14:paraId="7CB3339A"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01CF9AC7" w14:textId="38472940" w:rsidR="00E923F6" w:rsidRPr="00E923F6" w:rsidRDefault="00E923F6" w:rsidP="00E923F6">
      <w:pPr>
        <w:pStyle w:val="NormalWeb"/>
        <w:shd w:val="clear" w:color="auto" w:fill="FFFFFF"/>
        <w:spacing w:before="0" w:beforeAutospacing="0" w:after="0" w:afterAutospacing="0"/>
        <w:ind w:left="567" w:hanging="567"/>
        <w:jc w:val="both"/>
        <w:rPr>
          <w:color w:val="000000"/>
        </w:rPr>
      </w:pPr>
      <w:r w:rsidRPr="00E923F6">
        <w:rPr>
          <w:color w:val="000000"/>
        </w:rPr>
        <w:t xml:space="preserve">Branson, B., Guffey, D. </w:t>
      </w:r>
      <w:r w:rsidR="001A6D92">
        <w:rPr>
          <w:color w:val="000000"/>
        </w:rPr>
        <w:t>&amp;</w:t>
      </w:r>
      <w:r w:rsidR="001A6D92" w:rsidRPr="00E923F6">
        <w:rPr>
          <w:color w:val="000000"/>
        </w:rPr>
        <w:t xml:space="preserve"> </w:t>
      </w:r>
      <w:proofErr w:type="spellStart"/>
      <w:r w:rsidRPr="00E923F6">
        <w:rPr>
          <w:color w:val="000000"/>
        </w:rPr>
        <w:t>Pagach</w:t>
      </w:r>
      <w:proofErr w:type="spellEnd"/>
      <w:r w:rsidRPr="00E923F6">
        <w:rPr>
          <w:color w:val="000000"/>
        </w:rPr>
        <w:t>, D. (1998). Information Conveyed in Announcements of Analyst Coverage</w:t>
      </w:r>
      <w:r w:rsidR="002F76DC">
        <w:rPr>
          <w:color w:val="000000"/>
        </w:rPr>
        <w:t>,</w:t>
      </w:r>
      <w:r w:rsidR="002F76DC" w:rsidRPr="00E923F6">
        <w:rPr>
          <w:color w:val="000000"/>
        </w:rPr>
        <w:t xml:space="preserve"> </w:t>
      </w:r>
      <w:r w:rsidRPr="00E923F6">
        <w:rPr>
          <w:i/>
          <w:iCs/>
          <w:color w:val="000000"/>
        </w:rPr>
        <w:t>Contemporary Accounting Research</w:t>
      </w:r>
      <w:r w:rsidRPr="00E923F6">
        <w:rPr>
          <w:color w:val="000000"/>
        </w:rPr>
        <w:t>, 15(2), pp.119</w:t>
      </w:r>
      <w:r w:rsidRPr="00E923F6">
        <w:rPr>
          <w:i/>
        </w:rPr>
        <w:t>−</w:t>
      </w:r>
      <w:r w:rsidRPr="00E923F6">
        <w:rPr>
          <w:color w:val="000000"/>
        </w:rPr>
        <w:t>143.</w:t>
      </w:r>
    </w:p>
    <w:p w14:paraId="14717347" w14:textId="77777777" w:rsidR="00E923F6" w:rsidRPr="000B09B3" w:rsidRDefault="00E923F6" w:rsidP="00E923F6">
      <w:pPr>
        <w:pStyle w:val="NormalWeb"/>
        <w:shd w:val="clear" w:color="auto" w:fill="FFFFFF"/>
        <w:spacing w:before="0" w:beforeAutospacing="0" w:after="0" w:afterAutospacing="0"/>
        <w:ind w:left="567" w:hanging="567"/>
        <w:jc w:val="both"/>
        <w:rPr>
          <w:rFonts w:ascii="Open Sans" w:hAnsi="Open Sans" w:cs="Arial"/>
          <w:color w:val="000000"/>
        </w:rPr>
      </w:pPr>
    </w:p>
    <w:p w14:paraId="5F601A00" w14:textId="1D06592A"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Brown, G. </w:t>
      </w:r>
      <w:r w:rsidR="001A6D92">
        <w:rPr>
          <w:rFonts w:ascii="Times New Roman" w:hAnsi="Times New Roman" w:cs="Times New Roman"/>
          <w:color w:val="000000"/>
          <w:sz w:val="24"/>
          <w:szCs w:val="24"/>
        </w:rPr>
        <w:t>&amp;</w:t>
      </w:r>
      <w:r w:rsidR="001A6D92" w:rsidRPr="00521CC7">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Cliff, M. (2004). Investor sentiment and the near</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 xml:space="preserve">term stock market. </w:t>
      </w:r>
      <w:r w:rsidRPr="00521CC7">
        <w:rPr>
          <w:rFonts w:ascii="Times New Roman" w:hAnsi="Times New Roman" w:cs="Times New Roman"/>
          <w:i/>
          <w:color w:val="000000"/>
          <w:sz w:val="24"/>
          <w:szCs w:val="24"/>
        </w:rPr>
        <w:t>Journal of Empirical Finance</w:t>
      </w:r>
      <w:r w:rsidRPr="00521CC7">
        <w:rPr>
          <w:rFonts w:ascii="Times New Roman" w:hAnsi="Times New Roman" w:cs="Times New Roman"/>
          <w:color w:val="000000"/>
          <w:sz w:val="24"/>
          <w:szCs w:val="24"/>
        </w:rPr>
        <w:t>, 11(1), pp.1</w:t>
      </w:r>
      <w:r>
        <w:rPr>
          <w:rFonts w:ascii="Times New Roman" w:hAnsi="Times New Roman" w:cs="Times New Roman"/>
          <w:i/>
          <w:sz w:val="24"/>
          <w:szCs w:val="24"/>
        </w:rPr>
        <w:t>−</w:t>
      </w:r>
      <w:r w:rsidRPr="00521CC7">
        <w:rPr>
          <w:rFonts w:ascii="Times New Roman" w:hAnsi="Times New Roman" w:cs="Times New Roman"/>
          <w:color w:val="000000"/>
          <w:sz w:val="24"/>
          <w:szCs w:val="24"/>
        </w:rPr>
        <w:t>27.</w:t>
      </w:r>
    </w:p>
    <w:p w14:paraId="04D24D1E"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12E52695" w14:textId="17975CBA" w:rsidR="00E923F6" w:rsidRPr="00D77E52"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lang w:val="en-IE"/>
        </w:rPr>
      </w:pPr>
      <w:r w:rsidRPr="00D77E52">
        <w:rPr>
          <w:rFonts w:ascii="Times New Roman" w:hAnsi="Times New Roman" w:cs="Times New Roman"/>
          <w:color w:val="000000"/>
          <w:sz w:val="24"/>
          <w:szCs w:val="24"/>
          <w:lang w:val="en-IE"/>
        </w:rPr>
        <w:t xml:space="preserve">Chan, J., Lin, S., Yu, Y., &amp; Zhao, W. (2018). Analysts’ stock ownership and stock recommendations. </w:t>
      </w:r>
      <w:r w:rsidRPr="00D77E52">
        <w:rPr>
          <w:rFonts w:ascii="Times New Roman" w:hAnsi="Times New Roman" w:cs="Times New Roman"/>
          <w:i/>
          <w:iCs/>
          <w:color w:val="000000"/>
          <w:sz w:val="24"/>
          <w:szCs w:val="24"/>
          <w:lang w:val="en-IE"/>
        </w:rPr>
        <w:t>Journal of Accounting and Economics</w:t>
      </w:r>
      <w:r w:rsidRPr="00D77E52">
        <w:rPr>
          <w:rFonts w:ascii="Times New Roman" w:hAnsi="Times New Roman" w:cs="Times New Roman"/>
          <w:color w:val="000000"/>
          <w:sz w:val="24"/>
          <w:szCs w:val="24"/>
          <w:lang w:val="en-IE"/>
        </w:rPr>
        <w:t xml:space="preserve">, </w:t>
      </w:r>
      <w:r w:rsidRPr="00C658FF">
        <w:rPr>
          <w:rFonts w:ascii="Times New Roman" w:hAnsi="Times New Roman" w:cs="Times New Roman"/>
          <w:color w:val="000000"/>
          <w:sz w:val="24"/>
          <w:szCs w:val="24"/>
          <w:lang w:val="en-IE"/>
        </w:rPr>
        <w:t>66</w:t>
      </w:r>
      <w:r w:rsidRPr="001A6D92">
        <w:rPr>
          <w:rFonts w:ascii="Times New Roman" w:hAnsi="Times New Roman" w:cs="Times New Roman"/>
          <w:color w:val="000000"/>
          <w:sz w:val="24"/>
          <w:szCs w:val="24"/>
          <w:lang w:val="en-IE"/>
        </w:rPr>
        <w:t>(2-3),</w:t>
      </w:r>
      <w:r w:rsidRPr="00D77E52">
        <w:rPr>
          <w:rFonts w:ascii="Times New Roman" w:hAnsi="Times New Roman" w:cs="Times New Roman"/>
          <w:color w:val="000000"/>
          <w:sz w:val="24"/>
          <w:szCs w:val="24"/>
          <w:lang w:val="en-IE"/>
        </w:rPr>
        <w:t xml:space="preserve"> </w:t>
      </w:r>
      <w:r w:rsidR="001A6D92">
        <w:rPr>
          <w:rFonts w:ascii="Times New Roman" w:hAnsi="Times New Roman" w:cs="Times New Roman"/>
          <w:color w:val="000000"/>
          <w:sz w:val="24"/>
          <w:szCs w:val="24"/>
          <w:lang w:val="en-IE"/>
        </w:rPr>
        <w:t xml:space="preserve">pp. </w:t>
      </w:r>
      <w:r w:rsidRPr="00D77E52">
        <w:rPr>
          <w:rFonts w:ascii="Times New Roman" w:hAnsi="Times New Roman" w:cs="Times New Roman"/>
          <w:color w:val="000000"/>
          <w:sz w:val="24"/>
          <w:szCs w:val="24"/>
          <w:lang w:val="en-IE"/>
        </w:rPr>
        <w:t>476</w:t>
      </w:r>
      <w:r w:rsidR="001A6D92">
        <w:rPr>
          <w:rFonts w:ascii="Times New Roman" w:hAnsi="Times New Roman" w:cs="Times New Roman"/>
          <w:i/>
          <w:sz w:val="24"/>
          <w:szCs w:val="24"/>
        </w:rPr>
        <w:t>−</w:t>
      </w:r>
      <w:r w:rsidRPr="00D77E52">
        <w:rPr>
          <w:rFonts w:ascii="Times New Roman" w:hAnsi="Times New Roman" w:cs="Times New Roman"/>
          <w:color w:val="000000"/>
          <w:sz w:val="24"/>
          <w:szCs w:val="24"/>
          <w:lang w:val="en-IE"/>
        </w:rPr>
        <w:t>498.</w:t>
      </w:r>
    </w:p>
    <w:p w14:paraId="7C05DBD2" w14:textId="77777777" w:rsidR="00E923F6" w:rsidRPr="00521CC7" w:rsidRDefault="00E923F6" w:rsidP="00E923F6">
      <w:pPr>
        <w:autoSpaceDE w:val="0"/>
        <w:autoSpaceDN w:val="0"/>
        <w:adjustRightInd w:val="0"/>
        <w:spacing w:after="0" w:line="240" w:lineRule="auto"/>
        <w:jc w:val="both"/>
        <w:rPr>
          <w:rFonts w:ascii="Times New Roman" w:hAnsi="Times New Roman" w:cs="Times New Roman"/>
          <w:color w:val="000000"/>
          <w:sz w:val="24"/>
          <w:szCs w:val="24"/>
        </w:rPr>
      </w:pPr>
    </w:p>
    <w:p w14:paraId="07CF0240" w14:textId="6ABCBA5C"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Chan, S. </w:t>
      </w:r>
      <w:r w:rsidR="001A6D92">
        <w:rPr>
          <w:rFonts w:ascii="Times New Roman" w:hAnsi="Times New Roman" w:cs="Times New Roman"/>
          <w:color w:val="000000"/>
          <w:sz w:val="24"/>
          <w:szCs w:val="24"/>
        </w:rPr>
        <w:t xml:space="preserve">&amp; </w:t>
      </w:r>
      <w:r w:rsidRPr="00521CC7">
        <w:rPr>
          <w:rFonts w:ascii="Times New Roman" w:hAnsi="Times New Roman" w:cs="Times New Roman"/>
          <w:color w:val="000000"/>
          <w:sz w:val="24"/>
          <w:szCs w:val="24"/>
        </w:rPr>
        <w:t>Fong, W. (1996). Reactions of the Hong Kong Stock Market to the Publication of Second</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Hand Analyst’ Recommendation</w:t>
      </w:r>
      <w:r w:rsidR="001A6D92">
        <w:rPr>
          <w:rFonts w:ascii="Times New Roman" w:hAnsi="Times New Roman" w:cs="Times New Roman"/>
          <w:color w:val="000000"/>
          <w:sz w:val="24"/>
          <w:szCs w:val="24"/>
        </w:rPr>
        <w:t>,</w:t>
      </w:r>
      <w:r w:rsidR="001A6D92" w:rsidRPr="00521CC7">
        <w:rPr>
          <w:rFonts w:ascii="Times New Roman" w:hAnsi="Times New Roman" w:cs="Times New Roman"/>
          <w:color w:val="000000"/>
          <w:sz w:val="24"/>
          <w:szCs w:val="24"/>
        </w:rPr>
        <w:t xml:space="preserve"> </w:t>
      </w:r>
      <w:r w:rsidRPr="00521CC7">
        <w:rPr>
          <w:rFonts w:ascii="Times New Roman" w:hAnsi="Times New Roman" w:cs="Times New Roman"/>
          <w:i/>
          <w:color w:val="000000"/>
          <w:sz w:val="24"/>
          <w:szCs w:val="24"/>
        </w:rPr>
        <w:t>Journal of Business Finance &amp; Accounting</w:t>
      </w:r>
      <w:r w:rsidRPr="00521CC7">
        <w:rPr>
          <w:rFonts w:ascii="Times New Roman" w:hAnsi="Times New Roman" w:cs="Times New Roman"/>
          <w:color w:val="000000"/>
          <w:sz w:val="24"/>
          <w:szCs w:val="24"/>
        </w:rPr>
        <w:t>, 23</w:t>
      </w:r>
      <w:r>
        <w:rPr>
          <w:rFonts w:ascii="Times New Roman" w:hAnsi="Times New Roman" w:cs="Times New Roman"/>
          <w:color w:val="000000"/>
          <w:sz w:val="24"/>
          <w:szCs w:val="24"/>
        </w:rPr>
        <w:t>(8),</w:t>
      </w:r>
      <w:r w:rsidRPr="00521CC7">
        <w:rPr>
          <w:rFonts w:ascii="Times New Roman" w:hAnsi="Times New Roman" w:cs="Times New Roman"/>
          <w:color w:val="000000"/>
          <w:sz w:val="24"/>
          <w:szCs w:val="24"/>
        </w:rPr>
        <w:t> pp.1121</w:t>
      </w:r>
      <w:r>
        <w:rPr>
          <w:rFonts w:ascii="Times New Roman" w:hAnsi="Times New Roman" w:cs="Times New Roman"/>
          <w:i/>
          <w:sz w:val="24"/>
          <w:szCs w:val="24"/>
        </w:rPr>
        <w:t>−</w:t>
      </w:r>
      <w:r w:rsidRPr="00521CC7">
        <w:rPr>
          <w:rFonts w:ascii="Times New Roman" w:hAnsi="Times New Roman" w:cs="Times New Roman"/>
          <w:color w:val="000000"/>
          <w:sz w:val="24"/>
          <w:szCs w:val="24"/>
        </w:rPr>
        <w:t>1140</w:t>
      </w:r>
      <w:r w:rsidR="00B669AB">
        <w:rPr>
          <w:rFonts w:ascii="Times New Roman" w:hAnsi="Times New Roman" w:cs="Times New Roman"/>
          <w:color w:val="000000"/>
          <w:sz w:val="24"/>
          <w:szCs w:val="24"/>
        </w:rPr>
        <w:t>.</w:t>
      </w:r>
    </w:p>
    <w:p w14:paraId="2B960793"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35AD6054" w14:textId="6546569A"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Chan, S. </w:t>
      </w:r>
      <w:r w:rsidR="001A6D92">
        <w:rPr>
          <w:rFonts w:ascii="Times New Roman" w:hAnsi="Times New Roman" w:cs="Times New Roman"/>
          <w:color w:val="000000"/>
          <w:sz w:val="24"/>
          <w:szCs w:val="24"/>
        </w:rPr>
        <w:t>&amp;</w:t>
      </w:r>
      <w:r w:rsidR="001A6D92" w:rsidRPr="00521CC7">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 xml:space="preserve">Fong, W. (2004). Individual investors’ sentiment and temporary stock price pressure. </w:t>
      </w:r>
      <w:r w:rsidRPr="00521CC7">
        <w:rPr>
          <w:rFonts w:ascii="Times New Roman" w:hAnsi="Times New Roman" w:cs="Times New Roman"/>
          <w:i/>
          <w:color w:val="000000"/>
          <w:sz w:val="24"/>
          <w:szCs w:val="24"/>
        </w:rPr>
        <w:t>Journal of Business Finance \&amp; Accounting</w:t>
      </w:r>
      <w:r w:rsidRPr="00521CC7">
        <w:rPr>
          <w:rFonts w:ascii="Times New Roman" w:hAnsi="Times New Roman" w:cs="Times New Roman"/>
          <w:color w:val="000000"/>
          <w:sz w:val="24"/>
          <w:szCs w:val="24"/>
        </w:rPr>
        <w:t>, 31(5</w:t>
      </w:r>
      <w:r>
        <w:rPr>
          <w:rFonts w:ascii="Times New Roman" w:hAnsi="Times New Roman" w:cs="Times New Roman"/>
          <w:i/>
          <w:sz w:val="24"/>
          <w:szCs w:val="24"/>
        </w:rPr>
        <w:t>−</w:t>
      </w:r>
      <w:r w:rsidRPr="00521CC7">
        <w:rPr>
          <w:rFonts w:ascii="Times New Roman" w:hAnsi="Times New Roman" w:cs="Times New Roman"/>
          <w:color w:val="000000"/>
          <w:sz w:val="24"/>
          <w:szCs w:val="24"/>
        </w:rPr>
        <w:t>6), pp.823</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836.</w:t>
      </w:r>
    </w:p>
    <w:p w14:paraId="57554CC2"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7E6E8AEF" w14:textId="56754376"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3C1FDE">
        <w:rPr>
          <w:rFonts w:ascii="Times New Roman" w:hAnsi="Times New Roman" w:cs="Times New Roman"/>
          <w:color w:val="000000"/>
          <w:sz w:val="24"/>
          <w:szCs w:val="24"/>
        </w:rPr>
        <w:t xml:space="preserve">Chen, X. </w:t>
      </w:r>
      <w:r w:rsidR="001A6D92">
        <w:rPr>
          <w:rFonts w:ascii="Times New Roman" w:hAnsi="Times New Roman" w:cs="Times New Roman"/>
          <w:color w:val="000000"/>
          <w:sz w:val="24"/>
          <w:szCs w:val="24"/>
        </w:rPr>
        <w:t>&amp;</w:t>
      </w:r>
      <w:r w:rsidR="001A6D92" w:rsidRPr="003C1FDE">
        <w:rPr>
          <w:rFonts w:ascii="Times New Roman" w:hAnsi="Times New Roman" w:cs="Times New Roman"/>
          <w:color w:val="000000"/>
          <w:sz w:val="24"/>
          <w:szCs w:val="24"/>
        </w:rPr>
        <w:t xml:space="preserve"> </w:t>
      </w:r>
      <w:r w:rsidRPr="003C1FDE">
        <w:rPr>
          <w:rFonts w:ascii="Times New Roman" w:hAnsi="Times New Roman" w:cs="Times New Roman"/>
          <w:color w:val="000000"/>
          <w:sz w:val="24"/>
          <w:szCs w:val="24"/>
        </w:rPr>
        <w:t xml:space="preserve">Cheng, Q. (2006). Institutional Holdings and Analysts’ Stock Recommendations. </w:t>
      </w:r>
      <w:r w:rsidRPr="004D5393">
        <w:rPr>
          <w:rFonts w:ascii="Times New Roman" w:hAnsi="Times New Roman" w:cs="Times New Roman"/>
          <w:i/>
          <w:iCs/>
          <w:color w:val="000000"/>
          <w:sz w:val="24"/>
          <w:szCs w:val="24"/>
        </w:rPr>
        <w:t>Journal of Accounting, Auditing and Finance</w:t>
      </w:r>
      <w:r w:rsidRPr="003C1FDE">
        <w:rPr>
          <w:rFonts w:ascii="Times New Roman" w:hAnsi="Times New Roman" w:cs="Times New Roman"/>
          <w:color w:val="000000"/>
          <w:sz w:val="24"/>
          <w:szCs w:val="24"/>
        </w:rPr>
        <w:t xml:space="preserve">, 21(4), </w:t>
      </w:r>
      <w:r>
        <w:rPr>
          <w:rFonts w:ascii="Times New Roman" w:hAnsi="Times New Roman" w:cs="Times New Roman"/>
          <w:color w:val="000000"/>
          <w:sz w:val="24"/>
          <w:szCs w:val="24"/>
        </w:rPr>
        <w:t xml:space="preserve">pp. </w:t>
      </w:r>
      <w:r w:rsidRPr="003C1FDE">
        <w:rPr>
          <w:rFonts w:ascii="Times New Roman" w:hAnsi="Times New Roman" w:cs="Times New Roman"/>
          <w:color w:val="000000"/>
          <w:sz w:val="24"/>
          <w:szCs w:val="24"/>
        </w:rPr>
        <w:t>399</w:t>
      </w:r>
      <w:r w:rsidRPr="003327E4">
        <w:rPr>
          <w:rFonts w:ascii="Times New Roman" w:hAnsi="Times New Roman" w:cs="Times New Roman"/>
          <w:color w:val="000000"/>
          <w:sz w:val="24"/>
          <w:szCs w:val="24"/>
        </w:rPr>
        <w:t>–</w:t>
      </w:r>
      <w:r w:rsidRPr="003C1FDE">
        <w:rPr>
          <w:rFonts w:ascii="Times New Roman" w:hAnsi="Times New Roman" w:cs="Times New Roman"/>
          <w:color w:val="000000"/>
          <w:sz w:val="24"/>
          <w:szCs w:val="24"/>
        </w:rPr>
        <w:t>440.</w:t>
      </w:r>
    </w:p>
    <w:p w14:paraId="71D4F892"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1250DBB9" w14:textId="70090823"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3327E4">
        <w:rPr>
          <w:rFonts w:ascii="Times New Roman" w:hAnsi="Times New Roman" w:cs="Times New Roman"/>
          <w:color w:val="000000"/>
          <w:sz w:val="24"/>
          <w:szCs w:val="24"/>
        </w:rPr>
        <w:t xml:space="preserve">Chen, S. </w:t>
      </w:r>
      <w:r w:rsidR="001A6D92">
        <w:rPr>
          <w:rFonts w:ascii="Times New Roman" w:hAnsi="Times New Roman" w:cs="Times New Roman"/>
          <w:color w:val="000000"/>
          <w:sz w:val="24"/>
          <w:szCs w:val="24"/>
        </w:rPr>
        <w:t>&amp;</w:t>
      </w:r>
      <w:r w:rsidR="001A6D92" w:rsidRPr="003327E4">
        <w:rPr>
          <w:rFonts w:ascii="Times New Roman" w:hAnsi="Times New Roman" w:cs="Times New Roman"/>
          <w:color w:val="000000"/>
          <w:sz w:val="24"/>
          <w:szCs w:val="24"/>
        </w:rPr>
        <w:t xml:space="preserve"> </w:t>
      </w:r>
      <w:r w:rsidRPr="003327E4">
        <w:rPr>
          <w:rFonts w:ascii="Times New Roman" w:hAnsi="Times New Roman" w:cs="Times New Roman"/>
          <w:color w:val="000000"/>
          <w:sz w:val="24"/>
          <w:szCs w:val="24"/>
        </w:rPr>
        <w:t>Matsumoto, D. A. (2006). Favorable versus unfavorable recommendations: The impact on analyst access to management-provided information</w:t>
      </w:r>
      <w:r w:rsidR="001A6D92">
        <w:rPr>
          <w:rFonts w:ascii="Times New Roman" w:hAnsi="Times New Roman" w:cs="Times New Roman"/>
          <w:color w:val="000000"/>
          <w:sz w:val="24"/>
          <w:szCs w:val="24"/>
        </w:rPr>
        <w:t>,</w:t>
      </w:r>
      <w:r w:rsidR="001A6D92" w:rsidRPr="003327E4">
        <w:rPr>
          <w:rFonts w:ascii="Times New Roman" w:hAnsi="Times New Roman" w:cs="Times New Roman"/>
          <w:color w:val="000000"/>
          <w:sz w:val="24"/>
          <w:szCs w:val="24"/>
        </w:rPr>
        <w:t xml:space="preserve"> </w:t>
      </w:r>
      <w:r w:rsidRPr="004D5393">
        <w:rPr>
          <w:rFonts w:ascii="Times New Roman" w:hAnsi="Times New Roman" w:cs="Times New Roman"/>
          <w:i/>
          <w:iCs/>
          <w:color w:val="000000"/>
          <w:sz w:val="24"/>
          <w:szCs w:val="24"/>
        </w:rPr>
        <w:t>Journal of Accounting Research</w:t>
      </w:r>
      <w:r w:rsidRPr="003327E4">
        <w:rPr>
          <w:rFonts w:ascii="Times New Roman" w:hAnsi="Times New Roman" w:cs="Times New Roman"/>
          <w:color w:val="000000"/>
          <w:sz w:val="24"/>
          <w:szCs w:val="24"/>
        </w:rPr>
        <w:t xml:space="preserve">, 44(4), </w:t>
      </w:r>
      <w:r>
        <w:rPr>
          <w:rFonts w:ascii="Times New Roman" w:hAnsi="Times New Roman" w:cs="Times New Roman"/>
          <w:color w:val="000000"/>
          <w:sz w:val="24"/>
          <w:szCs w:val="24"/>
        </w:rPr>
        <w:t xml:space="preserve">pp. </w:t>
      </w:r>
      <w:r w:rsidRPr="003327E4">
        <w:rPr>
          <w:rFonts w:ascii="Times New Roman" w:hAnsi="Times New Roman" w:cs="Times New Roman"/>
          <w:color w:val="000000"/>
          <w:sz w:val="24"/>
          <w:szCs w:val="24"/>
        </w:rPr>
        <w:t>657–689.</w:t>
      </w:r>
    </w:p>
    <w:p w14:paraId="430A043A"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7250EB80" w14:textId="1B7489C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6C7E06">
        <w:rPr>
          <w:rFonts w:ascii="Times New Roman" w:hAnsi="Times New Roman" w:cs="Times New Roman"/>
          <w:color w:val="000000"/>
          <w:sz w:val="24"/>
          <w:szCs w:val="24"/>
        </w:rPr>
        <w:t>Cheng, J. W., Fan, D. K.</w:t>
      </w:r>
      <w:r w:rsidR="001A6D92">
        <w:rPr>
          <w:rFonts w:ascii="Times New Roman" w:hAnsi="Times New Roman" w:cs="Times New Roman"/>
          <w:color w:val="000000"/>
          <w:sz w:val="24"/>
          <w:szCs w:val="24"/>
        </w:rPr>
        <w:t xml:space="preserve"> &amp; </w:t>
      </w:r>
      <w:r w:rsidRPr="006C7E06">
        <w:rPr>
          <w:rFonts w:ascii="Times New Roman" w:hAnsi="Times New Roman" w:cs="Times New Roman"/>
          <w:color w:val="000000"/>
          <w:sz w:val="24"/>
          <w:szCs w:val="24"/>
        </w:rPr>
        <w:t>So, R. W. (2003). On the performance of naïve, analyst and composite earnings forecasts: Evidence from Hong Kong</w:t>
      </w:r>
      <w:r w:rsidR="001A6D92">
        <w:rPr>
          <w:rFonts w:ascii="Times New Roman" w:hAnsi="Times New Roman" w:cs="Times New Roman"/>
          <w:color w:val="000000"/>
          <w:sz w:val="24"/>
          <w:szCs w:val="24"/>
        </w:rPr>
        <w:t>,</w:t>
      </w:r>
      <w:r w:rsidR="001A6D92" w:rsidRPr="006C7E06">
        <w:rPr>
          <w:rFonts w:ascii="Times New Roman" w:hAnsi="Times New Roman" w:cs="Times New Roman"/>
          <w:color w:val="000000"/>
          <w:sz w:val="24"/>
          <w:szCs w:val="24"/>
        </w:rPr>
        <w:t xml:space="preserve"> </w:t>
      </w:r>
      <w:r w:rsidRPr="004D5393">
        <w:rPr>
          <w:rFonts w:ascii="Times New Roman" w:hAnsi="Times New Roman" w:cs="Times New Roman"/>
          <w:i/>
          <w:color w:val="000000"/>
          <w:sz w:val="24"/>
          <w:szCs w:val="24"/>
        </w:rPr>
        <w:t>Journal of International Financial Management and Accounting</w:t>
      </w:r>
      <w:r w:rsidRPr="006C7E06">
        <w:rPr>
          <w:rFonts w:ascii="Times New Roman" w:hAnsi="Times New Roman" w:cs="Times New Roman"/>
          <w:color w:val="000000"/>
          <w:sz w:val="24"/>
          <w:szCs w:val="24"/>
        </w:rPr>
        <w:t xml:space="preserve">, 14(2), </w:t>
      </w:r>
      <w:r w:rsidRPr="00521CC7">
        <w:rPr>
          <w:rFonts w:ascii="Times New Roman" w:hAnsi="Times New Roman" w:cs="Times New Roman"/>
          <w:color w:val="000000"/>
          <w:sz w:val="24"/>
          <w:szCs w:val="24"/>
        </w:rPr>
        <w:t xml:space="preserve">pp. </w:t>
      </w:r>
      <w:r w:rsidRPr="006C7E06">
        <w:rPr>
          <w:rFonts w:ascii="Times New Roman" w:hAnsi="Times New Roman" w:cs="Times New Roman"/>
          <w:color w:val="000000"/>
          <w:sz w:val="24"/>
          <w:szCs w:val="24"/>
        </w:rPr>
        <w:t>146–165.</w:t>
      </w:r>
    </w:p>
    <w:p w14:paraId="256783D0"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0F389536" w14:textId="1C40A83A"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spellStart"/>
      <w:r w:rsidRPr="00D74271">
        <w:rPr>
          <w:rFonts w:ascii="Times New Roman" w:hAnsi="Times New Roman" w:cs="Times New Roman"/>
          <w:color w:val="000000"/>
          <w:sz w:val="24"/>
          <w:szCs w:val="24"/>
        </w:rPr>
        <w:t>Corredor</w:t>
      </w:r>
      <w:proofErr w:type="spellEnd"/>
      <w:r w:rsidRPr="00D74271">
        <w:rPr>
          <w:rFonts w:ascii="Times New Roman" w:hAnsi="Times New Roman" w:cs="Times New Roman"/>
          <w:color w:val="000000"/>
          <w:sz w:val="24"/>
          <w:szCs w:val="24"/>
        </w:rPr>
        <w:t xml:space="preserve">, P., Ferrer, E. </w:t>
      </w:r>
      <w:r w:rsidR="001A6D92">
        <w:rPr>
          <w:rFonts w:ascii="Times New Roman" w:hAnsi="Times New Roman" w:cs="Times New Roman"/>
          <w:color w:val="000000"/>
          <w:sz w:val="24"/>
          <w:szCs w:val="24"/>
        </w:rPr>
        <w:t>&amp;</w:t>
      </w:r>
      <w:r w:rsidR="001A6D92" w:rsidRPr="00D74271">
        <w:rPr>
          <w:rFonts w:ascii="Times New Roman" w:hAnsi="Times New Roman" w:cs="Times New Roman"/>
          <w:color w:val="000000"/>
          <w:sz w:val="24"/>
          <w:szCs w:val="24"/>
        </w:rPr>
        <w:t xml:space="preserve"> </w:t>
      </w:r>
      <w:r w:rsidRPr="00D74271">
        <w:rPr>
          <w:rFonts w:ascii="Times New Roman" w:hAnsi="Times New Roman" w:cs="Times New Roman"/>
          <w:color w:val="000000"/>
          <w:sz w:val="24"/>
          <w:szCs w:val="24"/>
        </w:rPr>
        <w:t xml:space="preserve">Santamaria, R. (2013). Value of Analysts’ Consensus Recommendations and Investor Sentiment. </w:t>
      </w:r>
      <w:r w:rsidRPr="004D5393">
        <w:rPr>
          <w:rFonts w:ascii="Times New Roman" w:hAnsi="Times New Roman" w:cs="Times New Roman"/>
          <w:i/>
          <w:iCs/>
          <w:color w:val="000000"/>
          <w:sz w:val="24"/>
          <w:szCs w:val="24"/>
        </w:rPr>
        <w:t>Journal of Behavioral Finance</w:t>
      </w:r>
      <w:r w:rsidRPr="00D74271">
        <w:rPr>
          <w:rFonts w:ascii="Times New Roman" w:hAnsi="Times New Roman" w:cs="Times New Roman"/>
          <w:color w:val="000000"/>
          <w:sz w:val="24"/>
          <w:szCs w:val="24"/>
        </w:rPr>
        <w:t xml:space="preserve">, 14(3), </w:t>
      </w:r>
      <w:r>
        <w:rPr>
          <w:rFonts w:ascii="Times New Roman" w:hAnsi="Times New Roman" w:cs="Times New Roman"/>
          <w:color w:val="000000"/>
          <w:sz w:val="24"/>
          <w:szCs w:val="24"/>
        </w:rPr>
        <w:t xml:space="preserve">pp. </w:t>
      </w:r>
      <w:r w:rsidRPr="00D74271">
        <w:rPr>
          <w:rFonts w:ascii="Times New Roman" w:hAnsi="Times New Roman" w:cs="Times New Roman"/>
          <w:color w:val="000000"/>
          <w:sz w:val="24"/>
          <w:szCs w:val="24"/>
        </w:rPr>
        <w:t>213–229.</w:t>
      </w:r>
    </w:p>
    <w:p w14:paraId="08C0F982" w14:textId="709C025F"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2C13E901" w14:textId="7F78AA3C" w:rsidR="001115EB" w:rsidRPr="005233F5" w:rsidRDefault="001115EB" w:rsidP="00E923F6">
      <w:pPr>
        <w:autoSpaceDE w:val="0"/>
        <w:autoSpaceDN w:val="0"/>
        <w:adjustRightInd w:val="0"/>
        <w:spacing w:after="0" w:line="240" w:lineRule="auto"/>
        <w:ind w:left="567" w:hanging="567"/>
        <w:jc w:val="both"/>
        <w:rPr>
          <w:rFonts w:ascii="Times New Roman" w:hAnsi="Times New Roman" w:cs="Times New Roman"/>
          <w:color w:val="00B050"/>
          <w:sz w:val="24"/>
          <w:szCs w:val="24"/>
        </w:rPr>
      </w:pPr>
      <w:r w:rsidRPr="005233F5">
        <w:rPr>
          <w:rFonts w:ascii="Times New Roman" w:hAnsi="Times New Roman" w:cs="Times New Roman"/>
          <w:color w:val="00B050"/>
          <w:sz w:val="24"/>
          <w:szCs w:val="24"/>
        </w:rPr>
        <w:t xml:space="preserve">Chan, J., Lin, S., Yu, Y., &amp; Zhao, W. (2018). Analysts’ stock ownership and stock recommendations. </w:t>
      </w:r>
      <w:r w:rsidRPr="005233F5">
        <w:rPr>
          <w:rFonts w:ascii="Times New Roman" w:hAnsi="Times New Roman" w:cs="Times New Roman"/>
          <w:i/>
          <w:iCs/>
          <w:color w:val="00B050"/>
          <w:sz w:val="24"/>
          <w:szCs w:val="24"/>
        </w:rPr>
        <w:t>Journal of Accounting and Economics</w:t>
      </w:r>
      <w:r w:rsidRPr="005233F5">
        <w:rPr>
          <w:rFonts w:ascii="Times New Roman" w:hAnsi="Times New Roman" w:cs="Times New Roman"/>
          <w:color w:val="00B050"/>
          <w:sz w:val="24"/>
          <w:szCs w:val="24"/>
        </w:rPr>
        <w:t>, 66(2-3), pp. 476−498.</w:t>
      </w:r>
    </w:p>
    <w:p w14:paraId="7A4BC91F" w14:textId="77777777" w:rsidR="001115EB" w:rsidRPr="001115EB" w:rsidRDefault="001115EB"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6E30AF3D" w14:textId="7782771C" w:rsidR="00E923F6" w:rsidRPr="00CC22B9"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lang w:val="en-IE"/>
        </w:rPr>
      </w:pPr>
      <w:r w:rsidRPr="00CC22B9">
        <w:rPr>
          <w:rFonts w:ascii="Times New Roman" w:hAnsi="Times New Roman" w:cs="Times New Roman"/>
          <w:color w:val="000000"/>
          <w:sz w:val="24"/>
          <w:szCs w:val="24"/>
          <w:lang w:val="en-IE"/>
        </w:rPr>
        <w:t xml:space="preserve">Du, Q., Yu, F., &amp; Yu, X. (2017). Cultural Proximity and the Processing of Financial Information. </w:t>
      </w:r>
      <w:r w:rsidRPr="006D0A49">
        <w:rPr>
          <w:rFonts w:ascii="Times New Roman" w:hAnsi="Times New Roman" w:cs="Times New Roman"/>
          <w:i/>
          <w:iCs/>
          <w:color w:val="000000"/>
          <w:sz w:val="24"/>
          <w:szCs w:val="24"/>
          <w:lang w:val="en-IE"/>
        </w:rPr>
        <w:t>Journal of Financial and Quantitative Analysis,</w:t>
      </w:r>
      <w:r w:rsidRPr="00CC22B9">
        <w:rPr>
          <w:rFonts w:ascii="Times New Roman" w:hAnsi="Times New Roman" w:cs="Times New Roman"/>
          <w:color w:val="000000"/>
          <w:sz w:val="24"/>
          <w:szCs w:val="24"/>
          <w:lang w:val="en-IE"/>
        </w:rPr>
        <w:t xml:space="preserve"> 52(6), </w:t>
      </w:r>
      <w:r w:rsidR="001A6D92">
        <w:rPr>
          <w:rFonts w:ascii="Times New Roman" w:hAnsi="Times New Roman" w:cs="Times New Roman"/>
          <w:color w:val="000000"/>
          <w:sz w:val="24"/>
          <w:szCs w:val="24"/>
          <w:lang w:val="en-IE"/>
        </w:rPr>
        <w:t xml:space="preserve">pp. </w:t>
      </w:r>
      <w:r w:rsidRPr="00CC22B9">
        <w:rPr>
          <w:rFonts w:ascii="Times New Roman" w:hAnsi="Times New Roman" w:cs="Times New Roman"/>
          <w:color w:val="000000"/>
          <w:sz w:val="24"/>
          <w:szCs w:val="24"/>
          <w:lang w:val="en-IE"/>
        </w:rPr>
        <w:t>2703</w:t>
      </w:r>
      <w:r w:rsidR="001A6D92">
        <w:rPr>
          <w:rFonts w:ascii="Times New Roman" w:hAnsi="Times New Roman" w:cs="Times New Roman"/>
          <w:i/>
          <w:sz w:val="24"/>
          <w:szCs w:val="24"/>
        </w:rPr>
        <w:t>−</w:t>
      </w:r>
      <w:r w:rsidRPr="00CC22B9">
        <w:rPr>
          <w:rFonts w:ascii="Times New Roman" w:hAnsi="Times New Roman" w:cs="Times New Roman"/>
          <w:color w:val="000000"/>
          <w:sz w:val="24"/>
          <w:szCs w:val="24"/>
          <w:lang w:val="en-IE"/>
        </w:rPr>
        <w:t xml:space="preserve">2726. </w:t>
      </w:r>
    </w:p>
    <w:p w14:paraId="5CBFAE25"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4088AC5D" w14:textId="6320564B" w:rsidR="00E923F6" w:rsidRDefault="00E923F6" w:rsidP="00E92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Firth, M., Lin, C., Liu, P. </w:t>
      </w:r>
      <w:r w:rsidR="001A6D92">
        <w:rPr>
          <w:rFonts w:ascii="Times New Roman" w:hAnsi="Times New Roman" w:cs="Times New Roman"/>
          <w:sz w:val="24"/>
          <w:szCs w:val="24"/>
        </w:rPr>
        <w:t xml:space="preserve">&amp; </w:t>
      </w:r>
      <w:r>
        <w:rPr>
          <w:rFonts w:ascii="Times New Roman" w:hAnsi="Times New Roman" w:cs="Times New Roman"/>
          <w:sz w:val="24"/>
          <w:szCs w:val="24"/>
        </w:rPr>
        <w:t>Xuan, Y. (2013)</w:t>
      </w:r>
      <w:r w:rsidR="001A6D92">
        <w:rPr>
          <w:rFonts w:ascii="Times New Roman" w:hAnsi="Times New Roman" w:cs="Times New Roman"/>
          <w:sz w:val="24"/>
          <w:szCs w:val="24"/>
        </w:rPr>
        <w:t>.</w:t>
      </w:r>
      <w:r>
        <w:rPr>
          <w:rFonts w:ascii="Times New Roman" w:hAnsi="Times New Roman" w:cs="Times New Roman"/>
          <w:sz w:val="24"/>
          <w:szCs w:val="24"/>
        </w:rPr>
        <w:t xml:space="preserve"> The client is king: do mutual fund </w:t>
      </w:r>
    </w:p>
    <w:p w14:paraId="56494D57" w14:textId="68F5C6CB" w:rsidR="00E923F6" w:rsidRDefault="00E923F6" w:rsidP="00E923F6">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relationship bias analyst recommendations? </w:t>
      </w:r>
      <w:r w:rsidRPr="004414F0">
        <w:rPr>
          <w:rFonts w:ascii="Times New Roman" w:hAnsi="Times New Roman" w:cs="Times New Roman"/>
          <w:i/>
          <w:sz w:val="24"/>
          <w:szCs w:val="24"/>
        </w:rPr>
        <w:t>Journal of Accounting Research</w:t>
      </w:r>
      <w:r w:rsidR="001A6D92">
        <w:rPr>
          <w:rFonts w:ascii="Times New Roman" w:hAnsi="Times New Roman" w:cs="Times New Roman"/>
          <w:iCs/>
          <w:sz w:val="24"/>
          <w:szCs w:val="24"/>
        </w:rPr>
        <w:t>,</w:t>
      </w:r>
      <w:r w:rsidR="001A6D92" w:rsidRPr="004414F0">
        <w:rPr>
          <w:rFonts w:ascii="Times New Roman" w:hAnsi="Times New Roman" w:cs="Times New Roman"/>
          <w:i/>
          <w:sz w:val="24"/>
          <w:szCs w:val="24"/>
        </w:rPr>
        <w:t xml:space="preserve"> </w:t>
      </w:r>
      <w:r w:rsidRPr="004D5393">
        <w:rPr>
          <w:rFonts w:ascii="Times New Roman" w:hAnsi="Times New Roman" w:cs="Times New Roman"/>
          <w:iCs/>
          <w:sz w:val="24"/>
          <w:szCs w:val="24"/>
        </w:rPr>
        <w:t xml:space="preserve">51(1), </w:t>
      </w:r>
      <w:r>
        <w:rPr>
          <w:rFonts w:ascii="Times New Roman" w:hAnsi="Times New Roman" w:cs="Times New Roman"/>
          <w:iCs/>
          <w:sz w:val="24"/>
          <w:szCs w:val="24"/>
        </w:rPr>
        <w:t xml:space="preserve">pp.  </w:t>
      </w:r>
    </w:p>
    <w:p w14:paraId="5528EF7A" w14:textId="77777777" w:rsidR="00E923F6" w:rsidRPr="004D5393" w:rsidRDefault="00E923F6" w:rsidP="00E923F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4D5393">
        <w:rPr>
          <w:rFonts w:ascii="Times New Roman" w:hAnsi="Times New Roman" w:cs="Times New Roman"/>
          <w:iCs/>
          <w:sz w:val="24"/>
          <w:szCs w:val="24"/>
        </w:rPr>
        <w:t>165−200.</w:t>
      </w:r>
    </w:p>
    <w:p w14:paraId="1E77F23D"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7A94DC9B" w14:textId="158C0F11"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047A18">
        <w:rPr>
          <w:rFonts w:ascii="Times New Roman" w:hAnsi="Times New Roman" w:cs="Times New Roman"/>
          <w:color w:val="000000"/>
          <w:sz w:val="24"/>
          <w:szCs w:val="24"/>
        </w:rPr>
        <w:t xml:space="preserve">Francis, J. </w:t>
      </w:r>
      <w:r w:rsidR="001A6D92">
        <w:rPr>
          <w:rFonts w:ascii="Times New Roman" w:hAnsi="Times New Roman" w:cs="Times New Roman"/>
          <w:color w:val="000000"/>
          <w:sz w:val="24"/>
          <w:szCs w:val="24"/>
        </w:rPr>
        <w:t>&amp;</w:t>
      </w:r>
      <w:r w:rsidR="001A6D92" w:rsidRPr="00047A18">
        <w:rPr>
          <w:rFonts w:ascii="Times New Roman" w:hAnsi="Times New Roman" w:cs="Times New Roman"/>
          <w:color w:val="000000"/>
          <w:sz w:val="24"/>
          <w:szCs w:val="24"/>
        </w:rPr>
        <w:t xml:space="preserve"> </w:t>
      </w:r>
      <w:proofErr w:type="spellStart"/>
      <w:r w:rsidRPr="00047A18">
        <w:rPr>
          <w:rFonts w:ascii="Times New Roman" w:hAnsi="Times New Roman" w:cs="Times New Roman"/>
          <w:color w:val="000000"/>
          <w:sz w:val="24"/>
          <w:szCs w:val="24"/>
        </w:rPr>
        <w:t>Soffer</w:t>
      </w:r>
      <w:proofErr w:type="spellEnd"/>
      <w:r w:rsidRPr="00047A18">
        <w:rPr>
          <w:rFonts w:ascii="Times New Roman" w:hAnsi="Times New Roman" w:cs="Times New Roman"/>
          <w:color w:val="000000"/>
          <w:sz w:val="24"/>
          <w:szCs w:val="24"/>
        </w:rPr>
        <w:t>, L. (2006). The Relative Informativeness of Analysts’ Stock Recommendations and Earnings Forecast Revisions</w:t>
      </w:r>
      <w:r w:rsidR="001A6D92">
        <w:rPr>
          <w:rFonts w:ascii="Times New Roman" w:hAnsi="Times New Roman" w:cs="Times New Roman"/>
          <w:color w:val="000000"/>
          <w:sz w:val="24"/>
          <w:szCs w:val="24"/>
        </w:rPr>
        <w:t>,</w:t>
      </w:r>
      <w:r w:rsidR="001A6D92" w:rsidRPr="00047A18">
        <w:rPr>
          <w:rFonts w:ascii="Times New Roman" w:hAnsi="Times New Roman" w:cs="Times New Roman"/>
          <w:color w:val="000000"/>
          <w:sz w:val="24"/>
          <w:szCs w:val="24"/>
        </w:rPr>
        <w:t xml:space="preserve"> </w:t>
      </w:r>
      <w:r w:rsidRPr="004D5393">
        <w:rPr>
          <w:rFonts w:ascii="Times New Roman" w:hAnsi="Times New Roman" w:cs="Times New Roman"/>
          <w:i/>
          <w:iCs/>
          <w:color w:val="000000"/>
          <w:sz w:val="24"/>
          <w:szCs w:val="24"/>
        </w:rPr>
        <w:t>Journal of Accounting Research</w:t>
      </w:r>
      <w:r w:rsidRPr="00047A18">
        <w:rPr>
          <w:rFonts w:ascii="Times New Roman" w:hAnsi="Times New Roman" w:cs="Times New Roman"/>
          <w:color w:val="000000"/>
          <w:sz w:val="24"/>
          <w:szCs w:val="24"/>
        </w:rPr>
        <w:t xml:space="preserve">, 35(2), </w:t>
      </w:r>
      <w:r w:rsidRPr="00521CC7">
        <w:rPr>
          <w:rFonts w:ascii="Times New Roman" w:hAnsi="Times New Roman" w:cs="Times New Roman"/>
          <w:color w:val="000000"/>
          <w:sz w:val="24"/>
          <w:szCs w:val="24"/>
        </w:rPr>
        <w:t>pp.</w:t>
      </w:r>
      <w:r w:rsidRPr="00047A18">
        <w:rPr>
          <w:rFonts w:ascii="Times New Roman" w:hAnsi="Times New Roman" w:cs="Times New Roman"/>
          <w:color w:val="000000"/>
          <w:sz w:val="24"/>
          <w:szCs w:val="24"/>
        </w:rPr>
        <w:t>193</w:t>
      </w:r>
      <w:r w:rsidRPr="00D74271">
        <w:rPr>
          <w:rFonts w:ascii="Times New Roman" w:hAnsi="Times New Roman" w:cs="Times New Roman"/>
          <w:color w:val="000000"/>
          <w:sz w:val="24"/>
          <w:szCs w:val="24"/>
        </w:rPr>
        <w:t>–</w:t>
      </w:r>
      <w:r>
        <w:rPr>
          <w:rFonts w:ascii="Times New Roman" w:hAnsi="Times New Roman" w:cs="Times New Roman"/>
          <w:color w:val="000000"/>
          <w:sz w:val="24"/>
          <w:szCs w:val="24"/>
        </w:rPr>
        <w:t>211</w:t>
      </w:r>
      <w:r w:rsidRPr="00047A18">
        <w:rPr>
          <w:rFonts w:ascii="Times New Roman" w:hAnsi="Times New Roman" w:cs="Times New Roman"/>
          <w:color w:val="000000"/>
          <w:sz w:val="24"/>
          <w:szCs w:val="24"/>
        </w:rPr>
        <w:t>.</w:t>
      </w:r>
    </w:p>
    <w:p w14:paraId="3BE02D54"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2237D5A5" w14:textId="399559FE"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spellStart"/>
      <w:r w:rsidRPr="00D74271">
        <w:rPr>
          <w:rFonts w:ascii="Times New Roman" w:hAnsi="Times New Roman" w:cs="Times New Roman"/>
          <w:color w:val="000000"/>
          <w:sz w:val="24"/>
          <w:szCs w:val="24"/>
        </w:rPr>
        <w:t>Frijns</w:t>
      </w:r>
      <w:proofErr w:type="spellEnd"/>
      <w:r w:rsidRPr="00D74271">
        <w:rPr>
          <w:rFonts w:ascii="Times New Roman" w:hAnsi="Times New Roman" w:cs="Times New Roman"/>
          <w:color w:val="000000"/>
          <w:sz w:val="24"/>
          <w:szCs w:val="24"/>
        </w:rPr>
        <w:t xml:space="preserve">, B. </w:t>
      </w:r>
      <w:r w:rsidR="001A6D92">
        <w:rPr>
          <w:rFonts w:ascii="Times New Roman" w:hAnsi="Times New Roman" w:cs="Times New Roman"/>
          <w:color w:val="000000"/>
          <w:sz w:val="24"/>
          <w:szCs w:val="24"/>
        </w:rPr>
        <w:t xml:space="preserve">&amp; </w:t>
      </w:r>
      <w:r w:rsidRPr="00D74271">
        <w:rPr>
          <w:rFonts w:ascii="Times New Roman" w:hAnsi="Times New Roman" w:cs="Times New Roman"/>
          <w:color w:val="000000"/>
          <w:sz w:val="24"/>
          <w:szCs w:val="24"/>
        </w:rPr>
        <w:t>Huynh, T. D. (2018). Herding in analysts’ recommendations: The role of media</w:t>
      </w:r>
      <w:r w:rsidR="001A6D92">
        <w:rPr>
          <w:rFonts w:ascii="Times New Roman" w:hAnsi="Times New Roman" w:cs="Times New Roman"/>
          <w:color w:val="000000"/>
          <w:sz w:val="24"/>
          <w:szCs w:val="24"/>
        </w:rPr>
        <w:t>,</w:t>
      </w:r>
      <w:r w:rsidR="001A6D92" w:rsidRPr="00D74271">
        <w:rPr>
          <w:rFonts w:ascii="Times New Roman" w:hAnsi="Times New Roman" w:cs="Times New Roman"/>
          <w:color w:val="000000"/>
          <w:sz w:val="24"/>
          <w:szCs w:val="24"/>
        </w:rPr>
        <w:t xml:space="preserve"> </w:t>
      </w:r>
      <w:r w:rsidRPr="004D5393">
        <w:rPr>
          <w:rFonts w:ascii="Times New Roman" w:hAnsi="Times New Roman" w:cs="Times New Roman"/>
          <w:i/>
          <w:iCs/>
          <w:color w:val="000000"/>
          <w:sz w:val="24"/>
          <w:szCs w:val="24"/>
        </w:rPr>
        <w:t>Journal of Banking and Finance</w:t>
      </w:r>
      <w:r w:rsidRPr="00D74271">
        <w:rPr>
          <w:rFonts w:ascii="Times New Roman" w:hAnsi="Times New Roman" w:cs="Times New Roman"/>
          <w:color w:val="000000"/>
          <w:sz w:val="24"/>
          <w:szCs w:val="24"/>
        </w:rPr>
        <w:t xml:space="preserve">, 91, </w:t>
      </w:r>
      <w:r w:rsidRPr="00521CC7">
        <w:rPr>
          <w:rFonts w:ascii="Times New Roman" w:hAnsi="Times New Roman" w:cs="Times New Roman"/>
          <w:color w:val="000000"/>
          <w:sz w:val="24"/>
          <w:szCs w:val="24"/>
        </w:rPr>
        <w:t>pp.</w:t>
      </w:r>
      <w:r w:rsidRPr="00D74271">
        <w:rPr>
          <w:rFonts w:ascii="Times New Roman" w:hAnsi="Times New Roman" w:cs="Times New Roman"/>
          <w:color w:val="000000"/>
          <w:sz w:val="24"/>
          <w:szCs w:val="24"/>
        </w:rPr>
        <w:t>1–18.</w:t>
      </w:r>
    </w:p>
    <w:p w14:paraId="530BE485"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0A4AAA65" w14:textId="3AFCF218"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456EAD">
        <w:rPr>
          <w:rFonts w:ascii="Times New Roman" w:hAnsi="Times New Roman" w:cs="Times New Roman"/>
          <w:color w:val="000000"/>
          <w:sz w:val="24"/>
          <w:szCs w:val="24"/>
        </w:rPr>
        <w:t>Green, T. C. (2006). The Value of Client Access to Analyst Recommendations</w:t>
      </w:r>
      <w:r w:rsidR="001A6D92">
        <w:rPr>
          <w:rFonts w:ascii="Times New Roman" w:hAnsi="Times New Roman" w:cs="Times New Roman"/>
          <w:color w:val="000000"/>
          <w:sz w:val="24"/>
          <w:szCs w:val="24"/>
        </w:rPr>
        <w:t>,</w:t>
      </w:r>
      <w:r w:rsidR="001A6D92" w:rsidRPr="00456EAD">
        <w:rPr>
          <w:rFonts w:ascii="Times New Roman" w:hAnsi="Times New Roman" w:cs="Times New Roman"/>
          <w:color w:val="000000"/>
          <w:sz w:val="24"/>
          <w:szCs w:val="24"/>
        </w:rPr>
        <w:t xml:space="preserve"> </w:t>
      </w:r>
      <w:r w:rsidRPr="004D5393">
        <w:rPr>
          <w:rFonts w:ascii="Times New Roman" w:hAnsi="Times New Roman" w:cs="Times New Roman"/>
          <w:i/>
          <w:iCs/>
          <w:color w:val="000000"/>
          <w:sz w:val="24"/>
          <w:szCs w:val="24"/>
        </w:rPr>
        <w:t xml:space="preserve">Journal of Financial </w:t>
      </w:r>
      <w:r w:rsidRPr="001C72D6">
        <w:rPr>
          <w:rFonts w:ascii="Times New Roman" w:hAnsi="Times New Roman" w:cs="Times New Roman"/>
          <w:i/>
          <w:iCs/>
          <w:color w:val="000000"/>
          <w:sz w:val="24"/>
          <w:szCs w:val="24"/>
        </w:rPr>
        <w:t>and</w:t>
      </w:r>
      <w:r w:rsidRPr="004D5393">
        <w:rPr>
          <w:rFonts w:ascii="Times New Roman" w:hAnsi="Times New Roman" w:cs="Times New Roman"/>
          <w:i/>
          <w:iCs/>
          <w:color w:val="000000"/>
          <w:sz w:val="24"/>
          <w:szCs w:val="24"/>
        </w:rPr>
        <w:t xml:space="preserve"> Quantitative Analysis</w:t>
      </w:r>
      <w:r w:rsidRPr="00456EAD">
        <w:rPr>
          <w:rFonts w:ascii="Times New Roman" w:hAnsi="Times New Roman" w:cs="Times New Roman"/>
          <w:color w:val="000000"/>
          <w:sz w:val="24"/>
          <w:szCs w:val="24"/>
        </w:rPr>
        <w:t xml:space="preserve">, 41(1), </w:t>
      </w:r>
      <w:r w:rsidRPr="00521CC7">
        <w:rPr>
          <w:rFonts w:ascii="Times New Roman" w:hAnsi="Times New Roman" w:cs="Times New Roman"/>
          <w:color w:val="000000"/>
          <w:sz w:val="24"/>
          <w:szCs w:val="24"/>
        </w:rPr>
        <w:t>pp.</w:t>
      </w:r>
      <w:r w:rsidRPr="00456EAD">
        <w:rPr>
          <w:rFonts w:ascii="Times New Roman" w:hAnsi="Times New Roman" w:cs="Times New Roman"/>
          <w:color w:val="000000"/>
          <w:sz w:val="24"/>
          <w:szCs w:val="24"/>
        </w:rPr>
        <w:t>1</w:t>
      </w:r>
      <w:r w:rsidRPr="00D74271">
        <w:rPr>
          <w:rFonts w:ascii="Times New Roman" w:hAnsi="Times New Roman" w:cs="Times New Roman"/>
          <w:color w:val="000000"/>
          <w:sz w:val="24"/>
          <w:szCs w:val="24"/>
        </w:rPr>
        <w:t>–</w:t>
      </w:r>
      <w:r w:rsidRPr="00456EAD">
        <w:rPr>
          <w:rFonts w:ascii="Times New Roman" w:hAnsi="Times New Roman" w:cs="Times New Roman"/>
          <w:color w:val="000000"/>
          <w:sz w:val="24"/>
          <w:szCs w:val="24"/>
        </w:rPr>
        <w:t>24.</w:t>
      </w:r>
    </w:p>
    <w:p w14:paraId="14E04EEC" w14:textId="2C7ABD91" w:rsidR="00A076B6" w:rsidRPr="006A21B5" w:rsidRDefault="00A076B6" w:rsidP="00E923F6">
      <w:pPr>
        <w:autoSpaceDE w:val="0"/>
        <w:autoSpaceDN w:val="0"/>
        <w:adjustRightInd w:val="0"/>
        <w:spacing w:after="0" w:line="240" w:lineRule="auto"/>
        <w:ind w:left="567" w:hanging="567"/>
        <w:jc w:val="both"/>
        <w:rPr>
          <w:rFonts w:ascii="Times New Roman" w:hAnsi="Times New Roman" w:cs="Times New Roman"/>
          <w:sz w:val="24"/>
          <w:szCs w:val="24"/>
        </w:rPr>
      </w:pPr>
    </w:p>
    <w:p w14:paraId="7E34245E" w14:textId="6B8EA4A2" w:rsidR="006A21B5" w:rsidRPr="006A21B5" w:rsidRDefault="006A21B5" w:rsidP="006A21B5">
      <w:pPr>
        <w:pStyle w:val="Heading1"/>
        <w:spacing w:before="0"/>
        <w:textAlignment w:val="baseline"/>
        <w:rPr>
          <w:rFonts w:ascii="Times New Roman" w:hAnsi="Times New Roman" w:cs="Times New Roman"/>
          <w:b w:val="0"/>
          <w:color w:val="FF0000"/>
          <w:sz w:val="24"/>
          <w:szCs w:val="24"/>
          <w:bdr w:val="none" w:sz="0" w:space="0" w:color="auto" w:frame="1"/>
        </w:rPr>
      </w:pPr>
      <w:r w:rsidRPr="006A21B5">
        <w:rPr>
          <w:rFonts w:ascii="Times New Roman" w:hAnsi="Times New Roman" w:cs="Times New Roman"/>
          <w:b w:val="0"/>
          <w:color w:val="FF0000"/>
          <w:sz w:val="24"/>
          <w:szCs w:val="24"/>
        </w:rPr>
        <w:t>He, G</w:t>
      </w:r>
      <w:r w:rsidRPr="006A21B5">
        <w:rPr>
          <w:rFonts w:ascii="Times New Roman" w:hAnsi="Times New Roman" w:cs="Times New Roman"/>
          <w:color w:val="FF0000"/>
          <w:sz w:val="24"/>
          <w:szCs w:val="24"/>
        </w:rPr>
        <w:t>.</w:t>
      </w:r>
      <w:r w:rsidRPr="006A21B5">
        <w:rPr>
          <w:rFonts w:ascii="Times New Roman" w:hAnsi="Times New Roman" w:cs="Times New Roman"/>
          <w:b w:val="0"/>
          <w:color w:val="FF0000"/>
          <w:sz w:val="24"/>
          <w:szCs w:val="24"/>
        </w:rPr>
        <w:t>; Ren, H</w:t>
      </w:r>
      <w:r w:rsidRPr="006A21B5">
        <w:rPr>
          <w:rFonts w:ascii="Times New Roman" w:hAnsi="Times New Roman" w:cs="Times New Roman"/>
          <w:color w:val="FF0000"/>
          <w:sz w:val="24"/>
          <w:szCs w:val="24"/>
        </w:rPr>
        <w:t>.</w:t>
      </w:r>
      <w:r w:rsidRPr="006A21B5">
        <w:rPr>
          <w:rFonts w:ascii="Times New Roman" w:hAnsi="Times New Roman" w:cs="Times New Roman"/>
          <w:b w:val="0"/>
          <w:color w:val="FF0000"/>
          <w:sz w:val="24"/>
          <w:szCs w:val="24"/>
        </w:rPr>
        <w:t xml:space="preserve"> M</w:t>
      </w:r>
      <w:r w:rsidRPr="006A21B5">
        <w:rPr>
          <w:rFonts w:ascii="Times New Roman" w:hAnsi="Times New Roman" w:cs="Times New Roman"/>
          <w:color w:val="FF0000"/>
          <w:sz w:val="24"/>
          <w:szCs w:val="24"/>
        </w:rPr>
        <w:t>.</w:t>
      </w:r>
      <w:r w:rsidRPr="006A21B5">
        <w:rPr>
          <w:rFonts w:ascii="Times New Roman" w:hAnsi="Times New Roman" w:cs="Times New Roman"/>
          <w:b w:val="0"/>
          <w:color w:val="FF0000"/>
          <w:sz w:val="24"/>
          <w:szCs w:val="24"/>
        </w:rPr>
        <w:t xml:space="preserve"> &amp; </w:t>
      </w:r>
      <w:proofErr w:type="spellStart"/>
      <w:r w:rsidRPr="006A21B5">
        <w:rPr>
          <w:rFonts w:ascii="Times New Roman" w:hAnsi="Times New Roman" w:cs="Times New Roman"/>
          <w:b w:val="0"/>
          <w:color w:val="FF0000"/>
          <w:sz w:val="24"/>
          <w:szCs w:val="24"/>
        </w:rPr>
        <w:t>Taffler</w:t>
      </w:r>
      <w:proofErr w:type="spellEnd"/>
      <w:r w:rsidRPr="006A21B5">
        <w:rPr>
          <w:rFonts w:ascii="Times New Roman" w:hAnsi="Times New Roman" w:cs="Times New Roman"/>
          <w:b w:val="0"/>
          <w:color w:val="FF0000"/>
          <w:sz w:val="24"/>
          <w:szCs w:val="24"/>
        </w:rPr>
        <w:t>, R</w:t>
      </w:r>
      <w:r w:rsidRPr="006A21B5">
        <w:rPr>
          <w:rFonts w:ascii="Times New Roman" w:hAnsi="Times New Roman" w:cs="Times New Roman"/>
          <w:color w:val="FF0000"/>
          <w:sz w:val="24"/>
          <w:szCs w:val="24"/>
        </w:rPr>
        <w:t xml:space="preserve">. </w:t>
      </w:r>
      <w:r w:rsidRPr="006A21B5">
        <w:rPr>
          <w:rFonts w:ascii="Times New Roman" w:hAnsi="Times New Roman" w:cs="Times New Roman"/>
          <w:b w:val="0"/>
          <w:color w:val="FF0000"/>
          <w:sz w:val="24"/>
          <w:szCs w:val="24"/>
        </w:rPr>
        <w:t>(2020)</w:t>
      </w:r>
      <w:r w:rsidRPr="006A21B5">
        <w:rPr>
          <w:rStyle w:val="Emphasis"/>
          <w:rFonts w:ascii="Times New Roman" w:hAnsi="Times New Roman" w:cs="Times New Roman"/>
          <w:b w:val="0"/>
          <w:color w:val="FF0000"/>
          <w:sz w:val="24"/>
          <w:szCs w:val="24"/>
          <w:bdr w:val="none" w:sz="0" w:space="0" w:color="auto" w:frame="1"/>
        </w:rPr>
        <w:t>.</w:t>
      </w:r>
      <w:r w:rsidRPr="006A21B5">
        <w:rPr>
          <w:b w:val="0"/>
          <w:color w:val="FF0000"/>
          <w:sz w:val="24"/>
          <w:szCs w:val="24"/>
          <w:bdr w:val="none" w:sz="0" w:space="0" w:color="auto" w:frame="1"/>
        </w:rPr>
        <w:t xml:space="preserve"> </w:t>
      </w:r>
      <w:r w:rsidRPr="006A21B5">
        <w:rPr>
          <w:rFonts w:ascii="Times New Roman" w:hAnsi="Times New Roman" w:cs="Times New Roman"/>
          <w:b w:val="0"/>
          <w:color w:val="FF0000"/>
          <w:sz w:val="24"/>
          <w:szCs w:val="24"/>
          <w:bdr w:val="none" w:sz="0" w:space="0" w:color="auto" w:frame="1"/>
        </w:rPr>
        <w:t>The impact of corporate tax avoidance on analyst</w:t>
      </w:r>
    </w:p>
    <w:p w14:paraId="377C8A71" w14:textId="77777777" w:rsidR="006A21B5" w:rsidRPr="006A21B5" w:rsidRDefault="006A21B5" w:rsidP="006A21B5">
      <w:pPr>
        <w:pStyle w:val="Heading1"/>
        <w:spacing w:before="0"/>
        <w:ind w:firstLine="720"/>
        <w:textAlignment w:val="baseline"/>
        <w:rPr>
          <w:rFonts w:ascii="Times New Roman" w:hAnsi="Times New Roman" w:cs="Times New Roman"/>
          <w:b w:val="0"/>
          <w:color w:val="FF0000"/>
          <w:sz w:val="24"/>
          <w:szCs w:val="24"/>
        </w:rPr>
      </w:pPr>
      <w:r w:rsidRPr="006A21B5">
        <w:rPr>
          <w:rFonts w:ascii="Times New Roman" w:hAnsi="Times New Roman" w:cs="Times New Roman"/>
          <w:b w:val="0"/>
          <w:color w:val="FF0000"/>
          <w:sz w:val="24"/>
          <w:szCs w:val="24"/>
          <w:bdr w:val="none" w:sz="0" w:space="0" w:color="auto" w:frame="1"/>
        </w:rPr>
        <w:t xml:space="preserve"> coverage and forecasts</w:t>
      </w:r>
      <w:r w:rsidRPr="006A21B5">
        <w:rPr>
          <w:b w:val="0"/>
          <w:color w:val="FF0000"/>
          <w:sz w:val="24"/>
          <w:szCs w:val="24"/>
          <w:bdr w:val="none" w:sz="0" w:space="0" w:color="auto" w:frame="1"/>
        </w:rPr>
        <w:t xml:space="preserve">. </w:t>
      </w:r>
      <w:r w:rsidRPr="006A21B5">
        <w:rPr>
          <w:rStyle w:val="Emphasis"/>
          <w:rFonts w:ascii="Times New Roman" w:hAnsi="Times New Roman" w:cs="Times New Roman"/>
          <w:b w:val="0"/>
          <w:color w:val="FF0000"/>
          <w:sz w:val="24"/>
          <w:szCs w:val="24"/>
          <w:bdr w:val="none" w:sz="0" w:space="0" w:color="auto" w:frame="1"/>
        </w:rPr>
        <w:t xml:space="preserve"> </w:t>
      </w:r>
      <w:r w:rsidRPr="006A21B5">
        <w:rPr>
          <w:rStyle w:val="Emphasis"/>
          <w:rFonts w:ascii="Times New Roman" w:hAnsi="Times New Roman" w:cs="Times New Roman"/>
          <w:b w:val="0"/>
          <w:i/>
          <w:color w:val="FF0000"/>
          <w:sz w:val="24"/>
          <w:szCs w:val="24"/>
          <w:bdr w:val="none" w:sz="0" w:space="0" w:color="auto" w:frame="1"/>
        </w:rPr>
        <w:t>Review of Quantitative Finance and Accounting</w:t>
      </w:r>
      <w:r w:rsidRPr="006A21B5">
        <w:rPr>
          <w:rFonts w:ascii="Times New Roman" w:hAnsi="Times New Roman" w:cs="Times New Roman"/>
          <w:b w:val="0"/>
          <w:color w:val="FF0000"/>
          <w:sz w:val="24"/>
          <w:szCs w:val="24"/>
        </w:rPr>
        <w:t xml:space="preserve">, 54(2), 447- </w:t>
      </w:r>
    </w:p>
    <w:p w14:paraId="0CD5DC7B" w14:textId="298D943C" w:rsidR="006A21B5" w:rsidRPr="006A21B5" w:rsidRDefault="006A21B5" w:rsidP="006A21B5">
      <w:pPr>
        <w:pStyle w:val="Heading1"/>
        <w:spacing w:before="0"/>
        <w:ind w:firstLine="720"/>
        <w:textAlignment w:val="baseline"/>
        <w:rPr>
          <w:b w:val="0"/>
          <w:color w:val="FF0000"/>
          <w:sz w:val="24"/>
          <w:szCs w:val="24"/>
        </w:rPr>
      </w:pPr>
      <w:r w:rsidRPr="006A21B5">
        <w:rPr>
          <w:rFonts w:ascii="Times New Roman" w:hAnsi="Times New Roman" w:cs="Times New Roman"/>
          <w:b w:val="0"/>
          <w:color w:val="FF0000"/>
          <w:sz w:val="24"/>
          <w:szCs w:val="24"/>
        </w:rPr>
        <w:t>477</w:t>
      </w:r>
      <w:r w:rsidRPr="006A21B5">
        <w:rPr>
          <w:b w:val="0"/>
          <w:color w:val="FF0000"/>
          <w:sz w:val="24"/>
          <w:szCs w:val="24"/>
        </w:rPr>
        <w:t>.</w:t>
      </w:r>
    </w:p>
    <w:p w14:paraId="4BAA963B" w14:textId="2AE8CB1A" w:rsidR="006A21B5" w:rsidRPr="006A21B5" w:rsidRDefault="006A21B5" w:rsidP="006A21B5">
      <w:pPr>
        <w:pStyle w:val="Heading1"/>
        <w:spacing w:before="0"/>
        <w:textAlignment w:val="baseline"/>
        <w:rPr>
          <w:rFonts w:ascii="Times New Roman" w:hAnsi="Times New Roman" w:cs="Times New Roman"/>
          <w:b w:val="0"/>
          <w:color w:val="FF0000"/>
          <w:sz w:val="24"/>
          <w:szCs w:val="24"/>
          <w:bdr w:val="none" w:sz="0" w:space="0" w:color="auto" w:frame="1"/>
        </w:rPr>
      </w:pPr>
      <w:r w:rsidRPr="006A21B5">
        <w:rPr>
          <w:rFonts w:ascii="Times New Roman" w:hAnsi="Times New Roman" w:cs="Times New Roman"/>
          <w:b w:val="0"/>
          <w:color w:val="FF0000"/>
          <w:sz w:val="24"/>
          <w:szCs w:val="24"/>
        </w:rPr>
        <w:t>Hong, Y</w:t>
      </w:r>
      <w:r w:rsidRPr="006A21B5">
        <w:rPr>
          <w:rFonts w:ascii="Times New Roman" w:hAnsi="Times New Roman" w:cs="Times New Roman"/>
          <w:color w:val="FF0000"/>
          <w:sz w:val="24"/>
          <w:szCs w:val="24"/>
        </w:rPr>
        <w:t>.</w:t>
      </w:r>
      <w:r w:rsidRPr="006A21B5">
        <w:rPr>
          <w:rFonts w:ascii="Times New Roman" w:hAnsi="Times New Roman" w:cs="Times New Roman"/>
          <w:b w:val="0"/>
          <w:color w:val="FF0000"/>
          <w:sz w:val="24"/>
          <w:szCs w:val="24"/>
        </w:rPr>
        <w:t>; Huseynov, F</w:t>
      </w:r>
      <w:r w:rsidRPr="006A21B5">
        <w:rPr>
          <w:rFonts w:ascii="Times New Roman" w:hAnsi="Times New Roman" w:cs="Times New Roman"/>
          <w:color w:val="FF0000"/>
          <w:sz w:val="24"/>
          <w:szCs w:val="24"/>
        </w:rPr>
        <w:t>.</w:t>
      </w:r>
      <w:r w:rsidRPr="006A21B5">
        <w:rPr>
          <w:rFonts w:ascii="Times New Roman" w:hAnsi="Times New Roman" w:cs="Times New Roman"/>
          <w:b w:val="0"/>
          <w:color w:val="FF0000"/>
          <w:sz w:val="24"/>
          <w:szCs w:val="24"/>
        </w:rPr>
        <w:t xml:space="preserve">; </w:t>
      </w:r>
      <w:proofErr w:type="spellStart"/>
      <w:r w:rsidRPr="006A21B5">
        <w:rPr>
          <w:rFonts w:ascii="Times New Roman" w:hAnsi="Times New Roman" w:cs="Times New Roman"/>
          <w:b w:val="0"/>
          <w:color w:val="FF0000"/>
          <w:sz w:val="24"/>
          <w:szCs w:val="24"/>
        </w:rPr>
        <w:t>Sardarli</w:t>
      </w:r>
      <w:proofErr w:type="spellEnd"/>
      <w:r w:rsidRPr="006A21B5">
        <w:rPr>
          <w:rFonts w:ascii="Times New Roman" w:hAnsi="Times New Roman" w:cs="Times New Roman"/>
          <w:b w:val="0"/>
          <w:color w:val="FF0000"/>
          <w:sz w:val="24"/>
          <w:szCs w:val="24"/>
        </w:rPr>
        <w:t xml:space="preserve">, S. </w:t>
      </w:r>
      <w:r>
        <w:rPr>
          <w:rFonts w:ascii="Times New Roman" w:hAnsi="Times New Roman" w:cs="Times New Roman"/>
          <w:b w:val="0"/>
          <w:color w:val="FF0000"/>
          <w:sz w:val="24"/>
          <w:szCs w:val="24"/>
        </w:rPr>
        <w:t>&amp;</w:t>
      </w:r>
      <w:r w:rsidRPr="006A21B5">
        <w:rPr>
          <w:rFonts w:ascii="Times New Roman" w:hAnsi="Times New Roman" w:cs="Times New Roman"/>
          <w:b w:val="0"/>
          <w:color w:val="FF0000"/>
          <w:sz w:val="24"/>
          <w:szCs w:val="24"/>
        </w:rPr>
        <w:t xml:space="preserve"> Zhang, W. (2020)</w:t>
      </w:r>
      <w:r w:rsidRPr="006A21B5">
        <w:rPr>
          <w:rStyle w:val="Emphasis"/>
          <w:rFonts w:ascii="Times New Roman" w:hAnsi="Times New Roman" w:cs="Times New Roman"/>
          <w:b w:val="0"/>
          <w:color w:val="FF0000"/>
          <w:sz w:val="24"/>
          <w:szCs w:val="24"/>
          <w:bdr w:val="none" w:sz="0" w:space="0" w:color="auto" w:frame="1"/>
        </w:rPr>
        <w:t xml:space="preserve">. </w:t>
      </w:r>
      <w:r w:rsidRPr="006A21B5">
        <w:rPr>
          <w:rFonts w:ascii="Times New Roman" w:hAnsi="Times New Roman" w:cs="Times New Roman"/>
          <w:b w:val="0"/>
          <w:color w:val="FF0000"/>
          <w:sz w:val="24"/>
          <w:szCs w:val="24"/>
          <w:bdr w:val="none" w:sz="0" w:space="0" w:color="auto" w:frame="1"/>
        </w:rPr>
        <w:t xml:space="preserve">Bank earnings management and </w:t>
      </w:r>
    </w:p>
    <w:p w14:paraId="132CB39B" w14:textId="77777777" w:rsidR="006A21B5" w:rsidRPr="006A21B5" w:rsidRDefault="006A21B5" w:rsidP="006A21B5">
      <w:pPr>
        <w:pStyle w:val="Heading1"/>
        <w:spacing w:before="0"/>
        <w:textAlignment w:val="baseline"/>
        <w:rPr>
          <w:rStyle w:val="Emphasis"/>
          <w:rFonts w:ascii="Times New Roman" w:hAnsi="Times New Roman" w:cs="Times New Roman"/>
          <w:b w:val="0"/>
          <w:i/>
          <w:color w:val="FF0000"/>
          <w:sz w:val="24"/>
          <w:szCs w:val="24"/>
          <w:bdr w:val="none" w:sz="0" w:space="0" w:color="auto" w:frame="1"/>
        </w:rPr>
      </w:pPr>
      <w:r w:rsidRPr="006A21B5">
        <w:rPr>
          <w:rFonts w:ascii="Times New Roman" w:hAnsi="Times New Roman" w:cs="Times New Roman"/>
          <w:b w:val="0"/>
          <w:color w:val="FF0000"/>
          <w:sz w:val="24"/>
          <w:szCs w:val="24"/>
          <w:bdr w:val="none" w:sz="0" w:space="0" w:color="auto" w:frame="1"/>
        </w:rPr>
        <w:tab/>
        <w:t>analyst coverage: evidence from loan loss provisions.</w:t>
      </w:r>
      <w:r w:rsidRPr="006A21B5">
        <w:rPr>
          <w:b w:val="0"/>
          <w:color w:val="FF0000"/>
          <w:sz w:val="24"/>
          <w:szCs w:val="24"/>
          <w:bdr w:val="none" w:sz="0" w:space="0" w:color="auto" w:frame="1"/>
        </w:rPr>
        <w:t xml:space="preserve"> </w:t>
      </w:r>
      <w:r w:rsidRPr="006A21B5">
        <w:rPr>
          <w:rStyle w:val="Emphasis"/>
          <w:rFonts w:ascii="Times New Roman" w:hAnsi="Times New Roman" w:cs="Times New Roman"/>
          <w:b w:val="0"/>
          <w:i/>
          <w:color w:val="FF0000"/>
          <w:sz w:val="24"/>
          <w:szCs w:val="24"/>
          <w:bdr w:val="none" w:sz="0" w:space="0" w:color="auto" w:frame="1"/>
        </w:rPr>
        <w:t>Review of Quantitative Finance</w:t>
      </w:r>
    </w:p>
    <w:p w14:paraId="452B4597" w14:textId="03208F78" w:rsidR="006A21B5" w:rsidRPr="006A21B5" w:rsidRDefault="006A21B5" w:rsidP="006A21B5">
      <w:pPr>
        <w:pStyle w:val="Heading1"/>
        <w:spacing w:before="0"/>
        <w:ind w:firstLine="720"/>
        <w:textAlignment w:val="baseline"/>
        <w:rPr>
          <w:b w:val="0"/>
          <w:color w:val="FF0000"/>
          <w:sz w:val="24"/>
          <w:szCs w:val="24"/>
        </w:rPr>
      </w:pPr>
      <w:r w:rsidRPr="006A21B5">
        <w:rPr>
          <w:rStyle w:val="Emphasis"/>
          <w:rFonts w:ascii="Times New Roman" w:hAnsi="Times New Roman" w:cs="Times New Roman"/>
          <w:b w:val="0"/>
          <w:i/>
          <w:color w:val="FF0000"/>
          <w:sz w:val="24"/>
          <w:szCs w:val="24"/>
          <w:bdr w:val="none" w:sz="0" w:space="0" w:color="auto" w:frame="1"/>
        </w:rPr>
        <w:t xml:space="preserve"> and Accounting</w:t>
      </w:r>
      <w:r w:rsidRPr="006A21B5">
        <w:rPr>
          <w:rFonts w:ascii="Times New Roman" w:hAnsi="Times New Roman" w:cs="Times New Roman"/>
          <w:b w:val="0"/>
          <w:color w:val="FF0000"/>
          <w:sz w:val="24"/>
          <w:szCs w:val="24"/>
        </w:rPr>
        <w:t>, 55 (1), 29-54.</w:t>
      </w:r>
    </w:p>
    <w:p w14:paraId="48287D06" w14:textId="77777777" w:rsidR="006A21B5" w:rsidRDefault="006A21B5" w:rsidP="00A076B6">
      <w:pPr>
        <w:autoSpaceDE w:val="0"/>
        <w:autoSpaceDN w:val="0"/>
        <w:adjustRightInd w:val="0"/>
        <w:spacing w:after="0" w:line="240" w:lineRule="auto"/>
        <w:rPr>
          <w:rFonts w:ascii="Times New Roman" w:hAnsi="Times New Roman" w:cs="Times New Roman"/>
          <w:sz w:val="24"/>
          <w:szCs w:val="24"/>
        </w:rPr>
      </w:pPr>
    </w:p>
    <w:p w14:paraId="3946A7D5" w14:textId="211545EE" w:rsidR="00A076B6" w:rsidRPr="007051F8" w:rsidRDefault="00A076B6" w:rsidP="00A076B6">
      <w:pPr>
        <w:autoSpaceDE w:val="0"/>
        <w:autoSpaceDN w:val="0"/>
        <w:adjustRightInd w:val="0"/>
        <w:spacing w:after="0" w:line="240" w:lineRule="auto"/>
        <w:rPr>
          <w:rFonts w:ascii="Times New Roman" w:hAnsi="Times New Roman" w:cs="Times New Roman"/>
          <w:color w:val="0070C0"/>
          <w:sz w:val="24"/>
          <w:szCs w:val="24"/>
        </w:rPr>
      </w:pPr>
      <w:r w:rsidRPr="007051F8">
        <w:rPr>
          <w:rFonts w:ascii="Times New Roman" w:hAnsi="Times New Roman" w:cs="Times New Roman"/>
          <w:color w:val="0070C0"/>
          <w:sz w:val="24"/>
          <w:szCs w:val="24"/>
        </w:rPr>
        <w:t xml:space="preserve">Huang, D., Jiang, F., Tu, J. &amp; Zhou, G. (2015). Investor sentiment aligned: A powerful </w:t>
      </w:r>
    </w:p>
    <w:p w14:paraId="7BC72B27" w14:textId="4A083E31" w:rsidR="00A076B6" w:rsidRPr="007051F8" w:rsidRDefault="00A076B6" w:rsidP="00F97F7D">
      <w:pPr>
        <w:autoSpaceDE w:val="0"/>
        <w:autoSpaceDN w:val="0"/>
        <w:adjustRightInd w:val="0"/>
        <w:spacing w:after="0" w:line="240" w:lineRule="auto"/>
        <w:ind w:firstLine="567"/>
        <w:rPr>
          <w:rFonts w:ascii="Times New Roman" w:hAnsi="Times New Roman" w:cs="Times New Roman"/>
          <w:color w:val="0070C0"/>
          <w:sz w:val="24"/>
          <w:szCs w:val="24"/>
        </w:rPr>
      </w:pPr>
      <w:r w:rsidRPr="007051F8">
        <w:rPr>
          <w:rFonts w:ascii="Times New Roman" w:hAnsi="Times New Roman" w:cs="Times New Roman"/>
          <w:color w:val="0070C0"/>
          <w:sz w:val="24"/>
          <w:szCs w:val="24"/>
        </w:rPr>
        <w:t xml:space="preserve">predictor of stock returns, </w:t>
      </w:r>
      <w:r w:rsidRPr="007051F8">
        <w:rPr>
          <w:rFonts w:ascii="Times New Roman" w:hAnsi="Times New Roman" w:cs="Times New Roman"/>
          <w:i/>
          <w:iCs/>
          <w:color w:val="0070C0"/>
          <w:sz w:val="24"/>
          <w:szCs w:val="24"/>
        </w:rPr>
        <w:t>The Review of Financial Studies</w:t>
      </w:r>
      <w:r w:rsidRPr="007051F8">
        <w:rPr>
          <w:rFonts w:ascii="Times New Roman" w:hAnsi="Times New Roman" w:cs="Times New Roman"/>
          <w:color w:val="0070C0"/>
          <w:sz w:val="24"/>
          <w:szCs w:val="24"/>
        </w:rPr>
        <w:t>, 28(3), pp. 791</w:t>
      </w:r>
      <w:r w:rsidRPr="007051F8">
        <w:rPr>
          <w:rFonts w:ascii="TimesNewRomanPSMT" w:hAnsi="TimesNewRomanPSMT" w:cs="TimesNewRomanPSMT"/>
          <w:color w:val="0070C0"/>
          <w:sz w:val="24"/>
          <w:szCs w:val="24"/>
        </w:rPr>
        <w:t>−</w:t>
      </w:r>
      <w:r w:rsidRPr="007051F8">
        <w:rPr>
          <w:rFonts w:ascii="Times New Roman" w:hAnsi="Times New Roman" w:cs="Times New Roman"/>
          <w:color w:val="0070C0"/>
          <w:sz w:val="24"/>
          <w:szCs w:val="24"/>
        </w:rPr>
        <w:t>837.</w:t>
      </w:r>
    </w:p>
    <w:p w14:paraId="6D77A3A1" w14:textId="77777777" w:rsidR="00E923F6" w:rsidRPr="007051F8" w:rsidRDefault="00E923F6" w:rsidP="00E923F6">
      <w:pPr>
        <w:autoSpaceDE w:val="0"/>
        <w:autoSpaceDN w:val="0"/>
        <w:adjustRightInd w:val="0"/>
        <w:spacing w:after="0" w:line="240" w:lineRule="auto"/>
        <w:ind w:left="567" w:hanging="567"/>
        <w:jc w:val="both"/>
        <w:rPr>
          <w:rFonts w:ascii="Times New Roman" w:hAnsi="Times New Roman" w:cs="Times New Roman"/>
          <w:color w:val="0070C0"/>
          <w:sz w:val="24"/>
          <w:szCs w:val="24"/>
        </w:rPr>
      </w:pPr>
    </w:p>
    <w:p w14:paraId="21CD4782" w14:textId="683BF01F" w:rsidR="00E923F6" w:rsidRDefault="00E923F6" w:rsidP="00E923F6">
      <w:pPr>
        <w:shd w:val="clear" w:color="auto" w:fill="FFFFFF"/>
        <w:spacing w:after="0" w:line="240" w:lineRule="auto"/>
        <w:ind w:left="567" w:hanging="567"/>
        <w:jc w:val="both"/>
        <w:rPr>
          <w:rFonts w:ascii="Times New Roman" w:hAnsi="Times New Roman" w:cs="Times New Roman"/>
          <w:color w:val="000000"/>
          <w:sz w:val="24"/>
          <w:szCs w:val="24"/>
        </w:rPr>
      </w:pPr>
      <w:r w:rsidRPr="00A12BB4">
        <w:rPr>
          <w:rFonts w:ascii="Times New Roman" w:hAnsi="Times New Roman" w:cs="Times New Roman"/>
          <w:color w:val="000000"/>
          <w:sz w:val="24"/>
          <w:szCs w:val="24"/>
        </w:rPr>
        <w:t>Irvine, P. (2003). The incremental impact of analyst initiation of coverage</w:t>
      </w:r>
      <w:r w:rsidR="001A6D92">
        <w:rPr>
          <w:rFonts w:ascii="Times New Roman" w:hAnsi="Times New Roman" w:cs="Times New Roman"/>
          <w:color w:val="000000"/>
          <w:sz w:val="24"/>
          <w:szCs w:val="24"/>
        </w:rPr>
        <w:t>,</w:t>
      </w:r>
      <w:r w:rsidR="001A6D92" w:rsidRPr="00A12BB4">
        <w:rPr>
          <w:rFonts w:ascii="Times New Roman" w:hAnsi="Times New Roman" w:cs="Times New Roman"/>
          <w:color w:val="000000"/>
          <w:sz w:val="24"/>
          <w:szCs w:val="24"/>
        </w:rPr>
        <w:t xml:space="preserve"> </w:t>
      </w:r>
      <w:r w:rsidRPr="00A12BB4">
        <w:rPr>
          <w:rFonts w:ascii="Times New Roman" w:hAnsi="Times New Roman" w:cs="Times New Roman"/>
          <w:i/>
          <w:color w:val="000000"/>
          <w:sz w:val="24"/>
          <w:szCs w:val="24"/>
        </w:rPr>
        <w:t>Journal of Corporate Finance</w:t>
      </w:r>
      <w:r w:rsidRPr="00A12BB4">
        <w:rPr>
          <w:rFonts w:ascii="Times New Roman" w:hAnsi="Times New Roman" w:cs="Times New Roman"/>
          <w:color w:val="000000"/>
          <w:sz w:val="24"/>
          <w:szCs w:val="24"/>
        </w:rPr>
        <w:t>, 9(4), pp.</w:t>
      </w:r>
      <w:r>
        <w:rPr>
          <w:rFonts w:ascii="Times New Roman" w:hAnsi="Times New Roman" w:cs="Times New Roman"/>
          <w:color w:val="000000"/>
          <w:sz w:val="24"/>
          <w:szCs w:val="24"/>
        </w:rPr>
        <w:t xml:space="preserve"> </w:t>
      </w:r>
      <w:r w:rsidRPr="00A12BB4">
        <w:rPr>
          <w:rFonts w:ascii="Times New Roman" w:hAnsi="Times New Roman" w:cs="Times New Roman"/>
          <w:color w:val="000000"/>
          <w:sz w:val="24"/>
          <w:szCs w:val="24"/>
        </w:rPr>
        <w:t>431</w:t>
      </w:r>
      <w:r>
        <w:rPr>
          <w:rFonts w:ascii="Times New Roman" w:hAnsi="Times New Roman" w:cs="Times New Roman"/>
          <w:color w:val="000000"/>
          <w:sz w:val="24"/>
          <w:szCs w:val="24"/>
        </w:rPr>
        <w:t>−</w:t>
      </w:r>
      <w:r w:rsidRPr="00A12BB4">
        <w:rPr>
          <w:rFonts w:ascii="Times New Roman" w:hAnsi="Times New Roman" w:cs="Times New Roman"/>
          <w:color w:val="000000"/>
          <w:sz w:val="24"/>
          <w:szCs w:val="24"/>
        </w:rPr>
        <w:t>451.</w:t>
      </w:r>
    </w:p>
    <w:p w14:paraId="5B3D0EFB" w14:textId="77777777" w:rsidR="00E923F6" w:rsidRPr="00A12BB4" w:rsidRDefault="00E923F6" w:rsidP="00E923F6">
      <w:pPr>
        <w:shd w:val="clear" w:color="auto" w:fill="FFFFFF"/>
        <w:spacing w:after="0" w:line="240" w:lineRule="auto"/>
        <w:ind w:left="567" w:hanging="567"/>
        <w:jc w:val="both"/>
        <w:rPr>
          <w:rFonts w:ascii="Times New Roman" w:hAnsi="Times New Roman" w:cs="Times New Roman"/>
          <w:color w:val="000000"/>
          <w:sz w:val="24"/>
          <w:szCs w:val="24"/>
        </w:rPr>
      </w:pPr>
    </w:p>
    <w:p w14:paraId="50749B55" w14:textId="5E77D52A"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spellStart"/>
      <w:r w:rsidRPr="00521CC7">
        <w:rPr>
          <w:rFonts w:ascii="Times New Roman" w:hAnsi="Times New Roman" w:cs="Times New Roman"/>
          <w:color w:val="000000"/>
          <w:sz w:val="24"/>
          <w:szCs w:val="24"/>
        </w:rPr>
        <w:t>Jegadeesh</w:t>
      </w:r>
      <w:proofErr w:type="spellEnd"/>
      <w:r w:rsidRPr="00521CC7">
        <w:rPr>
          <w:rFonts w:ascii="Times New Roman" w:hAnsi="Times New Roman" w:cs="Times New Roman"/>
          <w:color w:val="000000"/>
          <w:sz w:val="24"/>
          <w:szCs w:val="24"/>
        </w:rPr>
        <w:t xml:space="preserve">, N. </w:t>
      </w:r>
      <w:r w:rsidR="001A6D92">
        <w:rPr>
          <w:rFonts w:ascii="Times New Roman" w:hAnsi="Times New Roman" w:cs="Times New Roman"/>
          <w:color w:val="000000"/>
          <w:sz w:val="24"/>
          <w:szCs w:val="24"/>
        </w:rPr>
        <w:t xml:space="preserve">&amp; </w:t>
      </w:r>
      <w:r w:rsidRPr="00521CC7">
        <w:rPr>
          <w:rFonts w:ascii="Times New Roman" w:hAnsi="Times New Roman" w:cs="Times New Roman"/>
          <w:color w:val="000000"/>
          <w:sz w:val="24"/>
          <w:szCs w:val="24"/>
        </w:rPr>
        <w:t xml:space="preserve">Kim, W. (2006). Value of analyst recommendations: International evidence. </w:t>
      </w:r>
      <w:r w:rsidRPr="00521CC7">
        <w:rPr>
          <w:rFonts w:ascii="Times New Roman" w:hAnsi="Times New Roman" w:cs="Times New Roman"/>
          <w:i/>
          <w:color w:val="000000"/>
          <w:sz w:val="24"/>
          <w:szCs w:val="24"/>
        </w:rPr>
        <w:t>Journal of Financial Markets</w:t>
      </w:r>
      <w:r w:rsidRPr="00521CC7">
        <w:rPr>
          <w:rFonts w:ascii="Times New Roman" w:hAnsi="Times New Roman" w:cs="Times New Roman"/>
          <w:color w:val="000000"/>
          <w:sz w:val="24"/>
          <w:szCs w:val="24"/>
        </w:rPr>
        <w:t>, 9(3), pp. 274</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309.</w:t>
      </w:r>
    </w:p>
    <w:p w14:paraId="1F81DF44"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2477F827" w14:textId="452D1E1D"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spellStart"/>
      <w:r w:rsidRPr="0047182B">
        <w:rPr>
          <w:rFonts w:ascii="Times New Roman" w:hAnsi="Times New Roman" w:cs="Times New Roman"/>
          <w:color w:val="000000"/>
          <w:sz w:val="24"/>
          <w:szCs w:val="24"/>
        </w:rPr>
        <w:t>Kadan</w:t>
      </w:r>
      <w:proofErr w:type="spellEnd"/>
      <w:r w:rsidRPr="0047182B">
        <w:rPr>
          <w:rFonts w:ascii="Times New Roman" w:hAnsi="Times New Roman" w:cs="Times New Roman"/>
          <w:color w:val="000000"/>
          <w:sz w:val="24"/>
          <w:szCs w:val="24"/>
        </w:rPr>
        <w:t xml:space="preserve">, O., </w:t>
      </w:r>
      <w:proofErr w:type="spellStart"/>
      <w:r w:rsidRPr="0047182B">
        <w:rPr>
          <w:rFonts w:ascii="Times New Roman" w:hAnsi="Times New Roman" w:cs="Times New Roman"/>
          <w:color w:val="000000"/>
          <w:sz w:val="24"/>
          <w:szCs w:val="24"/>
        </w:rPr>
        <w:t>Michaely</w:t>
      </w:r>
      <w:proofErr w:type="spellEnd"/>
      <w:r w:rsidRPr="0047182B">
        <w:rPr>
          <w:rFonts w:ascii="Times New Roman" w:hAnsi="Times New Roman" w:cs="Times New Roman"/>
          <w:color w:val="000000"/>
          <w:sz w:val="24"/>
          <w:szCs w:val="24"/>
        </w:rPr>
        <w:t xml:space="preserve">, R., </w:t>
      </w:r>
      <w:r w:rsidR="001A6D92">
        <w:rPr>
          <w:rFonts w:ascii="Times New Roman" w:hAnsi="Times New Roman" w:cs="Times New Roman"/>
          <w:color w:val="000000"/>
          <w:sz w:val="24"/>
          <w:szCs w:val="24"/>
        </w:rPr>
        <w:t xml:space="preserve">&amp; </w:t>
      </w:r>
      <w:r w:rsidRPr="0047182B">
        <w:rPr>
          <w:rFonts w:ascii="Times New Roman" w:hAnsi="Times New Roman" w:cs="Times New Roman"/>
          <w:color w:val="000000"/>
          <w:sz w:val="24"/>
          <w:szCs w:val="24"/>
        </w:rPr>
        <w:t xml:space="preserve">Moulton, P. C. (2018). Speculating on Private Information: Buy the Rumor, Sell the Fact. </w:t>
      </w:r>
      <w:r w:rsidRPr="004D5393">
        <w:rPr>
          <w:rFonts w:ascii="Times New Roman" w:hAnsi="Times New Roman" w:cs="Times New Roman"/>
          <w:i/>
          <w:iCs/>
          <w:color w:val="000000"/>
          <w:sz w:val="24"/>
          <w:szCs w:val="24"/>
        </w:rPr>
        <w:t>Journal of Financial and Quantitative Analysis</w:t>
      </w:r>
      <w:r w:rsidRPr="0047182B">
        <w:rPr>
          <w:rFonts w:ascii="Times New Roman" w:hAnsi="Times New Roman" w:cs="Times New Roman"/>
          <w:color w:val="000000"/>
          <w:sz w:val="24"/>
          <w:szCs w:val="24"/>
        </w:rPr>
        <w:t xml:space="preserve">, 53(4), </w:t>
      </w:r>
      <w:r w:rsidRPr="00521CC7">
        <w:rPr>
          <w:rFonts w:ascii="Times New Roman" w:hAnsi="Times New Roman" w:cs="Times New Roman"/>
          <w:color w:val="000000"/>
          <w:sz w:val="24"/>
          <w:szCs w:val="24"/>
        </w:rPr>
        <w:t>pp.</w:t>
      </w:r>
      <w:r w:rsidRPr="0047182B">
        <w:rPr>
          <w:rFonts w:ascii="Times New Roman" w:hAnsi="Times New Roman" w:cs="Times New Roman"/>
          <w:color w:val="000000"/>
          <w:sz w:val="24"/>
          <w:szCs w:val="24"/>
        </w:rPr>
        <w:t>1509</w:t>
      </w:r>
      <w:r w:rsidR="001A6D92">
        <w:rPr>
          <w:rFonts w:ascii="Times New Roman" w:hAnsi="Times New Roman" w:cs="Times New Roman"/>
          <w:i/>
          <w:sz w:val="24"/>
          <w:szCs w:val="24"/>
        </w:rPr>
        <w:t>−</w:t>
      </w:r>
      <w:r w:rsidRPr="0047182B">
        <w:rPr>
          <w:rFonts w:ascii="Times New Roman" w:hAnsi="Times New Roman" w:cs="Times New Roman"/>
          <w:color w:val="000000"/>
          <w:sz w:val="24"/>
          <w:szCs w:val="24"/>
        </w:rPr>
        <w:t>1546</w:t>
      </w:r>
      <w:r>
        <w:rPr>
          <w:rFonts w:ascii="Times New Roman" w:hAnsi="Times New Roman" w:cs="Times New Roman"/>
          <w:color w:val="000000"/>
          <w:sz w:val="24"/>
          <w:szCs w:val="24"/>
        </w:rPr>
        <w:t>.</w:t>
      </w:r>
    </w:p>
    <w:p w14:paraId="2977B5B4"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70828371" w14:textId="6EE9185F"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44215">
        <w:rPr>
          <w:rFonts w:ascii="Times New Roman" w:hAnsi="Times New Roman" w:cs="Times New Roman"/>
          <w:color w:val="000000"/>
          <w:sz w:val="24"/>
          <w:szCs w:val="24"/>
        </w:rPr>
        <w:t xml:space="preserve">Kahneman, D. </w:t>
      </w:r>
      <w:r w:rsidR="001A6D92">
        <w:rPr>
          <w:rFonts w:ascii="Times New Roman" w:hAnsi="Times New Roman" w:cs="Times New Roman"/>
          <w:color w:val="000000"/>
          <w:sz w:val="24"/>
          <w:szCs w:val="24"/>
        </w:rPr>
        <w:t xml:space="preserve">&amp; </w:t>
      </w:r>
      <w:r w:rsidRPr="00A44215">
        <w:rPr>
          <w:rFonts w:ascii="Times New Roman" w:hAnsi="Times New Roman" w:cs="Times New Roman"/>
          <w:color w:val="000000"/>
          <w:sz w:val="24"/>
          <w:szCs w:val="24"/>
        </w:rPr>
        <w:t>Tversky</w:t>
      </w:r>
      <w:r w:rsidR="00E17AAE">
        <w:rPr>
          <w:rFonts w:ascii="Times New Roman" w:hAnsi="Times New Roman" w:cs="Times New Roman"/>
          <w:color w:val="000000"/>
          <w:sz w:val="24"/>
          <w:szCs w:val="24"/>
        </w:rPr>
        <w:t>, A.</w:t>
      </w:r>
      <w:r w:rsidRPr="00A44215">
        <w:rPr>
          <w:rFonts w:ascii="Times New Roman" w:hAnsi="Times New Roman" w:cs="Times New Roman"/>
          <w:color w:val="000000"/>
          <w:sz w:val="24"/>
          <w:szCs w:val="24"/>
        </w:rPr>
        <w:t xml:space="preserve"> (1979). Prospect theory: An analysis of decision under risk, </w:t>
      </w:r>
      <w:proofErr w:type="spellStart"/>
      <w:r w:rsidRPr="004D5393">
        <w:rPr>
          <w:rFonts w:ascii="Times New Roman" w:hAnsi="Times New Roman" w:cs="Times New Roman"/>
          <w:i/>
          <w:iCs/>
          <w:color w:val="000000"/>
          <w:sz w:val="24"/>
          <w:szCs w:val="24"/>
        </w:rPr>
        <w:t>Econometrica</w:t>
      </w:r>
      <w:proofErr w:type="spellEnd"/>
      <w:r w:rsidRPr="00A44215">
        <w:rPr>
          <w:rFonts w:ascii="Times New Roman" w:hAnsi="Times New Roman" w:cs="Times New Roman"/>
          <w:color w:val="000000"/>
          <w:sz w:val="24"/>
          <w:szCs w:val="24"/>
        </w:rPr>
        <w:t>, 47</w:t>
      </w:r>
      <w:r>
        <w:rPr>
          <w:rFonts w:ascii="Times New Roman" w:hAnsi="Times New Roman" w:cs="Times New Roman"/>
          <w:color w:val="000000"/>
          <w:sz w:val="24"/>
          <w:szCs w:val="24"/>
        </w:rPr>
        <w:t>(2)</w:t>
      </w:r>
      <w:r w:rsidRPr="00A44215">
        <w:rPr>
          <w:rFonts w:ascii="Times New Roman" w:hAnsi="Times New Roman" w:cs="Times New Roman"/>
          <w:color w:val="000000"/>
          <w:sz w:val="24"/>
          <w:szCs w:val="24"/>
        </w:rPr>
        <w:t>, pp. 263–291.</w:t>
      </w:r>
    </w:p>
    <w:p w14:paraId="59F98A13"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5532D6D7" w14:textId="7F58EC8B" w:rsidR="00E923F6" w:rsidRPr="00A1125B" w:rsidRDefault="00560E1C" w:rsidP="00E923F6">
      <w:pPr>
        <w:autoSpaceDE w:val="0"/>
        <w:autoSpaceDN w:val="0"/>
        <w:adjustRightInd w:val="0"/>
        <w:spacing w:after="0" w:line="240" w:lineRule="auto"/>
        <w:ind w:left="567" w:hanging="567"/>
        <w:jc w:val="both"/>
        <w:rPr>
          <w:rFonts w:ascii="Times New Roman" w:hAnsi="Times New Roman" w:cs="Times New Roman"/>
          <w:color w:val="000000"/>
          <w:sz w:val="24"/>
          <w:szCs w:val="24"/>
          <w:lang w:val="en-IE"/>
        </w:rPr>
      </w:pPr>
      <w:r w:rsidRPr="00A1125B">
        <w:rPr>
          <w:rFonts w:ascii="Times New Roman" w:hAnsi="Times New Roman" w:cs="Times New Roman"/>
          <w:color w:val="000000"/>
          <w:sz w:val="24"/>
          <w:szCs w:val="24"/>
          <w:lang w:val="en-IE"/>
        </w:rPr>
        <w:t>Kim,</w:t>
      </w:r>
      <w:r>
        <w:rPr>
          <w:rFonts w:ascii="Times New Roman" w:hAnsi="Times New Roman" w:cs="Times New Roman"/>
          <w:color w:val="000000"/>
          <w:sz w:val="24"/>
          <w:szCs w:val="24"/>
          <w:lang w:val="en-IE"/>
        </w:rPr>
        <w:t xml:space="preserve"> K., </w:t>
      </w:r>
      <w:r w:rsidRPr="00A1125B">
        <w:rPr>
          <w:rFonts w:ascii="Times New Roman" w:hAnsi="Times New Roman" w:cs="Times New Roman"/>
          <w:color w:val="000000"/>
          <w:sz w:val="24"/>
          <w:szCs w:val="24"/>
          <w:lang w:val="en-IE"/>
        </w:rPr>
        <w:t>Ryu</w:t>
      </w:r>
      <w:r>
        <w:rPr>
          <w:rFonts w:ascii="Times New Roman" w:hAnsi="Times New Roman" w:cs="Times New Roman"/>
          <w:color w:val="000000"/>
          <w:sz w:val="24"/>
          <w:szCs w:val="24"/>
          <w:lang w:val="en-IE"/>
        </w:rPr>
        <w:t>, D</w:t>
      </w:r>
      <w:r w:rsidR="00E17AAE">
        <w:rPr>
          <w:rFonts w:ascii="Times New Roman" w:hAnsi="Times New Roman" w:cs="Times New Roman"/>
          <w:color w:val="000000"/>
          <w:sz w:val="24"/>
          <w:szCs w:val="24"/>
          <w:lang w:val="en-IE"/>
        </w:rPr>
        <w:t>.</w:t>
      </w:r>
      <w:r w:rsidR="00E923F6" w:rsidRPr="00A1125B">
        <w:rPr>
          <w:rFonts w:ascii="Times New Roman" w:hAnsi="Times New Roman" w:cs="Times New Roman"/>
          <w:color w:val="000000"/>
          <w:sz w:val="24"/>
          <w:szCs w:val="24"/>
          <w:lang w:val="en-IE"/>
        </w:rPr>
        <w:t xml:space="preserve"> &amp; Yang</w:t>
      </w:r>
      <w:r w:rsidR="00E17AAE">
        <w:rPr>
          <w:rFonts w:ascii="Times New Roman" w:hAnsi="Times New Roman" w:cs="Times New Roman"/>
          <w:color w:val="000000"/>
          <w:sz w:val="24"/>
          <w:szCs w:val="24"/>
          <w:lang w:val="en-IE"/>
        </w:rPr>
        <w:t>, H.</w:t>
      </w:r>
      <w:r w:rsidR="00E923F6" w:rsidRPr="00A1125B">
        <w:rPr>
          <w:rFonts w:ascii="Times New Roman" w:hAnsi="Times New Roman" w:cs="Times New Roman"/>
          <w:color w:val="000000"/>
          <w:sz w:val="24"/>
          <w:szCs w:val="24"/>
          <w:lang w:val="en-IE"/>
        </w:rPr>
        <w:t xml:space="preserve"> (2019)</w:t>
      </w:r>
      <w:r w:rsidR="001A6D92">
        <w:rPr>
          <w:rFonts w:ascii="Times New Roman" w:hAnsi="Times New Roman" w:cs="Times New Roman"/>
          <w:color w:val="000000"/>
          <w:sz w:val="24"/>
          <w:szCs w:val="24"/>
          <w:lang w:val="en-IE"/>
        </w:rPr>
        <w:t>.</w:t>
      </w:r>
      <w:r w:rsidR="00E923F6" w:rsidRPr="00A1125B">
        <w:rPr>
          <w:rFonts w:ascii="Times New Roman" w:hAnsi="Times New Roman" w:cs="Times New Roman"/>
          <w:color w:val="000000"/>
          <w:sz w:val="24"/>
          <w:szCs w:val="24"/>
          <w:lang w:val="en-IE"/>
        </w:rPr>
        <w:t xml:space="preserve"> Investor sentiment, stock returns, and analyst recommendation changes: The KOSPI stock market</w:t>
      </w:r>
      <w:r w:rsidR="00E923F6" w:rsidRPr="006D0A49">
        <w:rPr>
          <w:rFonts w:ascii="Times New Roman" w:hAnsi="Times New Roman" w:cs="Times New Roman"/>
          <w:i/>
          <w:iCs/>
          <w:color w:val="000000"/>
          <w:sz w:val="24"/>
          <w:szCs w:val="24"/>
          <w:lang w:val="en-IE"/>
        </w:rPr>
        <w:t>, Investment Analysts Journal</w:t>
      </w:r>
      <w:r w:rsidR="00E923F6" w:rsidRPr="00A1125B">
        <w:rPr>
          <w:rFonts w:ascii="Times New Roman" w:hAnsi="Times New Roman" w:cs="Times New Roman"/>
          <w:color w:val="000000"/>
          <w:sz w:val="24"/>
          <w:szCs w:val="24"/>
          <w:lang w:val="en-IE"/>
        </w:rPr>
        <w:t>, 48</w:t>
      </w:r>
      <w:r>
        <w:rPr>
          <w:rFonts w:ascii="Times New Roman" w:hAnsi="Times New Roman" w:cs="Times New Roman"/>
          <w:color w:val="000000"/>
          <w:sz w:val="24"/>
          <w:szCs w:val="24"/>
          <w:lang w:val="en-IE"/>
        </w:rPr>
        <w:t>(</w:t>
      </w:r>
      <w:r w:rsidR="00E923F6" w:rsidRPr="00A1125B">
        <w:rPr>
          <w:rFonts w:ascii="Times New Roman" w:hAnsi="Times New Roman" w:cs="Times New Roman"/>
          <w:color w:val="000000"/>
          <w:sz w:val="24"/>
          <w:szCs w:val="24"/>
          <w:lang w:val="en-IE"/>
        </w:rPr>
        <w:t>2</w:t>
      </w:r>
      <w:r>
        <w:rPr>
          <w:rFonts w:ascii="Times New Roman" w:hAnsi="Times New Roman" w:cs="Times New Roman"/>
          <w:color w:val="000000"/>
          <w:sz w:val="24"/>
          <w:szCs w:val="24"/>
          <w:lang w:val="en-IE"/>
        </w:rPr>
        <w:t>)</w:t>
      </w:r>
      <w:r w:rsidR="00E923F6" w:rsidRPr="00A1125B">
        <w:rPr>
          <w:rFonts w:ascii="Times New Roman" w:hAnsi="Times New Roman" w:cs="Times New Roman"/>
          <w:color w:val="000000"/>
          <w:sz w:val="24"/>
          <w:szCs w:val="24"/>
          <w:lang w:val="en-IE"/>
        </w:rPr>
        <w:t xml:space="preserve">, </w:t>
      </w:r>
      <w:r w:rsidR="001A6D92">
        <w:rPr>
          <w:rFonts w:ascii="Times New Roman" w:hAnsi="Times New Roman" w:cs="Times New Roman"/>
          <w:color w:val="000000"/>
          <w:sz w:val="24"/>
          <w:szCs w:val="24"/>
          <w:lang w:val="en-IE"/>
        </w:rPr>
        <w:t xml:space="preserve">pp. </w:t>
      </w:r>
      <w:r w:rsidR="00E923F6" w:rsidRPr="00A1125B">
        <w:rPr>
          <w:rFonts w:ascii="Times New Roman" w:hAnsi="Times New Roman" w:cs="Times New Roman"/>
          <w:color w:val="000000"/>
          <w:sz w:val="24"/>
          <w:szCs w:val="24"/>
          <w:lang w:val="en-IE"/>
        </w:rPr>
        <w:t>89</w:t>
      </w:r>
      <w:r w:rsidR="001A6D92">
        <w:rPr>
          <w:rFonts w:ascii="Times New Roman" w:hAnsi="Times New Roman" w:cs="Times New Roman"/>
          <w:i/>
          <w:sz w:val="24"/>
          <w:szCs w:val="24"/>
        </w:rPr>
        <w:t>−</w:t>
      </w:r>
      <w:r w:rsidR="00E923F6" w:rsidRPr="00A1125B">
        <w:rPr>
          <w:rFonts w:ascii="Times New Roman" w:hAnsi="Times New Roman" w:cs="Times New Roman"/>
          <w:color w:val="000000"/>
          <w:sz w:val="24"/>
          <w:szCs w:val="24"/>
          <w:lang w:val="en-IE"/>
        </w:rPr>
        <w:t xml:space="preserve">101, </w:t>
      </w:r>
    </w:p>
    <w:p w14:paraId="1A68CB14"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414370FE" w14:textId="66A15B89"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lang w:val="en-IE"/>
        </w:rPr>
      </w:pPr>
      <w:proofErr w:type="spellStart"/>
      <w:r w:rsidRPr="00CC22B9">
        <w:rPr>
          <w:rFonts w:ascii="Times New Roman" w:hAnsi="Times New Roman" w:cs="Times New Roman"/>
          <w:color w:val="000000"/>
          <w:sz w:val="24"/>
          <w:szCs w:val="24"/>
          <w:lang w:val="en-IE"/>
        </w:rPr>
        <w:t>Kudryavtsev</w:t>
      </w:r>
      <w:proofErr w:type="spellEnd"/>
      <w:r w:rsidRPr="00CC22B9">
        <w:rPr>
          <w:rFonts w:ascii="Times New Roman" w:hAnsi="Times New Roman" w:cs="Times New Roman"/>
          <w:color w:val="000000"/>
          <w:sz w:val="24"/>
          <w:szCs w:val="24"/>
          <w:lang w:val="en-IE"/>
        </w:rPr>
        <w:t xml:space="preserve">, A. </w:t>
      </w:r>
      <w:r w:rsidR="001A6D92">
        <w:rPr>
          <w:rFonts w:ascii="Times New Roman" w:hAnsi="Times New Roman" w:cs="Times New Roman"/>
          <w:color w:val="000000"/>
          <w:sz w:val="24"/>
          <w:szCs w:val="24"/>
          <w:lang w:val="en-IE"/>
        </w:rPr>
        <w:t xml:space="preserve">(2019). </w:t>
      </w:r>
      <w:r w:rsidRPr="00CC22B9">
        <w:rPr>
          <w:rFonts w:ascii="Times New Roman" w:hAnsi="Times New Roman" w:cs="Times New Roman"/>
          <w:color w:val="000000"/>
          <w:sz w:val="24"/>
          <w:szCs w:val="24"/>
          <w:lang w:val="en-IE"/>
        </w:rPr>
        <w:t>Effect of investor inattention on price drifts following analyst recommendation revisions</w:t>
      </w:r>
      <w:r w:rsidR="001A6D92">
        <w:rPr>
          <w:rFonts w:ascii="Times New Roman" w:hAnsi="Times New Roman" w:cs="Times New Roman"/>
          <w:color w:val="000000"/>
          <w:sz w:val="24"/>
          <w:szCs w:val="24"/>
          <w:lang w:val="en-IE"/>
        </w:rPr>
        <w:t>,</w:t>
      </w:r>
      <w:r w:rsidR="001A6D92" w:rsidRPr="00CC22B9">
        <w:rPr>
          <w:rFonts w:ascii="Times New Roman" w:hAnsi="Times New Roman" w:cs="Times New Roman"/>
          <w:color w:val="000000"/>
          <w:sz w:val="24"/>
          <w:szCs w:val="24"/>
          <w:lang w:val="en-IE"/>
        </w:rPr>
        <w:t xml:space="preserve"> </w:t>
      </w:r>
      <w:r w:rsidRPr="00CC22B9">
        <w:rPr>
          <w:rFonts w:ascii="Times New Roman" w:hAnsi="Times New Roman" w:cs="Times New Roman"/>
          <w:i/>
          <w:iCs/>
          <w:color w:val="000000"/>
          <w:sz w:val="24"/>
          <w:szCs w:val="24"/>
          <w:lang w:val="en-IE"/>
        </w:rPr>
        <w:t>Int</w:t>
      </w:r>
      <w:r>
        <w:rPr>
          <w:rFonts w:ascii="Times New Roman" w:hAnsi="Times New Roman" w:cs="Times New Roman"/>
          <w:i/>
          <w:iCs/>
          <w:color w:val="000000"/>
          <w:sz w:val="24"/>
          <w:szCs w:val="24"/>
          <w:lang w:val="en-IE"/>
        </w:rPr>
        <w:t>er</w:t>
      </w:r>
      <w:r w:rsidRPr="00CC22B9">
        <w:rPr>
          <w:rFonts w:ascii="Times New Roman" w:hAnsi="Times New Roman" w:cs="Times New Roman"/>
          <w:i/>
          <w:iCs/>
          <w:color w:val="000000"/>
          <w:sz w:val="24"/>
          <w:szCs w:val="24"/>
          <w:lang w:val="en-IE"/>
        </w:rPr>
        <w:t>national</w:t>
      </w:r>
      <w:r w:rsidRPr="006D0A49">
        <w:rPr>
          <w:rFonts w:ascii="Times New Roman" w:hAnsi="Times New Roman" w:cs="Times New Roman"/>
          <w:i/>
          <w:iCs/>
          <w:color w:val="000000"/>
          <w:sz w:val="24"/>
          <w:szCs w:val="24"/>
          <w:lang w:val="en-IE"/>
        </w:rPr>
        <w:t xml:space="preserve"> Journal of Finance and Economic</w:t>
      </w:r>
      <w:r w:rsidR="001A6D92" w:rsidRPr="00C658FF">
        <w:rPr>
          <w:rFonts w:ascii="Times New Roman" w:hAnsi="Times New Roman" w:cs="Times New Roman"/>
          <w:color w:val="000000"/>
          <w:sz w:val="24"/>
          <w:szCs w:val="24"/>
          <w:lang w:val="en-IE"/>
        </w:rPr>
        <w:t>,</w:t>
      </w:r>
      <w:r w:rsidRPr="00CC22B9">
        <w:rPr>
          <w:rFonts w:ascii="Times New Roman" w:hAnsi="Times New Roman" w:cs="Times New Roman"/>
          <w:color w:val="000000"/>
          <w:sz w:val="24"/>
          <w:szCs w:val="24"/>
          <w:lang w:val="en-IE"/>
        </w:rPr>
        <w:t xml:space="preserve"> 24</w:t>
      </w:r>
      <w:r w:rsidR="001A6D92">
        <w:rPr>
          <w:rFonts w:ascii="Times New Roman" w:hAnsi="Times New Roman" w:cs="Times New Roman"/>
          <w:color w:val="000000"/>
          <w:sz w:val="24"/>
          <w:szCs w:val="24"/>
          <w:lang w:val="en-IE"/>
        </w:rPr>
        <w:t xml:space="preserve">(1), pp. </w:t>
      </w:r>
      <w:r w:rsidRPr="00CC22B9">
        <w:rPr>
          <w:rFonts w:ascii="Times New Roman" w:hAnsi="Times New Roman" w:cs="Times New Roman"/>
          <w:color w:val="000000"/>
          <w:sz w:val="24"/>
          <w:szCs w:val="24"/>
          <w:lang w:val="en-IE"/>
        </w:rPr>
        <w:t xml:space="preserve">348– 360. </w:t>
      </w:r>
    </w:p>
    <w:p w14:paraId="574189B5" w14:textId="084CD706" w:rsidR="00A076B6" w:rsidRDefault="00A076B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lang w:val="en-IE"/>
        </w:rPr>
      </w:pPr>
    </w:p>
    <w:p w14:paraId="06E1B4BC" w14:textId="0D730281" w:rsidR="00A076B6" w:rsidRPr="00CC22B9" w:rsidRDefault="00A076B6">
      <w:pPr>
        <w:autoSpaceDE w:val="0"/>
        <w:autoSpaceDN w:val="0"/>
        <w:adjustRightInd w:val="0"/>
        <w:spacing w:after="0" w:line="240" w:lineRule="auto"/>
        <w:ind w:left="567" w:hanging="567"/>
        <w:jc w:val="both"/>
        <w:rPr>
          <w:rFonts w:ascii="Times New Roman" w:hAnsi="Times New Roman" w:cs="Times New Roman"/>
          <w:color w:val="000000"/>
          <w:sz w:val="24"/>
          <w:szCs w:val="24"/>
          <w:lang w:val="en-IE"/>
        </w:rPr>
      </w:pPr>
      <w:r w:rsidRPr="00A076B6">
        <w:rPr>
          <w:rFonts w:ascii="Times New Roman" w:hAnsi="Times New Roman" w:cs="Times New Roman"/>
          <w:color w:val="000000"/>
          <w:sz w:val="24"/>
          <w:szCs w:val="24"/>
          <w:lang w:val="en-IE"/>
        </w:rPr>
        <w:t>Lee, W.Y., Jiang, C.X. &amp; Indro, D.C. (2002). Stock market volatility, excess returns, and the role</w:t>
      </w:r>
      <w:r>
        <w:rPr>
          <w:rFonts w:ascii="Times New Roman" w:hAnsi="Times New Roman" w:cs="Times New Roman"/>
          <w:color w:val="000000"/>
          <w:sz w:val="24"/>
          <w:szCs w:val="24"/>
          <w:lang w:val="en-IE"/>
        </w:rPr>
        <w:t xml:space="preserve"> </w:t>
      </w:r>
      <w:r w:rsidRPr="00A076B6">
        <w:rPr>
          <w:rFonts w:ascii="Times New Roman" w:hAnsi="Times New Roman" w:cs="Times New Roman"/>
          <w:color w:val="000000"/>
          <w:sz w:val="24"/>
          <w:szCs w:val="24"/>
          <w:lang w:val="en-IE"/>
        </w:rPr>
        <w:t xml:space="preserve">of investor sentiment, Journal of </w:t>
      </w:r>
      <w:r w:rsidR="007051F8">
        <w:rPr>
          <w:rFonts w:ascii="Times New Roman" w:hAnsi="Times New Roman" w:cs="Times New Roman"/>
          <w:color w:val="000000"/>
          <w:sz w:val="24"/>
          <w:szCs w:val="24"/>
          <w:lang w:val="en-IE"/>
        </w:rPr>
        <w:t>B</w:t>
      </w:r>
      <w:r w:rsidRPr="00A076B6">
        <w:rPr>
          <w:rFonts w:ascii="Times New Roman" w:hAnsi="Times New Roman" w:cs="Times New Roman"/>
          <w:color w:val="000000"/>
          <w:sz w:val="24"/>
          <w:szCs w:val="24"/>
          <w:lang w:val="en-IE"/>
        </w:rPr>
        <w:t>anking &amp; Finance, 26(12), pp.2277−2299.</w:t>
      </w:r>
    </w:p>
    <w:p w14:paraId="535298FD"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23D74BCE" w14:textId="01BC558E" w:rsidR="00E923F6" w:rsidRDefault="00E923F6" w:rsidP="00E923F6">
      <w:pPr>
        <w:autoSpaceDE w:val="0"/>
        <w:autoSpaceDN w:val="0"/>
        <w:adjustRightInd w:val="0"/>
        <w:spacing w:after="0" w:line="240" w:lineRule="auto"/>
        <w:ind w:left="567" w:hanging="567"/>
        <w:jc w:val="both"/>
        <w:rPr>
          <w:rFonts w:ascii="Times New Roman" w:hAnsi="Times New Roman" w:cs="Times New Roman"/>
          <w:sz w:val="24"/>
          <w:szCs w:val="24"/>
        </w:rPr>
      </w:pPr>
      <w:r w:rsidRPr="004A02CD">
        <w:rPr>
          <w:rFonts w:ascii="Times New Roman" w:hAnsi="Times New Roman" w:cs="Times New Roman"/>
          <w:color w:val="000000"/>
          <w:sz w:val="24"/>
          <w:szCs w:val="24"/>
        </w:rPr>
        <w:t xml:space="preserve">Lee, C., </w:t>
      </w:r>
      <w:proofErr w:type="spellStart"/>
      <w:r w:rsidRPr="004A02CD">
        <w:rPr>
          <w:rFonts w:ascii="Times New Roman" w:hAnsi="Times New Roman" w:cs="Times New Roman"/>
          <w:color w:val="000000"/>
          <w:sz w:val="24"/>
          <w:szCs w:val="24"/>
        </w:rPr>
        <w:t>Palmon</w:t>
      </w:r>
      <w:proofErr w:type="spellEnd"/>
      <w:r w:rsidRPr="004A02CD">
        <w:rPr>
          <w:rFonts w:ascii="Times New Roman" w:hAnsi="Times New Roman" w:cs="Times New Roman"/>
          <w:color w:val="000000"/>
          <w:sz w:val="24"/>
          <w:szCs w:val="24"/>
        </w:rPr>
        <w:t>, D.</w:t>
      </w:r>
      <w:r>
        <w:rPr>
          <w:rFonts w:ascii="Times New Roman" w:hAnsi="Times New Roman" w:cs="Times New Roman"/>
          <w:color w:val="000000"/>
          <w:sz w:val="24"/>
          <w:szCs w:val="24"/>
        </w:rPr>
        <w:t xml:space="preserve"> </w:t>
      </w:r>
      <w:r w:rsidR="001A6D92">
        <w:rPr>
          <w:rFonts w:ascii="Times New Roman" w:hAnsi="Times New Roman" w:cs="Times New Roman"/>
          <w:color w:val="000000"/>
          <w:sz w:val="24"/>
          <w:szCs w:val="24"/>
        </w:rPr>
        <w:t>&amp;</w:t>
      </w:r>
      <w:r w:rsidR="001A6D92" w:rsidRPr="004A02CD">
        <w:rPr>
          <w:rFonts w:ascii="Times New Roman" w:hAnsi="Times New Roman" w:cs="Times New Roman"/>
          <w:color w:val="000000"/>
          <w:sz w:val="24"/>
          <w:szCs w:val="24"/>
        </w:rPr>
        <w:t xml:space="preserve"> </w:t>
      </w:r>
      <w:proofErr w:type="spellStart"/>
      <w:r w:rsidRPr="004A02CD">
        <w:rPr>
          <w:rFonts w:ascii="Times New Roman" w:hAnsi="Times New Roman" w:cs="Times New Roman"/>
          <w:color w:val="000000"/>
          <w:sz w:val="24"/>
          <w:szCs w:val="24"/>
        </w:rPr>
        <w:t>Yezegel</w:t>
      </w:r>
      <w:proofErr w:type="spellEnd"/>
      <w:r w:rsidRPr="004A02CD">
        <w:rPr>
          <w:rFonts w:ascii="Times New Roman" w:hAnsi="Times New Roman" w:cs="Times New Roman"/>
          <w:color w:val="000000"/>
          <w:sz w:val="24"/>
          <w:szCs w:val="24"/>
        </w:rPr>
        <w:t>, A. (2018). The Corporate Social Responsibility Information Environment: Examining the Value of Financial Analysts’ Recommendations</w:t>
      </w:r>
      <w:r w:rsidR="001A6D92">
        <w:rPr>
          <w:rFonts w:ascii="Times New Roman" w:hAnsi="Times New Roman" w:cs="Times New Roman"/>
          <w:color w:val="000000"/>
          <w:sz w:val="24"/>
          <w:szCs w:val="24"/>
        </w:rPr>
        <w:t>,</w:t>
      </w:r>
      <w:r w:rsidR="001A6D92" w:rsidRPr="004A02CD">
        <w:rPr>
          <w:rFonts w:ascii="Times New Roman" w:hAnsi="Times New Roman" w:cs="Times New Roman"/>
          <w:color w:val="000000"/>
          <w:sz w:val="24"/>
          <w:szCs w:val="24"/>
        </w:rPr>
        <w:t xml:space="preserve"> </w:t>
      </w:r>
      <w:r w:rsidRPr="004D5393">
        <w:rPr>
          <w:rFonts w:ascii="Times New Roman" w:hAnsi="Times New Roman" w:cs="Times New Roman"/>
          <w:i/>
          <w:iCs/>
          <w:color w:val="000000"/>
          <w:sz w:val="24"/>
          <w:szCs w:val="24"/>
        </w:rPr>
        <w:t>Journal of Business Ethics</w:t>
      </w:r>
      <w:r w:rsidRPr="004A02CD">
        <w:rPr>
          <w:rFonts w:ascii="Times New Roman" w:hAnsi="Times New Roman" w:cs="Times New Roman"/>
          <w:color w:val="000000"/>
          <w:sz w:val="24"/>
          <w:szCs w:val="24"/>
        </w:rPr>
        <w:t xml:space="preserve">, 150(1), </w:t>
      </w:r>
      <w:r>
        <w:rPr>
          <w:rFonts w:ascii="Times New Roman" w:hAnsi="Times New Roman" w:cs="Times New Roman"/>
          <w:color w:val="000000"/>
          <w:sz w:val="24"/>
          <w:szCs w:val="24"/>
        </w:rPr>
        <w:t xml:space="preserve">pp. </w:t>
      </w:r>
      <w:r w:rsidRPr="004A02CD">
        <w:rPr>
          <w:rFonts w:ascii="Times New Roman" w:hAnsi="Times New Roman" w:cs="Times New Roman"/>
          <w:color w:val="000000"/>
          <w:sz w:val="24"/>
          <w:szCs w:val="24"/>
        </w:rPr>
        <w:t>279–301.</w:t>
      </w:r>
    </w:p>
    <w:p w14:paraId="022360A3"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2F9F3320" w14:textId="5548F7FA" w:rsidR="00E923F6" w:rsidRDefault="00E923F6" w:rsidP="00E923F6">
      <w:pPr>
        <w:autoSpaceDE w:val="0"/>
        <w:autoSpaceDN w:val="0"/>
        <w:adjustRightInd w:val="0"/>
        <w:spacing w:after="0" w:line="240" w:lineRule="auto"/>
        <w:ind w:left="567" w:hanging="567"/>
        <w:jc w:val="both"/>
        <w:rPr>
          <w:rFonts w:ascii="Times New Roman" w:hAnsi="Times New Roman" w:cs="Times New Roman"/>
          <w:i/>
          <w:sz w:val="24"/>
          <w:szCs w:val="24"/>
        </w:rPr>
      </w:pPr>
      <w:r>
        <w:rPr>
          <w:rFonts w:ascii="Times New Roman" w:hAnsi="Times New Roman" w:cs="Times New Roman"/>
          <w:sz w:val="24"/>
          <w:szCs w:val="24"/>
        </w:rPr>
        <w:t xml:space="preserve">Li, E., X., Ramesh, K., Shen, M. </w:t>
      </w:r>
      <w:r w:rsidR="001A6D92">
        <w:rPr>
          <w:rFonts w:ascii="Times New Roman" w:hAnsi="Times New Roman" w:cs="Times New Roman"/>
          <w:sz w:val="24"/>
          <w:szCs w:val="24"/>
        </w:rPr>
        <w:t xml:space="preserve">&amp; </w:t>
      </w:r>
      <w:r>
        <w:rPr>
          <w:rFonts w:ascii="Times New Roman" w:hAnsi="Times New Roman" w:cs="Times New Roman"/>
          <w:sz w:val="24"/>
          <w:szCs w:val="24"/>
        </w:rPr>
        <w:t>Wu, J. S. (2015)</w:t>
      </w:r>
      <w:r w:rsidR="001A6D92">
        <w:rPr>
          <w:rFonts w:ascii="Times New Roman" w:hAnsi="Times New Roman" w:cs="Times New Roman"/>
          <w:sz w:val="24"/>
          <w:szCs w:val="24"/>
        </w:rPr>
        <w:t>.</w:t>
      </w:r>
      <w:r>
        <w:rPr>
          <w:rFonts w:ascii="Times New Roman" w:hAnsi="Times New Roman" w:cs="Times New Roman"/>
          <w:sz w:val="24"/>
          <w:szCs w:val="24"/>
        </w:rPr>
        <w:t xml:space="preserve"> Do analyst stock recommendations piggyback on recent corporate news? An analysis of regular−hour and after−hours revisions. </w:t>
      </w:r>
      <w:r w:rsidRPr="001A5FB0">
        <w:rPr>
          <w:rFonts w:ascii="Times New Roman" w:hAnsi="Times New Roman" w:cs="Times New Roman"/>
          <w:i/>
          <w:sz w:val="24"/>
          <w:szCs w:val="24"/>
        </w:rPr>
        <w:t xml:space="preserve">Journal of Accounting Research, </w:t>
      </w:r>
      <w:r w:rsidRPr="004D5393">
        <w:rPr>
          <w:rFonts w:ascii="Times New Roman" w:hAnsi="Times New Roman" w:cs="Times New Roman"/>
          <w:iCs/>
          <w:sz w:val="24"/>
          <w:szCs w:val="24"/>
        </w:rPr>
        <w:t>53 (4),</w:t>
      </w:r>
      <w:r w:rsidRPr="001A5FB0">
        <w:rPr>
          <w:rFonts w:ascii="Times New Roman" w:hAnsi="Times New Roman" w:cs="Times New Roman"/>
          <w:i/>
          <w:sz w:val="24"/>
          <w:szCs w:val="24"/>
        </w:rPr>
        <w:t xml:space="preserve"> </w:t>
      </w:r>
      <w:r>
        <w:rPr>
          <w:rFonts w:ascii="Times New Roman" w:hAnsi="Times New Roman" w:cs="Times New Roman"/>
          <w:sz w:val="24"/>
          <w:szCs w:val="24"/>
        </w:rPr>
        <w:t xml:space="preserve">pp. </w:t>
      </w:r>
      <w:r w:rsidRPr="004D5393">
        <w:rPr>
          <w:rFonts w:ascii="Times New Roman" w:hAnsi="Times New Roman" w:cs="Times New Roman"/>
          <w:iCs/>
          <w:sz w:val="24"/>
          <w:szCs w:val="24"/>
        </w:rPr>
        <w:t>821−861</w:t>
      </w:r>
      <w:r>
        <w:rPr>
          <w:rFonts w:ascii="Times New Roman" w:hAnsi="Times New Roman" w:cs="Times New Roman"/>
          <w:i/>
          <w:sz w:val="24"/>
          <w:szCs w:val="24"/>
        </w:rPr>
        <w:t>.</w:t>
      </w:r>
    </w:p>
    <w:p w14:paraId="09792CD8"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582DCCF9" w14:textId="77777777" w:rsidR="00E304BF" w:rsidRPr="007051F8" w:rsidRDefault="00E304BF" w:rsidP="00F97F7D">
      <w:pPr>
        <w:spacing w:after="0"/>
        <w:rPr>
          <w:rFonts w:ascii="Times New Roman" w:hAnsi="Times New Roman" w:cs="Times New Roman"/>
          <w:color w:val="0070C0"/>
          <w:sz w:val="24"/>
          <w:szCs w:val="24"/>
          <w:shd w:val="clear" w:color="auto" w:fill="FFFFFF"/>
        </w:rPr>
      </w:pPr>
      <w:r w:rsidRPr="007051F8">
        <w:rPr>
          <w:rFonts w:ascii="Times New Roman" w:hAnsi="Times New Roman" w:cs="Times New Roman"/>
          <w:color w:val="0070C0"/>
          <w:sz w:val="24"/>
          <w:szCs w:val="24"/>
          <w:shd w:val="clear" w:color="auto" w:fill="FFFFFF"/>
        </w:rPr>
        <w:t xml:space="preserve">Li, F., Lin, C. and Lin, T. (2020) Salient Anchor and Analyst Recommendation Downgrade </w:t>
      </w:r>
    </w:p>
    <w:p w14:paraId="46159A98" w14:textId="7FAE560E" w:rsidR="00E304BF" w:rsidRPr="007051F8" w:rsidRDefault="00E304BF" w:rsidP="00F97F7D">
      <w:pPr>
        <w:spacing w:after="0"/>
        <w:ind w:left="567" w:firstLine="120"/>
        <w:rPr>
          <w:rFonts w:ascii="Times New Roman" w:hAnsi="Times New Roman" w:cs="Times New Roman"/>
          <w:i/>
          <w:iCs/>
          <w:color w:val="0070C0"/>
          <w:sz w:val="24"/>
          <w:szCs w:val="24"/>
        </w:rPr>
      </w:pPr>
      <w:r w:rsidRPr="007051F8">
        <w:rPr>
          <w:rFonts w:ascii="Times New Roman" w:hAnsi="Times New Roman" w:cs="Times New Roman"/>
          <w:i/>
          <w:iCs/>
          <w:color w:val="0070C0"/>
          <w:sz w:val="24"/>
          <w:szCs w:val="24"/>
          <w:shd w:val="clear" w:color="auto" w:fill="FFFFFF"/>
        </w:rPr>
        <w:t>Available at</w:t>
      </w:r>
      <w:r w:rsidR="00E251E8" w:rsidRPr="007051F8">
        <w:rPr>
          <w:rFonts w:ascii="Times New Roman" w:hAnsi="Times New Roman" w:cs="Times New Roman"/>
          <w:i/>
          <w:iCs/>
          <w:color w:val="0070C0"/>
          <w:sz w:val="24"/>
          <w:szCs w:val="24"/>
          <w:shd w:val="clear" w:color="auto" w:fill="FFFFFF"/>
        </w:rPr>
        <w:t xml:space="preserve"> </w:t>
      </w:r>
      <w:hyperlink r:id="rId15" w:history="1">
        <w:r w:rsidR="00E251E8" w:rsidRPr="007051F8">
          <w:rPr>
            <w:rStyle w:val="Hyperlink"/>
            <w:rFonts w:ascii="Times New Roman" w:hAnsi="Times New Roman" w:cs="Times New Roman"/>
            <w:i/>
            <w:iCs/>
            <w:color w:val="0070C0"/>
            <w:sz w:val="24"/>
            <w:szCs w:val="24"/>
            <w:shd w:val="clear" w:color="auto" w:fill="FFFFFF"/>
          </w:rPr>
          <w:t>https://ssrn.com/abstract=2517238</w:t>
        </w:r>
      </w:hyperlink>
      <w:r w:rsidR="00E251E8" w:rsidRPr="007051F8" w:rsidDel="00E251E8">
        <w:rPr>
          <w:rFonts w:ascii="Times New Roman" w:hAnsi="Times New Roman" w:cs="Times New Roman"/>
          <w:i/>
          <w:iCs/>
          <w:color w:val="0070C0"/>
          <w:sz w:val="24"/>
          <w:szCs w:val="24"/>
          <w:shd w:val="clear" w:color="auto" w:fill="FFFFFF"/>
        </w:rPr>
        <w:t xml:space="preserve"> </w:t>
      </w:r>
    </w:p>
    <w:p w14:paraId="229DD5ED" w14:textId="77777777" w:rsidR="00E304BF" w:rsidRDefault="00E304BF" w:rsidP="00E923F6">
      <w:pPr>
        <w:autoSpaceDE w:val="0"/>
        <w:autoSpaceDN w:val="0"/>
        <w:adjustRightInd w:val="0"/>
        <w:spacing w:after="0" w:line="240" w:lineRule="auto"/>
        <w:ind w:left="567" w:hanging="567"/>
        <w:jc w:val="both"/>
        <w:rPr>
          <w:rFonts w:ascii="Times New Roman" w:hAnsi="Times New Roman" w:cs="Times New Roman"/>
          <w:sz w:val="24"/>
          <w:szCs w:val="24"/>
        </w:rPr>
      </w:pPr>
    </w:p>
    <w:p w14:paraId="08BA0242" w14:textId="78885E7D"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4D5393">
        <w:rPr>
          <w:rFonts w:ascii="Times New Roman" w:hAnsi="Times New Roman" w:cs="Times New Roman"/>
          <w:sz w:val="24"/>
          <w:szCs w:val="24"/>
        </w:rPr>
        <w:lastRenderedPageBreak/>
        <w:t>Lin, H. W.</w:t>
      </w:r>
      <w:r>
        <w:rPr>
          <w:rFonts w:ascii="Times New Roman" w:hAnsi="Times New Roman" w:cs="Times New Roman"/>
          <w:sz w:val="24"/>
          <w:szCs w:val="24"/>
        </w:rPr>
        <w:t xml:space="preserve"> </w:t>
      </w:r>
      <w:r w:rsidR="001A6D92">
        <w:rPr>
          <w:rFonts w:ascii="Times New Roman" w:hAnsi="Times New Roman" w:cs="Times New Roman"/>
          <w:sz w:val="24"/>
          <w:szCs w:val="24"/>
        </w:rPr>
        <w:t>&amp;</w:t>
      </w:r>
      <w:r w:rsidR="001A6D92" w:rsidRPr="004D5393">
        <w:rPr>
          <w:rFonts w:ascii="Times New Roman" w:hAnsi="Times New Roman" w:cs="Times New Roman"/>
          <w:sz w:val="24"/>
          <w:szCs w:val="24"/>
        </w:rPr>
        <w:t xml:space="preserve"> </w:t>
      </w:r>
      <w:r w:rsidRPr="004D5393">
        <w:rPr>
          <w:rFonts w:ascii="Times New Roman" w:hAnsi="Times New Roman" w:cs="Times New Roman"/>
          <w:sz w:val="24"/>
          <w:szCs w:val="24"/>
        </w:rPr>
        <w:t>McNichols, M. F. (1998). Underwriting relationships, analysts’ earnings forecasts and investment recommendations</w:t>
      </w:r>
      <w:r w:rsidR="001A6D92">
        <w:rPr>
          <w:rFonts w:ascii="Times New Roman" w:hAnsi="Times New Roman" w:cs="Times New Roman"/>
          <w:sz w:val="24"/>
          <w:szCs w:val="24"/>
        </w:rPr>
        <w:t>,</w:t>
      </w:r>
      <w:r w:rsidR="001A6D92" w:rsidRPr="004D5393">
        <w:rPr>
          <w:rFonts w:ascii="Times New Roman" w:hAnsi="Times New Roman" w:cs="Times New Roman"/>
          <w:sz w:val="24"/>
          <w:szCs w:val="24"/>
        </w:rPr>
        <w:t xml:space="preserve"> </w:t>
      </w:r>
      <w:r w:rsidRPr="004D5393">
        <w:rPr>
          <w:rFonts w:ascii="Times New Roman" w:hAnsi="Times New Roman" w:cs="Times New Roman"/>
          <w:i/>
          <w:iCs/>
          <w:sz w:val="24"/>
          <w:szCs w:val="24"/>
        </w:rPr>
        <w:t>Journal of Accounting and Economics</w:t>
      </w:r>
      <w:r w:rsidRPr="004D5393">
        <w:rPr>
          <w:rFonts w:ascii="Times New Roman" w:hAnsi="Times New Roman" w:cs="Times New Roman"/>
          <w:sz w:val="24"/>
          <w:szCs w:val="24"/>
        </w:rPr>
        <w:t xml:space="preserve">, 25(1), </w:t>
      </w:r>
      <w:r>
        <w:rPr>
          <w:rFonts w:ascii="Times New Roman" w:hAnsi="Times New Roman" w:cs="Times New Roman"/>
          <w:sz w:val="24"/>
          <w:szCs w:val="24"/>
        </w:rPr>
        <w:t xml:space="preserve">pp. </w:t>
      </w:r>
      <w:r w:rsidRPr="004D5393">
        <w:rPr>
          <w:rFonts w:ascii="Times New Roman" w:hAnsi="Times New Roman" w:cs="Times New Roman"/>
          <w:sz w:val="24"/>
          <w:szCs w:val="24"/>
        </w:rPr>
        <w:t>101–127</w:t>
      </w:r>
      <w:r>
        <w:rPr>
          <w:rFonts w:ascii="Arial" w:hAnsi="Arial" w:cs="Arial"/>
          <w:color w:val="737373"/>
          <w:shd w:val="clear" w:color="auto" w:fill="FFFFFF"/>
        </w:rPr>
        <w:t>.</w:t>
      </w:r>
    </w:p>
    <w:p w14:paraId="62F562C2"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7ADAA2EF" w14:textId="1E96E0BE"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Liu, P., Smith, S. </w:t>
      </w:r>
      <w:r w:rsidR="001A6D92">
        <w:rPr>
          <w:rFonts w:ascii="Times New Roman" w:hAnsi="Times New Roman" w:cs="Times New Roman"/>
          <w:color w:val="000000"/>
          <w:sz w:val="24"/>
          <w:szCs w:val="24"/>
        </w:rPr>
        <w:t>&amp;</w:t>
      </w:r>
      <w:r w:rsidR="001A6D92" w:rsidRPr="00521CC7">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 xml:space="preserve">Syed, A. (1990). Stock price reactions to the Wall Street Journal's securities recommendations. </w:t>
      </w:r>
      <w:r w:rsidRPr="00521CC7">
        <w:rPr>
          <w:rFonts w:ascii="Times New Roman" w:hAnsi="Times New Roman" w:cs="Times New Roman"/>
          <w:i/>
          <w:color w:val="000000"/>
          <w:sz w:val="24"/>
          <w:szCs w:val="24"/>
        </w:rPr>
        <w:t>Journal of Financial and Quantitative Analysis</w:t>
      </w:r>
      <w:r w:rsidRPr="00521CC7">
        <w:rPr>
          <w:rFonts w:ascii="Times New Roman" w:hAnsi="Times New Roman" w:cs="Times New Roman"/>
          <w:color w:val="000000"/>
          <w:sz w:val="24"/>
          <w:szCs w:val="24"/>
        </w:rPr>
        <w:t>, 25(3), pp.</w:t>
      </w:r>
      <w:r>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399</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410.</w:t>
      </w:r>
    </w:p>
    <w:p w14:paraId="30A9B1B2"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7912D1B4" w14:textId="1D3899D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spellStart"/>
      <w:r w:rsidRPr="00521CC7">
        <w:rPr>
          <w:rFonts w:ascii="Times New Roman" w:hAnsi="Times New Roman" w:cs="Times New Roman"/>
          <w:color w:val="000000"/>
          <w:sz w:val="24"/>
          <w:szCs w:val="24"/>
        </w:rPr>
        <w:t>Loh</w:t>
      </w:r>
      <w:proofErr w:type="spellEnd"/>
      <w:r w:rsidRPr="00521CC7">
        <w:rPr>
          <w:rFonts w:ascii="Times New Roman" w:hAnsi="Times New Roman" w:cs="Times New Roman"/>
          <w:color w:val="000000"/>
          <w:sz w:val="24"/>
          <w:szCs w:val="24"/>
        </w:rPr>
        <w:t>, R. (2010). Investor inattention and the underreaction to stock recommendations</w:t>
      </w:r>
      <w:r w:rsidR="001A6D92">
        <w:rPr>
          <w:rFonts w:ascii="Times New Roman" w:hAnsi="Times New Roman" w:cs="Times New Roman"/>
          <w:color w:val="000000"/>
          <w:sz w:val="24"/>
          <w:szCs w:val="24"/>
        </w:rPr>
        <w:t>,</w:t>
      </w:r>
      <w:r w:rsidR="001A6D92" w:rsidRPr="00521CC7">
        <w:rPr>
          <w:rFonts w:ascii="Times New Roman" w:hAnsi="Times New Roman" w:cs="Times New Roman"/>
          <w:color w:val="000000"/>
          <w:sz w:val="24"/>
          <w:szCs w:val="24"/>
        </w:rPr>
        <w:t xml:space="preserve"> </w:t>
      </w:r>
      <w:r w:rsidRPr="00521CC7">
        <w:rPr>
          <w:rFonts w:ascii="Times New Roman" w:hAnsi="Times New Roman" w:cs="Times New Roman"/>
          <w:i/>
          <w:color w:val="000000"/>
          <w:sz w:val="24"/>
          <w:szCs w:val="24"/>
        </w:rPr>
        <w:t>Financial Management</w:t>
      </w:r>
      <w:r w:rsidRPr="00521CC7">
        <w:rPr>
          <w:rFonts w:ascii="Times New Roman" w:hAnsi="Times New Roman" w:cs="Times New Roman"/>
          <w:color w:val="000000"/>
          <w:sz w:val="24"/>
          <w:szCs w:val="24"/>
        </w:rPr>
        <w:t>, 39(3), pp.1223</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1252.</w:t>
      </w:r>
    </w:p>
    <w:p w14:paraId="682CDDFC" w14:textId="1C4CFF7D" w:rsidR="0009158A" w:rsidRDefault="0009158A"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50F22A50" w14:textId="1F728527" w:rsidR="0009158A" w:rsidRPr="00521CC7" w:rsidRDefault="0009158A"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09158A">
        <w:rPr>
          <w:rFonts w:ascii="Times New Roman" w:hAnsi="Times New Roman" w:cs="Times New Roman"/>
          <w:color w:val="000000"/>
          <w:sz w:val="24"/>
          <w:szCs w:val="24"/>
        </w:rPr>
        <w:t xml:space="preserve">Mauro, P. (2003). Stock returns and output growth in emerging and advanced economies. Journal of Development Economics, 71(1), </w:t>
      </w:r>
      <w:r w:rsidR="001A6D92">
        <w:rPr>
          <w:rFonts w:ascii="Times New Roman" w:hAnsi="Times New Roman" w:cs="Times New Roman"/>
          <w:color w:val="000000"/>
          <w:sz w:val="24"/>
          <w:szCs w:val="24"/>
        </w:rPr>
        <w:t xml:space="preserve">pp. </w:t>
      </w:r>
      <w:r w:rsidRPr="0009158A">
        <w:rPr>
          <w:rFonts w:ascii="Times New Roman" w:hAnsi="Times New Roman" w:cs="Times New Roman"/>
          <w:color w:val="000000"/>
          <w:sz w:val="24"/>
          <w:szCs w:val="24"/>
        </w:rPr>
        <w:t>129</w:t>
      </w:r>
      <w:r w:rsidR="001A6D92">
        <w:rPr>
          <w:rFonts w:ascii="Times New Roman" w:hAnsi="Times New Roman" w:cs="Times New Roman"/>
          <w:color w:val="000000"/>
          <w:sz w:val="24"/>
          <w:szCs w:val="24"/>
        </w:rPr>
        <w:t>−</w:t>
      </w:r>
      <w:r w:rsidRPr="0009158A">
        <w:rPr>
          <w:rFonts w:ascii="Times New Roman" w:hAnsi="Times New Roman" w:cs="Times New Roman"/>
          <w:color w:val="000000"/>
          <w:sz w:val="24"/>
          <w:szCs w:val="24"/>
        </w:rPr>
        <w:t>153.</w:t>
      </w:r>
    </w:p>
    <w:p w14:paraId="6203D0A3"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4767ECEF" w14:textId="076AFDEA"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spellStart"/>
      <w:r w:rsidRPr="00521CC7">
        <w:rPr>
          <w:rFonts w:ascii="Times New Roman" w:hAnsi="Times New Roman" w:cs="Times New Roman"/>
          <w:color w:val="000000"/>
          <w:sz w:val="24"/>
          <w:szCs w:val="24"/>
        </w:rPr>
        <w:t>Michaely</w:t>
      </w:r>
      <w:proofErr w:type="spellEnd"/>
      <w:r w:rsidRPr="00521CC7">
        <w:rPr>
          <w:rFonts w:ascii="Times New Roman" w:hAnsi="Times New Roman" w:cs="Times New Roman"/>
          <w:color w:val="000000"/>
          <w:sz w:val="24"/>
          <w:szCs w:val="24"/>
        </w:rPr>
        <w:t xml:space="preserve">, R. </w:t>
      </w:r>
      <w:r w:rsidR="001A6D92">
        <w:rPr>
          <w:rFonts w:ascii="Times New Roman" w:hAnsi="Times New Roman" w:cs="Times New Roman"/>
          <w:color w:val="000000"/>
          <w:sz w:val="24"/>
          <w:szCs w:val="24"/>
        </w:rPr>
        <w:t>&amp;</w:t>
      </w:r>
      <w:r w:rsidR="001A6D92" w:rsidRPr="00521CC7">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 xml:space="preserve">Womack, K. (1999). Conflict of interest and the credibility of underwriter analyst recommendations. </w:t>
      </w:r>
      <w:r w:rsidRPr="00521CC7">
        <w:rPr>
          <w:rFonts w:ascii="Times New Roman" w:hAnsi="Times New Roman" w:cs="Times New Roman"/>
          <w:i/>
          <w:iCs/>
          <w:color w:val="000000"/>
          <w:sz w:val="24"/>
          <w:szCs w:val="24"/>
        </w:rPr>
        <w:t xml:space="preserve">Review of </w:t>
      </w:r>
      <w:r>
        <w:rPr>
          <w:rFonts w:ascii="Times New Roman" w:hAnsi="Times New Roman" w:cs="Times New Roman"/>
          <w:i/>
          <w:iCs/>
          <w:color w:val="000000"/>
          <w:sz w:val="24"/>
          <w:szCs w:val="24"/>
        </w:rPr>
        <w:t>F</w:t>
      </w:r>
      <w:r w:rsidRPr="00521CC7">
        <w:rPr>
          <w:rFonts w:ascii="Times New Roman" w:hAnsi="Times New Roman" w:cs="Times New Roman"/>
          <w:i/>
          <w:iCs/>
          <w:color w:val="000000"/>
          <w:sz w:val="24"/>
          <w:szCs w:val="24"/>
        </w:rPr>
        <w:t xml:space="preserve">inancial </w:t>
      </w:r>
      <w:r>
        <w:rPr>
          <w:rFonts w:ascii="Times New Roman" w:hAnsi="Times New Roman" w:cs="Times New Roman"/>
          <w:i/>
          <w:iCs/>
          <w:color w:val="000000"/>
          <w:sz w:val="24"/>
          <w:szCs w:val="24"/>
        </w:rPr>
        <w:t>S</w:t>
      </w:r>
      <w:r w:rsidRPr="00521CC7">
        <w:rPr>
          <w:rFonts w:ascii="Times New Roman" w:hAnsi="Times New Roman" w:cs="Times New Roman"/>
          <w:i/>
          <w:iCs/>
          <w:color w:val="000000"/>
          <w:sz w:val="24"/>
          <w:szCs w:val="24"/>
        </w:rPr>
        <w:t>tudies</w:t>
      </w:r>
      <w:r w:rsidRPr="00521CC7">
        <w:rPr>
          <w:rFonts w:ascii="Times New Roman" w:hAnsi="Times New Roman" w:cs="Times New Roman"/>
          <w:color w:val="000000"/>
          <w:sz w:val="24"/>
          <w:szCs w:val="24"/>
        </w:rPr>
        <w:t>, 12(4), pp. 653</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686.</w:t>
      </w:r>
    </w:p>
    <w:p w14:paraId="78F95FFE"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11E484F1" w14:textId="27DC42E1"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spellStart"/>
      <w:r w:rsidRPr="00521CC7">
        <w:rPr>
          <w:rFonts w:ascii="Times New Roman" w:hAnsi="Times New Roman" w:cs="Times New Roman"/>
          <w:color w:val="000000"/>
          <w:sz w:val="24"/>
          <w:szCs w:val="24"/>
        </w:rPr>
        <w:t>Michaely</w:t>
      </w:r>
      <w:proofErr w:type="spellEnd"/>
      <w:r w:rsidRPr="00521CC7">
        <w:rPr>
          <w:rFonts w:ascii="Times New Roman" w:hAnsi="Times New Roman" w:cs="Times New Roman"/>
          <w:color w:val="000000"/>
          <w:sz w:val="24"/>
          <w:szCs w:val="24"/>
        </w:rPr>
        <w:t xml:space="preserve">, R. </w:t>
      </w:r>
      <w:r w:rsidR="001A6D92">
        <w:rPr>
          <w:rFonts w:ascii="Times New Roman" w:hAnsi="Times New Roman" w:cs="Times New Roman"/>
          <w:color w:val="000000"/>
          <w:sz w:val="24"/>
          <w:szCs w:val="24"/>
        </w:rPr>
        <w:t>&amp;</w:t>
      </w:r>
      <w:r w:rsidR="001A6D92" w:rsidRPr="00521CC7">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Womack, K. (2005). Brokerage recommendations: Stylized characteristics, market responses, and biases</w:t>
      </w:r>
      <w:r w:rsidR="001A6D92" w:rsidRPr="00C658FF">
        <w:rPr>
          <w:rFonts w:ascii="Times New Roman" w:hAnsi="Times New Roman" w:cs="Times New Roman"/>
          <w:iCs/>
          <w:color w:val="000000"/>
          <w:sz w:val="24"/>
          <w:szCs w:val="24"/>
        </w:rPr>
        <w:t>,</w:t>
      </w:r>
      <w:r w:rsidR="001A6D92" w:rsidRPr="00521CC7">
        <w:rPr>
          <w:rFonts w:ascii="Times New Roman" w:hAnsi="Times New Roman" w:cs="Times New Roman"/>
          <w:i/>
          <w:color w:val="000000"/>
          <w:sz w:val="24"/>
          <w:szCs w:val="24"/>
        </w:rPr>
        <w:t xml:space="preserve"> </w:t>
      </w:r>
      <w:r w:rsidRPr="00521CC7">
        <w:rPr>
          <w:rFonts w:ascii="Times New Roman" w:hAnsi="Times New Roman" w:cs="Times New Roman"/>
          <w:i/>
          <w:color w:val="000000"/>
          <w:sz w:val="24"/>
          <w:szCs w:val="24"/>
        </w:rPr>
        <w:t>Advances in Behavioral Finance II</w:t>
      </w:r>
      <w:r w:rsidRPr="00521CC7">
        <w:rPr>
          <w:rFonts w:ascii="Times New Roman" w:hAnsi="Times New Roman" w:cs="Times New Roman"/>
          <w:color w:val="000000"/>
          <w:sz w:val="24"/>
          <w:szCs w:val="24"/>
        </w:rPr>
        <w:t>, pp.</w:t>
      </w:r>
      <w:r>
        <w:rPr>
          <w:rFonts w:ascii="Times New Roman" w:hAnsi="Times New Roman" w:cs="Times New Roman"/>
          <w:color w:val="000000"/>
          <w:sz w:val="24"/>
          <w:szCs w:val="24"/>
        </w:rPr>
        <w:t xml:space="preserve"> </w:t>
      </w:r>
      <w:r w:rsidRPr="00521CC7">
        <w:rPr>
          <w:rFonts w:ascii="Times New Roman" w:hAnsi="Times New Roman" w:cs="Times New Roman"/>
          <w:color w:val="000000"/>
          <w:sz w:val="24"/>
          <w:szCs w:val="24"/>
        </w:rPr>
        <w:t>389</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422.</w:t>
      </w:r>
    </w:p>
    <w:p w14:paraId="06CCDA29"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666673E0" w14:textId="23D57038" w:rsidR="001A6D92" w:rsidRDefault="00E923F6" w:rsidP="001A6D92">
      <w:pPr>
        <w:spacing w:after="0" w:line="240" w:lineRule="auto"/>
        <w:jc w:val="both"/>
        <w:rPr>
          <w:rFonts w:ascii="Times New Roman" w:hAnsi="Times New Roman" w:cs="Times New Roman"/>
          <w:sz w:val="24"/>
          <w:szCs w:val="24"/>
        </w:rPr>
      </w:pPr>
      <w:proofErr w:type="spellStart"/>
      <w:r w:rsidRPr="00DC5DF9">
        <w:rPr>
          <w:rFonts w:ascii="Times New Roman" w:hAnsi="Times New Roman" w:cs="Times New Roman"/>
          <w:sz w:val="24"/>
          <w:szCs w:val="24"/>
        </w:rPr>
        <w:t>Moshirian</w:t>
      </w:r>
      <w:proofErr w:type="spellEnd"/>
      <w:r w:rsidRPr="00DC5DF9">
        <w:rPr>
          <w:rFonts w:ascii="Times New Roman" w:hAnsi="Times New Roman" w:cs="Times New Roman"/>
          <w:sz w:val="24"/>
          <w:szCs w:val="24"/>
        </w:rPr>
        <w:t xml:space="preserve">, F., Ng, D. </w:t>
      </w:r>
      <w:r w:rsidR="001A6D92">
        <w:rPr>
          <w:rFonts w:ascii="Times New Roman" w:hAnsi="Times New Roman" w:cs="Times New Roman"/>
          <w:sz w:val="24"/>
          <w:szCs w:val="24"/>
        </w:rPr>
        <w:t>&amp;</w:t>
      </w:r>
      <w:r w:rsidR="001A6D92" w:rsidRPr="00DC5DF9">
        <w:rPr>
          <w:rFonts w:ascii="Times New Roman" w:hAnsi="Times New Roman" w:cs="Times New Roman"/>
          <w:sz w:val="24"/>
          <w:szCs w:val="24"/>
        </w:rPr>
        <w:t xml:space="preserve"> </w:t>
      </w:r>
      <w:r w:rsidRPr="00DC5DF9">
        <w:rPr>
          <w:rFonts w:ascii="Times New Roman" w:hAnsi="Times New Roman" w:cs="Times New Roman"/>
          <w:sz w:val="24"/>
          <w:szCs w:val="24"/>
        </w:rPr>
        <w:t>Wu, E. (2009) The value of stock analysts' recommendations:</w:t>
      </w:r>
      <w:r w:rsidR="001A6D92">
        <w:rPr>
          <w:rFonts w:ascii="Times New Roman" w:hAnsi="Times New Roman" w:cs="Times New Roman"/>
          <w:sz w:val="24"/>
          <w:szCs w:val="24"/>
        </w:rPr>
        <w:t xml:space="preserve">   </w:t>
      </w:r>
    </w:p>
    <w:p w14:paraId="2D05C435" w14:textId="33E64E6E" w:rsidR="001A6D92" w:rsidRPr="001A6D92" w:rsidRDefault="001A6D92" w:rsidP="001A6D92">
      <w:pPr>
        <w:spacing w:after="0" w:line="240" w:lineRule="auto"/>
        <w:jc w:val="both"/>
        <w:rPr>
          <w:rFonts w:ascii="Times New Roman" w:hAnsi="Times New Roman" w:cs="Times New Roman"/>
          <w:sz w:val="24"/>
          <w:szCs w:val="24"/>
        </w:rPr>
      </w:pPr>
      <w:r w:rsidRPr="001A6D92">
        <w:rPr>
          <w:rFonts w:ascii="Times New Roman" w:hAnsi="Times New Roman" w:cs="Times New Roman"/>
          <w:sz w:val="24"/>
          <w:szCs w:val="24"/>
        </w:rPr>
        <w:t xml:space="preserve">           </w:t>
      </w:r>
      <w:r w:rsidR="00E923F6" w:rsidRPr="001A6D92">
        <w:rPr>
          <w:rFonts w:ascii="Times New Roman" w:hAnsi="Times New Roman" w:cs="Times New Roman"/>
          <w:sz w:val="24"/>
          <w:szCs w:val="24"/>
        </w:rPr>
        <w:t xml:space="preserve">Evidence from emerging markets.  </w:t>
      </w:r>
      <w:r w:rsidR="00E923F6" w:rsidRPr="001A6D92">
        <w:rPr>
          <w:rFonts w:ascii="Times New Roman" w:hAnsi="Times New Roman" w:cs="Times New Roman"/>
          <w:i/>
          <w:sz w:val="24"/>
          <w:szCs w:val="24"/>
        </w:rPr>
        <w:t>International Review of Financial Analysis,</w:t>
      </w:r>
      <w:r w:rsidR="00E923F6" w:rsidRPr="001A6D92">
        <w:rPr>
          <w:rFonts w:ascii="Times New Roman" w:hAnsi="Times New Roman" w:cs="Times New Roman"/>
          <w:sz w:val="24"/>
          <w:szCs w:val="24"/>
        </w:rPr>
        <w:t xml:space="preserve">18(1−2), </w:t>
      </w:r>
    </w:p>
    <w:p w14:paraId="4CEFE5FE" w14:textId="6CD756E4" w:rsidR="00E923F6" w:rsidRDefault="001A6D92">
      <w:pPr>
        <w:spacing w:after="0" w:line="240" w:lineRule="auto"/>
        <w:jc w:val="both"/>
        <w:rPr>
          <w:rFonts w:ascii="Times New Roman" w:hAnsi="Times New Roman" w:cs="Times New Roman"/>
          <w:sz w:val="24"/>
          <w:szCs w:val="24"/>
        </w:rPr>
      </w:pPr>
      <w:r w:rsidRPr="001A6D92">
        <w:rPr>
          <w:rFonts w:ascii="Times New Roman" w:hAnsi="Times New Roman" w:cs="Times New Roman"/>
          <w:sz w:val="24"/>
          <w:szCs w:val="24"/>
        </w:rPr>
        <w:t xml:space="preserve">           </w:t>
      </w:r>
      <w:r w:rsidR="00E923F6" w:rsidRPr="001A6D92">
        <w:rPr>
          <w:rFonts w:ascii="Times New Roman" w:hAnsi="Times New Roman" w:cs="Times New Roman"/>
          <w:color w:val="000000"/>
          <w:sz w:val="24"/>
          <w:szCs w:val="24"/>
        </w:rPr>
        <w:t xml:space="preserve">pp. </w:t>
      </w:r>
      <w:r w:rsidR="00E923F6" w:rsidRPr="001A6D92">
        <w:rPr>
          <w:rFonts w:ascii="Times New Roman" w:hAnsi="Times New Roman" w:cs="Times New Roman"/>
          <w:sz w:val="24"/>
          <w:szCs w:val="24"/>
        </w:rPr>
        <w:t>74−83.</w:t>
      </w:r>
    </w:p>
    <w:p w14:paraId="1C2D6C41" w14:textId="77777777" w:rsidR="00E304BF" w:rsidRPr="001A6D92" w:rsidRDefault="00E304BF">
      <w:pPr>
        <w:spacing w:after="0" w:line="240" w:lineRule="auto"/>
        <w:jc w:val="both"/>
        <w:rPr>
          <w:rFonts w:ascii="Times New Roman" w:hAnsi="Times New Roman" w:cs="Times New Roman"/>
          <w:sz w:val="24"/>
          <w:szCs w:val="24"/>
        </w:rPr>
      </w:pPr>
    </w:p>
    <w:p w14:paraId="6A507DDC" w14:textId="77777777" w:rsidR="00E923F6" w:rsidRDefault="00E923F6" w:rsidP="00E923F6">
      <w:pPr>
        <w:autoSpaceDE w:val="0"/>
        <w:autoSpaceDN w:val="0"/>
        <w:adjustRightInd w:val="0"/>
        <w:spacing w:after="0" w:line="240" w:lineRule="auto"/>
        <w:jc w:val="both"/>
        <w:rPr>
          <w:rFonts w:ascii="Times New Roman" w:eastAsia="Times New Roman" w:hAnsi="Times New Roman" w:cs="Times New Roman"/>
          <w:i/>
          <w:sz w:val="24"/>
          <w:szCs w:val="24"/>
          <w:lang w:eastAsia="en-GB"/>
        </w:rPr>
      </w:pPr>
      <w:proofErr w:type="spellStart"/>
      <w:r w:rsidRPr="0027102F">
        <w:rPr>
          <w:rStyle w:val="authorsname"/>
          <w:rFonts w:ascii="Times New Roman" w:hAnsi="Times New Roman" w:cs="Times New Roman"/>
          <w:spacing w:val="1"/>
          <w:sz w:val="24"/>
          <w:szCs w:val="24"/>
        </w:rPr>
        <w:t>Papakroni</w:t>
      </w:r>
      <w:proofErr w:type="spellEnd"/>
      <w:r w:rsidRPr="0027102F">
        <w:rPr>
          <w:rStyle w:val="authorsname"/>
          <w:rFonts w:ascii="Times New Roman" w:hAnsi="Times New Roman" w:cs="Times New Roman"/>
          <w:spacing w:val="1"/>
          <w:sz w:val="24"/>
          <w:szCs w:val="24"/>
        </w:rPr>
        <w:t xml:space="preserve">, J. (2018) </w:t>
      </w:r>
      <w:r w:rsidRPr="0027102F">
        <w:rPr>
          <w:rFonts w:ascii="Times New Roman" w:hAnsi="Times New Roman" w:cs="Times New Roman"/>
          <w:sz w:val="24"/>
          <w:szCs w:val="24"/>
          <w:lang w:val="en"/>
        </w:rPr>
        <w:t xml:space="preserve">The dispersion anomaly and analyst recommendations. </w:t>
      </w:r>
      <w:r w:rsidRPr="0027102F">
        <w:rPr>
          <w:rFonts w:ascii="Times New Roman" w:eastAsia="Times New Roman" w:hAnsi="Times New Roman" w:cs="Times New Roman"/>
          <w:i/>
          <w:sz w:val="24"/>
          <w:szCs w:val="24"/>
          <w:lang w:eastAsia="en-GB"/>
        </w:rPr>
        <w:t>Review of</w:t>
      </w:r>
    </w:p>
    <w:p w14:paraId="2CF95B95" w14:textId="76190BFC" w:rsidR="00E923F6" w:rsidRDefault="00E923F6" w:rsidP="00E923F6">
      <w:pPr>
        <w:autoSpaceDE w:val="0"/>
        <w:autoSpaceDN w:val="0"/>
        <w:adjustRightInd w:val="0"/>
        <w:spacing w:after="0" w:line="24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 xml:space="preserve">        </w:t>
      </w:r>
      <w:r w:rsidRPr="0027102F">
        <w:rPr>
          <w:rFonts w:ascii="Times New Roman" w:eastAsia="Times New Roman" w:hAnsi="Times New Roman" w:cs="Times New Roman"/>
          <w:i/>
          <w:sz w:val="24"/>
          <w:szCs w:val="24"/>
          <w:lang w:eastAsia="en-GB"/>
        </w:rPr>
        <w:t xml:space="preserve"> Quanti</w:t>
      </w:r>
      <w:r>
        <w:rPr>
          <w:rFonts w:ascii="Times New Roman" w:eastAsia="Times New Roman" w:hAnsi="Times New Roman" w:cs="Times New Roman"/>
          <w:i/>
          <w:sz w:val="24"/>
          <w:szCs w:val="24"/>
          <w:lang w:eastAsia="en-GB"/>
        </w:rPr>
        <w:t>tative Finance and Accounting</w:t>
      </w:r>
      <w:r w:rsidRPr="00C658FF">
        <w:rPr>
          <w:rFonts w:ascii="Times New Roman" w:eastAsia="Times New Roman" w:hAnsi="Times New Roman" w:cs="Times New Roman"/>
          <w:iCs/>
          <w:sz w:val="24"/>
          <w:szCs w:val="24"/>
          <w:lang w:eastAsia="en-GB"/>
        </w:rPr>
        <w:t>,</w:t>
      </w:r>
      <w:r>
        <w:rPr>
          <w:rFonts w:ascii="Times New Roman" w:eastAsia="Times New Roman" w:hAnsi="Times New Roman" w:cs="Times New Roman"/>
          <w:i/>
          <w:sz w:val="24"/>
          <w:szCs w:val="24"/>
          <w:lang w:eastAsia="en-GB"/>
        </w:rPr>
        <w:t xml:space="preserve"> </w:t>
      </w:r>
      <w:r w:rsidRPr="004D5393">
        <w:rPr>
          <w:rFonts w:ascii="Times New Roman" w:eastAsia="Times New Roman" w:hAnsi="Times New Roman" w:cs="Times New Roman"/>
          <w:iCs/>
          <w:sz w:val="24"/>
          <w:szCs w:val="24"/>
          <w:lang w:eastAsia="en-GB"/>
        </w:rPr>
        <w:t xml:space="preserve">50 (3), </w:t>
      </w:r>
      <w:r w:rsidR="001A6D92">
        <w:rPr>
          <w:rFonts w:ascii="Times New Roman" w:eastAsia="Times New Roman" w:hAnsi="Times New Roman" w:cs="Times New Roman"/>
          <w:iCs/>
          <w:sz w:val="24"/>
          <w:szCs w:val="24"/>
          <w:lang w:eastAsia="en-GB"/>
        </w:rPr>
        <w:t xml:space="preserve">pp. </w:t>
      </w:r>
      <w:r w:rsidRPr="004D5393">
        <w:rPr>
          <w:rFonts w:ascii="Times New Roman" w:eastAsia="Times New Roman" w:hAnsi="Times New Roman" w:cs="Times New Roman"/>
          <w:iCs/>
          <w:sz w:val="24"/>
          <w:szCs w:val="24"/>
          <w:lang w:eastAsia="en-GB"/>
        </w:rPr>
        <w:t>861−896</w:t>
      </w:r>
      <w:r w:rsidRPr="0027102F">
        <w:rPr>
          <w:rFonts w:ascii="Times New Roman" w:eastAsia="Times New Roman" w:hAnsi="Times New Roman" w:cs="Times New Roman"/>
          <w:i/>
          <w:sz w:val="24"/>
          <w:szCs w:val="24"/>
          <w:lang w:eastAsia="en-GB"/>
        </w:rPr>
        <w:t>.</w:t>
      </w:r>
    </w:p>
    <w:p w14:paraId="39EDCC6A" w14:textId="72C7E0BC" w:rsidR="001E292E" w:rsidRDefault="001E292E" w:rsidP="00E923F6">
      <w:pPr>
        <w:autoSpaceDE w:val="0"/>
        <w:autoSpaceDN w:val="0"/>
        <w:adjustRightInd w:val="0"/>
        <w:spacing w:after="0" w:line="240" w:lineRule="auto"/>
        <w:jc w:val="both"/>
        <w:rPr>
          <w:rFonts w:ascii="Times New Roman" w:eastAsia="Times New Roman" w:hAnsi="Times New Roman" w:cs="Times New Roman"/>
          <w:i/>
          <w:sz w:val="24"/>
          <w:szCs w:val="24"/>
          <w:lang w:eastAsia="en-GB"/>
        </w:rPr>
      </w:pPr>
    </w:p>
    <w:p w14:paraId="112E1B1B" w14:textId="6D540AE0" w:rsidR="001E292E" w:rsidRPr="007051F8" w:rsidRDefault="001E292E" w:rsidP="00F97F7D">
      <w:pPr>
        <w:autoSpaceDE w:val="0"/>
        <w:autoSpaceDN w:val="0"/>
        <w:adjustRightInd w:val="0"/>
        <w:spacing w:after="0" w:line="240" w:lineRule="auto"/>
        <w:ind w:left="562" w:hanging="562"/>
        <w:jc w:val="both"/>
        <w:rPr>
          <w:rFonts w:ascii="Times New Roman" w:eastAsia="Times New Roman" w:hAnsi="Times New Roman" w:cs="Times New Roman"/>
          <w:iCs/>
          <w:color w:val="0070C0"/>
          <w:sz w:val="24"/>
          <w:szCs w:val="24"/>
          <w:lang w:eastAsia="en-GB"/>
        </w:rPr>
      </w:pPr>
      <w:proofErr w:type="spellStart"/>
      <w:r w:rsidRPr="007051F8">
        <w:rPr>
          <w:rFonts w:ascii="Times New Roman" w:eastAsia="Times New Roman" w:hAnsi="Times New Roman" w:cs="Times New Roman"/>
          <w:iCs/>
          <w:color w:val="0070C0"/>
          <w:sz w:val="24"/>
          <w:szCs w:val="24"/>
          <w:lang w:eastAsia="en-GB"/>
        </w:rPr>
        <w:t>Petaibanlue</w:t>
      </w:r>
      <w:proofErr w:type="spellEnd"/>
      <w:r w:rsidRPr="007051F8">
        <w:rPr>
          <w:rFonts w:ascii="Times New Roman" w:eastAsia="Times New Roman" w:hAnsi="Times New Roman" w:cs="Times New Roman"/>
          <w:iCs/>
          <w:color w:val="0070C0"/>
          <w:sz w:val="24"/>
          <w:szCs w:val="24"/>
          <w:lang w:eastAsia="en-GB"/>
        </w:rPr>
        <w:t>,</w:t>
      </w:r>
      <w:r w:rsidR="009C5DB2" w:rsidRPr="007051F8">
        <w:rPr>
          <w:rFonts w:ascii="Times New Roman" w:eastAsia="Times New Roman" w:hAnsi="Times New Roman" w:cs="Times New Roman"/>
          <w:iCs/>
          <w:color w:val="0070C0"/>
          <w:sz w:val="24"/>
          <w:szCs w:val="24"/>
          <w:lang w:eastAsia="en-GB"/>
        </w:rPr>
        <w:t xml:space="preserve"> J.,</w:t>
      </w:r>
      <w:r w:rsidRPr="007051F8">
        <w:rPr>
          <w:rFonts w:ascii="Times New Roman" w:eastAsia="Times New Roman" w:hAnsi="Times New Roman" w:cs="Times New Roman"/>
          <w:iCs/>
          <w:color w:val="0070C0"/>
          <w:sz w:val="24"/>
          <w:szCs w:val="24"/>
          <w:lang w:eastAsia="en-GB"/>
        </w:rPr>
        <w:t xml:space="preserve"> Walker,</w:t>
      </w:r>
      <w:r w:rsidR="009C5DB2" w:rsidRPr="007051F8">
        <w:rPr>
          <w:rFonts w:ascii="Times New Roman" w:eastAsia="Times New Roman" w:hAnsi="Times New Roman" w:cs="Times New Roman"/>
          <w:iCs/>
          <w:color w:val="0070C0"/>
          <w:sz w:val="24"/>
          <w:szCs w:val="24"/>
          <w:lang w:eastAsia="en-GB"/>
        </w:rPr>
        <w:t xml:space="preserve"> M. and</w:t>
      </w:r>
      <w:r w:rsidRPr="007051F8">
        <w:rPr>
          <w:rFonts w:ascii="Times New Roman" w:eastAsia="Times New Roman" w:hAnsi="Times New Roman" w:cs="Times New Roman"/>
          <w:iCs/>
          <w:color w:val="0070C0"/>
          <w:sz w:val="24"/>
          <w:szCs w:val="24"/>
          <w:lang w:eastAsia="en-GB"/>
        </w:rPr>
        <w:t xml:space="preserve"> Lee</w:t>
      </w:r>
      <w:r w:rsidR="009C5DB2" w:rsidRPr="007051F8">
        <w:rPr>
          <w:rFonts w:ascii="Times New Roman" w:eastAsia="Times New Roman" w:hAnsi="Times New Roman" w:cs="Times New Roman"/>
          <w:iCs/>
          <w:color w:val="0070C0"/>
          <w:sz w:val="24"/>
          <w:szCs w:val="24"/>
          <w:lang w:eastAsia="en-GB"/>
        </w:rPr>
        <w:t>, E.</w:t>
      </w:r>
      <w:r w:rsidRPr="007051F8">
        <w:rPr>
          <w:rFonts w:ascii="Times New Roman" w:eastAsia="Times New Roman" w:hAnsi="Times New Roman" w:cs="Times New Roman"/>
          <w:iCs/>
          <w:color w:val="0070C0"/>
          <w:sz w:val="24"/>
          <w:szCs w:val="24"/>
          <w:lang w:eastAsia="en-GB"/>
        </w:rPr>
        <w:t xml:space="preserve"> </w:t>
      </w:r>
      <w:r w:rsidR="009C5DB2" w:rsidRPr="007051F8">
        <w:rPr>
          <w:rFonts w:ascii="Times New Roman" w:eastAsia="Times New Roman" w:hAnsi="Times New Roman" w:cs="Times New Roman"/>
          <w:iCs/>
          <w:color w:val="0070C0"/>
          <w:sz w:val="24"/>
          <w:szCs w:val="24"/>
          <w:lang w:eastAsia="en-GB"/>
        </w:rPr>
        <w:t xml:space="preserve">(2015). </w:t>
      </w:r>
      <w:r w:rsidRPr="007051F8">
        <w:rPr>
          <w:rFonts w:ascii="Times New Roman" w:eastAsia="Times New Roman" w:hAnsi="Times New Roman" w:cs="Times New Roman"/>
          <w:iCs/>
          <w:color w:val="0070C0"/>
          <w:sz w:val="24"/>
          <w:szCs w:val="24"/>
          <w:lang w:eastAsia="en-GB"/>
        </w:rPr>
        <w:t>When did analyst forecast accuracy benefit from increased cross-border</w:t>
      </w:r>
      <w:r w:rsidR="009C5DB2" w:rsidRPr="007051F8">
        <w:rPr>
          <w:rFonts w:ascii="Times New Roman" w:eastAsia="Times New Roman" w:hAnsi="Times New Roman" w:cs="Times New Roman"/>
          <w:iCs/>
          <w:color w:val="0070C0"/>
          <w:sz w:val="24"/>
          <w:szCs w:val="24"/>
          <w:lang w:eastAsia="en-GB"/>
        </w:rPr>
        <w:t xml:space="preserve"> </w:t>
      </w:r>
      <w:r w:rsidRPr="007051F8">
        <w:rPr>
          <w:rFonts w:ascii="Times New Roman" w:eastAsia="Times New Roman" w:hAnsi="Times New Roman" w:cs="Times New Roman"/>
          <w:iCs/>
          <w:color w:val="0070C0"/>
          <w:sz w:val="24"/>
          <w:szCs w:val="24"/>
          <w:lang w:eastAsia="en-GB"/>
        </w:rPr>
        <w:t xml:space="preserve">comparability following IFRS adoption in the EU? </w:t>
      </w:r>
      <w:r w:rsidRPr="007051F8">
        <w:rPr>
          <w:rFonts w:ascii="Times New Roman" w:eastAsia="Times New Roman" w:hAnsi="Times New Roman" w:cs="Times New Roman"/>
          <w:i/>
          <w:color w:val="0070C0"/>
          <w:sz w:val="24"/>
          <w:szCs w:val="24"/>
          <w:lang w:eastAsia="en-GB"/>
        </w:rPr>
        <w:t>International Review of Financial Analysis</w:t>
      </w:r>
      <w:r w:rsidR="009C5DB2" w:rsidRPr="007051F8">
        <w:rPr>
          <w:rFonts w:ascii="Times New Roman" w:eastAsia="Times New Roman" w:hAnsi="Times New Roman" w:cs="Times New Roman"/>
          <w:iCs/>
          <w:color w:val="0070C0"/>
          <w:sz w:val="24"/>
          <w:szCs w:val="24"/>
          <w:lang w:eastAsia="en-GB"/>
        </w:rPr>
        <w:t xml:space="preserve">, </w:t>
      </w:r>
      <w:r w:rsidRPr="007051F8">
        <w:rPr>
          <w:rFonts w:ascii="Times New Roman" w:eastAsia="Times New Roman" w:hAnsi="Times New Roman" w:cs="Times New Roman"/>
          <w:iCs/>
          <w:color w:val="0070C0"/>
          <w:sz w:val="24"/>
          <w:szCs w:val="24"/>
          <w:lang w:eastAsia="en-GB"/>
        </w:rPr>
        <w:t xml:space="preserve">42, </w:t>
      </w:r>
      <w:r w:rsidR="009C5DB2" w:rsidRPr="007051F8">
        <w:rPr>
          <w:rFonts w:ascii="Times New Roman" w:eastAsia="Times New Roman" w:hAnsi="Times New Roman" w:cs="Times New Roman"/>
          <w:iCs/>
          <w:color w:val="0070C0"/>
          <w:sz w:val="24"/>
          <w:szCs w:val="24"/>
          <w:lang w:eastAsia="en-GB"/>
        </w:rPr>
        <w:t>pp.</w:t>
      </w:r>
      <w:r w:rsidRPr="007051F8">
        <w:rPr>
          <w:rFonts w:ascii="Times New Roman" w:eastAsia="Times New Roman" w:hAnsi="Times New Roman" w:cs="Times New Roman"/>
          <w:iCs/>
          <w:color w:val="0070C0"/>
          <w:sz w:val="24"/>
          <w:szCs w:val="24"/>
          <w:lang w:eastAsia="en-GB"/>
        </w:rPr>
        <w:t xml:space="preserve"> 278</w:t>
      </w:r>
      <w:r w:rsidR="009C5DB2" w:rsidRPr="007051F8">
        <w:rPr>
          <w:rFonts w:ascii="Times New Roman" w:hAnsi="Times New Roman" w:cs="Times New Roman"/>
          <w:color w:val="0070C0"/>
          <w:sz w:val="24"/>
          <w:szCs w:val="24"/>
        </w:rPr>
        <w:t>−</w:t>
      </w:r>
      <w:r w:rsidRPr="007051F8">
        <w:rPr>
          <w:rFonts w:ascii="Times New Roman" w:eastAsia="Times New Roman" w:hAnsi="Times New Roman" w:cs="Times New Roman"/>
          <w:iCs/>
          <w:color w:val="0070C0"/>
          <w:sz w:val="24"/>
          <w:szCs w:val="24"/>
          <w:lang w:eastAsia="en-GB"/>
        </w:rPr>
        <w:t>291</w:t>
      </w:r>
      <w:r w:rsidR="009C5DB2" w:rsidRPr="007051F8">
        <w:rPr>
          <w:rFonts w:ascii="Times New Roman" w:eastAsia="Times New Roman" w:hAnsi="Times New Roman" w:cs="Times New Roman"/>
          <w:iCs/>
          <w:color w:val="0070C0"/>
          <w:sz w:val="24"/>
          <w:szCs w:val="24"/>
          <w:lang w:eastAsia="en-GB"/>
        </w:rPr>
        <w:t>.</w:t>
      </w:r>
    </w:p>
    <w:p w14:paraId="287017CD" w14:textId="77777777" w:rsidR="00543428" w:rsidRPr="0027102F" w:rsidRDefault="00543428" w:rsidP="00E923F6">
      <w:pPr>
        <w:autoSpaceDE w:val="0"/>
        <w:autoSpaceDN w:val="0"/>
        <w:adjustRightInd w:val="0"/>
        <w:spacing w:after="0" w:line="240" w:lineRule="auto"/>
        <w:jc w:val="both"/>
        <w:rPr>
          <w:rFonts w:ascii="Times New Roman" w:hAnsi="Times New Roman" w:cs="Times New Roman"/>
          <w:i/>
          <w:sz w:val="24"/>
          <w:szCs w:val="24"/>
          <w:lang w:val="en"/>
        </w:rPr>
      </w:pPr>
    </w:p>
    <w:p w14:paraId="78DBD316" w14:textId="1765E33B"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Pratt, T. (1993). Wall Street’s four</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 xml:space="preserve">letter word. </w:t>
      </w:r>
      <w:r w:rsidRPr="00521CC7">
        <w:rPr>
          <w:rFonts w:ascii="Times New Roman" w:hAnsi="Times New Roman" w:cs="Times New Roman"/>
          <w:i/>
          <w:color w:val="000000"/>
          <w:sz w:val="24"/>
          <w:szCs w:val="24"/>
        </w:rPr>
        <w:t xml:space="preserve">Investment </w:t>
      </w:r>
      <w:proofErr w:type="spellStart"/>
      <w:r w:rsidRPr="00521CC7">
        <w:rPr>
          <w:rFonts w:ascii="Times New Roman" w:hAnsi="Times New Roman" w:cs="Times New Roman"/>
          <w:i/>
          <w:color w:val="000000"/>
          <w:sz w:val="24"/>
          <w:szCs w:val="24"/>
        </w:rPr>
        <w:t>Dealers</w:t>
      </w:r>
      <w:proofErr w:type="spellEnd"/>
      <w:r w:rsidRPr="00521CC7">
        <w:rPr>
          <w:rFonts w:ascii="Times New Roman" w:hAnsi="Times New Roman" w:cs="Times New Roman"/>
          <w:i/>
          <w:color w:val="000000"/>
          <w:sz w:val="24"/>
          <w:szCs w:val="24"/>
        </w:rPr>
        <w:t xml:space="preserve"> Digest</w:t>
      </w:r>
      <w:r w:rsidRPr="00521CC7">
        <w:rPr>
          <w:rFonts w:ascii="Times New Roman" w:hAnsi="Times New Roman" w:cs="Times New Roman"/>
          <w:color w:val="000000"/>
          <w:sz w:val="24"/>
          <w:szCs w:val="24"/>
        </w:rPr>
        <w:t>.  March. pp.18</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22</w:t>
      </w:r>
      <w:r w:rsidR="00B669AB">
        <w:rPr>
          <w:rFonts w:ascii="Times New Roman" w:hAnsi="Times New Roman" w:cs="Times New Roman"/>
          <w:color w:val="000000"/>
          <w:sz w:val="24"/>
          <w:szCs w:val="24"/>
        </w:rPr>
        <w:t>.</w:t>
      </w:r>
    </w:p>
    <w:p w14:paraId="45D67E7D" w14:textId="50BF5448" w:rsidR="00263ECF" w:rsidRDefault="00263ECF"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571123F3" w14:textId="60730B7B" w:rsidR="00263ECF" w:rsidRDefault="00263ECF"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spellStart"/>
      <w:r w:rsidRPr="00263ECF">
        <w:rPr>
          <w:rFonts w:ascii="Times New Roman" w:hAnsi="Times New Roman" w:cs="Times New Roman"/>
          <w:color w:val="000000"/>
          <w:sz w:val="24"/>
          <w:szCs w:val="24"/>
        </w:rPr>
        <w:t>Rangvid</w:t>
      </w:r>
      <w:proofErr w:type="spellEnd"/>
      <w:r w:rsidRPr="00263ECF">
        <w:rPr>
          <w:rFonts w:ascii="Times New Roman" w:hAnsi="Times New Roman" w:cs="Times New Roman"/>
          <w:color w:val="000000"/>
          <w:sz w:val="24"/>
          <w:szCs w:val="24"/>
        </w:rPr>
        <w:t xml:space="preserve">, J. (2006). Output and expected returns. </w:t>
      </w:r>
      <w:r w:rsidRPr="00D16A50">
        <w:rPr>
          <w:rFonts w:ascii="Times New Roman" w:hAnsi="Times New Roman" w:cs="Times New Roman"/>
          <w:i/>
          <w:iCs/>
          <w:color w:val="000000"/>
          <w:sz w:val="24"/>
          <w:szCs w:val="24"/>
        </w:rPr>
        <w:t>Journal of Financial Economics</w:t>
      </w:r>
      <w:r w:rsidRPr="00263ECF">
        <w:rPr>
          <w:rFonts w:ascii="Times New Roman" w:hAnsi="Times New Roman" w:cs="Times New Roman"/>
          <w:color w:val="000000"/>
          <w:sz w:val="24"/>
          <w:szCs w:val="24"/>
        </w:rPr>
        <w:t xml:space="preserve">, 81(3), </w:t>
      </w:r>
      <w:r w:rsidR="001A6D92">
        <w:rPr>
          <w:rFonts w:ascii="Times New Roman" w:hAnsi="Times New Roman" w:cs="Times New Roman"/>
          <w:color w:val="000000"/>
          <w:sz w:val="24"/>
          <w:szCs w:val="24"/>
        </w:rPr>
        <w:t xml:space="preserve">pp. </w:t>
      </w:r>
      <w:r w:rsidRPr="00263ECF">
        <w:rPr>
          <w:rFonts w:ascii="Times New Roman" w:hAnsi="Times New Roman" w:cs="Times New Roman"/>
          <w:color w:val="000000"/>
          <w:sz w:val="24"/>
          <w:szCs w:val="24"/>
        </w:rPr>
        <w:t>595</w:t>
      </w:r>
      <w:r w:rsidR="001A6D92">
        <w:rPr>
          <w:rFonts w:ascii="Times New Roman" w:hAnsi="Times New Roman" w:cs="Times New Roman"/>
          <w:color w:val="000000"/>
          <w:sz w:val="24"/>
          <w:szCs w:val="24"/>
        </w:rPr>
        <w:t>−</w:t>
      </w:r>
      <w:r w:rsidRPr="00263ECF">
        <w:rPr>
          <w:rFonts w:ascii="Times New Roman" w:hAnsi="Times New Roman" w:cs="Times New Roman"/>
          <w:color w:val="000000"/>
          <w:sz w:val="24"/>
          <w:szCs w:val="24"/>
        </w:rPr>
        <w:t>624.</w:t>
      </w:r>
    </w:p>
    <w:p w14:paraId="388C5E9A" w14:textId="7C160984" w:rsidR="00E26F74" w:rsidRDefault="00E26F74"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3C0DCFBF" w14:textId="77777777" w:rsidR="00E26F74" w:rsidRPr="007051F8" w:rsidRDefault="00E26F74" w:rsidP="00E26F74">
      <w:pPr>
        <w:spacing w:after="0"/>
        <w:jc w:val="both"/>
        <w:rPr>
          <w:rFonts w:ascii="Times New Roman" w:hAnsi="Times New Roman" w:cs="Times New Roman"/>
          <w:color w:val="0070C0"/>
          <w:sz w:val="24"/>
          <w:szCs w:val="24"/>
        </w:rPr>
      </w:pPr>
      <w:proofErr w:type="spellStart"/>
      <w:r w:rsidRPr="007051F8">
        <w:rPr>
          <w:rFonts w:ascii="Times New Roman" w:hAnsi="Times New Roman" w:cs="Times New Roman"/>
          <w:color w:val="0070C0"/>
          <w:sz w:val="24"/>
          <w:szCs w:val="24"/>
        </w:rPr>
        <w:t>Rubanov</w:t>
      </w:r>
      <w:proofErr w:type="spellEnd"/>
      <w:r w:rsidRPr="007051F8">
        <w:rPr>
          <w:rFonts w:ascii="Times New Roman" w:hAnsi="Times New Roman" w:cs="Times New Roman"/>
          <w:color w:val="0070C0"/>
          <w:sz w:val="24"/>
          <w:szCs w:val="24"/>
        </w:rPr>
        <w:t xml:space="preserve"> and Nnadi (2018) The impact of international financial reporting standards on fund</w:t>
      </w:r>
    </w:p>
    <w:p w14:paraId="78E79AB0" w14:textId="77777777" w:rsidR="00E26F74" w:rsidRPr="007051F8" w:rsidRDefault="00E26F74" w:rsidP="00E26F74">
      <w:pPr>
        <w:spacing w:after="0"/>
        <w:ind w:firstLine="720"/>
        <w:jc w:val="both"/>
        <w:rPr>
          <w:rFonts w:ascii="Times New Roman" w:hAnsi="Times New Roman" w:cs="Times New Roman"/>
          <w:color w:val="0070C0"/>
          <w:sz w:val="24"/>
          <w:szCs w:val="24"/>
        </w:rPr>
      </w:pPr>
      <w:r w:rsidRPr="007051F8">
        <w:rPr>
          <w:rFonts w:ascii="Times New Roman" w:hAnsi="Times New Roman" w:cs="Times New Roman"/>
          <w:color w:val="0070C0"/>
          <w:sz w:val="24"/>
          <w:szCs w:val="24"/>
        </w:rPr>
        <w:t xml:space="preserve"> performance. </w:t>
      </w:r>
      <w:r w:rsidRPr="007051F8">
        <w:rPr>
          <w:rFonts w:ascii="Times New Roman" w:hAnsi="Times New Roman" w:cs="Times New Roman"/>
          <w:i/>
          <w:color w:val="0070C0"/>
          <w:sz w:val="24"/>
          <w:szCs w:val="24"/>
        </w:rPr>
        <w:t>Accounting Research Journal</w:t>
      </w:r>
      <w:r w:rsidRPr="007051F8">
        <w:rPr>
          <w:rFonts w:ascii="Times New Roman" w:hAnsi="Times New Roman" w:cs="Times New Roman"/>
          <w:color w:val="0070C0"/>
          <w:sz w:val="24"/>
          <w:szCs w:val="24"/>
        </w:rPr>
        <w:t>, 31 (1), pp, 102</w:t>
      </w:r>
      <w:r w:rsidRPr="007051F8">
        <w:rPr>
          <w:rFonts w:ascii="Times New Roman" w:eastAsia="Times New Roman" w:hAnsi="Times New Roman" w:cs="Times New Roman"/>
          <w:iCs/>
          <w:color w:val="0070C0"/>
          <w:sz w:val="24"/>
          <w:szCs w:val="24"/>
          <w:lang w:eastAsia="en-GB"/>
        </w:rPr>
        <w:t>−</w:t>
      </w:r>
      <w:r w:rsidRPr="007051F8">
        <w:rPr>
          <w:rFonts w:ascii="Times New Roman" w:hAnsi="Times New Roman" w:cs="Times New Roman"/>
          <w:color w:val="0070C0"/>
          <w:sz w:val="24"/>
          <w:szCs w:val="24"/>
        </w:rPr>
        <w:t>120.</w:t>
      </w:r>
    </w:p>
    <w:p w14:paraId="243DF24C"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77851876" w14:textId="48EEC83D"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t xml:space="preserve">Ryan, P. </w:t>
      </w:r>
      <w:r w:rsidR="001A6D92">
        <w:rPr>
          <w:rFonts w:ascii="Times New Roman" w:hAnsi="Times New Roman" w:cs="Times New Roman"/>
          <w:color w:val="000000"/>
          <w:sz w:val="24"/>
          <w:szCs w:val="24"/>
        </w:rPr>
        <w:t>&amp;</w:t>
      </w:r>
      <w:r w:rsidR="001A6D92" w:rsidRPr="00521CC7">
        <w:rPr>
          <w:rFonts w:ascii="Times New Roman" w:hAnsi="Times New Roman" w:cs="Times New Roman"/>
          <w:color w:val="000000"/>
          <w:sz w:val="24"/>
          <w:szCs w:val="24"/>
        </w:rPr>
        <w:t xml:space="preserve"> </w:t>
      </w:r>
      <w:proofErr w:type="spellStart"/>
      <w:r w:rsidRPr="00521CC7">
        <w:rPr>
          <w:rFonts w:ascii="Times New Roman" w:hAnsi="Times New Roman" w:cs="Times New Roman"/>
          <w:color w:val="000000"/>
          <w:sz w:val="24"/>
          <w:szCs w:val="24"/>
        </w:rPr>
        <w:t>Taffler</w:t>
      </w:r>
      <w:proofErr w:type="spellEnd"/>
      <w:r w:rsidRPr="00521CC7">
        <w:rPr>
          <w:rFonts w:ascii="Times New Roman" w:hAnsi="Times New Roman" w:cs="Times New Roman"/>
          <w:color w:val="000000"/>
          <w:sz w:val="24"/>
          <w:szCs w:val="24"/>
        </w:rPr>
        <w:t>, R. (2006). Do brokerage houses add value? The market impact of UK sell</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 xml:space="preserve">side analyst recommendation changes. </w:t>
      </w:r>
      <w:r w:rsidRPr="00521CC7">
        <w:rPr>
          <w:rFonts w:ascii="Times New Roman" w:hAnsi="Times New Roman" w:cs="Times New Roman"/>
          <w:i/>
          <w:color w:val="000000"/>
          <w:sz w:val="24"/>
          <w:szCs w:val="24"/>
        </w:rPr>
        <w:t>The British Accounting Review</w:t>
      </w:r>
      <w:r w:rsidRPr="00521CC7">
        <w:rPr>
          <w:rFonts w:ascii="Times New Roman" w:hAnsi="Times New Roman" w:cs="Times New Roman"/>
          <w:color w:val="000000"/>
          <w:sz w:val="24"/>
          <w:szCs w:val="24"/>
        </w:rPr>
        <w:t>, 38(4), pp.371</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386.</w:t>
      </w:r>
    </w:p>
    <w:p w14:paraId="48085250"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024AB330" w14:textId="14C4665A" w:rsidR="00E923F6" w:rsidRPr="00A1125B"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lang w:val="en-IE"/>
        </w:rPr>
      </w:pPr>
      <w:r w:rsidRPr="00A1125B">
        <w:rPr>
          <w:rFonts w:ascii="Times New Roman" w:hAnsi="Times New Roman" w:cs="Times New Roman"/>
          <w:color w:val="000000"/>
          <w:sz w:val="24"/>
          <w:szCs w:val="24"/>
          <w:lang w:val="en-IE"/>
        </w:rPr>
        <w:t xml:space="preserve">Su, C., Zhang, H., </w:t>
      </w:r>
      <w:proofErr w:type="spellStart"/>
      <w:r w:rsidRPr="00A1125B">
        <w:rPr>
          <w:rFonts w:ascii="Times New Roman" w:hAnsi="Times New Roman" w:cs="Times New Roman"/>
          <w:color w:val="000000"/>
          <w:sz w:val="24"/>
          <w:szCs w:val="24"/>
          <w:lang w:val="en-IE"/>
        </w:rPr>
        <w:t>Bangassa</w:t>
      </w:r>
      <w:proofErr w:type="spellEnd"/>
      <w:r w:rsidRPr="00A1125B">
        <w:rPr>
          <w:rFonts w:ascii="Times New Roman" w:hAnsi="Times New Roman" w:cs="Times New Roman"/>
          <w:color w:val="000000"/>
          <w:sz w:val="24"/>
          <w:szCs w:val="24"/>
          <w:lang w:val="en-IE"/>
        </w:rPr>
        <w:t>, K., &amp; Joseph, N. L. (2019). On the investment value of sell-side analyst recommendation revisions in the UK</w:t>
      </w:r>
      <w:r w:rsidR="001A6D92">
        <w:rPr>
          <w:rFonts w:ascii="Times New Roman" w:hAnsi="Times New Roman" w:cs="Times New Roman"/>
          <w:color w:val="000000"/>
          <w:sz w:val="24"/>
          <w:szCs w:val="24"/>
          <w:lang w:val="en-IE"/>
        </w:rPr>
        <w:t>,</w:t>
      </w:r>
      <w:r w:rsidR="001A6D92" w:rsidRPr="00A1125B">
        <w:rPr>
          <w:rFonts w:ascii="Times New Roman" w:hAnsi="Times New Roman" w:cs="Times New Roman"/>
          <w:color w:val="000000"/>
          <w:sz w:val="24"/>
          <w:szCs w:val="24"/>
          <w:lang w:val="en-IE"/>
        </w:rPr>
        <w:t xml:space="preserve"> </w:t>
      </w:r>
      <w:r w:rsidRPr="006D0A49">
        <w:rPr>
          <w:rFonts w:ascii="Times New Roman" w:hAnsi="Times New Roman" w:cs="Times New Roman"/>
          <w:i/>
          <w:iCs/>
          <w:color w:val="000000"/>
          <w:sz w:val="24"/>
          <w:szCs w:val="24"/>
          <w:lang w:val="en-IE"/>
        </w:rPr>
        <w:t xml:space="preserve">Review of </w:t>
      </w:r>
      <w:r w:rsidR="00B95D03">
        <w:rPr>
          <w:rFonts w:ascii="Times New Roman" w:hAnsi="Times New Roman" w:cs="Times New Roman"/>
          <w:i/>
          <w:iCs/>
          <w:color w:val="000000"/>
          <w:sz w:val="24"/>
          <w:szCs w:val="24"/>
          <w:lang w:val="en-IE"/>
        </w:rPr>
        <w:t>Q</w:t>
      </w:r>
      <w:r w:rsidR="00B95D03" w:rsidRPr="006D0A49">
        <w:rPr>
          <w:rFonts w:ascii="Times New Roman" w:hAnsi="Times New Roman" w:cs="Times New Roman"/>
          <w:i/>
          <w:iCs/>
          <w:color w:val="000000"/>
          <w:sz w:val="24"/>
          <w:szCs w:val="24"/>
          <w:lang w:val="en-IE"/>
        </w:rPr>
        <w:t xml:space="preserve">uantitative </w:t>
      </w:r>
      <w:r w:rsidR="00B95D03">
        <w:rPr>
          <w:rFonts w:ascii="Times New Roman" w:hAnsi="Times New Roman" w:cs="Times New Roman"/>
          <w:i/>
          <w:iCs/>
          <w:color w:val="000000"/>
          <w:sz w:val="24"/>
          <w:szCs w:val="24"/>
          <w:lang w:val="en-IE"/>
        </w:rPr>
        <w:t>F</w:t>
      </w:r>
      <w:r w:rsidR="00B95D03" w:rsidRPr="006D0A49">
        <w:rPr>
          <w:rFonts w:ascii="Times New Roman" w:hAnsi="Times New Roman" w:cs="Times New Roman"/>
          <w:i/>
          <w:iCs/>
          <w:color w:val="000000"/>
          <w:sz w:val="24"/>
          <w:szCs w:val="24"/>
          <w:lang w:val="en-IE"/>
        </w:rPr>
        <w:t xml:space="preserve">inance </w:t>
      </w:r>
      <w:r w:rsidRPr="006D0A49">
        <w:rPr>
          <w:rFonts w:ascii="Times New Roman" w:hAnsi="Times New Roman" w:cs="Times New Roman"/>
          <w:i/>
          <w:iCs/>
          <w:color w:val="000000"/>
          <w:sz w:val="24"/>
          <w:szCs w:val="24"/>
          <w:lang w:val="en-IE"/>
        </w:rPr>
        <w:t xml:space="preserve">and </w:t>
      </w:r>
      <w:r w:rsidR="00B95D03">
        <w:rPr>
          <w:rFonts w:ascii="Times New Roman" w:hAnsi="Times New Roman" w:cs="Times New Roman"/>
          <w:i/>
          <w:iCs/>
          <w:color w:val="000000"/>
          <w:sz w:val="24"/>
          <w:szCs w:val="24"/>
          <w:lang w:val="en-IE"/>
        </w:rPr>
        <w:t>A</w:t>
      </w:r>
      <w:r w:rsidR="00B95D03" w:rsidRPr="006D0A49">
        <w:rPr>
          <w:rFonts w:ascii="Times New Roman" w:hAnsi="Times New Roman" w:cs="Times New Roman"/>
          <w:i/>
          <w:iCs/>
          <w:color w:val="000000"/>
          <w:sz w:val="24"/>
          <w:szCs w:val="24"/>
          <w:lang w:val="en-IE"/>
        </w:rPr>
        <w:t>ccounting</w:t>
      </w:r>
      <w:r w:rsidRPr="006D0A49">
        <w:rPr>
          <w:rFonts w:ascii="Times New Roman" w:hAnsi="Times New Roman" w:cs="Times New Roman"/>
          <w:i/>
          <w:iCs/>
          <w:color w:val="000000"/>
          <w:sz w:val="24"/>
          <w:szCs w:val="24"/>
          <w:lang w:val="en-IE"/>
        </w:rPr>
        <w:t>,</w:t>
      </w:r>
      <w:r w:rsidRPr="00A1125B">
        <w:rPr>
          <w:rFonts w:ascii="Times New Roman" w:hAnsi="Times New Roman" w:cs="Times New Roman"/>
          <w:color w:val="000000"/>
          <w:sz w:val="24"/>
          <w:szCs w:val="24"/>
          <w:lang w:val="en-IE"/>
        </w:rPr>
        <w:t xml:space="preserve"> 53(1), </w:t>
      </w:r>
      <w:r w:rsidR="001A6D92">
        <w:rPr>
          <w:rFonts w:ascii="Times New Roman" w:hAnsi="Times New Roman" w:cs="Times New Roman"/>
          <w:color w:val="000000"/>
          <w:sz w:val="24"/>
          <w:szCs w:val="24"/>
          <w:lang w:val="en-IE"/>
        </w:rPr>
        <w:t xml:space="preserve">pp. </w:t>
      </w:r>
      <w:r w:rsidRPr="00A1125B">
        <w:rPr>
          <w:rFonts w:ascii="Times New Roman" w:hAnsi="Times New Roman" w:cs="Times New Roman"/>
          <w:color w:val="000000"/>
          <w:sz w:val="24"/>
          <w:szCs w:val="24"/>
          <w:lang w:val="en-IE"/>
        </w:rPr>
        <w:t xml:space="preserve">257–293. </w:t>
      </w:r>
    </w:p>
    <w:p w14:paraId="06C8F00A" w14:textId="77777777" w:rsidR="00E923F6" w:rsidRPr="00521CC7"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4341CA0C" w14:textId="77777777" w:rsidR="006A21B5" w:rsidRPr="006A21B5" w:rsidRDefault="006A21B5" w:rsidP="000B3CE3">
      <w:pPr>
        <w:autoSpaceDE w:val="0"/>
        <w:autoSpaceDN w:val="0"/>
        <w:adjustRightInd w:val="0"/>
        <w:spacing w:line="240" w:lineRule="auto"/>
        <w:ind w:left="567" w:hanging="567"/>
        <w:jc w:val="both"/>
        <w:rPr>
          <w:rStyle w:val="standard-view-style"/>
          <w:rFonts w:ascii="Times New Roman" w:hAnsi="Times New Roman" w:cs="Times New Roman"/>
          <w:color w:val="FF0000"/>
          <w:sz w:val="24"/>
          <w:szCs w:val="24"/>
          <w:bdr w:val="none" w:sz="0" w:space="0" w:color="auto" w:frame="1"/>
        </w:rPr>
      </w:pPr>
      <w:r w:rsidRPr="006A21B5">
        <w:rPr>
          <w:rFonts w:ascii="Times New Roman" w:hAnsi="Times New Roman" w:cs="Times New Roman"/>
          <w:color w:val="FF0000"/>
          <w:sz w:val="24"/>
          <w:szCs w:val="24"/>
        </w:rPr>
        <w:t xml:space="preserve">Wang, J. (2020) </w:t>
      </w:r>
      <w:bookmarkStart w:id="2" w:name="citation"/>
      <w:r w:rsidRPr="006A21B5">
        <w:rPr>
          <w:rFonts w:ascii="Times New Roman" w:hAnsi="Times New Roman" w:cs="Times New Roman"/>
          <w:color w:val="FF0000"/>
          <w:sz w:val="24"/>
          <w:szCs w:val="24"/>
          <w:bdr w:val="none" w:sz="0" w:space="0" w:color="auto" w:frame="1"/>
        </w:rPr>
        <w:t xml:space="preserve">Does analyst forecast dispersion represent investors' perceived uncertainty toward earnings? </w:t>
      </w:r>
      <w:bookmarkEnd w:id="2"/>
      <w:r w:rsidRPr="006A21B5">
        <w:rPr>
          <w:rStyle w:val="standard-view-style"/>
          <w:rFonts w:ascii="Times New Roman" w:hAnsi="Times New Roman" w:cs="Times New Roman"/>
          <w:i/>
          <w:color w:val="FF0000"/>
          <w:sz w:val="24"/>
          <w:szCs w:val="24"/>
          <w:bdr w:val="none" w:sz="0" w:space="0" w:color="auto" w:frame="1"/>
        </w:rPr>
        <w:t>Review of Accounting &amp; Finance</w:t>
      </w:r>
      <w:r w:rsidRPr="006A21B5">
        <w:rPr>
          <w:rStyle w:val="standard-view-style"/>
          <w:rFonts w:ascii="Times New Roman" w:hAnsi="Times New Roman" w:cs="Times New Roman"/>
          <w:color w:val="FF0000"/>
          <w:sz w:val="24"/>
          <w:szCs w:val="24"/>
          <w:bdr w:val="none" w:sz="0" w:space="0" w:color="auto" w:frame="1"/>
        </w:rPr>
        <w:t xml:space="preserve">, 19 (3), 289-312.  </w:t>
      </w:r>
    </w:p>
    <w:p w14:paraId="65AD5A91" w14:textId="30D7250A" w:rsidR="005233F5"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21CC7">
        <w:rPr>
          <w:rFonts w:ascii="Times New Roman" w:hAnsi="Times New Roman" w:cs="Times New Roman"/>
          <w:color w:val="000000"/>
          <w:sz w:val="24"/>
          <w:szCs w:val="24"/>
        </w:rPr>
        <w:lastRenderedPageBreak/>
        <w:t xml:space="preserve">Womack, K. (1996). Do brokerage analysts' recommendations have investment value? </w:t>
      </w:r>
      <w:r w:rsidRPr="00521CC7">
        <w:rPr>
          <w:rFonts w:ascii="Times New Roman" w:hAnsi="Times New Roman" w:cs="Times New Roman"/>
          <w:i/>
          <w:iCs/>
          <w:color w:val="000000"/>
          <w:sz w:val="24"/>
          <w:szCs w:val="24"/>
        </w:rPr>
        <w:t>The Journal of Finance</w:t>
      </w:r>
      <w:r w:rsidRPr="00521CC7">
        <w:rPr>
          <w:rFonts w:ascii="Times New Roman" w:hAnsi="Times New Roman" w:cs="Times New Roman"/>
          <w:color w:val="000000"/>
          <w:sz w:val="24"/>
          <w:szCs w:val="24"/>
        </w:rPr>
        <w:t>, 51(1), pp. 137</w:t>
      </w:r>
      <w:r>
        <w:rPr>
          <w:rFonts w:ascii="Times New Roman" w:hAnsi="Times New Roman" w:cs="Times New Roman"/>
          <w:color w:val="000000"/>
          <w:sz w:val="24"/>
          <w:szCs w:val="24"/>
        </w:rPr>
        <w:t>−</w:t>
      </w:r>
      <w:r w:rsidRPr="00521CC7">
        <w:rPr>
          <w:rFonts w:ascii="Times New Roman" w:hAnsi="Times New Roman" w:cs="Times New Roman"/>
          <w:color w:val="000000"/>
          <w:sz w:val="24"/>
          <w:szCs w:val="24"/>
        </w:rPr>
        <w:t>167.</w:t>
      </w:r>
    </w:p>
    <w:p w14:paraId="48B4C9B9" w14:textId="77777777" w:rsidR="005233F5" w:rsidRDefault="005233F5">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7902B3A" w14:textId="77777777" w:rsidR="00E923F6" w:rsidRDefault="00E923F6"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57DCEACD" w14:textId="5128AC37" w:rsidR="00EB26A5" w:rsidRDefault="00EB26A5"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2063897B" w14:textId="259E02CF" w:rsidR="00EB26A5" w:rsidRDefault="00EB26A5" w:rsidP="00E923F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5AD23EA6" w14:textId="4B32715D" w:rsidR="00654C34" w:rsidRDefault="00654C34" w:rsidP="00586402">
      <w:pPr>
        <w:pStyle w:val="Caption"/>
        <w:spacing w:after="0"/>
        <w:jc w:val="both"/>
        <w:rPr>
          <w:rFonts w:ascii="Times New Roman" w:hAnsi="Times New Roman" w:cs="Times New Roman"/>
          <w:bCs w:val="0"/>
          <w:color w:val="auto"/>
          <w:sz w:val="24"/>
          <w:szCs w:val="24"/>
          <w:u w:val="single"/>
        </w:rPr>
      </w:pPr>
      <w:r w:rsidRPr="001911BA">
        <w:rPr>
          <w:rFonts w:ascii="Times New Roman" w:hAnsi="Times New Roman" w:cs="Times New Roman"/>
          <w:bCs w:val="0"/>
          <w:color w:val="auto"/>
          <w:sz w:val="24"/>
          <w:szCs w:val="24"/>
          <w:u w:val="single"/>
        </w:rPr>
        <w:t xml:space="preserve">Table </w:t>
      </w:r>
      <w:r w:rsidR="009F34B8" w:rsidRPr="001911BA">
        <w:rPr>
          <w:rFonts w:ascii="Times New Roman" w:hAnsi="Times New Roman" w:cs="Times New Roman"/>
          <w:bCs w:val="0"/>
          <w:color w:val="auto"/>
          <w:sz w:val="24"/>
          <w:szCs w:val="24"/>
          <w:u w:val="single"/>
        </w:rPr>
        <w:fldChar w:fldCharType="begin"/>
      </w:r>
      <w:r w:rsidRPr="001911BA">
        <w:rPr>
          <w:rFonts w:ascii="Times New Roman" w:hAnsi="Times New Roman" w:cs="Times New Roman"/>
          <w:bCs w:val="0"/>
          <w:color w:val="auto"/>
          <w:sz w:val="24"/>
          <w:szCs w:val="24"/>
          <w:u w:val="single"/>
        </w:rPr>
        <w:instrText xml:space="preserve"> SEQ Table \* ARABIC </w:instrText>
      </w:r>
      <w:r w:rsidR="009F34B8" w:rsidRPr="001911BA">
        <w:rPr>
          <w:rFonts w:ascii="Times New Roman" w:hAnsi="Times New Roman" w:cs="Times New Roman"/>
          <w:bCs w:val="0"/>
          <w:color w:val="auto"/>
          <w:sz w:val="24"/>
          <w:szCs w:val="24"/>
          <w:u w:val="single"/>
        </w:rPr>
        <w:fldChar w:fldCharType="separate"/>
      </w:r>
      <w:r w:rsidR="00D938A4">
        <w:rPr>
          <w:rFonts w:ascii="Times New Roman" w:hAnsi="Times New Roman" w:cs="Times New Roman"/>
          <w:bCs w:val="0"/>
          <w:noProof/>
          <w:color w:val="auto"/>
          <w:sz w:val="24"/>
          <w:szCs w:val="24"/>
          <w:u w:val="single"/>
        </w:rPr>
        <w:t>1</w:t>
      </w:r>
      <w:r w:rsidR="009F34B8" w:rsidRPr="001911BA">
        <w:rPr>
          <w:rFonts w:ascii="Times New Roman" w:hAnsi="Times New Roman" w:cs="Times New Roman"/>
          <w:bCs w:val="0"/>
          <w:color w:val="auto"/>
          <w:sz w:val="24"/>
          <w:szCs w:val="24"/>
          <w:u w:val="single"/>
        </w:rPr>
        <w:fldChar w:fldCharType="end"/>
      </w:r>
    </w:p>
    <w:p w14:paraId="4EBA3E45" w14:textId="48756016" w:rsidR="00654C34" w:rsidRPr="006F13C9" w:rsidRDefault="00654C34" w:rsidP="00586402">
      <w:pPr>
        <w:pStyle w:val="Caption"/>
        <w:spacing w:after="0"/>
        <w:jc w:val="both"/>
        <w:rPr>
          <w:rFonts w:ascii="Times New Roman" w:hAnsi="Times New Roman" w:cs="Times New Roman"/>
          <w:bCs w:val="0"/>
          <w:color w:val="auto"/>
          <w:sz w:val="24"/>
          <w:szCs w:val="24"/>
          <w:u w:val="single"/>
        </w:rPr>
      </w:pPr>
      <w:r w:rsidRPr="001911BA">
        <w:rPr>
          <w:rFonts w:ascii="Times New Roman" w:hAnsi="Times New Roman" w:cs="Times New Roman"/>
          <w:bCs w:val="0"/>
          <w:color w:val="auto"/>
          <w:sz w:val="24"/>
          <w:szCs w:val="24"/>
        </w:rPr>
        <w:t>Total upgrades and downgrades of stock recommendations o</w:t>
      </w:r>
      <w:r w:rsidR="00892359">
        <w:rPr>
          <w:rFonts w:ascii="Times New Roman" w:hAnsi="Times New Roman" w:cs="Times New Roman"/>
          <w:bCs w:val="0"/>
          <w:color w:val="auto"/>
          <w:sz w:val="24"/>
          <w:szCs w:val="24"/>
        </w:rPr>
        <w:t xml:space="preserve">n the 26 target stocks from </w:t>
      </w:r>
      <w:r w:rsidRPr="001911BA">
        <w:rPr>
          <w:rFonts w:ascii="Times New Roman" w:hAnsi="Times New Roman" w:cs="Times New Roman"/>
          <w:bCs w:val="0"/>
          <w:color w:val="auto"/>
          <w:sz w:val="24"/>
          <w:szCs w:val="24"/>
        </w:rPr>
        <w:t>sell</w:t>
      </w:r>
      <w:r w:rsidR="0038719B">
        <w:rPr>
          <w:rFonts w:ascii="Times New Roman" w:hAnsi="Times New Roman" w:cs="Times New Roman"/>
          <w:bCs w:val="0"/>
          <w:color w:val="auto"/>
          <w:sz w:val="24"/>
          <w:szCs w:val="24"/>
        </w:rPr>
        <w:t>−</w:t>
      </w:r>
      <w:r w:rsidRPr="001911BA">
        <w:rPr>
          <w:rFonts w:ascii="Times New Roman" w:hAnsi="Times New Roman" w:cs="Times New Roman"/>
          <w:bCs w:val="0"/>
          <w:color w:val="auto"/>
          <w:sz w:val="24"/>
          <w:szCs w:val="24"/>
        </w:rPr>
        <w:t>side analysts</w:t>
      </w:r>
      <w:r w:rsidR="00892359">
        <w:rPr>
          <w:rFonts w:ascii="Times New Roman" w:hAnsi="Times New Roman" w:cs="Times New Roman"/>
          <w:bCs w:val="0"/>
          <w:color w:val="auto"/>
          <w:sz w:val="24"/>
          <w:szCs w:val="24"/>
        </w:rPr>
        <w:t xml:space="preserve"> between the </w:t>
      </w:r>
      <w:r w:rsidR="000E407F">
        <w:rPr>
          <w:rFonts w:ascii="Times New Roman" w:hAnsi="Times New Roman" w:cs="Times New Roman"/>
          <w:bCs w:val="0"/>
          <w:color w:val="auto"/>
          <w:sz w:val="24"/>
          <w:szCs w:val="24"/>
        </w:rPr>
        <w:t>01</w:t>
      </w:r>
      <w:r w:rsidR="000E407F" w:rsidRPr="0038131B">
        <w:rPr>
          <w:rFonts w:ascii="Times New Roman" w:hAnsi="Times New Roman" w:cs="Times New Roman"/>
          <w:bCs w:val="0"/>
          <w:color w:val="auto"/>
          <w:sz w:val="24"/>
          <w:szCs w:val="24"/>
        </w:rPr>
        <w:t xml:space="preserve">−01−2009 </w:t>
      </w:r>
      <w:r w:rsidR="00892359">
        <w:rPr>
          <w:rFonts w:ascii="Times New Roman" w:hAnsi="Times New Roman" w:cs="Times New Roman"/>
          <w:bCs w:val="0"/>
          <w:color w:val="auto"/>
          <w:sz w:val="24"/>
          <w:szCs w:val="24"/>
        </w:rPr>
        <w:t xml:space="preserve">and the </w:t>
      </w:r>
      <w:r w:rsidR="006E0FEC">
        <w:rPr>
          <w:rFonts w:ascii="Times New Roman" w:hAnsi="Times New Roman" w:cs="Times New Roman"/>
          <w:bCs w:val="0"/>
          <w:color w:val="auto"/>
          <w:sz w:val="24"/>
          <w:szCs w:val="24"/>
        </w:rPr>
        <w:t>05</w:t>
      </w:r>
      <w:r w:rsidR="000E407F" w:rsidRPr="0038131B">
        <w:rPr>
          <w:rFonts w:ascii="Times New Roman" w:hAnsi="Times New Roman" w:cs="Times New Roman"/>
          <w:bCs w:val="0"/>
          <w:color w:val="auto"/>
          <w:sz w:val="24"/>
          <w:szCs w:val="24"/>
        </w:rPr>
        <w:t>−</w:t>
      </w:r>
      <w:r w:rsidR="006E0FEC" w:rsidRPr="0038131B">
        <w:rPr>
          <w:rFonts w:ascii="Times New Roman" w:hAnsi="Times New Roman" w:cs="Times New Roman"/>
          <w:bCs w:val="0"/>
          <w:color w:val="auto"/>
          <w:sz w:val="24"/>
          <w:szCs w:val="24"/>
        </w:rPr>
        <w:t>0</w:t>
      </w:r>
      <w:r w:rsidR="006E0FEC">
        <w:rPr>
          <w:rFonts w:ascii="Times New Roman" w:hAnsi="Times New Roman" w:cs="Times New Roman"/>
          <w:bCs w:val="0"/>
          <w:color w:val="auto"/>
          <w:sz w:val="24"/>
          <w:szCs w:val="24"/>
        </w:rPr>
        <w:t>1</w:t>
      </w:r>
      <w:r w:rsidR="000E407F" w:rsidRPr="0038131B">
        <w:rPr>
          <w:rFonts w:ascii="Times New Roman" w:hAnsi="Times New Roman" w:cs="Times New Roman"/>
          <w:bCs w:val="0"/>
          <w:color w:val="auto"/>
          <w:sz w:val="24"/>
          <w:szCs w:val="24"/>
        </w:rPr>
        <w:t>-2014</w:t>
      </w:r>
    </w:p>
    <w:tbl>
      <w:tblPr>
        <w:tblpPr w:leftFromText="180" w:rightFromText="180" w:vertAnchor="text" w:horzAnchor="margin" w:tblpY="29"/>
        <w:tblW w:w="8801" w:type="dxa"/>
        <w:tblLook w:val="04A0" w:firstRow="1" w:lastRow="0" w:firstColumn="1" w:lastColumn="0" w:noHBand="0" w:noVBand="1"/>
      </w:tblPr>
      <w:tblGrid>
        <w:gridCol w:w="4296"/>
        <w:gridCol w:w="1117"/>
        <w:gridCol w:w="2233"/>
        <w:gridCol w:w="1155"/>
      </w:tblGrid>
      <w:tr w:rsidR="00654C34" w:rsidRPr="000C64AD" w14:paraId="04BA99FE" w14:textId="77777777" w:rsidTr="00FF6366">
        <w:trPr>
          <w:trHeight w:val="152"/>
        </w:trPr>
        <w:tc>
          <w:tcPr>
            <w:tcW w:w="4296" w:type="dxa"/>
            <w:tcBorders>
              <w:top w:val="nil"/>
              <w:left w:val="nil"/>
              <w:bottom w:val="single" w:sz="4" w:space="0" w:color="auto"/>
              <w:right w:val="nil"/>
            </w:tcBorders>
            <w:shd w:val="clear" w:color="auto" w:fill="auto"/>
            <w:noWrap/>
            <w:vAlign w:val="bottom"/>
            <w:hideMark/>
          </w:tcPr>
          <w:p w14:paraId="59F3C058" w14:textId="77777777" w:rsidR="00654C34" w:rsidRPr="004D5393" w:rsidRDefault="00654C34" w:rsidP="00586402">
            <w:pPr>
              <w:spacing w:after="0"/>
              <w:ind w:right="-1"/>
              <w:jc w:val="both"/>
              <w:rPr>
                <w:rFonts w:ascii="Times New Roman" w:hAnsi="Times New Roman" w:cs="Times New Roman"/>
                <w:sz w:val="24"/>
                <w:szCs w:val="24"/>
              </w:rPr>
            </w:pPr>
          </w:p>
          <w:p w14:paraId="7726E3A8" w14:textId="77777777" w:rsidR="00654C34" w:rsidRPr="004D5393" w:rsidRDefault="00654C34" w:rsidP="00586402">
            <w:pPr>
              <w:spacing w:after="0"/>
              <w:ind w:right="-1"/>
              <w:jc w:val="both"/>
              <w:rPr>
                <w:rFonts w:ascii="Times New Roman" w:hAnsi="Times New Roman" w:cs="Times New Roman"/>
                <w:sz w:val="24"/>
                <w:szCs w:val="24"/>
              </w:rPr>
            </w:pPr>
          </w:p>
        </w:tc>
        <w:tc>
          <w:tcPr>
            <w:tcW w:w="1117" w:type="dxa"/>
            <w:tcBorders>
              <w:top w:val="nil"/>
              <w:left w:val="nil"/>
              <w:bottom w:val="single" w:sz="4" w:space="0" w:color="auto"/>
              <w:right w:val="nil"/>
            </w:tcBorders>
            <w:shd w:val="clear" w:color="auto" w:fill="auto"/>
            <w:noWrap/>
            <w:vAlign w:val="bottom"/>
            <w:hideMark/>
          </w:tcPr>
          <w:p w14:paraId="29F88F41" w14:textId="77777777" w:rsidR="00654C34" w:rsidRPr="004D5393" w:rsidRDefault="00654C34" w:rsidP="00586402">
            <w:pPr>
              <w:spacing w:after="0"/>
              <w:ind w:right="-1"/>
              <w:jc w:val="both"/>
              <w:rPr>
                <w:rFonts w:ascii="Times New Roman" w:hAnsi="Times New Roman" w:cs="Times New Roman"/>
                <w:sz w:val="24"/>
                <w:szCs w:val="24"/>
              </w:rPr>
            </w:pPr>
          </w:p>
          <w:p w14:paraId="3F9C87C1"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Total   Upgrade</w:t>
            </w:r>
          </w:p>
        </w:tc>
        <w:tc>
          <w:tcPr>
            <w:tcW w:w="2233" w:type="dxa"/>
            <w:tcBorders>
              <w:top w:val="nil"/>
              <w:left w:val="nil"/>
              <w:bottom w:val="single" w:sz="4" w:space="0" w:color="auto"/>
              <w:right w:val="nil"/>
            </w:tcBorders>
            <w:shd w:val="clear" w:color="auto" w:fill="auto"/>
            <w:noWrap/>
            <w:vAlign w:val="bottom"/>
            <w:hideMark/>
          </w:tcPr>
          <w:p w14:paraId="7310DA77"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Total</w:t>
            </w:r>
          </w:p>
          <w:p w14:paraId="689A01E3"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Downgrade</w:t>
            </w:r>
          </w:p>
        </w:tc>
        <w:tc>
          <w:tcPr>
            <w:tcW w:w="1155" w:type="dxa"/>
            <w:tcBorders>
              <w:top w:val="nil"/>
              <w:left w:val="nil"/>
              <w:bottom w:val="single" w:sz="4" w:space="0" w:color="auto"/>
              <w:right w:val="nil"/>
            </w:tcBorders>
            <w:shd w:val="clear" w:color="auto" w:fill="auto"/>
            <w:noWrap/>
            <w:vAlign w:val="bottom"/>
            <w:hideMark/>
          </w:tcPr>
          <w:p w14:paraId="774748A3"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Total</w:t>
            </w:r>
          </w:p>
        </w:tc>
      </w:tr>
      <w:tr w:rsidR="00654C34" w:rsidRPr="000C64AD" w14:paraId="3DEACE5B" w14:textId="77777777" w:rsidTr="00FF6366">
        <w:trPr>
          <w:trHeight w:val="286"/>
        </w:trPr>
        <w:tc>
          <w:tcPr>
            <w:tcW w:w="4296" w:type="dxa"/>
            <w:tcBorders>
              <w:top w:val="single" w:sz="4" w:space="0" w:color="auto"/>
              <w:left w:val="nil"/>
              <w:right w:val="nil"/>
            </w:tcBorders>
            <w:shd w:val="clear" w:color="auto" w:fill="auto"/>
            <w:noWrap/>
            <w:vAlign w:val="center"/>
            <w:hideMark/>
          </w:tcPr>
          <w:p w14:paraId="05B253A8"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Total recommendations of the 26 stocks</w:t>
            </w:r>
          </w:p>
        </w:tc>
        <w:tc>
          <w:tcPr>
            <w:tcW w:w="1117" w:type="dxa"/>
            <w:tcBorders>
              <w:top w:val="single" w:sz="4" w:space="0" w:color="auto"/>
              <w:left w:val="nil"/>
              <w:right w:val="nil"/>
            </w:tcBorders>
            <w:shd w:val="clear" w:color="auto" w:fill="auto"/>
            <w:noWrap/>
            <w:vAlign w:val="center"/>
            <w:hideMark/>
          </w:tcPr>
          <w:p w14:paraId="25401838"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884</w:t>
            </w:r>
          </w:p>
        </w:tc>
        <w:tc>
          <w:tcPr>
            <w:tcW w:w="2233" w:type="dxa"/>
            <w:tcBorders>
              <w:top w:val="nil"/>
              <w:left w:val="nil"/>
              <w:right w:val="nil"/>
            </w:tcBorders>
            <w:shd w:val="clear" w:color="auto" w:fill="auto"/>
            <w:noWrap/>
            <w:vAlign w:val="center"/>
            <w:hideMark/>
          </w:tcPr>
          <w:p w14:paraId="26EDDB10"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867</w:t>
            </w:r>
          </w:p>
        </w:tc>
        <w:tc>
          <w:tcPr>
            <w:tcW w:w="1155" w:type="dxa"/>
            <w:tcBorders>
              <w:top w:val="nil"/>
              <w:left w:val="nil"/>
              <w:right w:val="nil"/>
            </w:tcBorders>
            <w:shd w:val="clear" w:color="auto" w:fill="auto"/>
            <w:noWrap/>
            <w:vAlign w:val="center"/>
            <w:hideMark/>
          </w:tcPr>
          <w:p w14:paraId="0DF9A991"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1751</w:t>
            </w:r>
          </w:p>
        </w:tc>
      </w:tr>
      <w:tr w:rsidR="00654C34" w:rsidRPr="000C64AD" w14:paraId="6309C3FD" w14:textId="77777777" w:rsidTr="00FF6366">
        <w:trPr>
          <w:trHeight w:val="278"/>
        </w:trPr>
        <w:tc>
          <w:tcPr>
            <w:tcW w:w="4296" w:type="dxa"/>
            <w:tcBorders>
              <w:left w:val="nil"/>
              <w:right w:val="nil"/>
            </w:tcBorders>
            <w:shd w:val="clear" w:color="auto" w:fill="auto"/>
            <w:noWrap/>
            <w:vAlign w:val="bottom"/>
          </w:tcPr>
          <w:p w14:paraId="73FB591D" w14:textId="77777777" w:rsidR="00654C34" w:rsidRPr="004D5393" w:rsidRDefault="00654C34" w:rsidP="00586402">
            <w:pPr>
              <w:spacing w:after="0"/>
              <w:ind w:right="-1"/>
              <w:jc w:val="both"/>
              <w:rPr>
                <w:rFonts w:ascii="Times New Roman" w:hAnsi="Times New Roman" w:cs="Times New Roman"/>
                <w:sz w:val="24"/>
                <w:szCs w:val="24"/>
              </w:rPr>
            </w:pPr>
          </w:p>
        </w:tc>
        <w:tc>
          <w:tcPr>
            <w:tcW w:w="1117" w:type="dxa"/>
            <w:tcBorders>
              <w:left w:val="nil"/>
              <w:right w:val="nil"/>
            </w:tcBorders>
            <w:shd w:val="clear" w:color="auto" w:fill="auto"/>
            <w:noWrap/>
            <w:vAlign w:val="bottom"/>
          </w:tcPr>
          <w:p w14:paraId="0C96A87F" w14:textId="77777777" w:rsidR="00654C34" w:rsidRPr="004D5393" w:rsidRDefault="00654C34" w:rsidP="00586402">
            <w:pPr>
              <w:spacing w:after="0"/>
              <w:ind w:right="-1"/>
              <w:jc w:val="both"/>
              <w:rPr>
                <w:rFonts w:ascii="Times New Roman" w:hAnsi="Times New Roman" w:cs="Times New Roman"/>
                <w:sz w:val="24"/>
                <w:szCs w:val="24"/>
              </w:rPr>
            </w:pPr>
          </w:p>
        </w:tc>
        <w:tc>
          <w:tcPr>
            <w:tcW w:w="2233" w:type="dxa"/>
            <w:tcBorders>
              <w:left w:val="nil"/>
              <w:right w:val="nil"/>
            </w:tcBorders>
            <w:shd w:val="clear" w:color="auto" w:fill="auto"/>
            <w:noWrap/>
            <w:vAlign w:val="bottom"/>
          </w:tcPr>
          <w:p w14:paraId="0ACAC677" w14:textId="77777777" w:rsidR="00654C34" w:rsidRPr="004D5393" w:rsidRDefault="00654C34" w:rsidP="00586402">
            <w:pPr>
              <w:spacing w:after="0"/>
              <w:ind w:right="-1"/>
              <w:jc w:val="both"/>
              <w:rPr>
                <w:rFonts w:ascii="Times New Roman" w:hAnsi="Times New Roman" w:cs="Times New Roman"/>
                <w:sz w:val="24"/>
                <w:szCs w:val="24"/>
              </w:rPr>
            </w:pPr>
          </w:p>
        </w:tc>
        <w:tc>
          <w:tcPr>
            <w:tcW w:w="1155" w:type="dxa"/>
            <w:tcBorders>
              <w:left w:val="nil"/>
              <w:right w:val="nil"/>
            </w:tcBorders>
            <w:shd w:val="clear" w:color="auto" w:fill="auto"/>
            <w:noWrap/>
            <w:vAlign w:val="bottom"/>
          </w:tcPr>
          <w:p w14:paraId="202C6ACB" w14:textId="77777777" w:rsidR="00654C34" w:rsidRPr="004D5393" w:rsidRDefault="00654C34" w:rsidP="00586402">
            <w:pPr>
              <w:spacing w:after="0"/>
              <w:ind w:right="-1"/>
              <w:jc w:val="both"/>
              <w:rPr>
                <w:rFonts w:ascii="Times New Roman" w:hAnsi="Times New Roman" w:cs="Times New Roman"/>
                <w:sz w:val="24"/>
                <w:szCs w:val="24"/>
              </w:rPr>
            </w:pPr>
          </w:p>
        </w:tc>
      </w:tr>
      <w:tr w:rsidR="00654C34" w:rsidRPr="000C64AD" w14:paraId="66C3575C" w14:textId="77777777" w:rsidTr="00FF6366">
        <w:trPr>
          <w:trHeight w:val="278"/>
        </w:trPr>
        <w:tc>
          <w:tcPr>
            <w:tcW w:w="4296" w:type="dxa"/>
            <w:tcBorders>
              <w:left w:val="nil"/>
              <w:bottom w:val="single" w:sz="4" w:space="0" w:color="auto"/>
              <w:right w:val="nil"/>
            </w:tcBorders>
            <w:shd w:val="clear" w:color="auto" w:fill="auto"/>
            <w:noWrap/>
            <w:vAlign w:val="bottom"/>
            <w:hideMark/>
          </w:tcPr>
          <w:p w14:paraId="08B09D60"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Year of Sample Period</w:t>
            </w:r>
          </w:p>
        </w:tc>
        <w:tc>
          <w:tcPr>
            <w:tcW w:w="1117" w:type="dxa"/>
            <w:tcBorders>
              <w:left w:val="nil"/>
              <w:bottom w:val="single" w:sz="4" w:space="0" w:color="auto"/>
              <w:right w:val="nil"/>
            </w:tcBorders>
            <w:shd w:val="clear" w:color="auto" w:fill="auto"/>
            <w:noWrap/>
            <w:vAlign w:val="bottom"/>
            <w:hideMark/>
          </w:tcPr>
          <w:p w14:paraId="7A9224E4"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Upgrade</w:t>
            </w:r>
          </w:p>
        </w:tc>
        <w:tc>
          <w:tcPr>
            <w:tcW w:w="2233" w:type="dxa"/>
            <w:tcBorders>
              <w:left w:val="nil"/>
              <w:bottom w:val="single" w:sz="4" w:space="0" w:color="auto"/>
              <w:right w:val="nil"/>
            </w:tcBorders>
            <w:shd w:val="clear" w:color="auto" w:fill="auto"/>
            <w:noWrap/>
            <w:vAlign w:val="bottom"/>
            <w:hideMark/>
          </w:tcPr>
          <w:p w14:paraId="539E47CC"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Downgrade</w:t>
            </w:r>
          </w:p>
        </w:tc>
        <w:tc>
          <w:tcPr>
            <w:tcW w:w="1155" w:type="dxa"/>
            <w:tcBorders>
              <w:left w:val="nil"/>
              <w:bottom w:val="single" w:sz="4" w:space="0" w:color="auto"/>
              <w:right w:val="nil"/>
            </w:tcBorders>
            <w:shd w:val="clear" w:color="auto" w:fill="auto"/>
            <w:noWrap/>
            <w:vAlign w:val="bottom"/>
            <w:hideMark/>
          </w:tcPr>
          <w:p w14:paraId="7A353872"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Total</w:t>
            </w:r>
          </w:p>
        </w:tc>
      </w:tr>
      <w:tr w:rsidR="00654C34" w:rsidRPr="000C64AD" w14:paraId="0F575B96" w14:textId="77777777" w:rsidTr="00FF6366">
        <w:trPr>
          <w:trHeight w:val="278"/>
        </w:trPr>
        <w:tc>
          <w:tcPr>
            <w:tcW w:w="4296" w:type="dxa"/>
            <w:tcBorders>
              <w:top w:val="single" w:sz="4" w:space="0" w:color="auto"/>
              <w:left w:val="nil"/>
              <w:bottom w:val="nil"/>
              <w:right w:val="nil"/>
            </w:tcBorders>
            <w:shd w:val="clear" w:color="auto" w:fill="auto"/>
            <w:noWrap/>
            <w:vAlign w:val="bottom"/>
            <w:hideMark/>
          </w:tcPr>
          <w:p w14:paraId="6EFB5EA1" w14:textId="633C4DC6" w:rsidR="00654C34" w:rsidRPr="004D5393" w:rsidRDefault="00654C34" w:rsidP="00F11295">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01/01/2009</w:t>
            </w:r>
            <w:r w:rsidR="0038719B" w:rsidRPr="004D5393">
              <w:rPr>
                <w:rFonts w:ascii="Times New Roman" w:hAnsi="Times New Roman" w:cs="Times New Roman"/>
                <w:sz w:val="24"/>
                <w:szCs w:val="24"/>
              </w:rPr>
              <w:t xml:space="preserve"> −</w:t>
            </w:r>
            <w:r w:rsidRPr="004D5393">
              <w:rPr>
                <w:rFonts w:ascii="Times New Roman" w:hAnsi="Times New Roman" w:cs="Times New Roman"/>
                <w:sz w:val="24"/>
                <w:szCs w:val="24"/>
              </w:rPr>
              <w:t xml:space="preserve"> </w:t>
            </w:r>
            <w:r w:rsidR="006E0FEC">
              <w:rPr>
                <w:rFonts w:ascii="Times New Roman" w:hAnsi="Times New Roman" w:cs="Times New Roman"/>
                <w:sz w:val="24"/>
                <w:szCs w:val="24"/>
              </w:rPr>
              <w:t>12</w:t>
            </w:r>
            <w:r w:rsidRPr="004D5393">
              <w:rPr>
                <w:rFonts w:ascii="Times New Roman" w:hAnsi="Times New Roman" w:cs="Times New Roman"/>
                <w:sz w:val="24"/>
                <w:szCs w:val="24"/>
              </w:rPr>
              <w:t>/</w:t>
            </w:r>
            <w:r w:rsidR="006E0FEC">
              <w:rPr>
                <w:rFonts w:ascii="Times New Roman" w:hAnsi="Times New Roman" w:cs="Times New Roman"/>
                <w:sz w:val="24"/>
                <w:szCs w:val="24"/>
              </w:rPr>
              <w:t>31</w:t>
            </w:r>
            <w:r w:rsidRPr="004D5393">
              <w:rPr>
                <w:rFonts w:ascii="Times New Roman" w:hAnsi="Times New Roman" w:cs="Times New Roman"/>
                <w:sz w:val="24"/>
                <w:szCs w:val="24"/>
              </w:rPr>
              <w:t>/2009</w:t>
            </w:r>
          </w:p>
        </w:tc>
        <w:tc>
          <w:tcPr>
            <w:tcW w:w="1117" w:type="dxa"/>
            <w:tcBorders>
              <w:top w:val="single" w:sz="4" w:space="0" w:color="auto"/>
              <w:left w:val="nil"/>
              <w:bottom w:val="nil"/>
              <w:right w:val="nil"/>
            </w:tcBorders>
            <w:shd w:val="clear" w:color="auto" w:fill="auto"/>
            <w:noWrap/>
            <w:vAlign w:val="bottom"/>
            <w:hideMark/>
          </w:tcPr>
          <w:p w14:paraId="3C6A2A25"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215</w:t>
            </w:r>
          </w:p>
        </w:tc>
        <w:tc>
          <w:tcPr>
            <w:tcW w:w="2233" w:type="dxa"/>
            <w:tcBorders>
              <w:top w:val="single" w:sz="4" w:space="0" w:color="auto"/>
              <w:left w:val="nil"/>
              <w:bottom w:val="nil"/>
              <w:right w:val="nil"/>
            </w:tcBorders>
            <w:shd w:val="clear" w:color="auto" w:fill="auto"/>
            <w:noWrap/>
            <w:vAlign w:val="bottom"/>
            <w:hideMark/>
          </w:tcPr>
          <w:p w14:paraId="4FDF9765"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193</w:t>
            </w:r>
          </w:p>
        </w:tc>
        <w:tc>
          <w:tcPr>
            <w:tcW w:w="1155" w:type="dxa"/>
            <w:tcBorders>
              <w:top w:val="single" w:sz="4" w:space="0" w:color="auto"/>
              <w:left w:val="nil"/>
              <w:bottom w:val="nil"/>
              <w:right w:val="nil"/>
            </w:tcBorders>
            <w:shd w:val="clear" w:color="auto" w:fill="auto"/>
            <w:noWrap/>
            <w:vAlign w:val="bottom"/>
            <w:hideMark/>
          </w:tcPr>
          <w:p w14:paraId="4FBFE23F"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408</w:t>
            </w:r>
          </w:p>
        </w:tc>
      </w:tr>
      <w:tr w:rsidR="00654C34" w:rsidRPr="000C64AD" w14:paraId="6EECEA9D" w14:textId="77777777" w:rsidTr="00FF6366">
        <w:trPr>
          <w:trHeight w:val="278"/>
        </w:trPr>
        <w:tc>
          <w:tcPr>
            <w:tcW w:w="4296" w:type="dxa"/>
            <w:tcBorders>
              <w:top w:val="nil"/>
              <w:left w:val="nil"/>
              <w:bottom w:val="nil"/>
              <w:right w:val="nil"/>
            </w:tcBorders>
            <w:shd w:val="clear" w:color="auto" w:fill="auto"/>
            <w:noWrap/>
            <w:vAlign w:val="bottom"/>
            <w:hideMark/>
          </w:tcPr>
          <w:p w14:paraId="25615506" w14:textId="27D957CF" w:rsidR="00654C34" w:rsidRPr="004D5393" w:rsidRDefault="00654C34" w:rsidP="00F11295">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01/01/2010</w:t>
            </w:r>
            <w:r w:rsidR="0038719B" w:rsidRPr="004D5393">
              <w:rPr>
                <w:rFonts w:ascii="Times New Roman" w:hAnsi="Times New Roman" w:cs="Times New Roman"/>
                <w:sz w:val="24"/>
                <w:szCs w:val="24"/>
              </w:rPr>
              <w:t xml:space="preserve"> −</w:t>
            </w:r>
            <w:r w:rsidR="00C95F36" w:rsidRPr="004D5393">
              <w:rPr>
                <w:rFonts w:ascii="Times New Roman" w:hAnsi="Times New Roman" w:cs="Times New Roman"/>
                <w:sz w:val="24"/>
                <w:szCs w:val="24"/>
              </w:rPr>
              <w:t xml:space="preserve"> </w:t>
            </w:r>
            <w:r w:rsidR="006E0FEC">
              <w:rPr>
                <w:rFonts w:ascii="Times New Roman" w:hAnsi="Times New Roman" w:cs="Times New Roman"/>
                <w:sz w:val="24"/>
                <w:szCs w:val="24"/>
              </w:rPr>
              <w:t>12</w:t>
            </w:r>
            <w:r w:rsidR="00F3009E" w:rsidRPr="004D5393">
              <w:rPr>
                <w:rFonts w:ascii="Times New Roman" w:hAnsi="Times New Roman" w:cs="Times New Roman"/>
                <w:sz w:val="24"/>
                <w:szCs w:val="24"/>
              </w:rPr>
              <w:t>/</w:t>
            </w:r>
            <w:r w:rsidR="006E0FEC">
              <w:rPr>
                <w:rFonts w:ascii="Times New Roman" w:hAnsi="Times New Roman" w:cs="Times New Roman"/>
                <w:sz w:val="24"/>
                <w:szCs w:val="24"/>
              </w:rPr>
              <w:t>31</w:t>
            </w:r>
            <w:r w:rsidRPr="004D5393">
              <w:rPr>
                <w:rFonts w:ascii="Times New Roman" w:hAnsi="Times New Roman" w:cs="Times New Roman"/>
                <w:sz w:val="24"/>
                <w:szCs w:val="24"/>
              </w:rPr>
              <w:t>/2010</w:t>
            </w:r>
          </w:p>
        </w:tc>
        <w:tc>
          <w:tcPr>
            <w:tcW w:w="1117" w:type="dxa"/>
            <w:tcBorders>
              <w:top w:val="nil"/>
              <w:left w:val="nil"/>
              <w:bottom w:val="nil"/>
              <w:right w:val="nil"/>
            </w:tcBorders>
            <w:shd w:val="clear" w:color="auto" w:fill="auto"/>
            <w:noWrap/>
            <w:vAlign w:val="bottom"/>
            <w:hideMark/>
          </w:tcPr>
          <w:p w14:paraId="22077E41"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134</w:t>
            </w:r>
          </w:p>
        </w:tc>
        <w:tc>
          <w:tcPr>
            <w:tcW w:w="2233" w:type="dxa"/>
            <w:tcBorders>
              <w:top w:val="nil"/>
              <w:left w:val="nil"/>
              <w:bottom w:val="nil"/>
              <w:right w:val="nil"/>
            </w:tcBorders>
            <w:shd w:val="clear" w:color="auto" w:fill="auto"/>
            <w:noWrap/>
            <w:vAlign w:val="bottom"/>
            <w:hideMark/>
          </w:tcPr>
          <w:p w14:paraId="14834A80"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133</w:t>
            </w:r>
          </w:p>
        </w:tc>
        <w:tc>
          <w:tcPr>
            <w:tcW w:w="1155" w:type="dxa"/>
            <w:tcBorders>
              <w:top w:val="nil"/>
              <w:left w:val="nil"/>
              <w:bottom w:val="nil"/>
              <w:right w:val="nil"/>
            </w:tcBorders>
            <w:shd w:val="clear" w:color="auto" w:fill="auto"/>
            <w:noWrap/>
            <w:vAlign w:val="bottom"/>
            <w:hideMark/>
          </w:tcPr>
          <w:p w14:paraId="0BCDBD89"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267</w:t>
            </w:r>
          </w:p>
        </w:tc>
      </w:tr>
      <w:tr w:rsidR="00654C34" w:rsidRPr="000C64AD" w14:paraId="3561CE52" w14:textId="77777777" w:rsidTr="00FF6366">
        <w:trPr>
          <w:trHeight w:val="278"/>
        </w:trPr>
        <w:tc>
          <w:tcPr>
            <w:tcW w:w="4296" w:type="dxa"/>
            <w:tcBorders>
              <w:top w:val="nil"/>
              <w:left w:val="nil"/>
              <w:bottom w:val="nil"/>
              <w:right w:val="nil"/>
            </w:tcBorders>
            <w:shd w:val="clear" w:color="auto" w:fill="auto"/>
            <w:noWrap/>
            <w:vAlign w:val="bottom"/>
            <w:hideMark/>
          </w:tcPr>
          <w:p w14:paraId="11F16B92" w14:textId="500F2E92" w:rsidR="00654C34" w:rsidRPr="004D5393" w:rsidRDefault="00654C34" w:rsidP="00F11295">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01/01/2011</w:t>
            </w:r>
            <w:r w:rsidR="0038719B" w:rsidRPr="004D5393">
              <w:rPr>
                <w:rFonts w:ascii="Times New Roman" w:hAnsi="Times New Roman" w:cs="Times New Roman"/>
                <w:sz w:val="24"/>
                <w:szCs w:val="24"/>
              </w:rPr>
              <w:t xml:space="preserve"> −</w:t>
            </w:r>
            <w:r w:rsidRPr="004D5393">
              <w:rPr>
                <w:rFonts w:ascii="Times New Roman" w:hAnsi="Times New Roman" w:cs="Times New Roman"/>
                <w:sz w:val="24"/>
                <w:szCs w:val="24"/>
              </w:rPr>
              <w:t xml:space="preserve"> </w:t>
            </w:r>
            <w:r w:rsidR="006E0FEC">
              <w:rPr>
                <w:rFonts w:ascii="Times New Roman" w:hAnsi="Times New Roman" w:cs="Times New Roman"/>
                <w:sz w:val="24"/>
                <w:szCs w:val="24"/>
              </w:rPr>
              <w:t>12</w:t>
            </w:r>
            <w:r w:rsidR="00F3009E" w:rsidRPr="004D5393">
              <w:rPr>
                <w:rFonts w:ascii="Times New Roman" w:hAnsi="Times New Roman" w:cs="Times New Roman"/>
                <w:sz w:val="24"/>
                <w:szCs w:val="24"/>
              </w:rPr>
              <w:t>/</w:t>
            </w:r>
            <w:r w:rsidR="006E0FEC">
              <w:rPr>
                <w:rFonts w:ascii="Times New Roman" w:hAnsi="Times New Roman" w:cs="Times New Roman"/>
                <w:sz w:val="24"/>
                <w:szCs w:val="24"/>
              </w:rPr>
              <w:t>31</w:t>
            </w:r>
            <w:r w:rsidRPr="004D5393">
              <w:rPr>
                <w:rFonts w:ascii="Times New Roman" w:hAnsi="Times New Roman" w:cs="Times New Roman"/>
                <w:sz w:val="24"/>
                <w:szCs w:val="24"/>
              </w:rPr>
              <w:t>/2011</w:t>
            </w:r>
          </w:p>
        </w:tc>
        <w:tc>
          <w:tcPr>
            <w:tcW w:w="1117" w:type="dxa"/>
            <w:tcBorders>
              <w:top w:val="nil"/>
              <w:left w:val="nil"/>
              <w:bottom w:val="nil"/>
              <w:right w:val="nil"/>
            </w:tcBorders>
            <w:shd w:val="clear" w:color="auto" w:fill="auto"/>
            <w:noWrap/>
            <w:vAlign w:val="bottom"/>
            <w:hideMark/>
          </w:tcPr>
          <w:p w14:paraId="75B86E1E"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134</w:t>
            </w:r>
          </w:p>
        </w:tc>
        <w:tc>
          <w:tcPr>
            <w:tcW w:w="2233" w:type="dxa"/>
            <w:tcBorders>
              <w:top w:val="nil"/>
              <w:left w:val="nil"/>
              <w:bottom w:val="nil"/>
              <w:right w:val="nil"/>
            </w:tcBorders>
            <w:shd w:val="clear" w:color="auto" w:fill="auto"/>
            <w:noWrap/>
            <w:vAlign w:val="bottom"/>
            <w:hideMark/>
          </w:tcPr>
          <w:p w14:paraId="3F6569F0"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139</w:t>
            </w:r>
          </w:p>
        </w:tc>
        <w:tc>
          <w:tcPr>
            <w:tcW w:w="1155" w:type="dxa"/>
            <w:tcBorders>
              <w:top w:val="nil"/>
              <w:left w:val="nil"/>
              <w:bottom w:val="nil"/>
              <w:right w:val="nil"/>
            </w:tcBorders>
            <w:shd w:val="clear" w:color="auto" w:fill="auto"/>
            <w:noWrap/>
            <w:vAlign w:val="bottom"/>
            <w:hideMark/>
          </w:tcPr>
          <w:p w14:paraId="309DEB8A"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273</w:t>
            </w:r>
          </w:p>
        </w:tc>
      </w:tr>
      <w:tr w:rsidR="00654C34" w:rsidRPr="000C64AD" w14:paraId="5972892D" w14:textId="77777777" w:rsidTr="00FF6366">
        <w:trPr>
          <w:trHeight w:val="278"/>
        </w:trPr>
        <w:tc>
          <w:tcPr>
            <w:tcW w:w="4296" w:type="dxa"/>
            <w:tcBorders>
              <w:top w:val="nil"/>
              <w:left w:val="nil"/>
              <w:right w:val="nil"/>
            </w:tcBorders>
            <w:shd w:val="clear" w:color="auto" w:fill="auto"/>
            <w:noWrap/>
            <w:vAlign w:val="bottom"/>
            <w:hideMark/>
          </w:tcPr>
          <w:p w14:paraId="0434FAAE" w14:textId="46074025" w:rsidR="00654C34" w:rsidRPr="004D5393" w:rsidRDefault="00654C34" w:rsidP="00F11295">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01/01/2012</w:t>
            </w:r>
            <w:r w:rsidR="0038719B" w:rsidRPr="004D5393">
              <w:rPr>
                <w:rFonts w:ascii="Times New Roman" w:hAnsi="Times New Roman" w:cs="Times New Roman"/>
                <w:sz w:val="24"/>
                <w:szCs w:val="24"/>
              </w:rPr>
              <w:t xml:space="preserve"> −</w:t>
            </w:r>
            <w:r w:rsidR="00FF0020" w:rsidRPr="004D5393">
              <w:rPr>
                <w:rFonts w:ascii="Times New Roman" w:hAnsi="Times New Roman" w:cs="Times New Roman"/>
                <w:sz w:val="24"/>
                <w:szCs w:val="24"/>
              </w:rPr>
              <w:t xml:space="preserve"> </w:t>
            </w:r>
            <w:r w:rsidR="006E0FEC">
              <w:rPr>
                <w:rFonts w:ascii="Times New Roman" w:hAnsi="Times New Roman" w:cs="Times New Roman"/>
                <w:sz w:val="24"/>
                <w:szCs w:val="24"/>
              </w:rPr>
              <w:t>12</w:t>
            </w:r>
            <w:r w:rsidR="00F3009E" w:rsidRPr="004D5393">
              <w:rPr>
                <w:rFonts w:ascii="Times New Roman" w:hAnsi="Times New Roman" w:cs="Times New Roman"/>
                <w:sz w:val="24"/>
                <w:szCs w:val="24"/>
              </w:rPr>
              <w:t>/</w:t>
            </w:r>
            <w:r w:rsidR="006E0FEC">
              <w:rPr>
                <w:rFonts w:ascii="Times New Roman" w:hAnsi="Times New Roman" w:cs="Times New Roman"/>
                <w:sz w:val="24"/>
                <w:szCs w:val="24"/>
              </w:rPr>
              <w:t>31</w:t>
            </w:r>
            <w:r w:rsidRPr="004D5393">
              <w:rPr>
                <w:rFonts w:ascii="Times New Roman" w:hAnsi="Times New Roman" w:cs="Times New Roman"/>
                <w:sz w:val="24"/>
                <w:szCs w:val="24"/>
              </w:rPr>
              <w:t>/2012</w:t>
            </w:r>
          </w:p>
        </w:tc>
        <w:tc>
          <w:tcPr>
            <w:tcW w:w="1117" w:type="dxa"/>
            <w:tcBorders>
              <w:top w:val="nil"/>
              <w:left w:val="nil"/>
              <w:right w:val="nil"/>
            </w:tcBorders>
            <w:shd w:val="clear" w:color="auto" w:fill="auto"/>
            <w:noWrap/>
            <w:vAlign w:val="bottom"/>
            <w:hideMark/>
          </w:tcPr>
          <w:p w14:paraId="7F81A559"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182</w:t>
            </w:r>
          </w:p>
        </w:tc>
        <w:tc>
          <w:tcPr>
            <w:tcW w:w="2233" w:type="dxa"/>
            <w:tcBorders>
              <w:top w:val="nil"/>
              <w:left w:val="nil"/>
              <w:right w:val="nil"/>
            </w:tcBorders>
            <w:shd w:val="clear" w:color="auto" w:fill="auto"/>
            <w:noWrap/>
            <w:vAlign w:val="bottom"/>
            <w:hideMark/>
          </w:tcPr>
          <w:p w14:paraId="2BB133C1"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221</w:t>
            </w:r>
          </w:p>
        </w:tc>
        <w:tc>
          <w:tcPr>
            <w:tcW w:w="1155" w:type="dxa"/>
            <w:tcBorders>
              <w:top w:val="nil"/>
              <w:left w:val="nil"/>
              <w:right w:val="nil"/>
            </w:tcBorders>
            <w:shd w:val="clear" w:color="auto" w:fill="auto"/>
            <w:noWrap/>
            <w:vAlign w:val="bottom"/>
            <w:hideMark/>
          </w:tcPr>
          <w:p w14:paraId="481B46A8"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403</w:t>
            </w:r>
          </w:p>
        </w:tc>
      </w:tr>
      <w:tr w:rsidR="00654C34" w:rsidRPr="000C64AD" w14:paraId="6CF8BF19" w14:textId="77777777" w:rsidTr="00FF6366">
        <w:trPr>
          <w:trHeight w:val="278"/>
        </w:trPr>
        <w:tc>
          <w:tcPr>
            <w:tcW w:w="4296" w:type="dxa"/>
            <w:tcBorders>
              <w:top w:val="nil"/>
              <w:left w:val="nil"/>
              <w:right w:val="nil"/>
            </w:tcBorders>
            <w:shd w:val="clear" w:color="auto" w:fill="auto"/>
            <w:noWrap/>
            <w:vAlign w:val="bottom"/>
            <w:hideMark/>
          </w:tcPr>
          <w:p w14:paraId="1A055DA4" w14:textId="58B8014E" w:rsidR="00654C34" w:rsidRPr="004D5393" w:rsidRDefault="00654C34" w:rsidP="00F11295">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01/01/2013</w:t>
            </w:r>
            <w:r w:rsidR="0038719B" w:rsidRPr="004D5393">
              <w:rPr>
                <w:rFonts w:ascii="Times New Roman" w:hAnsi="Times New Roman" w:cs="Times New Roman"/>
                <w:sz w:val="24"/>
                <w:szCs w:val="24"/>
              </w:rPr>
              <w:t xml:space="preserve"> −</w:t>
            </w:r>
            <w:r w:rsidRPr="004D5393">
              <w:rPr>
                <w:rFonts w:ascii="Times New Roman" w:hAnsi="Times New Roman" w:cs="Times New Roman"/>
                <w:sz w:val="24"/>
                <w:szCs w:val="24"/>
              </w:rPr>
              <w:t xml:space="preserve"> </w:t>
            </w:r>
            <w:r w:rsidR="006E0FEC">
              <w:rPr>
                <w:rFonts w:ascii="Times New Roman" w:hAnsi="Times New Roman" w:cs="Times New Roman"/>
                <w:sz w:val="24"/>
                <w:szCs w:val="24"/>
              </w:rPr>
              <w:t>12</w:t>
            </w:r>
            <w:r w:rsidR="00F3009E" w:rsidRPr="004D5393">
              <w:rPr>
                <w:rFonts w:ascii="Times New Roman" w:hAnsi="Times New Roman" w:cs="Times New Roman"/>
                <w:sz w:val="24"/>
                <w:szCs w:val="24"/>
              </w:rPr>
              <w:t>/</w:t>
            </w:r>
            <w:r w:rsidR="006E0FEC">
              <w:rPr>
                <w:rFonts w:ascii="Times New Roman" w:hAnsi="Times New Roman" w:cs="Times New Roman"/>
                <w:sz w:val="24"/>
                <w:szCs w:val="24"/>
              </w:rPr>
              <w:t>31</w:t>
            </w:r>
            <w:r w:rsidRPr="004D5393">
              <w:rPr>
                <w:rFonts w:ascii="Times New Roman" w:hAnsi="Times New Roman" w:cs="Times New Roman"/>
                <w:sz w:val="24"/>
                <w:szCs w:val="24"/>
              </w:rPr>
              <w:t>/2013</w:t>
            </w:r>
          </w:p>
        </w:tc>
        <w:tc>
          <w:tcPr>
            <w:tcW w:w="1117" w:type="dxa"/>
            <w:tcBorders>
              <w:top w:val="nil"/>
              <w:left w:val="nil"/>
              <w:right w:val="nil"/>
            </w:tcBorders>
            <w:shd w:val="clear" w:color="auto" w:fill="auto"/>
            <w:noWrap/>
            <w:vAlign w:val="bottom"/>
            <w:hideMark/>
          </w:tcPr>
          <w:p w14:paraId="5AE60B55"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153</w:t>
            </w:r>
          </w:p>
        </w:tc>
        <w:tc>
          <w:tcPr>
            <w:tcW w:w="2233" w:type="dxa"/>
            <w:tcBorders>
              <w:top w:val="nil"/>
              <w:left w:val="nil"/>
              <w:right w:val="nil"/>
            </w:tcBorders>
            <w:shd w:val="clear" w:color="auto" w:fill="auto"/>
            <w:noWrap/>
            <w:vAlign w:val="bottom"/>
            <w:hideMark/>
          </w:tcPr>
          <w:p w14:paraId="464DA2E8"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142</w:t>
            </w:r>
          </w:p>
        </w:tc>
        <w:tc>
          <w:tcPr>
            <w:tcW w:w="1155" w:type="dxa"/>
            <w:tcBorders>
              <w:top w:val="nil"/>
              <w:left w:val="nil"/>
              <w:right w:val="nil"/>
            </w:tcBorders>
            <w:shd w:val="clear" w:color="auto" w:fill="auto"/>
            <w:noWrap/>
            <w:vAlign w:val="bottom"/>
            <w:hideMark/>
          </w:tcPr>
          <w:p w14:paraId="2B6F6EC1"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295</w:t>
            </w:r>
          </w:p>
        </w:tc>
      </w:tr>
      <w:tr w:rsidR="00654C34" w:rsidRPr="000C64AD" w14:paraId="7E481FF6" w14:textId="77777777" w:rsidTr="00FF6366">
        <w:trPr>
          <w:trHeight w:val="278"/>
        </w:trPr>
        <w:tc>
          <w:tcPr>
            <w:tcW w:w="4296" w:type="dxa"/>
            <w:tcBorders>
              <w:top w:val="nil"/>
              <w:left w:val="nil"/>
              <w:right w:val="nil"/>
            </w:tcBorders>
            <w:shd w:val="clear" w:color="auto" w:fill="auto"/>
            <w:noWrap/>
            <w:vAlign w:val="bottom"/>
            <w:hideMark/>
          </w:tcPr>
          <w:p w14:paraId="1DC80BE2" w14:textId="457A016F" w:rsidR="00654C34" w:rsidRPr="004D5393" w:rsidRDefault="00654C34" w:rsidP="00F11295">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01/01/2014</w:t>
            </w:r>
            <w:r w:rsidR="0038719B" w:rsidRPr="004D5393">
              <w:rPr>
                <w:rFonts w:ascii="Times New Roman" w:hAnsi="Times New Roman" w:cs="Times New Roman"/>
                <w:sz w:val="24"/>
                <w:szCs w:val="24"/>
              </w:rPr>
              <w:t xml:space="preserve"> −</w:t>
            </w:r>
            <w:r w:rsidRPr="004D5393">
              <w:rPr>
                <w:rFonts w:ascii="Times New Roman" w:hAnsi="Times New Roman" w:cs="Times New Roman"/>
                <w:sz w:val="24"/>
                <w:szCs w:val="24"/>
              </w:rPr>
              <w:t xml:space="preserve"> </w:t>
            </w:r>
            <w:r w:rsidR="006E0FEC" w:rsidRPr="004D5393">
              <w:rPr>
                <w:rFonts w:ascii="Times New Roman" w:hAnsi="Times New Roman" w:cs="Times New Roman"/>
                <w:sz w:val="24"/>
                <w:szCs w:val="24"/>
              </w:rPr>
              <w:t>0</w:t>
            </w:r>
            <w:r w:rsidR="006E0FEC">
              <w:rPr>
                <w:rFonts w:ascii="Times New Roman" w:hAnsi="Times New Roman" w:cs="Times New Roman"/>
                <w:sz w:val="24"/>
                <w:szCs w:val="24"/>
              </w:rPr>
              <w:t>5</w:t>
            </w:r>
            <w:r w:rsidRPr="004D5393">
              <w:rPr>
                <w:rFonts w:ascii="Times New Roman" w:hAnsi="Times New Roman" w:cs="Times New Roman"/>
                <w:sz w:val="24"/>
                <w:szCs w:val="24"/>
              </w:rPr>
              <w:t>/</w:t>
            </w:r>
            <w:r w:rsidR="006E0FEC" w:rsidRPr="004D5393">
              <w:rPr>
                <w:rFonts w:ascii="Times New Roman" w:hAnsi="Times New Roman" w:cs="Times New Roman"/>
                <w:sz w:val="24"/>
                <w:szCs w:val="24"/>
              </w:rPr>
              <w:t>0</w:t>
            </w:r>
            <w:r w:rsidR="006E0FEC">
              <w:rPr>
                <w:rFonts w:ascii="Times New Roman" w:hAnsi="Times New Roman" w:cs="Times New Roman"/>
                <w:sz w:val="24"/>
                <w:szCs w:val="24"/>
              </w:rPr>
              <w:t>1</w:t>
            </w:r>
            <w:r w:rsidRPr="004D5393">
              <w:rPr>
                <w:rFonts w:ascii="Times New Roman" w:hAnsi="Times New Roman" w:cs="Times New Roman"/>
                <w:sz w:val="24"/>
                <w:szCs w:val="24"/>
              </w:rPr>
              <w:t>/2014</w:t>
            </w:r>
          </w:p>
        </w:tc>
        <w:tc>
          <w:tcPr>
            <w:tcW w:w="1117" w:type="dxa"/>
            <w:tcBorders>
              <w:top w:val="nil"/>
              <w:left w:val="nil"/>
              <w:right w:val="nil"/>
            </w:tcBorders>
            <w:shd w:val="clear" w:color="auto" w:fill="auto"/>
            <w:noWrap/>
            <w:vAlign w:val="bottom"/>
            <w:hideMark/>
          </w:tcPr>
          <w:p w14:paraId="1E7CA2DD"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66</w:t>
            </w:r>
          </w:p>
        </w:tc>
        <w:tc>
          <w:tcPr>
            <w:tcW w:w="2233" w:type="dxa"/>
            <w:tcBorders>
              <w:top w:val="nil"/>
              <w:left w:val="nil"/>
              <w:right w:val="nil"/>
            </w:tcBorders>
            <w:shd w:val="clear" w:color="auto" w:fill="auto"/>
            <w:noWrap/>
            <w:vAlign w:val="bottom"/>
            <w:hideMark/>
          </w:tcPr>
          <w:p w14:paraId="2E80AFE2"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39</w:t>
            </w:r>
          </w:p>
        </w:tc>
        <w:tc>
          <w:tcPr>
            <w:tcW w:w="1155" w:type="dxa"/>
            <w:tcBorders>
              <w:top w:val="nil"/>
              <w:left w:val="nil"/>
              <w:right w:val="nil"/>
            </w:tcBorders>
            <w:shd w:val="clear" w:color="auto" w:fill="auto"/>
            <w:noWrap/>
            <w:vAlign w:val="bottom"/>
            <w:hideMark/>
          </w:tcPr>
          <w:p w14:paraId="19E84267"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105</w:t>
            </w:r>
          </w:p>
        </w:tc>
      </w:tr>
      <w:tr w:rsidR="00654C34" w:rsidRPr="000C64AD" w14:paraId="1FAFA81E" w14:textId="77777777" w:rsidTr="00FF6366">
        <w:trPr>
          <w:trHeight w:val="278"/>
        </w:trPr>
        <w:tc>
          <w:tcPr>
            <w:tcW w:w="4296" w:type="dxa"/>
            <w:tcBorders>
              <w:top w:val="nil"/>
              <w:left w:val="nil"/>
              <w:bottom w:val="single" w:sz="4" w:space="0" w:color="auto"/>
              <w:right w:val="nil"/>
            </w:tcBorders>
            <w:shd w:val="clear" w:color="auto" w:fill="auto"/>
            <w:noWrap/>
            <w:vAlign w:val="bottom"/>
          </w:tcPr>
          <w:p w14:paraId="2FFF2990"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Total Recommendation Excluded</w:t>
            </w:r>
          </w:p>
        </w:tc>
        <w:tc>
          <w:tcPr>
            <w:tcW w:w="1117" w:type="dxa"/>
            <w:tcBorders>
              <w:top w:val="nil"/>
              <w:left w:val="nil"/>
              <w:bottom w:val="single" w:sz="4" w:space="0" w:color="auto"/>
              <w:right w:val="nil"/>
            </w:tcBorders>
            <w:shd w:val="clear" w:color="auto" w:fill="auto"/>
            <w:noWrap/>
            <w:vAlign w:val="bottom"/>
          </w:tcPr>
          <w:p w14:paraId="6AEA4344"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(29)</w:t>
            </w:r>
          </w:p>
        </w:tc>
        <w:tc>
          <w:tcPr>
            <w:tcW w:w="2233" w:type="dxa"/>
            <w:tcBorders>
              <w:top w:val="nil"/>
              <w:left w:val="nil"/>
              <w:bottom w:val="single" w:sz="4" w:space="0" w:color="auto"/>
              <w:right w:val="nil"/>
            </w:tcBorders>
            <w:shd w:val="clear" w:color="auto" w:fill="auto"/>
            <w:noWrap/>
            <w:vAlign w:val="bottom"/>
          </w:tcPr>
          <w:p w14:paraId="38236C42"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(26)</w:t>
            </w:r>
          </w:p>
        </w:tc>
        <w:tc>
          <w:tcPr>
            <w:tcW w:w="1155" w:type="dxa"/>
            <w:tcBorders>
              <w:top w:val="nil"/>
              <w:left w:val="nil"/>
              <w:bottom w:val="single" w:sz="4" w:space="0" w:color="auto"/>
              <w:right w:val="nil"/>
            </w:tcBorders>
            <w:shd w:val="clear" w:color="auto" w:fill="auto"/>
            <w:noWrap/>
            <w:vAlign w:val="bottom"/>
          </w:tcPr>
          <w:p w14:paraId="41FCF0D3"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(55)</w:t>
            </w:r>
          </w:p>
        </w:tc>
      </w:tr>
      <w:tr w:rsidR="00654C34" w:rsidRPr="000C64AD" w14:paraId="4C5F0AFE" w14:textId="77777777" w:rsidTr="00FF6366">
        <w:trPr>
          <w:trHeight w:val="278"/>
        </w:trPr>
        <w:tc>
          <w:tcPr>
            <w:tcW w:w="4296" w:type="dxa"/>
            <w:tcBorders>
              <w:top w:val="single" w:sz="4" w:space="0" w:color="auto"/>
              <w:left w:val="nil"/>
              <w:right w:val="nil"/>
            </w:tcBorders>
            <w:shd w:val="clear" w:color="auto" w:fill="auto"/>
            <w:noWrap/>
            <w:vAlign w:val="center"/>
          </w:tcPr>
          <w:p w14:paraId="30D15C18"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Total</w:t>
            </w:r>
          </w:p>
        </w:tc>
        <w:tc>
          <w:tcPr>
            <w:tcW w:w="1117" w:type="dxa"/>
            <w:tcBorders>
              <w:top w:val="single" w:sz="4" w:space="0" w:color="auto"/>
              <w:left w:val="nil"/>
              <w:right w:val="nil"/>
            </w:tcBorders>
            <w:shd w:val="clear" w:color="auto" w:fill="auto"/>
            <w:noWrap/>
            <w:vAlign w:val="center"/>
            <w:hideMark/>
          </w:tcPr>
          <w:p w14:paraId="6AC6CC59"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855</w:t>
            </w:r>
          </w:p>
        </w:tc>
        <w:tc>
          <w:tcPr>
            <w:tcW w:w="2233" w:type="dxa"/>
            <w:tcBorders>
              <w:top w:val="single" w:sz="4" w:space="0" w:color="auto"/>
              <w:left w:val="nil"/>
              <w:right w:val="nil"/>
            </w:tcBorders>
            <w:shd w:val="clear" w:color="auto" w:fill="auto"/>
            <w:noWrap/>
            <w:vAlign w:val="center"/>
            <w:hideMark/>
          </w:tcPr>
          <w:p w14:paraId="679A650C"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841</w:t>
            </w:r>
          </w:p>
        </w:tc>
        <w:tc>
          <w:tcPr>
            <w:tcW w:w="1155" w:type="dxa"/>
            <w:tcBorders>
              <w:top w:val="single" w:sz="4" w:space="0" w:color="auto"/>
              <w:left w:val="nil"/>
              <w:right w:val="nil"/>
            </w:tcBorders>
            <w:shd w:val="clear" w:color="auto" w:fill="auto"/>
            <w:noWrap/>
            <w:vAlign w:val="center"/>
            <w:hideMark/>
          </w:tcPr>
          <w:p w14:paraId="29235ACC" w14:textId="77777777" w:rsidR="00654C34" w:rsidRPr="004D5393" w:rsidRDefault="00654C34" w:rsidP="00586402">
            <w:pPr>
              <w:spacing w:after="0"/>
              <w:ind w:right="-1"/>
              <w:jc w:val="both"/>
              <w:rPr>
                <w:rFonts w:ascii="Times New Roman" w:hAnsi="Times New Roman" w:cs="Times New Roman"/>
                <w:sz w:val="24"/>
                <w:szCs w:val="24"/>
              </w:rPr>
            </w:pPr>
            <w:r w:rsidRPr="004D5393">
              <w:rPr>
                <w:rFonts w:ascii="Times New Roman" w:hAnsi="Times New Roman" w:cs="Times New Roman"/>
                <w:sz w:val="24"/>
                <w:szCs w:val="24"/>
              </w:rPr>
              <w:t>1696</w:t>
            </w:r>
          </w:p>
        </w:tc>
      </w:tr>
    </w:tbl>
    <w:p w14:paraId="753585AA" w14:textId="3BB762A2" w:rsidR="00654C34" w:rsidRDefault="00654C34" w:rsidP="00586402">
      <w:pPr>
        <w:jc w:val="both"/>
        <w:rPr>
          <w:rFonts w:ascii="Times New Roman" w:hAnsi="Times New Roman" w:cs="Times New Roman"/>
          <w:b/>
          <w:sz w:val="24"/>
          <w:szCs w:val="24"/>
        </w:rPr>
      </w:pPr>
    </w:p>
    <w:p w14:paraId="054FB5E6" w14:textId="5E01F23F" w:rsidR="00424F4B" w:rsidRDefault="00424F4B" w:rsidP="00586402">
      <w:pPr>
        <w:jc w:val="both"/>
        <w:rPr>
          <w:rFonts w:ascii="Times New Roman" w:hAnsi="Times New Roman" w:cs="Times New Roman"/>
          <w:b/>
          <w:sz w:val="24"/>
          <w:szCs w:val="24"/>
        </w:rPr>
      </w:pPr>
    </w:p>
    <w:p w14:paraId="0BB755D9" w14:textId="13651C15" w:rsidR="00424F4B" w:rsidRDefault="00424F4B" w:rsidP="00586402">
      <w:pPr>
        <w:jc w:val="both"/>
        <w:rPr>
          <w:rFonts w:ascii="Times New Roman" w:hAnsi="Times New Roman" w:cs="Times New Roman"/>
          <w:b/>
          <w:sz w:val="24"/>
          <w:szCs w:val="24"/>
        </w:rPr>
      </w:pPr>
    </w:p>
    <w:p w14:paraId="28F31896" w14:textId="11030CDC" w:rsidR="00424F4B" w:rsidRDefault="00424F4B" w:rsidP="00586402">
      <w:pPr>
        <w:jc w:val="both"/>
        <w:rPr>
          <w:rFonts w:ascii="Times New Roman" w:hAnsi="Times New Roman" w:cs="Times New Roman"/>
          <w:b/>
          <w:sz w:val="24"/>
          <w:szCs w:val="24"/>
        </w:rPr>
      </w:pPr>
    </w:p>
    <w:p w14:paraId="3D1109A5" w14:textId="51ABE1D9" w:rsidR="00424F4B" w:rsidRDefault="00424F4B" w:rsidP="00586402">
      <w:pPr>
        <w:jc w:val="both"/>
        <w:rPr>
          <w:rFonts w:ascii="Times New Roman" w:hAnsi="Times New Roman" w:cs="Times New Roman"/>
          <w:b/>
          <w:sz w:val="24"/>
          <w:szCs w:val="24"/>
        </w:rPr>
      </w:pPr>
    </w:p>
    <w:p w14:paraId="4A0412AE" w14:textId="194D76AE" w:rsidR="00424F4B" w:rsidRDefault="00424F4B" w:rsidP="00586402">
      <w:pPr>
        <w:jc w:val="both"/>
        <w:rPr>
          <w:rFonts w:ascii="Times New Roman" w:hAnsi="Times New Roman" w:cs="Times New Roman"/>
          <w:b/>
          <w:sz w:val="24"/>
          <w:szCs w:val="24"/>
        </w:rPr>
      </w:pPr>
    </w:p>
    <w:p w14:paraId="4BCEA00A" w14:textId="50DE8DA0" w:rsidR="00424F4B" w:rsidRDefault="00424F4B" w:rsidP="00586402">
      <w:pPr>
        <w:jc w:val="both"/>
        <w:rPr>
          <w:rFonts w:ascii="Times New Roman" w:hAnsi="Times New Roman" w:cs="Times New Roman"/>
          <w:b/>
          <w:sz w:val="24"/>
          <w:szCs w:val="24"/>
        </w:rPr>
      </w:pPr>
    </w:p>
    <w:p w14:paraId="04EC25D8" w14:textId="72748677" w:rsidR="00424F4B" w:rsidRDefault="00424F4B" w:rsidP="00586402">
      <w:pPr>
        <w:jc w:val="both"/>
        <w:rPr>
          <w:rFonts w:ascii="Times New Roman" w:hAnsi="Times New Roman" w:cs="Times New Roman"/>
          <w:b/>
          <w:sz w:val="24"/>
          <w:szCs w:val="24"/>
        </w:rPr>
      </w:pPr>
    </w:p>
    <w:p w14:paraId="7B576981" w14:textId="637777D1" w:rsidR="00424F4B" w:rsidRDefault="00424F4B" w:rsidP="00586402">
      <w:pPr>
        <w:jc w:val="both"/>
        <w:rPr>
          <w:rFonts w:ascii="Times New Roman" w:hAnsi="Times New Roman" w:cs="Times New Roman"/>
          <w:b/>
          <w:sz w:val="24"/>
          <w:szCs w:val="24"/>
        </w:rPr>
      </w:pPr>
    </w:p>
    <w:p w14:paraId="793C73CD" w14:textId="1F336860" w:rsidR="00424F4B" w:rsidRDefault="00424F4B" w:rsidP="00586402">
      <w:pPr>
        <w:jc w:val="both"/>
        <w:rPr>
          <w:rFonts w:ascii="Times New Roman" w:hAnsi="Times New Roman" w:cs="Times New Roman"/>
          <w:b/>
          <w:sz w:val="24"/>
          <w:szCs w:val="24"/>
        </w:rPr>
      </w:pPr>
    </w:p>
    <w:p w14:paraId="1237E9BE" w14:textId="060EE0B7" w:rsidR="00424F4B" w:rsidRDefault="00424F4B" w:rsidP="00586402">
      <w:pPr>
        <w:jc w:val="both"/>
        <w:rPr>
          <w:rFonts w:ascii="Times New Roman" w:hAnsi="Times New Roman" w:cs="Times New Roman"/>
          <w:b/>
          <w:sz w:val="24"/>
          <w:szCs w:val="24"/>
        </w:rPr>
      </w:pPr>
    </w:p>
    <w:p w14:paraId="03CF72EC" w14:textId="4878822E" w:rsidR="00424F4B" w:rsidRDefault="00424F4B" w:rsidP="00586402">
      <w:pPr>
        <w:jc w:val="both"/>
        <w:rPr>
          <w:rFonts w:ascii="Times New Roman" w:hAnsi="Times New Roman" w:cs="Times New Roman"/>
          <w:b/>
          <w:sz w:val="24"/>
          <w:szCs w:val="24"/>
        </w:rPr>
      </w:pPr>
    </w:p>
    <w:p w14:paraId="5226EC43" w14:textId="3A42A01B" w:rsidR="00424F4B" w:rsidRDefault="00424F4B" w:rsidP="00586402">
      <w:pPr>
        <w:jc w:val="both"/>
        <w:rPr>
          <w:rFonts w:ascii="Times New Roman" w:hAnsi="Times New Roman" w:cs="Times New Roman"/>
          <w:b/>
          <w:sz w:val="24"/>
          <w:szCs w:val="24"/>
        </w:rPr>
      </w:pPr>
    </w:p>
    <w:p w14:paraId="2904F684" w14:textId="3E71DD1A" w:rsidR="00424F4B" w:rsidRDefault="00424F4B" w:rsidP="00586402">
      <w:pPr>
        <w:jc w:val="both"/>
        <w:rPr>
          <w:rFonts w:ascii="Times New Roman" w:hAnsi="Times New Roman" w:cs="Times New Roman"/>
          <w:b/>
          <w:sz w:val="24"/>
          <w:szCs w:val="24"/>
        </w:rPr>
      </w:pPr>
    </w:p>
    <w:p w14:paraId="313BFC4C" w14:textId="654ABEE2" w:rsidR="00424F4B" w:rsidRDefault="00424F4B" w:rsidP="00586402">
      <w:pPr>
        <w:jc w:val="both"/>
        <w:rPr>
          <w:rFonts w:ascii="Times New Roman" w:hAnsi="Times New Roman" w:cs="Times New Roman"/>
          <w:b/>
          <w:sz w:val="24"/>
          <w:szCs w:val="24"/>
        </w:rPr>
      </w:pPr>
    </w:p>
    <w:p w14:paraId="7F89C4AE" w14:textId="6B3E0533" w:rsidR="00424F4B" w:rsidRDefault="00424F4B" w:rsidP="00586402">
      <w:pPr>
        <w:jc w:val="both"/>
        <w:rPr>
          <w:rFonts w:ascii="Times New Roman" w:hAnsi="Times New Roman" w:cs="Times New Roman"/>
          <w:b/>
          <w:sz w:val="24"/>
          <w:szCs w:val="24"/>
        </w:rPr>
      </w:pPr>
    </w:p>
    <w:p w14:paraId="61A29273" w14:textId="5A3AFDBD" w:rsidR="00B846CE" w:rsidRPr="001911BA" w:rsidRDefault="00B846CE" w:rsidP="00B846CE">
      <w:pPr>
        <w:spacing w:after="0" w:line="240" w:lineRule="auto"/>
        <w:jc w:val="both"/>
        <w:rPr>
          <w:rFonts w:ascii="Times New Roman" w:eastAsia="Times New Roman" w:hAnsi="Times New Roman" w:cs="Times New Roman"/>
          <w:b/>
          <w:color w:val="000000"/>
          <w:sz w:val="24"/>
          <w:szCs w:val="24"/>
        </w:rPr>
      </w:pPr>
      <w:r w:rsidRPr="001911BA">
        <w:rPr>
          <w:rFonts w:ascii="Times New Roman" w:eastAsia="Times New Roman" w:hAnsi="Times New Roman" w:cs="Times New Roman"/>
          <w:b/>
          <w:color w:val="000000"/>
          <w:sz w:val="24"/>
          <w:szCs w:val="24"/>
          <w:u w:val="single"/>
        </w:rPr>
        <w:t xml:space="preserve">Table </w:t>
      </w:r>
      <w:r w:rsidRPr="001911BA">
        <w:rPr>
          <w:rFonts w:ascii="Times New Roman" w:eastAsia="Times New Roman" w:hAnsi="Times New Roman" w:cs="Times New Roman"/>
          <w:b/>
          <w:color w:val="000000"/>
          <w:sz w:val="24"/>
          <w:szCs w:val="24"/>
          <w:u w:val="single"/>
        </w:rPr>
        <w:fldChar w:fldCharType="begin"/>
      </w:r>
      <w:r w:rsidRPr="001911BA">
        <w:rPr>
          <w:rFonts w:ascii="Times New Roman" w:eastAsia="Times New Roman" w:hAnsi="Times New Roman" w:cs="Times New Roman"/>
          <w:b/>
          <w:color w:val="000000"/>
          <w:sz w:val="24"/>
          <w:szCs w:val="24"/>
          <w:u w:val="single"/>
        </w:rPr>
        <w:instrText xml:space="preserve"> SEQ Table \* ARABIC </w:instrText>
      </w:r>
      <w:r w:rsidRPr="001911BA">
        <w:rPr>
          <w:rFonts w:ascii="Times New Roman" w:eastAsia="Times New Roman" w:hAnsi="Times New Roman" w:cs="Times New Roman"/>
          <w:b/>
          <w:color w:val="000000"/>
          <w:sz w:val="24"/>
          <w:szCs w:val="24"/>
          <w:u w:val="single"/>
        </w:rPr>
        <w:fldChar w:fldCharType="separate"/>
      </w:r>
      <w:r w:rsidR="00D938A4">
        <w:rPr>
          <w:rFonts w:ascii="Times New Roman" w:eastAsia="Times New Roman" w:hAnsi="Times New Roman" w:cs="Times New Roman"/>
          <w:b/>
          <w:noProof/>
          <w:color w:val="000000"/>
          <w:sz w:val="24"/>
          <w:szCs w:val="24"/>
          <w:u w:val="single"/>
        </w:rPr>
        <w:t>2</w:t>
      </w:r>
      <w:r w:rsidRPr="001911BA">
        <w:rPr>
          <w:rFonts w:ascii="Times New Roman" w:eastAsia="Times New Roman" w:hAnsi="Times New Roman" w:cs="Times New Roman"/>
          <w:b/>
          <w:color w:val="000000"/>
          <w:sz w:val="24"/>
          <w:szCs w:val="24"/>
          <w:u w:val="single"/>
        </w:rPr>
        <w:fldChar w:fldCharType="end"/>
      </w:r>
    </w:p>
    <w:p w14:paraId="34D925B0" w14:textId="330C79B1" w:rsidR="00B846CE" w:rsidRPr="001911BA" w:rsidRDefault="00B846CE" w:rsidP="00B846CE">
      <w:pPr>
        <w:spacing w:after="0" w:line="240" w:lineRule="auto"/>
        <w:jc w:val="both"/>
        <w:rPr>
          <w:rFonts w:ascii="Times New Roman" w:eastAsia="Times New Roman" w:hAnsi="Times New Roman" w:cs="Times New Roman"/>
          <w:b/>
          <w:color w:val="000000"/>
          <w:sz w:val="24"/>
          <w:szCs w:val="24"/>
        </w:rPr>
      </w:pPr>
      <w:r w:rsidRPr="001911BA">
        <w:rPr>
          <w:rFonts w:ascii="Times New Roman" w:eastAsia="Times New Roman" w:hAnsi="Times New Roman" w:cs="Times New Roman"/>
          <w:b/>
          <w:color w:val="000000"/>
          <w:sz w:val="24"/>
          <w:szCs w:val="24"/>
        </w:rPr>
        <w:t xml:space="preserve">Average Abnormal Returns </w:t>
      </w:r>
      <w:r>
        <w:rPr>
          <w:rFonts w:ascii="Times New Roman" w:eastAsia="Times New Roman" w:hAnsi="Times New Roman" w:cs="Times New Roman"/>
          <w:b/>
          <w:color w:val="000000"/>
          <w:sz w:val="24"/>
          <w:szCs w:val="24"/>
        </w:rPr>
        <w:t xml:space="preserve">for </w:t>
      </w:r>
      <w:r w:rsidRPr="001911BA">
        <w:rPr>
          <w:rFonts w:ascii="Times New Roman" w:eastAsia="Times New Roman" w:hAnsi="Times New Roman" w:cs="Times New Roman"/>
          <w:b/>
          <w:color w:val="000000"/>
          <w:sz w:val="24"/>
          <w:szCs w:val="24"/>
        </w:rPr>
        <w:t>recommendation upgrades surrounding the day of release</w:t>
      </w:r>
      <w:r>
        <w:rPr>
          <w:rFonts w:ascii="Times New Roman" w:eastAsia="Times New Roman" w:hAnsi="Times New Roman" w:cs="Times New Roman"/>
          <w:b/>
          <w:color w:val="000000"/>
          <w:sz w:val="24"/>
          <w:szCs w:val="24"/>
        </w:rPr>
        <w:t>.</w:t>
      </w:r>
      <w:r w:rsidRPr="001911B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The data window runs from</w:t>
      </w:r>
      <w:r w:rsidR="006E0FE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January </w:t>
      </w:r>
      <w:r w:rsidR="006E0FEC">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2</w:t>
      </w:r>
      <w:r w:rsidRPr="001911BA">
        <w:rPr>
          <w:rFonts w:ascii="Times New Roman" w:eastAsia="Times New Roman" w:hAnsi="Times New Roman" w:cs="Times New Roman"/>
          <w:b/>
          <w:color w:val="000000"/>
          <w:sz w:val="24"/>
          <w:szCs w:val="24"/>
        </w:rPr>
        <w:t xml:space="preserve">009 to </w:t>
      </w:r>
      <w:r>
        <w:rPr>
          <w:rFonts w:ascii="Times New Roman" w:eastAsia="Times New Roman" w:hAnsi="Times New Roman" w:cs="Times New Roman"/>
          <w:b/>
          <w:color w:val="000000"/>
          <w:sz w:val="24"/>
          <w:szCs w:val="24"/>
        </w:rPr>
        <w:t xml:space="preserve">May </w:t>
      </w:r>
      <w:r w:rsidR="006E0FEC">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2</w:t>
      </w:r>
      <w:r w:rsidRPr="001911BA">
        <w:rPr>
          <w:rFonts w:ascii="Times New Roman" w:eastAsia="Times New Roman" w:hAnsi="Times New Roman" w:cs="Times New Roman"/>
          <w:b/>
          <w:color w:val="000000"/>
          <w:sz w:val="24"/>
          <w:szCs w:val="24"/>
        </w:rPr>
        <w:t>014 (Based on 100 days estimation period)</w:t>
      </w:r>
    </w:p>
    <w:tbl>
      <w:tblPr>
        <w:tblpPr w:leftFromText="180" w:rightFromText="180" w:vertAnchor="text" w:horzAnchor="margin" w:tblpXSpec="center" w:tblpY="306"/>
        <w:tblW w:w="4663" w:type="dxa"/>
        <w:tblLook w:val="04A0" w:firstRow="1" w:lastRow="0" w:firstColumn="1" w:lastColumn="0" w:noHBand="0" w:noVBand="1"/>
      </w:tblPr>
      <w:tblGrid>
        <w:gridCol w:w="836"/>
        <w:gridCol w:w="1589"/>
        <w:gridCol w:w="2238"/>
      </w:tblGrid>
      <w:tr w:rsidR="00B846CE" w:rsidRPr="000C64AD" w14:paraId="055E56A7" w14:textId="77777777" w:rsidTr="00A33AA6">
        <w:trPr>
          <w:trHeight w:val="470"/>
        </w:trPr>
        <w:tc>
          <w:tcPr>
            <w:tcW w:w="836" w:type="dxa"/>
            <w:tcBorders>
              <w:top w:val="nil"/>
              <w:left w:val="nil"/>
              <w:bottom w:val="single" w:sz="4" w:space="0" w:color="auto"/>
              <w:right w:val="nil"/>
            </w:tcBorders>
            <w:shd w:val="clear" w:color="auto" w:fill="auto"/>
            <w:noWrap/>
            <w:vAlign w:val="bottom"/>
            <w:hideMark/>
          </w:tcPr>
          <w:p w14:paraId="09879799"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Event Day</w:t>
            </w:r>
          </w:p>
        </w:tc>
        <w:tc>
          <w:tcPr>
            <w:tcW w:w="1589" w:type="dxa"/>
            <w:tcBorders>
              <w:top w:val="nil"/>
              <w:left w:val="nil"/>
              <w:bottom w:val="single" w:sz="4" w:space="0" w:color="auto"/>
              <w:right w:val="nil"/>
            </w:tcBorders>
            <w:shd w:val="clear" w:color="auto" w:fill="auto"/>
            <w:noWrap/>
            <w:vAlign w:val="bottom"/>
            <w:hideMark/>
          </w:tcPr>
          <w:p w14:paraId="31CF8713" w14:textId="77777777" w:rsidR="00B846CE"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Average </w:t>
            </w:r>
            <w:r w:rsidRPr="00D62591">
              <w:rPr>
                <w:rFonts w:ascii="Times New Roman" w:eastAsia="Times New Roman" w:hAnsi="Times New Roman" w:cs="Times New Roman"/>
                <w:color w:val="000000"/>
                <w:sz w:val="24"/>
                <w:szCs w:val="24"/>
              </w:rPr>
              <w:t xml:space="preserve">AR </w:t>
            </w:r>
          </w:p>
          <w:p w14:paraId="017DAA1D" w14:textId="77777777" w:rsidR="00B846CE" w:rsidRPr="004D5393" w:rsidRDefault="00B846CE" w:rsidP="00A33AA6">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62591">
              <w:rPr>
                <w:rFonts w:ascii="Times New Roman" w:eastAsia="Times New Roman" w:hAnsi="Times New Roman" w:cs="Times New Roman"/>
                <w:color w:val="000000"/>
                <w:sz w:val="24"/>
                <w:szCs w:val="24"/>
              </w:rPr>
              <w:t>(%)</w:t>
            </w:r>
          </w:p>
        </w:tc>
        <w:tc>
          <w:tcPr>
            <w:tcW w:w="2238" w:type="dxa"/>
            <w:tcBorders>
              <w:top w:val="nil"/>
              <w:left w:val="nil"/>
              <w:bottom w:val="single" w:sz="4" w:space="0" w:color="auto"/>
              <w:right w:val="nil"/>
            </w:tcBorders>
            <w:shd w:val="clear" w:color="auto" w:fill="auto"/>
            <w:noWrap/>
            <w:vAlign w:val="bottom"/>
            <w:hideMark/>
          </w:tcPr>
          <w:p w14:paraId="4CF3D594"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t−statistics for</w:t>
            </w:r>
          </w:p>
          <w:p w14:paraId="41556DB4" w14:textId="3D2C1AC4"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Average AR</w:t>
            </w:r>
          </w:p>
        </w:tc>
      </w:tr>
      <w:tr w:rsidR="00B846CE" w:rsidRPr="000C64AD" w14:paraId="37E41D99" w14:textId="77777777" w:rsidTr="00A33AA6">
        <w:trPr>
          <w:trHeight w:val="470"/>
        </w:trPr>
        <w:tc>
          <w:tcPr>
            <w:tcW w:w="836" w:type="dxa"/>
            <w:tcBorders>
              <w:top w:val="nil"/>
              <w:left w:val="nil"/>
              <w:bottom w:val="nil"/>
              <w:right w:val="nil"/>
            </w:tcBorders>
            <w:shd w:val="clear" w:color="auto" w:fill="auto"/>
            <w:noWrap/>
            <w:vAlign w:val="bottom"/>
            <w:hideMark/>
          </w:tcPr>
          <w:p w14:paraId="0F2F0A5B"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−5</w:t>
            </w:r>
          </w:p>
        </w:tc>
        <w:tc>
          <w:tcPr>
            <w:tcW w:w="1589" w:type="dxa"/>
            <w:tcBorders>
              <w:top w:val="nil"/>
              <w:left w:val="nil"/>
              <w:bottom w:val="nil"/>
              <w:right w:val="nil"/>
            </w:tcBorders>
            <w:shd w:val="clear" w:color="auto" w:fill="auto"/>
            <w:noWrap/>
            <w:vAlign w:val="bottom"/>
            <w:hideMark/>
          </w:tcPr>
          <w:p w14:paraId="1AACF5B1"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−0.0403</w:t>
            </w:r>
          </w:p>
        </w:tc>
        <w:tc>
          <w:tcPr>
            <w:tcW w:w="2238" w:type="dxa"/>
            <w:tcBorders>
              <w:top w:val="nil"/>
              <w:left w:val="nil"/>
              <w:bottom w:val="nil"/>
              <w:right w:val="nil"/>
            </w:tcBorders>
            <w:shd w:val="clear" w:color="auto" w:fill="auto"/>
            <w:noWrap/>
            <w:vAlign w:val="bottom"/>
            <w:hideMark/>
          </w:tcPr>
          <w:p w14:paraId="785A365A"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−0.8160</w:t>
            </w:r>
          </w:p>
        </w:tc>
      </w:tr>
      <w:tr w:rsidR="00B846CE" w:rsidRPr="000C64AD" w14:paraId="5A0B67F5" w14:textId="77777777" w:rsidTr="00A33AA6">
        <w:trPr>
          <w:trHeight w:val="470"/>
        </w:trPr>
        <w:tc>
          <w:tcPr>
            <w:tcW w:w="836" w:type="dxa"/>
            <w:tcBorders>
              <w:top w:val="nil"/>
              <w:left w:val="nil"/>
              <w:bottom w:val="nil"/>
              <w:right w:val="nil"/>
            </w:tcBorders>
            <w:shd w:val="clear" w:color="auto" w:fill="auto"/>
            <w:noWrap/>
            <w:vAlign w:val="bottom"/>
            <w:hideMark/>
          </w:tcPr>
          <w:p w14:paraId="455036A5"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−4</w:t>
            </w:r>
          </w:p>
        </w:tc>
        <w:tc>
          <w:tcPr>
            <w:tcW w:w="1589" w:type="dxa"/>
            <w:tcBorders>
              <w:top w:val="nil"/>
              <w:left w:val="nil"/>
              <w:bottom w:val="nil"/>
              <w:right w:val="nil"/>
            </w:tcBorders>
            <w:shd w:val="clear" w:color="auto" w:fill="auto"/>
            <w:noWrap/>
            <w:vAlign w:val="bottom"/>
            <w:hideMark/>
          </w:tcPr>
          <w:p w14:paraId="314D3D65"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−0.0130</w:t>
            </w:r>
          </w:p>
        </w:tc>
        <w:tc>
          <w:tcPr>
            <w:tcW w:w="2238" w:type="dxa"/>
            <w:tcBorders>
              <w:top w:val="nil"/>
              <w:left w:val="nil"/>
              <w:bottom w:val="nil"/>
              <w:right w:val="nil"/>
            </w:tcBorders>
            <w:shd w:val="clear" w:color="auto" w:fill="auto"/>
            <w:noWrap/>
            <w:vAlign w:val="bottom"/>
            <w:hideMark/>
          </w:tcPr>
          <w:p w14:paraId="7B392347"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−0.6068</w:t>
            </w:r>
          </w:p>
        </w:tc>
      </w:tr>
      <w:tr w:rsidR="00B846CE" w:rsidRPr="000C64AD" w14:paraId="7747D3B8" w14:textId="77777777" w:rsidTr="00A33AA6">
        <w:trPr>
          <w:trHeight w:val="470"/>
        </w:trPr>
        <w:tc>
          <w:tcPr>
            <w:tcW w:w="836" w:type="dxa"/>
            <w:tcBorders>
              <w:top w:val="nil"/>
              <w:left w:val="nil"/>
              <w:bottom w:val="nil"/>
              <w:right w:val="nil"/>
            </w:tcBorders>
            <w:shd w:val="clear" w:color="auto" w:fill="auto"/>
            <w:noWrap/>
            <w:vAlign w:val="bottom"/>
            <w:hideMark/>
          </w:tcPr>
          <w:p w14:paraId="02A003F0"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−3</w:t>
            </w:r>
          </w:p>
        </w:tc>
        <w:tc>
          <w:tcPr>
            <w:tcW w:w="1589" w:type="dxa"/>
            <w:tcBorders>
              <w:top w:val="nil"/>
              <w:left w:val="nil"/>
              <w:bottom w:val="nil"/>
              <w:right w:val="nil"/>
            </w:tcBorders>
            <w:shd w:val="clear" w:color="auto" w:fill="auto"/>
            <w:noWrap/>
            <w:vAlign w:val="bottom"/>
            <w:hideMark/>
          </w:tcPr>
          <w:p w14:paraId="4FC3D12C"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−0.0907</w:t>
            </w:r>
          </w:p>
        </w:tc>
        <w:tc>
          <w:tcPr>
            <w:tcW w:w="2238" w:type="dxa"/>
            <w:tcBorders>
              <w:top w:val="nil"/>
              <w:left w:val="nil"/>
              <w:bottom w:val="nil"/>
              <w:right w:val="nil"/>
            </w:tcBorders>
            <w:shd w:val="clear" w:color="auto" w:fill="auto"/>
            <w:noWrap/>
            <w:vAlign w:val="bottom"/>
            <w:hideMark/>
          </w:tcPr>
          <w:p w14:paraId="263C6DAA"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−1.6468</w:t>
            </w:r>
            <w:r w:rsidRPr="004D5393">
              <w:rPr>
                <w:rFonts w:ascii="Times New Roman" w:eastAsia="Times New Roman" w:hAnsi="Times New Roman" w:cs="Times New Roman"/>
                <w:color w:val="000000"/>
                <w:sz w:val="24"/>
                <w:szCs w:val="24"/>
                <w:vertAlign w:val="superscript"/>
              </w:rPr>
              <w:t>*</w:t>
            </w:r>
          </w:p>
        </w:tc>
      </w:tr>
      <w:tr w:rsidR="00B846CE" w:rsidRPr="000C64AD" w14:paraId="6DD38BE1" w14:textId="77777777" w:rsidTr="00A33AA6">
        <w:trPr>
          <w:trHeight w:val="470"/>
        </w:trPr>
        <w:tc>
          <w:tcPr>
            <w:tcW w:w="836" w:type="dxa"/>
            <w:tcBorders>
              <w:top w:val="nil"/>
              <w:left w:val="nil"/>
              <w:bottom w:val="nil"/>
              <w:right w:val="nil"/>
            </w:tcBorders>
            <w:shd w:val="clear" w:color="auto" w:fill="auto"/>
            <w:noWrap/>
            <w:vAlign w:val="bottom"/>
            <w:hideMark/>
          </w:tcPr>
          <w:p w14:paraId="19922631"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−2</w:t>
            </w:r>
          </w:p>
        </w:tc>
        <w:tc>
          <w:tcPr>
            <w:tcW w:w="1589" w:type="dxa"/>
            <w:tcBorders>
              <w:top w:val="nil"/>
              <w:left w:val="nil"/>
              <w:bottom w:val="nil"/>
              <w:right w:val="nil"/>
            </w:tcBorders>
            <w:shd w:val="clear" w:color="auto" w:fill="auto"/>
            <w:noWrap/>
            <w:vAlign w:val="bottom"/>
            <w:hideMark/>
          </w:tcPr>
          <w:p w14:paraId="16CFF275"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−0.0183</w:t>
            </w:r>
          </w:p>
        </w:tc>
        <w:tc>
          <w:tcPr>
            <w:tcW w:w="2238" w:type="dxa"/>
            <w:tcBorders>
              <w:top w:val="nil"/>
              <w:left w:val="nil"/>
              <w:bottom w:val="nil"/>
              <w:right w:val="nil"/>
            </w:tcBorders>
            <w:shd w:val="clear" w:color="auto" w:fill="auto"/>
            <w:noWrap/>
            <w:vAlign w:val="bottom"/>
            <w:hideMark/>
          </w:tcPr>
          <w:p w14:paraId="42951F03"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−0.6268</w:t>
            </w:r>
          </w:p>
        </w:tc>
      </w:tr>
      <w:tr w:rsidR="00B846CE" w:rsidRPr="000C64AD" w14:paraId="47C82414" w14:textId="77777777" w:rsidTr="00A33AA6">
        <w:trPr>
          <w:trHeight w:val="470"/>
        </w:trPr>
        <w:tc>
          <w:tcPr>
            <w:tcW w:w="836" w:type="dxa"/>
            <w:tcBorders>
              <w:top w:val="nil"/>
              <w:left w:val="nil"/>
              <w:bottom w:val="nil"/>
              <w:right w:val="nil"/>
            </w:tcBorders>
            <w:shd w:val="clear" w:color="auto" w:fill="auto"/>
            <w:noWrap/>
            <w:vAlign w:val="bottom"/>
            <w:hideMark/>
          </w:tcPr>
          <w:p w14:paraId="67AA361D"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−1</w:t>
            </w:r>
          </w:p>
        </w:tc>
        <w:tc>
          <w:tcPr>
            <w:tcW w:w="1589" w:type="dxa"/>
            <w:tcBorders>
              <w:top w:val="nil"/>
              <w:left w:val="nil"/>
              <w:bottom w:val="nil"/>
              <w:right w:val="nil"/>
            </w:tcBorders>
            <w:shd w:val="clear" w:color="auto" w:fill="auto"/>
            <w:noWrap/>
            <w:vAlign w:val="bottom"/>
            <w:hideMark/>
          </w:tcPr>
          <w:p w14:paraId="07EAEEA6"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0.1528</w:t>
            </w:r>
          </w:p>
        </w:tc>
        <w:tc>
          <w:tcPr>
            <w:tcW w:w="2238" w:type="dxa"/>
            <w:tcBorders>
              <w:top w:val="nil"/>
              <w:left w:val="nil"/>
              <w:bottom w:val="nil"/>
              <w:right w:val="nil"/>
            </w:tcBorders>
            <w:shd w:val="clear" w:color="auto" w:fill="auto"/>
            <w:noWrap/>
            <w:vAlign w:val="bottom"/>
            <w:hideMark/>
          </w:tcPr>
          <w:p w14:paraId="5AD2104C"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D5393">
              <w:rPr>
                <w:rFonts w:ascii="Times New Roman" w:eastAsia="Times New Roman" w:hAnsi="Times New Roman" w:cs="Times New Roman"/>
                <w:color w:val="000000"/>
                <w:sz w:val="24"/>
                <w:szCs w:val="24"/>
              </w:rPr>
              <w:t>3.7595</w:t>
            </w:r>
            <w:r w:rsidRPr="004D5393">
              <w:rPr>
                <w:rFonts w:ascii="Times New Roman" w:eastAsia="Times New Roman" w:hAnsi="Times New Roman" w:cs="Times New Roman"/>
                <w:color w:val="000000"/>
                <w:sz w:val="24"/>
                <w:szCs w:val="24"/>
                <w:vertAlign w:val="superscript"/>
              </w:rPr>
              <w:t>***</w:t>
            </w:r>
          </w:p>
        </w:tc>
      </w:tr>
      <w:tr w:rsidR="00B846CE" w:rsidRPr="000C64AD" w14:paraId="39AEA006" w14:textId="77777777" w:rsidTr="00A33AA6">
        <w:trPr>
          <w:trHeight w:val="470"/>
        </w:trPr>
        <w:tc>
          <w:tcPr>
            <w:tcW w:w="836" w:type="dxa"/>
            <w:tcBorders>
              <w:top w:val="nil"/>
              <w:left w:val="nil"/>
              <w:bottom w:val="nil"/>
              <w:right w:val="nil"/>
            </w:tcBorders>
            <w:shd w:val="clear" w:color="auto" w:fill="auto"/>
            <w:noWrap/>
            <w:vAlign w:val="bottom"/>
            <w:hideMark/>
          </w:tcPr>
          <w:p w14:paraId="641CDF64"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D5393">
              <w:rPr>
                <w:rFonts w:ascii="Times New Roman" w:eastAsia="Times New Roman" w:hAnsi="Times New Roman" w:cs="Times New Roman"/>
                <w:color w:val="000000"/>
                <w:sz w:val="24"/>
                <w:szCs w:val="24"/>
              </w:rPr>
              <w:t>0</w:t>
            </w:r>
          </w:p>
        </w:tc>
        <w:tc>
          <w:tcPr>
            <w:tcW w:w="1589" w:type="dxa"/>
            <w:tcBorders>
              <w:top w:val="nil"/>
              <w:left w:val="nil"/>
              <w:bottom w:val="nil"/>
              <w:right w:val="nil"/>
            </w:tcBorders>
            <w:shd w:val="clear" w:color="auto" w:fill="auto"/>
            <w:noWrap/>
            <w:vAlign w:val="bottom"/>
            <w:hideMark/>
          </w:tcPr>
          <w:p w14:paraId="42B2EE26"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0.4141</w:t>
            </w:r>
          </w:p>
        </w:tc>
        <w:tc>
          <w:tcPr>
            <w:tcW w:w="2238" w:type="dxa"/>
            <w:tcBorders>
              <w:top w:val="nil"/>
              <w:left w:val="nil"/>
              <w:bottom w:val="nil"/>
              <w:right w:val="nil"/>
            </w:tcBorders>
            <w:shd w:val="clear" w:color="auto" w:fill="auto"/>
            <w:noWrap/>
            <w:vAlign w:val="bottom"/>
            <w:hideMark/>
          </w:tcPr>
          <w:p w14:paraId="6566F414"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10.2462</w:t>
            </w:r>
            <w:r w:rsidRPr="004D5393">
              <w:rPr>
                <w:rFonts w:ascii="Times New Roman" w:eastAsia="Times New Roman" w:hAnsi="Times New Roman" w:cs="Times New Roman"/>
                <w:color w:val="000000"/>
                <w:sz w:val="24"/>
                <w:szCs w:val="24"/>
                <w:vertAlign w:val="superscript"/>
              </w:rPr>
              <w:t>***</w:t>
            </w:r>
          </w:p>
        </w:tc>
      </w:tr>
      <w:tr w:rsidR="00B846CE" w:rsidRPr="000C64AD" w14:paraId="35C93890" w14:textId="77777777" w:rsidTr="00A33AA6">
        <w:trPr>
          <w:trHeight w:val="470"/>
        </w:trPr>
        <w:tc>
          <w:tcPr>
            <w:tcW w:w="836" w:type="dxa"/>
            <w:tcBorders>
              <w:top w:val="nil"/>
              <w:left w:val="nil"/>
              <w:bottom w:val="nil"/>
              <w:right w:val="nil"/>
            </w:tcBorders>
            <w:shd w:val="clear" w:color="auto" w:fill="auto"/>
            <w:noWrap/>
            <w:vAlign w:val="bottom"/>
            <w:hideMark/>
          </w:tcPr>
          <w:p w14:paraId="7B3DCA36"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D5393">
              <w:rPr>
                <w:rFonts w:ascii="Times New Roman" w:eastAsia="Times New Roman" w:hAnsi="Times New Roman" w:cs="Times New Roman"/>
                <w:color w:val="000000"/>
                <w:sz w:val="24"/>
                <w:szCs w:val="24"/>
              </w:rPr>
              <w:t>1</w:t>
            </w:r>
          </w:p>
        </w:tc>
        <w:tc>
          <w:tcPr>
            <w:tcW w:w="1589" w:type="dxa"/>
            <w:tcBorders>
              <w:top w:val="nil"/>
              <w:left w:val="nil"/>
              <w:bottom w:val="nil"/>
              <w:right w:val="nil"/>
            </w:tcBorders>
            <w:shd w:val="clear" w:color="auto" w:fill="auto"/>
            <w:noWrap/>
            <w:vAlign w:val="bottom"/>
            <w:hideMark/>
          </w:tcPr>
          <w:p w14:paraId="0C837720"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0.2942</w:t>
            </w:r>
          </w:p>
        </w:tc>
        <w:tc>
          <w:tcPr>
            <w:tcW w:w="2238" w:type="dxa"/>
            <w:tcBorders>
              <w:top w:val="nil"/>
              <w:left w:val="nil"/>
              <w:bottom w:val="nil"/>
              <w:right w:val="nil"/>
            </w:tcBorders>
            <w:shd w:val="clear" w:color="auto" w:fill="auto"/>
            <w:noWrap/>
            <w:vAlign w:val="bottom"/>
            <w:hideMark/>
          </w:tcPr>
          <w:p w14:paraId="2A7DC3B1"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7.7548</w:t>
            </w:r>
            <w:r w:rsidRPr="004D5393">
              <w:rPr>
                <w:rFonts w:ascii="Times New Roman" w:eastAsia="Times New Roman" w:hAnsi="Times New Roman" w:cs="Times New Roman"/>
                <w:color w:val="000000"/>
                <w:sz w:val="24"/>
                <w:szCs w:val="24"/>
                <w:vertAlign w:val="superscript"/>
              </w:rPr>
              <w:t>***</w:t>
            </w:r>
          </w:p>
        </w:tc>
      </w:tr>
      <w:tr w:rsidR="00B846CE" w:rsidRPr="000C64AD" w14:paraId="5339CB19" w14:textId="77777777" w:rsidTr="00A33AA6">
        <w:trPr>
          <w:trHeight w:val="470"/>
        </w:trPr>
        <w:tc>
          <w:tcPr>
            <w:tcW w:w="836" w:type="dxa"/>
            <w:tcBorders>
              <w:top w:val="nil"/>
              <w:left w:val="nil"/>
              <w:bottom w:val="nil"/>
              <w:right w:val="nil"/>
            </w:tcBorders>
            <w:shd w:val="clear" w:color="auto" w:fill="auto"/>
            <w:noWrap/>
            <w:vAlign w:val="bottom"/>
            <w:hideMark/>
          </w:tcPr>
          <w:p w14:paraId="038BCF4C"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D5393">
              <w:rPr>
                <w:rFonts w:ascii="Times New Roman" w:eastAsia="Times New Roman" w:hAnsi="Times New Roman" w:cs="Times New Roman"/>
                <w:color w:val="000000"/>
                <w:sz w:val="24"/>
                <w:szCs w:val="24"/>
              </w:rPr>
              <w:t>2</w:t>
            </w:r>
          </w:p>
        </w:tc>
        <w:tc>
          <w:tcPr>
            <w:tcW w:w="1589" w:type="dxa"/>
            <w:tcBorders>
              <w:top w:val="nil"/>
              <w:left w:val="nil"/>
              <w:bottom w:val="nil"/>
              <w:right w:val="nil"/>
            </w:tcBorders>
            <w:shd w:val="clear" w:color="auto" w:fill="auto"/>
            <w:noWrap/>
            <w:vAlign w:val="bottom"/>
            <w:hideMark/>
          </w:tcPr>
          <w:p w14:paraId="259C4810"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0.1321</w:t>
            </w:r>
          </w:p>
        </w:tc>
        <w:tc>
          <w:tcPr>
            <w:tcW w:w="2238" w:type="dxa"/>
            <w:tcBorders>
              <w:top w:val="nil"/>
              <w:left w:val="nil"/>
              <w:bottom w:val="nil"/>
              <w:right w:val="nil"/>
            </w:tcBorders>
            <w:shd w:val="clear" w:color="auto" w:fill="auto"/>
            <w:noWrap/>
            <w:vAlign w:val="bottom"/>
            <w:hideMark/>
          </w:tcPr>
          <w:p w14:paraId="77856327"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3.0121</w:t>
            </w:r>
            <w:r w:rsidRPr="004D5393">
              <w:rPr>
                <w:rFonts w:ascii="Times New Roman" w:eastAsia="Times New Roman" w:hAnsi="Times New Roman" w:cs="Times New Roman"/>
                <w:color w:val="000000"/>
                <w:sz w:val="24"/>
                <w:szCs w:val="24"/>
                <w:vertAlign w:val="superscript"/>
              </w:rPr>
              <w:t>***</w:t>
            </w:r>
          </w:p>
        </w:tc>
      </w:tr>
      <w:tr w:rsidR="00B846CE" w:rsidRPr="000C64AD" w14:paraId="6524405E" w14:textId="77777777" w:rsidTr="00A33AA6">
        <w:trPr>
          <w:trHeight w:val="470"/>
        </w:trPr>
        <w:tc>
          <w:tcPr>
            <w:tcW w:w="836" w:type="dxa"/>
            <w:tcBorders>
              <w:top w:val="nil"/>
              <w:left w:val="nil"/>
              <w:bottom w:val="nil"/>
              <w:right w:val="nil"/>
            </w:tcBorders>
            <w:shd w:val="clear" w:color="auto" w:fill="auto"/>
            <w:noWrap/>
            <w:vAlign w:val="bottom"/>
            <w:hideMark/>
          </w:tcPr>
          <w:p w14:paraId="6B3168B4"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D5393">
              <w:rPr>
                <w:rFonts w:ascii="Times New Roman" w:eastAsia="Times New Roman" w:hAnsi="Times New Roman" w:cs="Times New Roman"/>
                <w:color w:val="000000"/>
                <w:sz w:val="24"/>
                <w:szCs w:val="24"/>
              </w:rPr>
              <w:t>3</w:t>
            </w:r>
          </w:p>
        </w:tc>
        <w:tc>
          <w:tcPr>
            <w:tcW w:w="1589" w:type="dxa"/>
            <w:tcBorders>
              <w:top w:val="nil"/>
              <w:left w:val="nil"/>
              <w:bottom w:val="nil"/>
              <w:right w:val="nil"/>
            </w:tcBorders>
            <w:shd w:val="clear" w:color="auto" w:fill="auto"/>
            <w:noWrap/>
            <w:vAlign w:val="bottom"/>
            <w:hideMark/>
          </w:tcPr>
          <w:p w14:paraId="618AAD6F"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0.0861</w:t>
            </w:r>
          </w:p>
        </w:tc>
        <w:tc>
          <w:tcPr>
            <w:tcW w:w="2238" w:type="dxa"/>
            <w:tcBorders>
              <w:top w:val="nil"/>
              <w:left w:val="nil"/>
              <w:bottom w:val="nil"/>
              <w:right w:val="nil"/>
            </w:tcBorders>
            <w:shd w:val="clear" w:color="auto" w:fill="auto"/>
            <w:noWrap/>
            <w:vAlign w:val="bottom"/>
            <w:hideMark/>
          </w:tcPr>
          <w:p w14:paraId="202C78D5"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2.2887</w:t>
            </w:r>
            <w:r w:rsidRPr="004D5393">
              <w:rPr>
                <w:rFonts w:ascii="Times New Roman" w:eastAsia="Times New Roman" w:hAnsi="Times New Roman" w:cs="Times New Roman"/>
                <w:color w:val="000000"/>
                <w:sz w:val="24"/>
                <w:szCs w:val="24"/>
                <w:vertAlign w:val="superscript"/>
              </w:rPr>
              <w:t>**</w:t>
            </w:r>
          </w:p>
        </w:tc>
      </w:tr>
      <w:tr w:rsidR="00B846CE" w:rsidRPr="000C64AD" w14:paraId="5FA20C5A" w14:textId="77777777" w:rsidTr="00A33AA6">
        <w:trPr>
          <w:trHeight w:val="470"/>
        </w:trPr>
        <w:tc>
          <w:tcPr>
            <w:tcW w:w="836" w:type="dxa"/>
            <w:tcBorders>
              <w:top w:val="nil"/>
              <w:left w:val="nil"/>
              <w:bottom w:val="nil"/>
              <w:right w:val="nil"/>
            </w:tcBorders>
            <w:shd w:val="clear" w:color="auto" w:fill="auto"/>
            <w:noWrap/>
            <w:vAlign w:val="bottom"/>
            <w:hideMark/>
          </w:tcPr>
          <w:p w14:paraId="3AC650CF"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D5393">
              <w:rPr>
                <w:rFonts w:ascii="Times New Roman" w:eastAsia="Times New Roman" w:hAnsi="Times New Roman" w:cs="Times New Roman"/>
                <w:color w:val="000000"/>
                <w:sz w:val="24"/>
                <w:szCs w:val="24"/>
              </w:rPr>
              <w:t>4</w:t>
            </w:r>
          </w:p>
        </w:tc>
        <w:tc>
          <w:tcPr>
            <w:tcW w:w="1589" w:type="dxa"/>
            <w:tcBorders>
              <w:top w:val="nil"/>
              <w:left w:val="nil"/>
              <w:bottom w:val="nil"/>
              <w:right w:val="nil"/>
            </w:tcBorders>
            <w:shd w:val="clear" w:color="auto" w:fill="auto"/>
            <w:noWrap/>
            <w:vAlign w:val="bottom"/>
            <w:hideMark/>
          </w:tcPr>
          <w:p w14:paraId="6516D5EF"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−0.0224</w:t>
            </w:r>
          </w:p>
        </w:tc>
        <w:tc>
          <w:tcPr>
            <w:tcW w:w="2238" w:type="dxa"/>
            <w:tcBorders>
              <w:top w:val="nil"/>
              <w:left w:val="nil"/>
              <w:bottom w:val="nil"/>
              <w:right w:val="nil"/>
            </w:tcBorders>
            <w:shd w:val="clear" w:color="auto" w:fill="auto"/>
            <w:noWrap/>
            <w:vAlign w:val="bottom"/>
            <w:hideMark/>
          </w:tcPr>
          <w:p w14:paraId="381A2FA1"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−0.0189</w:t>
            </w:r>
          </w:p>
        </w:tc>
      </w:tr>
      <w:tr w:rsidR="00B846CE" w:rsidRPr="000C64AD" w14:paraId="45530C7B" w14:textId="77777777" w:rsidTr="00A33AA6">
        <w:trPr>
          <w:trHeight w:val="470"/>
        </w:trPr>
        <w:tc>
          <w:tcPr>
            <w:tcW w:w="836" w:type="dxa"/>
            <w:tcBorders>
              <w:top w:val="nil"/>
              <w:left w:val="nil"/>
              <w:bottom w:val="nil"/>
              <w:right w:val="nil"/>
            </w:tcBorders>
            <w:shd w:val="clear" w:color="auto" w:fill="auto"/>
            <w:noWrap/>
            <w:vAlign w:val="bottom"/>
            <w:hideMark/>
          </w:tcPr>
          <w:p w14:paraId="66C0C2DE"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D5393">
              <w:rPr>
                <w:rFonts w:ascii="Times New Roman" w:eastAsia="Times New Roman" w:hAnsi="Times New Roman" w:cs="Times New Roman"/>
                <w:color w:val="000000"/>
                <w:sz w:val="24"/>
                <w:szCs w:val="24"/>
              </w:rPr>
              <w:t>5</w:t>
            </w:r>
          </w:p>
        </w:tc>
        <w:tc>
          <w:tcPr>
            <w:tcW w:w="1589" w:type="dxa"/>
            <w:tcBorders>
              <w:top w:val="nil"/>
              <w:left w:val="nil"/>
              <w:bottom w:val="nil"/>
              <w:right w:val="nil"/>
            </w:tcBorders>
            <w:shd w:val="clear" w:color="auto" w:fill="auto"/>
            <w:noWrap/>
            <w:vAlign w:val="bottom"/>
            <w:hideMark/>
          </w:tcPr>
          <w:p w14:paraId="0C00A740"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0.0441</w:t>
            </w:r>
          </w:p>
        </w:tc>
        <w:tc>
          <w:tcPr>
            <w:tcW w:w="2238" w:type="dxa"/>
            <w:tcBorders>
              <w:top w:val="nil"/>
              <w:left w:val="nil"/>
              <w:bottom w:val="nil"/>
              <w:right w:val="nil"/>
            </w:tcBorders>
            <w:shd w:val="clear" w:color="auto" w:fill="auto"/>
            <w:noWrap/>
            <w:vAlign w:val="bottom"/>
            <w:hideMark/>
          </w:tcPr>
          <w:p w14:paraId="101D0B9C"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1.1364</w:t>
            </w:r>
          </w:p>
        </w:tc>
      </w:tr>
      <w:tr w:rsidR="00B846CE" w:rsidRPr="000C64AD" w14:paraId="5FB05AE1" w14:textId="77777777" w:rsidTr="00A33AA6">
        <w:trPr>
          <w:trHeight w:val="470"/>
        </w:trPr>
        <w:tc>
          <w:tcPr>
            <w:tcW w:w="836" w:type="dxa"/>
            <w:tcBorders>
              <w:top w:val="nil"/>
              <w:left w:val="nil"/>
              <w:bottom w:val="nil"/>
              <w:right w:val="nil"/>
            </w:tcBorders>
            <w:shd w:val="clear" w:color="auto" w:fill="auto"/>
            <w:noWrap/>
            <w:vAlign w:val="bottom"/>
            <w:hideMark/>
          </w:tcPr>
          <w:p w14:paraId="1E1295FD"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D5393">
              <w:rPr>
                <w:rFonts w:ascii="Times New Roman" w:eastAsia="Times New Roman" w:hAnsi="Times New Roman" w:cs="Times New Roman"/>
                <w:color w:val="000000"/>
                <w:sz w:val="24"/>
                <w:szCs w:val="24"/>
              </w:rPr>
              <w:t>6</w:t>
            </w:r>
          </w:p>
        </w:tc>
        <w:tc>
          <w:tcPr>
            <w:tcW w:w="1589" w:type="dxa"/>
            <w:tcBorders>
              <w:top w:val="nil"/>
              <w:left w:val="nil"/>
              <w:bottom w:val="nil"/>
              <w:right w:val="nil"/>
            </w:tcBorders>
            <w:shd w:val="clear" w:color="auto" w:fill="auto"/>
            <w:noWrap/>
            <w:vAlign w:val="bottom"/>
            <w:hideMark/>
          </w:tcPr>
          <w:p w14:paraId="4A10D371"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−0.0124</w:t>
            </w:r>
          </w:p>
        </w:tc>
        <w:tc>
          <w:tcPr>
            <w:tcW w:w="2238" w:type="dxa"/>
            <w:tcBorders>
              <w:top w:val="nil"/>
              <w:left w:val="nil"/>
              <w:bottom w:val="nil"/>
              <w:right w:val="nil"/>
            </w:tcBorders>
            <w:shd w:val="clear" w:color="auto" w:fill="auto"/>
            <w:noWrap/>
            <w:vAlign w:val="bottom"/>
            <w:hideMark/>
          </w:tcPr>
          <w:p w14:paraId="028C694D"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−0.1199</w:t>
            </w:r>
          </w:p>
        </w:tc>
      </w:tr>
      <w:tr w:rsidR="00B846CE" w:rsidRPr="000C64AD" w14:paraId="27CCF7C0" w14:textId="77777777" w:rsidTr="00A33AA6">
        <w:trPr>
          <w:trHeight w:val="470"/>
        </w:trPr>
        <w:tc>
          <w:tcPr>
            <w:tcW w:w="836" w:type="dxa"/>
            <w:tcBorders>
              <w:top w:val="nil"/>
              <w:left w:val="nil"/>
              <w:bottom w:val="nil"/>
              <w:right w:val="nil"/>
            </w:tcBorders>
            <w:shd w:val="clear" w:color="auto" w:fill="auto"/>
            <w:noWrap/>
            <w:vAlign w:val="bottom"/>
            <w:hideMark/>
          </w:tcPr>
          <w:p w14:paraId="0B9B5484"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D5393">
              <w:rPr>
                <w:rFonts w:ascii="Times New Roman" w:eastAsia="Times New Roman" w:hAnsi="Times New Roman" w:cs="Times New Roman"/>
                <w:color w:val="000000"/>
                <w:sz w:val="24"/>
                <w:szCs w:val="24"/>
              </w:rPr>
              <w:t>7</w:t>
            </w:r>
          </w:p>
        </w:tc>
        <w:tc>
          <w:tcPr>
            <w:tcW w:w="1589" w:type="dxa"/>
            <w:tcBorders>
              <w:top w:val="nil"/>
              <w:left w:val="nil"/>
              <w:bottom w:val="nil"/>
              <w:right w:val="nil"/>
            </w:tcBorders>
            <w:shd w:val="clear" w:color="auto" w:fill="auto"/>
            <w:noWrap/>
            <w:vAlign w:val="bottom"/>
            <w:hideMark/>
          </w:tcPr>
          <w:p w14:paraId="61061036"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−0.0519</w:t>
            </w:r>
          </w:p>
        </w:tc>
        <w:tc>
          <w:tcPr>
            <w:tcW w:w="2238" w:type="dxa"/>
            <w:tcBorders>
              <w:top w:val="nil"/>
              <w:left w:val="nil"/>
              <w:bottom w:val="nil"/>
              <w:right w:val="nil"/>
            </w:tcBorders>
            <w:shd w:val="clear" w:color="auto" w:fill="auto"/>
            <w:noWrap/>
            <w:vAlign w:val="bottom"/>
            <w:hideMark/>
          </w:tcPr>
          <w:p w14:paraId="40A8D3AA"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−1.2918</w:t>
            </w:r>
          </w:p>
        </w:tc>
      </w:tr>
      <w:tr w:rsidR="00B846CE" w:rsidRPr="000C64AD" w14:paraId="13435C76" w14:textId="77777777" w:rsidTr="00A33AA6">
        <w:trPr>
          <w:trHeight w:val="470"/>
        </w:trPr>
        <w:tc>
          <w:tcPr>
            <w:tcW w:w="836" w:type="dxa"/>
            <w:tcBorders>
              <w:top w:val="nil"/>
              <w:left w:val="nil"/>
              <w:bottom w:val="nil"/>
              <w:right w:val="nil"/>
            </w:tcBorders>
            <w:shd w:val="clear" w:color="auto" w:fill="auto"/>
            <w:noWrap/>
            <w:vAlign w:val="bottom"/>
            <w:hideMark/>
          </w:tcPr>
          <w:p w14:paraId="7D49562A"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D5393">
              <w:rPr>
                <w:rFonts w:ascii="Times New Roman" w:eastAsia="Times New Roman" w:hAnsi="Times New Roman" w:cs="Times New Roman"/>
                <w:color w:val="000000"/>
                <w:sz w:val="24"/>
                <w:szCs w:val="24"/>
              </w:rPr>
              <w:t>8</w:t>
            </w:r>
          </w:p>
        </w:tc>
        <w:tc>
          <w:tcPr>
            <w:tcW w:w="1589" w:type="dxa"/>
            <w:tcBorders>
              <w:top w:val="nil"/>
              <w:left w:val="nil"/>
              <w:bottom w:val="nil"/>
              <w:right w:val="nil"/>
            </w:tcBorders>
            <w:shd w:val="clear" w:color="auto" w:fill="auto"/>
            <w:noWrap/>
            <w:vAlign w:val="bottom"/>
            <w:hideMark/>
          </w:tcPr>
          <w:p w14:paraId="017B8C29"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0.0014</w:t>
            </w:r>
          </w:p>
        </w:tc>
        <w:tc>
          <w:tcPr>
            <w:tcW w:w="2238" w:type="dxa"/>
            <w:tcBorders>
              <w:top w:val="nil"/>
              <w:left w:val="nil"/>
              <w:bottom w:val="nil"/>
              <w:right w:val="nil"/>
            </w:tcBorders>
            <w:shd w:val="clear" w:color="auto" w:fill="auto"/>
            <w:noWrap/>
            <w:vAlign w:val="bottom"/>
            <w:hideMark/>
          </w:tcPr>
          <w:p w14:paraId="7BBCC0F4"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0.6138</w:t>
            </w:r>
          </w:p>
        </w:tc>
      </w:tr>
      <w:tr w:rsidR="00B846CE" w:rsidRPr="000C64AD" w14:paraId="361ADC8A" w14:textId="77777777" w:rsidTr="00A33AA6">
        <w:trPr>
          <w:trHeight w:val="470"/>
        </w:trPr>
        <w:tc>
          <w:tcPr>
            <w:tcW w:w="836" w:type="dxa"/>
            <w:tcBorders>
              <w:top w:val="nil"/>
              <w:left w:val="nil"/>
              <w:right w:val="nil"/>
            </w:tcBorders>
            <w:shd w:val="clear" w:color="auto" w:fill="auto"/>
            <w:noWrap/>
            <w:vAlign w:val="bottom"/>
            <w:hideMark/>
          </w:tcPr>
          <w:p w14:paraId="1A3ED7A3"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D5393">
              <w:rPr>
                <w:rFonts w:ascii="Times New Roman" w:eastAsia="Times New Roman" w:hAnsi="Times New Roman" w:cs="Times New Roman"/>
                <w:color w:val="000000"/>
                <w:sz w:val="24"/>
                <w:szCs w:val="24"/>
              </w:rPr>
              <w:t>9</w:t>
            </w:r>
          </w:p>
        </w:tc>
        <w:tc>
          <w:tcPr>
            <w:tcW w:w="1589" w:type="dxa"/>
            <w:tcBorders>
              <w:top w:val="nil"/>
              <w:left w:val="nil"/>
              <w:right w:val="nil"/>
            </w:tcBorders>
            <w:shd w:val="clear" w:color="auto" w:fill="auto"/>
            <w:noWrap/>
            <w:vAlign w:val="bottom"/>
            <w:hideMark/>
          </w:tcPr>
          <w:p w14:paraId="77E3479A"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0.0405</w:t>
            </w:r>
          </w:p>
        </w:tc>
        <w:tc>
          <w:tcPr>
            <w:tcW w:w="2238" w:type="dxa"/>
            <w:tcBorders>
              <w:top w:val="nil"/>
              <w:left w:val="nil"/>
              <w:right w:val="nil"/>
            </w:tcBorders>
            <w:shd w:val="clear" w:color="auto" w:fill="auto"/>
            <w:noWrap/>
            <w:vAlign w:val="bottom"/>
            <w:hideMark/>
          </w:tcPr>
          <w:p w14:paraId="653ED268"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1.3912</w:t>
            </w:r>
          </w:p>
        </w:tc>
      </w:tr>
      <w:tr w:rsidR="00B846CE" w:rsidRPr="000C64AD" w14:paraId="08FCDC76" w14:textId="77777777" w:rsidTr="00A33AA6">
        <w:trPr>
          <w:trHeight w:val="470"/>
        </w:trPr>
        <w:tc>
          <w:tcPr>
            <w:tcW w:w="836" w:type="dxa"/>
            <w:tcBorders>
              <w:top w:val="nil"/>
              <w:left w:val="nil"/>
              <w:bottom w:val="single" w:sz="4" w:space="0" w:color="auto"/>
              <w:right w:val="nil"/>
            </w:tcBorders>
            <w:shd w:val="clear" w:color="auto" w:fill="auto"/>
            <w:noWrap/>
            <w:vAlign w:val="bottom"/>
            <w:hideMark/>
          </w:tcPr>
          <w:p w14:paraId="3F8B5E2B"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D5393">
              <w:rPr>
                <w:rFonts w:ascii="Times New Roman" w:eastAsia="Times New Roman" w:hAnsi="Times New Roman" w:cs="Times New Roman"/>
                <w:color w:val="000000"/>
                <w:sz w:val="24"/>
                <w:szCs w:val="24"/>
              </w:rPr>
              <w:t>10</w:t>
            </w:r>
          </w:p>
        </w:tc>
        <w:tc>
          <w:tcPr>
            <w:tcW w:w="1589" w:type="dxa"/>
            <w:tcBorders>
              <w:top w:val="nil"/>
              <w:left w:val="nil"/>
              <w:bottom w:val="single" w:sz="4" w:space="0" w:color="auto"/>
              <w:right w:val="nil"/>
            </w:tcBorders>
            <w:shd w:val="clear" w:color="auto" w:fill="auto"/>
            <w:noWrap/>
            <w:vAlign w:val="bottom"/>
            <w:hideMark/>
          </w:tcPr>
          <w:p w14:paraId="60A86EC3" w14:textId="77777777" w:rsidR="00B846CE" w:rsidRPr="004D5393" w:rsidRDefault="00B846CE" w:rsidP="00A33AA6">
            <w:pPr>
              <w:spacing w:after="0" w:line="240" w:lineRule="auto"/>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0.0576</w:t>
            </w:r>
          </w:p>
        </w:tc>
        <w:tc>
          <w:tcPr>
            <w:tcW w:w="2238" w:type="dxa"/>
            <w:tcBorders>
              <w:top w:val="nil"/>
              <w:left w:val="nil"/>
              <w:bottom w:val="single" w:sz="4" w:space="0" w:color="auto"/>
              <w:right w:val="nil"/>
            </w:tcBorders>
            <w:shd w:val="clear" w:color="auto" w:fill="auto"/>
            <w:noWrap/>
            <w:vAlign w:val="bottom"/>
            <w:hideMark/>
          </w:tcPr>
          <w:p w14:paraId="38AE1232" w14:textId="77777777" w:rsidR="00B846CE" w:rsidRPr="004D5393" w:rsidRDefault="00B846CE" w:rsidP="00A33AA6">
            <w:pPr>
              <w:spacing w:after="0" w:line="240" w:lineRule="auto"/>
              <w:ind w:right="194"/>
              <w:jc w:val="both"/>
              <w:rPr>
                <w:rFonts w:ascii="Times New Roman" w:eastAsia="Times New Roman" w:hAnsi="Times New Roman" w:cs="Times New Roman"/>
                <w:color w:val="000000"/>
                <w:sz w:val="24"/>
                <w:szCs w:val="24"/>
              </w:rPr>
            </w:pPr>
            <w:r w:rsidRPr="004D5393">
              <w:rPr>
                <w:rFonts w:ascii="Times New Roman" w:eastAsia="Times New Roman" w:hAnsi="Times New Roman" w:cs="Times New Roman"/>
                <w:color w:val="000000"/>
                <w:sz w:val="24"/>
                <w:szCs w:val="24"/>
              </w:rPr>
              <w:t xml:space="preserve">   1.8046</w:t>
            </w:r>
            <w:r w:rsidRPr="004D5393">
              <w:rPr>
                <w:rFonts w:ascii="Times New Roman" w:eastAsia="Times New Roman" w:hAnsi="Times New Roman" w:cs="Times New Roman"/>
                <w:color w:val="000000"/>
                <w:sz w:val="24"/>
                <w:szCs w:val="24"/>
                <w:vertAlign w:val="superscript"/>
              </w:rPr>
              <w:t>*</w:t>
            </w:r>
          </w:p>
        </w:tc>
      </w:tr>
    </w:tbl>
    <w:p w14:paraId="67A25B9A" w14:textId="77777777" w:rsidR="00B846CE" w:rsidRDefault="00B846CE" w:rsidP="00B846CE"/>
    <w:p w14:paraId="5AA120C0" w14:textId="77777777" w:rsidR="00B846CE" w:rsidRDefault="00B846CE" w:rsidP="00B846CE"/>
    <w:p w14:paraId="72723E9D" w14:textId="77777777" w:rsidR="00B846CE" w:rsidRPr="001911BA" w:rsidRDefault="00B846CE" w:rsidP="00B846CE"/>
    <w:p w14:paraId="23D8F736" w14:textId="77777777" w:rsidR="00B846CE" w:rsidRDefault="00B846CE" w:rsidP="00B846CE">
      <w:pPr>
        <w:pStyle w:val="Default"/>
        <w:jc w:val="both"/>
        <w:rPr>
          <w:color w:val="auto"/>
          <w:sz w:val="20"/>
          <w:szCs w:val="20"/>
        </w:rPr>
      </w:pPr>
    </w:p>
    <w:p w14:paraId="559094EE" w14:textId="77777777" w:rsidR="00B846CE" w:rsidRDefault="00B846CE" w:rsidP="00B846CE">
      <w:pPr>
        <w:pStyle w:val="Default"/>
        <w:jc w:val="both"/>
        <w:rPr>
          <w:color w:val="auto"/>
          <w:sz w:val="20"/>
          <w:szCs w:val="20"/>
        </w:rPr>
      </w:pPr>
    </w:p>
    <w:p w14:paraId="26AE3EC9" w14:textId="77777777" w:rsidR="00B846CE" w:rsidRDefault="00B846CE" w:rsidP="00B846CE">
      <w:pPr>
        <w:pStyle w:val="Default"/>
        <w:jc w:val="both"/>
        <w:rPr>
          <w:color w:val="auto"/>
          <w:sz w:val="20"/>
          <w:szCs w:val="20"/>
        </w:rPr>
      </w:pPr>
    </w:p>
    <w:p w14:paraId="05AB7413" w14:textId="77777777" w:rsidR="00B846CE" w:rsidRDefault="00B846CE" w:rsidP="00B846CE">
      <w:pPr>
        <w:pStyle w:val="Default"/>
        <w:jc w:val="both"/>
        <w:rPr>
          <w:color w:val="auto"/>
          <w:sz w:val="20"/>
          <w:szCs w:val="20"/>
        </w:rPr>
      </w:pPr>
    </w:p>
    <w:p w14:paraId="1D90A238" w14:textId="77777777" w:rsidR="00B846CE" w:rsidRDefault="00B846CE" w:rsidP="00B846CE">
      <w:pPr>
        <w:pStyle w:val="Default"/>
        <w:jc w:val="both"/>
        <w:rPr>
          <w:color w:val="auto"/>
          <w:sz w:val="20"/>
          <w:szCs w:val="20"/>
        </w:rPr>
      </w:pPr>
    </w:p>
    <w:p w14:paraId="50AC035A" w14:textId="77777777" w:rsidR="00B846CE" w:rsidRDefault="00B846CE" w:rsidP="00B846CE">
      <w:pPr>
        <w:pStyle w:val="Default"/>
        <w:jc w:val="both"/>
        <w:rPr>
          <w:color w:val="auto"/>
          <w:sz w:val="20"/>
          <w:szCs w:val="20"/>
        </w:rPr>
      </w:pPr>
    </w:p>
    <w:p w14:paraId="720978B2" w14:textId="77777777" w:rsidR="00B846CE" w:rsidRDefault="00B846CE" w:rsidP="00B846CE">
      <w:pPr>
        <w:pStyle w:val="Default"/>
        <w:jc w:val="both"/>
        <w:rPr>
          <w:color w:val="auto"/>
          <w:sz w:val="20"/>
          <w:szCs w:val="20"/>
        </w:rPr>
      </w:pPr>
    </w:p>
    <w:p w14:paraId="70683F2B" w14:textId="77777777" w:rsidR="00B846CE" w:rsidRDefault="00B846CE" w:rsidP="00B846CE">
      <w:pPr>
        <w:pStyle w:val="Default"/>
        <w:jc w:val="both"/>
        <w:rPr>
          <w:color w:val="auto"/>
          <w:sz w:val="20"/>
          <w:szCs w:val="20"/>
        </w:rPr>
      </w:pPr>
    </w:p>
    <w:p w14:paraId="6A4C5439" w14:textId="77777777" w:rsidR="00B846CE" w:rsidRDefault="00B846CE" w:rsidP="00B846CE">
      <w:pPr>
        <w:pStyle w:val="Default"/>
        <w:jc w:val="both"/>
        <w:rPr>
          <w:color w:val="auto"/>
          <w:sz w:val="20"/>
          <w:szCs w:val="20"/>
        </w:rPr>
      </w:pPr>
    </w:p>
    <w:p w14:paraId="0D47F570" w14:textId="77777777" w:rsidR="00B846CE" w:rsidRDefault="00B846CE" w:rsidP="00B846CE">
      <w:pPr>
        <w:pStyle w:val="Default"/>
        <w:jc w:val="both"/>
        <w:rPr>
          <w:color w:val="auto"/>
          <w:sz w:val="20"/>
          <w:szCs w:val="20"/>
        </w:rPr>
      </w:pPr>
    </w:p>
    <w:p w14:paraId="1C9F7E4A" w14:textId="77777777" w:rsidR="00B846CE" w:rsidRDefault="00B846CE" w:rsidP="00B846CE">
      <w:pPr>
        <w:pStyle w:val="Default"/>
        <w:jc w:val="both"/>
        <w:rPr>
          <w:color w:val="auto"/>
          <w:sz w:val="20"/>
          <w:szCs w:val="20"/>
        </w:rPr>
      </w:pPr>
    </w:p>
    <w:p w14:paraId="2DBCA3FE" w14:textId="77777777" w:rsidR="00B846CE" w:rsidRDefault="00B846CE" w:rsidP="00B846CE">
      <w:pPr>
        <w:pStyle w:val="Default"/>
        <w:jc w:val="both"/>
        <w:rPr>
          <w:color w:val="auto"/>
          <w:sz w:val="20"/>
          <w:szCs w:val="20"/>
        </w:rPr>
      </w:pPr>
    </w:p>
    <w:p w14:paraId="38EC0936" w14:textId="77777777" w:rsidR="00B846CE" w:rsidRDefault="00B846CE" w:rsidP="00B846CE">
      <w:pPr>
        <w:pStyle w:val="Default"/>
        <w:jc w:val="both"/>
        <w:rPr>
          <w:color w:val="auto"/>
          <w:sz w:val="20"/>
          <w:szCs w:val="20"/>
        </w:rPr>
      </w:pPr>
    </w:p>
    <w:p w14:paraId="522A3076" w14:textId="77777777" w:rsidR="00B846CE" w:rsidRDefault="00B846CE" w:rsidP="00B846CE">
      <w:pPr>
        <w:pStyle w:val="Default"/>
        <w:jc w:val="both"/>
        <w:rPr>
          <w:color w:val="auto"/>
          <w:sz w:val="20"/>
          <w:szCs w:val="20"/>
        </w:rPr>
      </w:pPr>
    </w:p>
    <w:p w14:paraId="37920286" w14:textId="77777777" w:rsidR="00B846CE" w:rsidRDefault="00B846CE" w:rsidP="00B846CE">
      <w:pPr>
        <w:pStyle w:val="Default"/>
        <w:jc w:val="both"/>
        <w:rPr>
          <w:color w:val="auto"/>
          <w:sz w:val="20"/>
          <w:szCs w:val="20"/>
        </w:rPr>
      </w:pPr>
    </w:p>
    <w:p w14:paraId="7777987B" w14:textId="77777777" w:rsidR="00B846CE" w:rsidRDefault="00B846CE" w:rsidP="00B846CE">
      <w:pPr>
        <w:pStyle w:val="Default"/>
        <w:jc w:val="both"/>
        <w:rPr>
          <w:color w:val="auto"/>
          <w:sz w:val="20"/>
          <w:szCs w:val="20"/>
        </w:rPr>
      </w:pPr>
    </w:p>
    <w:p w14:paraId="4221A3AA" w14:textId="77777777" w:rsidR="00B846CE" w:rsidRDefault="00B846CE" w:rsidP="00B846CE">
      <w:pPr>
        <w:pStyle w:val="Default"/>
        <w:jc w:val="both"/>
        <w:rPr>
          <w:color w:val="auto"/>
          <w:sz w:val="20"/>
          <w:szCs w:val="20"/>
        </w:rPr>
      </w:pPr>
    </w:p>
    <w:p w14:paraId="1F9089B3" w14:textId="77777777" w:rsidR="00B846CE" w:rsidRDefault="00B846CE" w:rsidP="00B846CE">
      <w:pPr>
        <w:pStyle w:val="Default"/>
        <w:jc w:val="both"/>
        <w:rPr>
          <w:color w:val="auto"/>
          <w:sz w:val="20"/>
          <w:szCs w:val="20"/>
        </w:rPr>
      </w:pPr>
    </w:p>
    <w:p w14:paraId="06FF62CF" w14:textId="77777777" w:rsidR="00B846CE" w:rsidRDefault="00B846CE" w:rsidP="00B846CE">
      <w:pPr>
        <w:pStyle w:val="Default"/>
        <w:jc w:val="both"/>
        <w:rPr>
          <w:color w:val="auto"/>
          <w:sz w:val="20"/>
          <w:szCs w:val="20"/>
        </w:rPr>
      </w:pPr>
    </w:p>
    <w:p w14:paraId="0E7E5D51" w14:textId="77777777" w:rsidR="00B846CE" w:rsidRDefault="00B846CE" w:rsidP="00B846CE">
      <w:pPr>
        <w:pStyle w:val="Default"/>
        <w:jc w:val="both"/>
        <w:rPr>
          <w:color w:val="auto"/>
          <w:sz w:val="20"/>
          <w:szCs w:val="20"/>
        </w:rPr>
      </w:pPr>
    </w:p>
    <w:p w14:paraId="20CEB628" w14:textId="77777777" w:rsidR="00B846CE" w:rsidRDefault="00B846CE" w:rsidP="00B846CE">
      <w:pPr>
        <w:pStyle w:val="Default"/>
        <w:jc w:val="both"/>
        <w:rPr>
          <w:color w:val="auto"/>
          <w:sz w:val="20"/>
          <w:szCs w:val="20"/>
        </w:rPr>
      </w:pPr>
    </w:p>
    <w:p w14:paraId="352EEC2E" w14:textId="77777777" w:rsidR="00B846CE" w:rsidRDefault="00B846CE" w:rsidP="00B846CE">
      <w:pPr>
        <w:pStyle w:val="Default"/>
        <w:jc w:val="both"/>
        <w:rPr>
          <w:color w:val="auto"/>
          <w:sz w:val="20"/>
          <w:szCs w:val="20"/>
        </w:rPr>
      </w:pPr>
    </w:p>
    <w:p w14:paraId="64277DC5" w14:textId="77777777" w:rsidR="00B846CE" w:rsidRDefault="00B846CE" w:rsidP="00B846CE">
      <w:pPr>
        <w:pStyle w:val="Default"/>
        <w:jc w:val="both"/>
        <w:rPr>
          <w:color w:val="auto"/>
          <w:sz w:val="20"/>
          <w:szCs w:val="20"/>
        </w:rPr>
      </w:pPr>
    </w:p>
    <w:p w14:paraId="5A10DF55" w14:textId="77777777" w:rsidR="00B846CE" w:rsidRDefault="00B846CE" w:rsidP="00B846CE">
      <w:pPr>
        <w:pStyle w:val="Default"/>
        <w:jc w:val="both"/>
        <w:rPr>
          <w:color w:val="auto"/>
          <w:sz w:val="20"/>
          <w:szCs w:val="20"/>
        </w:rPr>
      </w:pPr>
    </w:p>
    <w:p w14:paraId="5454A7E1" w14:textId="77777777" w:rsidR="00B846CE" w:rsidRDefault="00B846CE" w:rsidP="00B846CE">
      <w:pPr>
        <w:pStyle w:val="Default"/>
        <w:jc w:val="both"/>
        <w:rPr>
          <w:color w:val="auto"/>
          <w:sz w:val="20"/>
          <w:szCs w:val="20"/>
        </w:rPr>
      </w:pPr>
    </w:p>
    <w:p w14:paraId="4EB94113" w14:textId="77777777" w:rsidR="00B846CE" w:rsidRDefault="00B846CE" w:rsidP="00B846CE">
      <w:pPr>
        <w:pStyle w:val="Default"/>
        <w:jc w:val="both"/>
        <w:rPr>
          <w:color w:val="auto"/>
          <w:sz w:val="20"/>
          <w:szCs w:val="20"/>
        </w:rPr>
      </w:pPr>
    </w:p>
    <w:p w14:paraId="340243AE" w14:textId="77777777" w:rsidR="00B846CE" w:rsidRDefault="00B846CE" w:rsidP="00B846CE">
      <w:pPr>
        <w:pStyle w:val="Default"/>
        <w:jc w:val="both"/>
        <w:rPr>
          <w:color w:val="auto"/>
          <w:sz w:val="20"/>
          <w:szCs w:val="20"/>
        </w:rPr>
      </w:pPr>
    </w:p>
    <w:p w14:paraId="55EB3284" w14:textId="77777777" w:rsidR="00B846CE" w:rsidRDefault="00B846CE" w:rsidP="00B846CE">
      <w:pPr>
        <w:pStyle w:val="Default"/>
        <w:jc w:val="both"/>
        <w:rPr>
          <w:color w:val="auto"/>
          <w:sz w:val="20"/>
          <w:szCs w:val="20"/>
        </w:rPr>
      </w:pPr>
    </w:p>
    <w:p w14:paraId="3AFDD6A8" w14:textId="77777777" w:rsidR="00B846CE" w:rsidRDefault="00B846CE" w:rsidP="00B846CE">
      <w:pPr>
        <w:pStyle w:val="Default"/>
        <w:jc w:val="both"/>
        <w:rPr>
          <w:color w:val="auto"/>
          <w:sz w:val="20"/>
          <w:szCs w:val="20"/>
        </w:rPr>
      </w:pPr>
    </w:p>
    <w:p w14:paraId="3720C9AB" w14:textId="77777777" w:rsidR="00B846CE" w:rsidRDefault="00B846CE" w:rsidP="00B846CE">
      <w:pPr>
        <w:pStyle w:val="Default"/>
        <w:jc w:val="both"/>
        <w:rPr>
          <w:color w:val="auto"/>
          <w:sz w:val="20"/>
          <w:szCs w:val="20"/>
        </w:rPr>
      </w:pPr>
    </w:p>
    <w:p w14:paraId="7FE56867" w14:textId="77777777" w:rsidR="00B846CE" w:rsidRDefault="00B846CE" w:rsidP="00B846CE">
      <w:pPr>
        <w:pStyle w:val="Default"/>
        <w:jc w:val="both"/>
        <w:rPr>
          <w:color w:val="auto"/>
          <w:sz w:val="20"/>
          <w:szCs w:val="20"/>
        </w:rPr>
      </w:pPr>
    </w:p>
    <w:p w14:paraId="1EE33BF8" w14:textId="77777777" w:rsidR="00B846CE" w:rsidRPr="00F9325C" w:rsidRDefault="00B846CE" w:rsidP="00B846CE">
      <w:pPr>
        <w:pStyle w:val="Default"/>
        <w:jc w:val="both"/>
        <w:rPr>
          <w:color w:val="auto"/>
          <w:sz w:val="20"/>
          <w:szCs w:val="20"/>
        </w:rPr>
      </w:pPr>
    </w:p>
    <w:p w14:paraId="0E805903" w14:textId="77777777" w:rsidR="00B846CE" w:rsidRPr="00F9325C" w:rsidRDefault="00B846CE" w:rsidP="00B846CE">
      <w:pPr>
        <w:pStyle w:val="Default"/>
        <w:jc w:val="both"/>
        <w:rPr>
          <w:color w:val="auto"/>
          <w:sz w:val="20"/>
          <w:szCs w:val="20"/>
        </w:rPr>
      </w:pPr>
      <w:r w:rsidRPr="00F9325C">
        <w:rPr>
          <w:color w:val="auto"/>
          <w:sz w:val="20"/>
          <w:szCs w:val="20"/>
        </w:rPr>
        <w:t xml:space="preserve">Notes: </w:t>
      </w:r>
      <w:r>
        <w:rPr>
          <w:rFonts w:eastAsia="Times New Roman"/>
          <w:sz w:val="20"/>
          <w:szCs w:val="20"/>
          <w:vertAlign w:val="superscript"/>
        </w:rPr>
        <w:t>*</w:t>
      </w:r>
      <w:r w:rsidRPr="00F9325C">
        <w:rPr>
          <w:color w:val="auto"/>
          <w:sz w:val="20"/>
          <w:szCs w:val="20"/>
        </w:rPr>
        <w:t>Significant at the 10% level, 2</w:t>
      </w:r>
      <w:r>
        <w:rPr>
          <w:color w:val="auto"/>
          <w:sz w:val="20"/>
          <w:szCs w:val="20"/>
        </w:rPr>
        <w:t>−</w:t>
      </w:r>
      <w:r w:rsidRPr="00F9325C">
        <w:rPr>
          <w:color w:val="auto"/>
          <w:sz w:val="20"/>
          <w:szCs w:val="20"/>
        </w:rPr>
        <w:t>tailed test</w:t>
      </w:r>
    </w:p>
    <w:p w14:paraId="6CE3793E" w14:textId="77777777" w:rsidR="00B846CE" w:rsidRPr="00F9325C" w:rsidRDefault="00B846CE" w:rsidP="00B846CE">
      <w:pPr>
        <w:pStyle w:val="Default"/>
        <w:jc w:val="both"/>
        <w:rPr>
          <w:color w:val="auto"/>
          <w:sz w:val="20"/>
          <w:szCs w:val="20"/>
        </w:rPr>
      </w:pPr>
      <w:r>
        <w:rPr>
          <w:color w:val="auto"/>
          <w:sz w:val="20"/>
          <w:szCs w:val="20"/>
        </w:rPr>
        <w:t xml:space="preserve">           </w:t>
      </w:r>
      <w:r>
        <w:rPr>
          <w:rFonts w:eastAsia="Times New Roman"/>
          <w:sz w:val="20"/>
          <w:szCs w:val="20"/>
          <w:vertAlign w:val="superscript"/>
        </w:rPr>
        <w:t>**</w:t>
      </w:r>
      <w:r w:rsidRPr="00F9325C">
        <w:rPr>
          <w:color w:val="auto"/>
          <w:sz w:val="20"/>
          <w:szCs w:val="20"/>
        </w:rPr>
        <w:t>Significant at the 5% level, 2</w:t>
      </w:r>
      <w:r>
        <w:rPr>
          <w:color w:val="auto"/>
          <w:sz w:val="20"/>
          <w:szCs w:val="20"/>
        </w:rPr>
        <w:t>−</w:t>
      </w:r>
      <w:r w:rsidRPr="00F9325C">
        <w:rPr>
          <w:color w:val="auto"/>
          <w:sz w:val="20"/>
          <w:szCs w:val="20"/>
        </w:rPr>
        <w:t>tailed test</w:t>
      </w:r>
    </w:p>
    <w:p w14:paraId="6DAF1F5B" w14:textId="77777777" w:rsidR="00B846CE" w:rsidRDefault="00B846CE" w:rsidP="00B846CE">
      <w:pPr>
        <w:pStyle w:val="Default"/>
        <w:jc w:val="both"/>
        <w:rPr>
          <w:color w:val="auto"/>
          <w:sz w:val="20"/>
          <w:szCs w:val="20"/>
        </w:rPr>
      </w:pPr>
      <w:r>
        <w:rPr>
          <w:color w:val="auto"/>
          <w:sz w:val="20"/>
          <w:szCs w:val="20"/>
        </w:rPr>
        <w:t xml:space="preserve">           </w:t>
      </w:r>
      <w:r>
        <w:rPr>
          <w:rFonts w:eastAsia="Times New Roman"/>
          <w:sz w:val="20"/>
          <w:szCs w:val="20"/>
          <w:vertAlign w:val="superscript"/>
        </w:rPr>
        <w:t>***</w:t>
      </w:r>
      <w:r w:rsidRPr="00F9325C">
        <w:rPr>
          <w:color w:val="auto"/>
          <w:sz w:val="20"/>
          <w:szCs w:val="20"/>
        </w:rPr>
        <w:t xml:space="preserve">Significant at the </w:t>
      </w:r>
      <w:r>
        <w:rPr>
          <w:color w:val="auto"/>
          <w:sz w:val="20"/>
          <w:szCs w:val="20"/>
        </w:rPr>
        <w:t>1</w:t>
      </w:r>
      <w:r w:rsidRPr="00F9325C">
        <w:rPr>
          <w:color w:val="auto"/>
          <w:sz w:val="20"/>
          <w:szCs w:val="20"/>
        </w:rPr>
        <w:t>% level, 2</w:t>
      </w:r>
      <w:r>
        <w:rPr>
          <w:color w:val="auto"/>
          <w:sz w:val="20"/>
          <w:szCs w:val="20"/>
        </w:rPr>
        <w:t>−</w:t>
      </w:r>
      <w:r w:rsidRPr="00F9325C">
        <w:rPr>
          <w:color w:val="auto"/>
          <w:sz w:val="20"/>
          <w:szCs w:val="20"/>
        </w:rPr>
        <w:t>tailed test</w:t>
      </w:r>
    </w:p>
    <w:p w14:paraId="7252CC2F" w14:textId="77777777" w:rsidR="00B846CE" w:rsidRDefault="00B846CE" w:rsidP="00B846CE">
      <w:pPr>
        <w:pStyle w:val="Default"/>
        <w:jc w:val="both"/>
        <w:rPr>
          <w:color w:val="auto"/>
          <w:sz w:val="20"/>
          <w:szCs w:val="20"/>
        </w:rPr>
      </w:pPr>
    </w:p>
    <w:p w14:paraId="6D701717" w14:textId="77777777" w:rsidR="00B846CE" w:rsidRDefault="00B846CE" w:rsidP="00B846CE">
      <w:pPr>
        <w:pStyle w:val="Default"/>
        <w:jc w:val="both"/>
        <w:rPr>
          <w:color w:val="auto"/>
          <w:sz w:val="20"/>
          <w:szCs w:val="20"/>
        </w:rPr>
      </w:pPr>
    </w:p>
    <w:p w14:paraId="0032BC7A" w14:textId="77777777" w:rsidR="00B846CE" w:rsidRDefault="00B846CE" w:rsidP="00B846CE">
      <w:pPr>
        <w:pStyle w:val="Default"/>
        <w:jc w:val="both"/>
        <w:rPr>
          <w:color w:val="auto"/>
          <w:sz w:val="20"/>
          <w:szCs w:val="20"/>
        </w:rPr>
      </w:pPr>
    </w:p>
    <w:p w14:paraId="3575562F" w14:textId="77777777" w:rsidR="00B846CE" w:rsidRDefault="00B846CE" w:rsidP="00B846CE">
      <w:pPr>
        <w:pStyle w:val="Default"/>
        <w:jc w:val="both"/>
        <w:rPr>
          <w:color w:val="auto"/>
          <w:sz w:val="20"/>
          <w:szCs w:val="20"/>
        </w:rPr>
      </w:pPr>
    </w:p>
    <w:p w14:paraId="717815F3" w14:textId="77777777" w:rsidR="00B846CE" w:rsidRDefault="00B846CE" w:rsidP="00B846CE">
      <w:pPr>
        <w:pStyle w:val="Default"/>
        <w:jc w:val="both"/>
        <w:rPr>
          <w:color w:val="auto"/>
          <w:sz w:val="20"/>
          <w:szCs w:val="20"/>
        </w:rPr>
      </w:pPr>
    </w:p>
    <w:p w14:paraId="26EF0171" w14:textId="77777777" w:rsidR="00B846CE" w:rsidRDefault="00B846CE" w:rsidP="00B846CE">
      <w:pPr>
        <w:pStyle w:val="Default"/>
        <w:jc w:val="both"/>
        <w:rPr>
          <w:color w:val="auto"/>
          <w:sz w:val="20"/>
          <w:szCs w:val="20"/>
        </w:rPr>
      </w:pPr>
    </w:p>
    <w:p w14:paraId="3A1710C3" w14:textId="77777777" w:rsidR="00B846CE" w:rsidRDefault="00B846CE" w:rsidP="00B846CE">
      <w:pPr>
        <w:pStyle w:val="Default"/>
        <w:jc w:val="both"/>
        <w:rPr>
          <w:color w:val="auto"/>
          <w:sz w:val="20"/>
          <w:szCs w:val="20"/>
        </w:rPr>
      </w:pPr>
    </w:p>
    <w:p w14:paraId="21EAD1F9" w14:textId="77777777" w:rsidR="00B846CE" w:rsidRDefault="00B846CE" w:rsidP="00B846CE">
      <w:pPr>
        <w:pStyle w:val="Default"/>
        <w:jc w:val="both"/>
        <w:rPr>
          <w:color w:val="auto"/>
          <w:sz w:val="20"/>
          <w:szCs w:val="20"/>
        </w:rPr>
      </w:pPr>
    </w:p>
    <w:p w14:paraId="4885FBB9" w14:textId="58A991C8" w:rsidR="00B846CE" w:rsidRDefault="00B846CE" w:rsidP="00B846CE">
      <w:pPr>
        <w:pStyle w:val="Default"/>
        <w:jc w:val="both"/>
        <w:rPr>
          <w:color w:val="auto"/>
          <w:sz w:val="20"/>
          <w:szCs w:val="20"/>
        </w:rPr>
      </w:pPr>
    </w:p>
    <w:p w14:paraId="7C4A8736" w14:textId="779A1CCA" w:rsidR="000B3CE3" w:rsidRDefault="000B3CE3" w:rsidP="00B846CE">
      <w:pPr>
        <w:pStyle w:val="Default"/>
        <w:jc w:val="both"/>
        <w:rPr>
          <w:color w:val="auto"/>
          <w:sz w:val="20"/>
          <w:szCs w:val="20"/>
        </w:rPr>
      </w:pPr>
    </w:p>
    <w:p w14:paraId="6E4F61D9" w14:textId="4AFB21E7" w:rsidR="000B3CE3" w:rsidRDefault="000B3CE3" w:rsidP="00B846CE">
      <w:pPr>
        <w:pStyle w:val="Default"/>
        <w:jc w:val="both"/>
        <w:rPr>
          <w:color w:val="auto"/>
          <w:sz w:val="20"/>
          <w:szCs w:val="20"/>
        </w:rPr>
      </w:pPr>
    </w:p>
    <w:p w14:paraId="1F507D60" w14:textId="77777777" w:rsidR="000B3CE3" w:rsidRDefault="000B3CE3" w:rsidP="00B846CE">
      <w:pPr>
        <w:pStyle w:val="Default"/>
        <w:jc w:val="both"/>
        <w:rPr>
          <w:color w:val="auto"/>
          <w:sz w:val="20"/>
          <w:szCs w:val="20"/>
        </w:rPr>
      </w:pPr>
    </w:p>
    <w:p w14:paraId="5716BFDF" w14:textId="77777777" w:rsidR="00B846CE" w:rsidRDefault="00B846CE" w:rsidP="00B846CE">
      <w:pPr>
        <w:pStyle w:val="Default"/>
        <w:jc w:val="both"/>
        <w:rPr>
          <w:color w:val="auto"/>
          <w:sz w:val="20"/>
          <w:szCs w:val="20"/>
        </w:rPr>
      </w:pPr>
    </w:p>
    <w:p w14:paraId="1ECBBBC9" w14:textId="77777777" w:rsidR="00B846CE" w:rsidRDefault="00B846CE" w:rsidP="00B846CE">
      <w:pPr>
        <w:pStyle w:val="Default"/>
        <w:jc w:val="both"/>
        <w:rPr>
          <w:color w:val="auto"/>
          <w:sz w:val="20"/>
          <w:szCs w:val="20"/>
        </w:rPr>
      </w:pPr>
    </w:p>
    <w:p w14:paraId="08EFC578" w14:textId="77777777" w:rsidR="00B846CE" w:rsidRDefault="00B846CE" w:rsidP="00B846CE">
      <w:pPr>
        <w:pStyle w:val="Default"/>
        <w:jc w:val="both"/>
        <w:rPr>
          <w:color w:val="auto"/>
          <w:sz w:val="20"/>
          <w:szCs w:val="20"/>
        </w:rPr>
      </w:pPr>
    </w:p>
    <w:p w14:paraId="7F78AB1B" w14:textId="5E51344F" w:rsidR="00A67605" w:rsidRPr="00A67605" w:rsidRDefault="00A67605" w:rsidP="00A67605">
      <w:pPr>
        <w:spacing w:after="0" w:line="240" w:lineRule="auto"/>
        <w:jc w:val="both"/>
        <w:rPr>
          <w:rFonts w:ascii="Times New Roman" w:eastAsia="Times New Roman" w:hAnsi="Times New Roman" w:cs="Times New Roman"/>
          <w:b/>
          <w:color w:val="000000"/>
          <w:sz w:val="24"/>
          <w:szCs w:val="24"/>
          <w:u w:val="single"/>
        </w:rPr>
      </w:pPr>
      <w:r w:rsidRPr="00A67605">
        <w:rPr>
          <w:rFonts w:ascii="Times New Roman" w:eastAsia="Times New Roman" w:hAnsi="Times New Roman" w:cs="Times New Roman"/>
          <w:b/>
          <w:color w:val="000000"/>
          <w:sz w:val="24"/>
          <w:szCs w:val="24"/>
          <w:u w:val="single"/>
        </w:rPr>
        <w:t>Table 3</w:t>
      </w:r>
    </w:p>
    <w:p w14:paraId="71774FF4" w14:textId="5E843CFF" w:rsidR="00B846CE" w:rsidRDefault="00B846CE" w:rsidP="00A67605">
      <w:pPr>
        <w:spacing w:after="0" w:line="240" w:lineRule="auto"/>
        <w:jc w:val="both"/>
        <w:rPr>
          <w:rFonts w:ascii="Times New Roman" w:eastAsia="Times New Roman" w:hAnsi="Times New Roman" w:cs="Times New Roman"/>
          <w:b/>
          <w:color w:val="000000"/>
          <w:sz w:val="24"/>
          <w:szCs w:val="24"/>
        </w:rPr>
      </w:pPr>
      <w:r w:rsidRPr="007C47B5">
        <w:rPr>
          <w:rFonts w:ascii="Times New Roman" w:eastAsia="Times New Roman" w:hAnsi="Times New Roman" w:cs="Times New Roman"/>
          <w:b/>
          <w:color w:val="000000"/>
          <w:sz w:val="24"/>
          <w:szCs w:val="24"/>
        </w:rPr>
        <w:t xml:space="preserve">Average Abnormal Returns </w:t>
      </w:r>
      <w:r>
        <w:rPr>
          <w:rFonts w:ascii="Times New Roman" w:eastAsia="Times New Roman" w:hAnsi="Times New Roman" w:cs="Times New Roman"/>
          <w:b/>
          <w:color w:val="000000"/>
          <w:sz w:val="24"/>
          <w:szCs w:val="24"/>
        </w:rPr>
        <w:t>for</w:t>
      </w:r>
      <w:r w:rsidRPr="007C47B5">
        <w:rPr>
          <w:rFonts w:ascii="Times New Roman" w:eastAsia="Times New Roman" w:hAnsi="Times New Roman" w:cs="Times New Roman"/>
          <w:b/>
          <w:color w:val="000000"/>
          <w:sz w:val="24"/>
          <w:szCs w:val="24"/>
        </w:rPr>
        <w:t xml:space="preserve"> recommendation downgrades surrounding the day of</w:t>
      </w:r>
      <w:r w:rsidR="00A67605">
        <w:rPr>
          <w:rFonts w:ascii="Times New Roman" w:eastAsia="Times New Roman" w:hAnsi="Times New Roman" w:cs="Times New Roman"/>
          <w:b/>
          <w:color w:val="000000"/>
          <w:sz w:val="24"/>
          <w:szCs w:val="24"/>
        </w:rPr>
        <w:t xml:space="preserve"> </w:t>
      </w:r>
      <w:r w:rsidRPr="007C47B5">
        <w:rPr>
          <w:rFonts w:ascii="Times New Roman" w:eastAsia="Times New Roman" w:hAnsi="Times New Roman" w:cs="Times New Roman"/>
          <w:b/>
          <w:color w:val="000000"/>
          <w:sz w:val="24"/>
          <w:szCs w:val="24"/>
        </w:rPr>
        <w:t>release</w:t>
      </w:r>
      <w:r>
        <w:rPr>
          <w:rFonts w:ascii="Times New Roman" w:eastAsia="Times New Roman" w:hAnsi="Times New Roman" w:cs="Times New Roman"/>
          <w:b/>
          <w:color w:val="000000"/>
          <w:sz w:val="24"/>
          <w:szCs w:val="24"/>
        </w:rPr>
        <w:t>. Data window runs</w:t>
      </w:r>
      <w:r w:rsidRPr="007C47B5">
        <w:rPr>
          <w:rFonts w:ascii="Times New Roman" w:eastAsia="Times New Roman" w:hAnsi="Times New Roman" w:cs="Times New Roman"/>
          <w:b/>
          <w:color w:val="000000"/>
          <w:sz w:val="24"/>
          <w:szCs w:val="24"/>
        </w:rPr>
        <w:t xml:space="preserve"> from </w:t>
      </w:r>
      <w:r>
        <w:rPr>
          <w:rFonts w:ascii="Times New Roman" w:eastAsia="Times New Roman" w:hAnsi="Times New Roman" w:cs="Times New Roman"/>
          <w:b/>
          <w:color w:val="000000"/>
          <w:sz w:val="24"/>
          <w:szCs w:val="24"/>
        </w:rPr>
        <w:t xml:space="preserve">January </w:t>
      </w:r>
      <w:r w:rsidR="006E0FEC">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 xml:space="preserve">2009 to May </w:t>
      </w:r>
      <w:r w:rsidR="006E0FEC">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2014</w:t>
      </w:r>
      <w:r w:rsidRPr="001911BA">
        <w:rPr>
          <w:rFonts w:ascii="Times New Roman" w:eastAsia="Times New Roman" w:hAnsi="Times New Roman" w:cs="Times New Roman"/>
          <w:b/>
          <w:color w:val="000000"/>
          <w:sz w:val="24"/>
          <w:szCs w:val="24"/>
        </w:rPr>
        <w:t xml:space="preserve"> (Based on 100 days estimation period)</w:t>
      </w:r>
    </w:p>
    <w:tbl>
      <w:tblPr>
        <w:tblpPr w:leftFromText="180" w:rightFromText="180" w:vertAnchor="text" w:horzAnchor="margin" w:tblpXSpec="center" w:tblpY="278"/>
        <w:tblW w:w="4663" w:type="dxa"/>
        <w:tblLook w:val="04A0" w:firstRow="1" w:lastRow="0" w:firstColumn="1" w:lastColumn="0" w:noHBand="0" w:noVBand="1"/>
      </w:tblPr>
      <w:tblGrid>
        <w:gridCol w:w="836"/>
        <w:gridCol w:w="1589"/>
        <w:gridCol w:w="2238"/>
      </w:tblGrid>
      <w:tr w:rsidR="00B846CE" w:rsidRPr="00A50211" w14:paraId="1CDE8D45" w14:textId="77777777" w:rsidTr="00A33AA6">
        <w:trPr>
          <w:trHeight w:val="470"/>
        </w:trPr>
        <w:tc>
          <w:tcPr>
            <w:tcW w:w="836" w:type="dxa"/>
            <w:tcBorders>
              <w:top w:val="nil"/>
              <w:left w:val="nil"/>
              <w:bottom w:val="single" w:sz="4" w:space="0" w:color="auto"/>
              <w:right w:val="nil"/>
            </w:tcBorders>
            <w:shd w:val="clear" w:color="auto" w:fill="auto"/>
            <w:noWrap/>
            <w:vAlign w:val="bottom"/>
            <w:hideMark/>
          </w:tcPr>
          <w:p w14:paraId="094328CC"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Event Day</w:t>
            </w:r>
          </w:p>
        </w:tc>
        <w:tc>
          <w:tcPr>
            <w:tcW w:w="1589" w:type="dxa"/>
            <w:tcBorders>
              <w:top w:val="nil"/>
              <w:left w:val="nil"/>
              <w:bottom w:val="single" w:sz="4" w:space="0" w:color="auto"/>
              <w:right w:val="nil"/>
            </w:tcBorders>
            <w:shd w:val="clear" w:color="auto" w:fill="auto"/>
            <w:noWrap/>
            <w:vAlign w:val="bottom"/>
            <w:hideMark/>
          </w:tcPr>
          <w:p w14:paraId="7080D5F9" w14:textId="77777777" w:rsidR="00B846CE"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Average </w:t>
            </w:r>
            <w:r w:rsidRPr="00D62591">
              <w:rPr>
                <w:rFonts w:ascii="Times New Roman" w:eastAsia="Times New Roman" w:hAnsi="Times New Roman" w:cs="Times New Roman"/>
                <w:color w:val="000000"/>
                <w:sz w:val="24"/>
                <w:szCs w:val="24"/>
              </w:rPr>
              <w:t xml:space="preserve">AR </w:t>
            </w:r>
          </w:p>
          <w:p w14:paraId="199DB6AF" w14:textId="77777777" w:rsidR="00B846CE" w:rsidRPr="00A50211" w:rsidRDefault="00B846CE" w:rsidP="00A33AA6">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62591">
              <w:rPr>
                <w:rFonts w:ascii="Times New Roman" w:eastAsia="Times New Roman" w:hAnsi="Times New Roman" w:cs="Times New Roman"/>
                <w:color w:val="000000"/>
                <w:sz w:val="24"/>
                <w:szCs w:val="24"/>
              </w:rPr>
              <w:t>(%)</w:t>
            </w:r>
          </w:p>
        </w:tc>
        <w:tc>
          <w:tcPr>
            <w:tcW w:w="2238" w:type="dxa"/>
            <w:tcBorders>
              <w:top w:val="nil"/>
              <w:left w:val="nil"/>
              <w:bottom w:val="single" w:sz="4" w:space="0" w:color="auto"/>
              <w:right w:val="nil"/>
            </w:tcBorders>
            <w:shd w:val="clear" w:color="auto" w:fill="auto"/>
            <w:noWrap/>
            <w:vAlign w:val="bottom"/>
            <w:hideMark/>
          </w:tcPr>
          <w:p w14:paraId="5276098D" w14:textId="77777777" w:rsidR="00B846CE" w:rsidRPr="00A50211" w:rsidRDefault="00B846CE" w:rsidP="00A33AA6">
            <w:pPr>
              <w:spacing w:after="0" w:line="240" w:lineRule="auto"/>
              <w:ind w:right="194"/>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t−statistics for</w:t>
            </w:r>
          </w:p>
          <w:p w14:paraId="155945FC" w14:textId="4F0CE7F9" w:rsidR="00B846CE" w:rsidRPr="00A50211" w:rsidRDefault="00B846CE" w:rsidP="00A33AA6">
            <w:pPr>
              <w:spacing w:after="0" w:line="240" w:lineRule="auto"/>
              <w:ind w:right="194"/>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Average AR</w:t>
            </w:r>
          </w:p>
        </w:tc>
      </w:tr>
      <w:tr w:rsidR="00B846CE" w:rsidRPr="00A50211" w14:paraId="1E76A96E" w14:textId="77777777" w:rsidTr="00A33AA6">
        <w:trPr>
          <w:trHeight w:val="470"/>
        </w:trPr>
        <w:tc>
          <w:tcPr>
            <w:tcW w:w="836" w:type="dxa"/>
            <w:tcBorders>
              <w:top w:val="nil"/>
              <w:left w:val="nil"/>
              <w:bottom w:val="nil"/>
              <w:right w:val="nil"/>
            </w:tcBorders>
            <w:shd w:val="clear" w:color="auto" w:fill="auto"/>
            <w:noWrap/>
            <w:vAlign w:val="bottom"/>
            <w:hideMark/>
          </w:tcPr>
          <w:p w14:paraId="20DE56CD"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−5</w:t>
            </w:r>
          </w:p>
        </w:tc>
        <w:tc>
          <w:tcPr>
            <w:tcW w:w="1589" w:type="dxa"/>
            <w:tcBorders>
              <w:top w:val="nil"/>
              <w:left w:val="nil"/>
              <w:bottom w:val="nil"/>
              <w:right w:val="nil"/>
            </w:tcBorders>
            <w:shd w:val="clear" w:color="auto" w:fill="auto"/>
            <w:noWrap/>
            <w:vAlign w:val="bottom"/>
            <w:hideMark/>
          </w:tcPr>
          <w:p w14:paraId="0CB4BBEF"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0.0416</w:t>
            </w:r>
          </w:p>
        </w:tc>
        <w:tc>
          <w:tcPr>
            <w:tcW w:w="2238" w:type="dxa"/>
            <w:tcBorders>
              <w:top w:val="nil"/>
              <w:left w:val="nil"/>
              <w:bottom w:val="nil"/>
              <w:right w:val="nil"/>
            </w:tcBorders>
            <w:shd w:val="clear" w:color="auto" w:fill="auto"/>
            <w:noWrap/>
            <w:vAlign w:val="bottom"/>
            <w:hideMark/>
          </w:tcPr>
          <w:p w14:paraId="0C9A81EA"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0.5329</w:t>
            </w:r>
          </w:p>
        </w:tc>
      </w:tr>
      <w:tr w:rsidR="00B846CE" w:rsidRPr="00A50211" w14:paraId="0640360D" w14:textId="77777777" w:rsidTr="00A33AA6">
        <w:trPr>
          <w:trHeight w:val="470"/>
        </w:trPr>
        <w:tc>
          <w:tcPr>
            <w:tcW w:w="836" w:type="dxa"/>
            <w:tcBorders>
              <w:top w:val="nil"/>
              <w:left w:val="nil"/>
              <w:bottom w:val="nil"/>
              <w:right w:val="nil"/>
            </w:tcBorders>
            <w:shd w:val="clear" w:color="auto" w:fill="auto"/>
            <w:noWrap/>
            <w:vAlign w:val="bottom"/>
            <w:hideMark/>
          </w:tcPr>
          <w:p w14:paraId="494E9603"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−4</w:t>
            </w:r>
          </w:p>
        </w:tc>
        <w:tc>
          <w:tcPr>
            <w:tcW w:w="1589" w:type="dxa"/>
            <w:tcBorders>
              <w:top w:val="nil"/>
              <w:left w:val="nil"/>
              <w:bottom w:val="nil"/>
              <w:right w:val="nil"/>
            </w:tcBorders>
            <w:shd w:val="clear" w:color="auto" w:fill="auto"/>
            <w:noWrap/>
            <w:vAlign w:val="bottom"/>
            <w:hideMark/>
          </w:tcPr>
          <w:p w14:paraId="66DDBBA4"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0.0927</w:t>
            </w:r>
          </w:p>
        </w:tc>
        <w:tc>
          <w:tcPr>
            <w:tcW w:w="2238" w:type="dxa"/>
            <w:tcBorders>
              <w:top w:val="nil"/>
              <w:left w:val="nil"/>
              <w:bottom w:val="nil"/>
              <w:right w:val="nil"/>
            </w:tcBorders>
            <w:shd w:val="clear" w:color="auto" w:fill="auto"/>
            <w:noWrap/>
            <w:vAlign w:val="bottom"/>
            <w:hideMark/>
          </w:tcPr>
          <w:p w14:paraId="63747883"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1.6429</w:t>
            </w:r>
          </w:p>
        </w:tc>
      </w:tr>
      <w:tr w:rsidR="00B846CE" w:rsidRPr="00A50211" w14:paraId="6D7A19FA" w14:textId="77777777" w:rsidTr="00A33AA6">
        <w:trPr>
          <w:trHeight w:val="470"/>
        </w:trPr>
        <w:tc>
          <w:tcPr>
            <w:tcW w:w="836" w:type="dxa"/>
            <w:tcBorders>
              <w:top w:val="nil"/>
              <w:left w:val="nil"/>
              <w:bottom w:val="nil"/>
              <w:right w:val="nil"/>
            </w:tcBorders>
            <w:shd w:val="clear" w:color="auto" w:fill="auto"/>
            <w:noWrap/>
            <w:vAlign w:val="bottom"/>
            <w:hideMark/>
          </w:tcPr>
          <w:p w14:paraId="686638E2"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−3</w:t>
            </w:r>
          </w:p>
        </w:tc>
        <w:tc>
          <w:tcPr>
            <w:tcW w:w="1589" w:type="dxa"/>
            <w:tcBorders>
              <w:top w:val="nil"/>
              <w:left w:val="nil"/>
              <w:bottom w:val="nil"/>
              <w:right w:val="nil"/>
            </w:tcBorders>
            <w:shd w:val="clear" w:color="auto" w:fill="auto"/>
            <w:noWrap/>
            <w:vAlign w:val="bottom"/>
            <w:hideMark/>
          </w:tcPr>
          <w:p w14:paraId="34A11DBA"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0.0797</w:t>
            </w:r>
          </w:p>
        </w:tc>
        <w:tc>
          <w:tcPr>
            <w:tcW w:w="2238" w:type="dxa"/>
            <w:tcBorders>
              <w:top w:val="nil"/>
              <w:left w:val="nil"/>
              <w:bottom w:val="nil"/>
              <w:right w:val="nil"/>
            </w:tcBorders>
            <w:shd w:val="clear" w:color="auto" w:fill="auto"/>
            <w:noWrap/>
            <w:vAlign w:val="bottom"/>
            <w:hideMark/>
          </w:tcPr>
          <w:p w14:paraId="23FE4A6E"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1.5253</w:t>
            </w:r>
          </w:p>
        </w:tc>
      </w:tr>
      <w:tr w:rsidR="00B846CE" w:rsidRPr="00A50211" w14:paraId="77A09196" w14:textId="77777777" w:rsidTr="00A33AA6">
        <w:trPr>
          <w:trHeight w:val="470"/>
        </w:trPr>
        <w:tc>
          <w:tcPr>
            <w:tcW w:w="836" w:type="dxa"/>
            <w:tcBorders>
              <w:top w:val="nil"/>
              <w:left w:val="nil"/>
              <w:bottom w:val="nil"/>
              <w:right w:val="nil"/>
            </w:tcBorders>
            <w:shd w:val="clear" w:color="auto" w:fill="auto"/>
            <w:noWrap/>
            <w:vAlign w:val="bottom"/>
            <w:hideMark/>
          </w:tcPr>
          <w:p w14:paraId="0043789F"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−2</w:t>
            </w:r>
          </w:p>
        </w:tc>
        <w:tc>
          <w:tcPr>
            <w:tcW w:w="1589" w:type="dxa"/>
            <w:tcBorders>
              <w:top w:val="nil"/>
              <w:left w:val="nil"/>
              <w:bottom w:val="nil"/>
              <w:right w:val="nil"/>
            </w:tcBorders>
            <w:shd w:val="clear" w:color="auto" w:fill="auto"/>
            <w:noWrap/>
            <w:vAlign w:val="bottom"/>
            <w:hideMark/>
          </w:tcPr>
          <w:p w14:paraId="37771559"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0.0633</w:t>
            </w:r>
          </w:p>
        </w:tc>
        <w:tc>
          <w:tcPr>
            <w:tcW w:w="2238" w:type="dxa"/>
            <w:tcBorders>
              <w:top w:val="nil"/>
              <w:left w:val="nil"/>
              <w:bottom w:val="nil"/>
              <w:right w:val="nil"/>
            </w:tcBorders>
            <w:shd w:val="clear" w:color="auto" w:fill="auto"/>
            <w:noWrap/>
            <w:vAlign w:val="bottom"/>
            <w:hideMark/>
          </w:tcPr>
          <w:p w14:paraId="6E7AC9E7"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0.6679</w:t>
            </w:r>
          </w:p>
        </w:tc>
      </w:tr>
      <w:tr w:rsidR="00B846CE" w:rsidRPr="00A50211" w14:paraId="2A08D1C2" w14:textId="77777777" w:rsidTr="00A33AA6">
        <w:trPr>
          <w:trHeight w:val="470"/>
        </w:trPr>
        <w:tc>
          <w:tcPr>
            <w:tcW w:w="836" w:type="dxa"/>
            <w:tcBorders>
              <w:top w:val="nil"/>
              <w:left w:val="nil"/>
              <w:bottom w:val="nil"/>
              <w:right w:val="nil"/>
            </w:tcBorders>
            <w:shd w:val="clear" w:color="auto" w:fill="auto"/>
            <w:noWrap/>
            <w:vAlign w:val="bottom"/>
            <w:hideMark/>
          </w:tcPr>
          <w:p w14:paraId="65FE0C45"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−1</w:t>
            </w:r>
          </w:p>
        </w:tc>
        <w:tc>
          <w:tcPr>
            <w:tcW w:w="1589" w:type="dxa"/>
            <w:tcBorders>
              <w:top w:val="nil"/>
              <w:left w:val="nil"/>
              <w:bottom w:val="nil"/>
              <w:right w:val="nil"/>
            </w:tcBorders>
            <w:shd w:val="clear" w:color="auto" w:fill="auto"/>
            <w:noWrap/>
            <w:vAlign w:val="bottom"/>
            <w:hideMark/>
          </w:tcPr>
          <w:p w14:paraId="5E2998BE"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−0.0233</w:t>
            </w:r>
          </w:p>
        </w:tc>
        <w:tc>
          <w:tcPr>
            <w:tcW w:w="2238" w:type="dxa"/>
            <w:tcBorders>
              <w:top w:val="nil"/>
              <w:left w:val="nil"/>
              <w:bottom w:val="nil"/>
              <w:right w:val="nil"/>
            </w:tcBorders>
            <w:shd w:val="clear" w:color="auto" w:fill="auto"/>
            <w:noWrap/>
            <w:vAlign w:val="bottom"/>
            <w:hideMark/>
          </w:tcPr>
          <w:p w14:paraId="7CD59D84"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−0.9508</w:t>
            </w:r>
          </w:p>
        </w:tc>
      </w:tr>
      <w:tr w:rsidR="00B846CE" w:rsidRPr="00A50211" w14:paraId="2F013383" w14:textId="77777777" w:rsidTr="00A33AA6">
        <w:trPr>
          <w:trHeight w:val="470"/>
        </w:trPr>
        <w:tc>
          <w:tcPr>
            <w:tcW w:w="836" w:type="dxa"/>
            <w:tcBorders>
              <w:top w:val="nil"/>
              <w:left w:val="nil"/>
              <w:bottom w:val="nil"/>
              <w:right w:val="nil"/>
            </w:tcBorders>
            <w:shd w:val="clear" w:color="auto" w:fill="auto"/>
            <w:noWrap/>
            <w:vAlign w:val="bottom"/>
            <w:hideMark/>
          </w:tcPr>
          <w:p w14:paraId="2F63BC3F"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0</w:t>
            </w:r>
          </w:p>
        </w:tc>
        <w:tc>
          <w:tcPr>
            <w:tcW w:w="1589" w:type="dxa"/>
            <w:tcBorders>
              <w:top w:val="nil"/>
              <w:left w:val="nil"/>
              <w:bottom w:val="nil"/>
              <w:right w:val="nil"/>
            </w:tcBorders>
            <w:shd w:val="clear" w:color="auto" w:fill="auto"/>
            <w:noWrap/>
            <w:vAlign w:val="bottom"/>
            <w:hideMark/>
          </w:tcPr>
          <w:p w14:paraId="20397C47"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−0.5718</w:t>
            </w:r>
          </w:p>
        </w:tc>
        <w:tc>
          <w:tcPr>
            <w:tcW w:w="2238" w:type="dxa"/>
            <w:tcBorders>
              <w:top w:val="nil"/>
              <w:left w:val="nil"/>
              <w:bottom w:val="nil"/>
              <w:right w:val="nil"/>
            </w:tcBorders>
            <w:shd w:val="clear" w:color="auto" w:fill="auto"/>
            <w:noWrap/>
            <w:vAlign w:val="bottom"/>
            <w:hideMark/>
          </w:tcPr>
          <w:p w14:paraId="58617CE5"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−14.7279</w:t>
            </w:r>
            <w:r w:rsidRPr="00A50211">
              <w:rPr>
                <w:rFonts w:ascii="Times New Roman" w:eastAsia="Times New Roman" w:hAnsi="Times New Roman" w:cs="Times New Roman"/>
                <w:color w:val="000000"/>
                <w:sz w:val="24"/>
                <w:szCs w:val="24"/>
                <w:vertAlign w:val="superscript"/>
              </w:rPr>
              <w:t>***</w:t>
            </w:r>
          </w:p>
        </w:tc>
      </w:tr>
      <w:tr w:rsidR="00B846CE" w:rsidRPr="00A50211" w14:paraId="6AEEE9E2" w14:textId="77777777" w:rsidTr="00A33AA6">
        <w:trPr>
          <w:trHeight w:val="470"/>
        </w:trPr>
        <w:tc>
          <w:tcPr>
            <w:tcW w:w="836" w:type="dxa"/>
            <w:tcBorders>
              <w:top w:val="nil"/>
              <w:left w:val="nil"/>
              <w:bottom w:val="nil"/>
              <w:right w:val="nil"/>
            </w:tcBorders>
            <w:shd w:val="clear" w:color="auto" w:fill="auto"/>
            <w:noWrap/>
            <w:vAlign w:val="bottom"/>
            <w:hideMark/>
          </w:tcPr>
          <w:p w14:paraId="5C21E5A8"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1</w:t>
            </w:r>
          </w:p>
        </w:tc>
        <w:tc>
          <w:tcPr>
            <w:tcW w:w="1589" w:type="dxa"/>
            <w:tcBorders>
              <w:top w:val="nil"/>
              <w:left w:val="nil"/>
              <w:bottom w:val="nil"/>
              <w:right w:val="nil"/>
            </w:tcBorders>
            <w:shd w:val="clear" w:color="auto" w:fill="auto"/>
            <w:noWrap/>
            <w:vAlign w:val="bottom"/>
            <w:hideMark/>
          </w:tcPr>
          <w:p w14:paraId="1B74394C"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−0.4166</w:t>
            </w:r>
          </w:p>
        </w:tc>
        <w:tc>
          <w:tcPr>
            <w:tcW w:w="2238" w:type="dxa"/>
            <w:tcBorders>
              <w:top w:val="nil"/>
              <w:left w:val="nil"/>
              <w:bottom w:val="nil"/>
              <w:right w:val="nil"/>
            </w:tcBorders>
            <w:shd w:val="clear" w:color="auto" w:fill="auto"/>
            <w:noWrap/>
            <w:vAlign w:val="bottom"/>
            <w:hideMark/>
          </w:tcPr>
          <w:p w14:paraId="54C6D53A"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−10.5787</w:t>
            </w:r>
            <w:r w:rsidRPr="00A50211">
              <w:rPr>
                <w:rFonts w:ascii="Times New Roman" w:eastAsia="Times New Roman" w:hAnsi="Times New Roman" w:cs="Times New Roman"/>
                <w:color w:val="000000"/>
                <w:sz w:val="24"/>
                <w:szCs w:val="24"/>
                <w:vertAlign w:val="superscript"/>
              </w:rPr>
              <w:t>***</w:t>
            </w:r>
          </w:p>
        </w:tc>
      </w:tr>
      <w:tr w:rsidR="00B846CE" w:rsidRPr="00A50211" w14:paraId="133D59DA" w14:textId="77777777" w:rsidTr="00A33AA6">
        <w:trPr>
          <w:trHeight w:val="470"/>
        </w:trPr>
        <w:tc>
          <w:tcPr>
            <w:tcW w:w="836" w:type="dxa"/>
            <w:tcBorders>
              <w:top w:val="nil"/>
              <w:left w:val="nil"/>
              <w:bottom w:val="nil"/>
              <w:right w:val="nil"/>
            </w:tcBorders>
            <w:shd w:val="clear" w:color="auto" w:fill="auto"/>
            <w:noWrap/>
            <w:vAlign w:val="bottom"/>
            <w:hideMark/>
          </w:tcPr>
          <w:p w14:paraId="6A8F7ECE"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2</w:t>
            </w:r>
          </w:p>
        </w:tc>
        <w:tc>
          <w:tcPr>
            <w:tcW w:w="1589" w:type="dxa"/>
            <w:tcBorders>
              <w:top w:val="nil"/>
              <w:left w:val="nil"/>
              <w:bottom w:val="nil"/>
              <w:right w:val="nil"/>
            </w:tcBorders>
            <w:shd w:val="clear" w:color="auto" w:fill="auto"/>
            <w:noWrap/>
            <w:vAlign w:val="bottom"/>
            <w:hideMark/>
          </w:tcPr>
          <w:p w14:paraId="1E00A0D8"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−0.1895</w:t>
            </w:r>
          </w:p>
        </w:tc>
        <w:tc>
          <w:tcPr>
            <w:tcW w:w="2238" w:type="dxa"/>
            <w:tcBorders>
              <w:top w:val="nil"/>
              <w:left w:val="nil"/>
              <w:bottom w:val="nil"/>
              <w:right w:val="nil"/>
            </w:tcBorders>
            <w:shd w:val="clear" w:color="auto" w:fill="auto"/>
            <w:noWrap/>
            <w:vAlign w:val="bottom"/>
            <w:hideMark/>
          </w:tcPr>
          <w:p w14:paraId="1927498D"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−3.4653</w:t>
            </w:r>
            <w:r w:rsidRPr="00A50211">
              <w:rPr>
                <w:rFonts w:ascii="Times New Roman" w:eastAsia="Times New Roman" w:hAnsi="Times New Roman" w:cs="Times New Roman"/>
                <w:color w:val="000000"/>
                <w:sz w:val="24"/>
                <w:szCs w:val="24"/>
                <w:vertAlign w:val="superscript"/>
              </w:rPr>
              <w:t>***</w:t>
            </w:r>
          </w:p>
        </w:tc>
      </w:tr>
      <w:tr w:rsidR="00B846CE" w:rsidRPr="00A50211" w14:paraId="69A33D92" w14:textId="77777777" w:rsidTr="00A33AA6">
        <w:trPr>
          <w:trHeight w:val="470"/>
        </w:trPr>
        <w:tc>
          <w:tcPr>
            <w:tcW w:w="836" w:type="dxa"/>
            <w:tcBorders>
              <w:top w:val="nil"/>
              <w:left w:val="nil"/>
              <w:bottom w:val="nil"/>
              <w:right w:val="nil"/>
            </w:tcBorders>
            <w:shd w:val="clear" w:color="auto" w:fill="auto"/>
            <w:noWrap/>
            <w:vAlign w:val="bottom"/>
            <w:hideMark/>
          </w:tcPr>
          <w:p w14:paraId="33ACB971"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3</w:t>
            </w:r>
          </w:p>
        </w:tc>
        <w:tc>
          <w:tcPr>
            <w:tcW w:w="1589" w:type="dxa"/>
            <w:tcBorders>
              <w:top w:val="nil"/>
              <w:left w:val="nil"/>
              <w:bottom w:val="nil"/>
              <w:right w:val="nil"/>
            </w:tcBorders>
            <w:shd w:val="clear" w:color="auto" w:fill="auto"/>
            <w:noWrap/>
            <w:vAlign w:val="bottom"/>
            <w:hideMark/>
          </w:tcPr>
          <w:p w14:paraId="0452F534"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−0.0586</w:t>
            </w:r>
          </w:p>
        </w:tc>
        <w:tc>
          <w:tcPr>
            <w:tcW w:w="2238" w:type="dxa"/>
            <w:tcBorders>
              <w:top w:val="nil"/>
              <w:left w:val="nil"/>
              <w:bottom w:val="nil"/>
              <w:right w:val="nil"/>
            </w:tcBorders>
            <w:shd w:val="clear" w:color="auto" w:fill="auto"/>
            <w:noWrap/>
            <w:vAlign w:val="bottom"/>
            <w:hideMark/>
          </w:tcPr>
          <w:p w14:paraId="7D957480"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−1.1073</w:t>
            </w:r>
          </w:p>
        </w:tc>
      </w:tr>
      <w:tr w:rsidR="00B846CE" w:rsidRPr="00A50211" w14:paraId="5B9051CC" w14:textId="77777777" w:rsidTr="00A33AA6">
        <w:trPr>
          <w:trHeight w:val="470"/>
        </w:trPr>
        <w:tc>
          <w:tcPr>
            <w:tcW w:w="836" w:type="dxa"/>
            <w:tcBorders>
              <w:top w:val="nil"/>
              <w:left w:val="nil"/>
              <w:bottom w:val="nil"/>
              <w:right w:val="nil"/>
            </w:tcBorders>
            <w:shd w:val="clear" w:color="auto" w:fill="auto"/>
            <w:noWrap/>
            <w:vAlign w:val="bottom"/>
            <w:hideMark/>
          </w:tcPr>
          <w:p w14:paraId="367DF99C"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4</w:t>
            </w:r>
          </w:p>
        </w:tc>
        <w:tc>
          <w:tcPr>
            <w:tcW w:w="1589" w:type="dxa"/>
            <w:tcBorders>
              <w:top w:val="nil"/>
              <w:left w:val="nil"/>
              <w:bottom w:val="nil"/>
              <w:right w:val="nil"/>
            </w:tcBorders>
            <w:shd w:val="clear" w:color="auto" w:fill="auto"/>
            <w:noWrap/>
            <w:vAlign w:val="bottom"/>
            <w:hideMark/>
          </w:tcPr>
          <w:p w14:paraId="19DD9AE9"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−0.1155</w:t>
            </w:r>
          </w:p>
        </w:tc>
        <w:tc>
          <w:tcPr>
            <w:tcW w:w="2238" w:type="dxa"/>
            <w:tcBorders>
              <w:top w:val="nil"/>
              <w:left w:val="nil"/>
              <w:bottom w:val="nil"/>
              <w:right w:val="nil"/>
            </w:tcBorders>
            <w:shd w:val="clear" w:color="auto" w:fill="auto"/>
            <w:noWrap/>
            <w:vAlign w:val="bottom"/>
            <w:hideMark/>
          </w:tcPr>
          <w:p w14:paraId="658C89D3"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−1.0855</w:t>
            </w:r>
          </w:p>
        </w:tc>
      </w:tr>
      <w:tr w:rsidR="00B846CE" w:rsidRPr="00A50211" w14:paraId="2CD83190" w14:textId="77777777" w:rsidTr="00A33AA6">
        <w:trPr>
          <w:trHeight w:val="470"/>
        </w:trPr>
        <w:tc>
          <w:tcPr>
            <w:tcW w:w="836" w:type="dxa"/>
            <w:tcBorders>
              <w:top w:val="nil"/>
              <w:left w:val="nil"/>
              <w:bottom w:val="nil"/>
              <w:right w:val="nil"/>
            </w:tcBorders>
            <w:shd w:val="clear" w:color="auto" w:fill="auto"/>
            <w:noWrap/>
            <w:vAlign w:val="bottom"/>
            <w:hideMark/>
          </w:tcPr>
          <w:p w14:paraId="4A9ED966"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5</w:t>
            </w:r>
          </w:p>
        </w:tc>
        <w:tc>
          <w:tcPr>
            <w:tcW w:w="1589" w:type="dxa"/>
            <w:tcBorders>
              <w:top w:val="nil"/>
              <w:left w:val="nil"/>
              <w:bottom w:val="nil"/>
              <w:right w:val="nil"/>
            </w:tcBorders>
            <w:shd w:val="clear" w:color="auto" w:fill="auto"/>
            <w:noWrap/>
            <w:vAlign w:val="bottom"/>
            <w:hideMark/>
          </w:tcPr>
          <w:p w14:paraId="4B06F32C"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0.0301</w:t>
            </w:r>
          </w:p>
        </w:tc>
        <w:tc>
          <w:tcPr>
            <w:tcW w:w="2238" w:type="dxa"/>
            <w:tcBorders>
              <w:top w:val="nil"/>
              <w:left w:val="nil"/>
              <w:bottom w:val="nil"/>
              <w:right w:val="nil"/>
            </w:tcBorders>
            <w:shd w:val="clear" w:color="auto" w:fill="auto"/>
            <w:noWrap/>
            <w:vAlign w:val="bottom"/>
            <w:hideMark/>
          </w:tcPr>
          <w:p w14:paraId="64ABC602"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1.2268</w:t>
            </w:r>
          </w:p>
        </w:tc>
      </w:tr>
      <w:tr w:rsidR="00B846CE" w:rsidRPr="00A50211" w14:paraId="24C903F4" w14:textId="77777777" w:rsidTr="00A33AA6">
        <w:trPr>
          <w:trHeight w:val="470"/>
        </w:trPr>
        <w:tc>
          <w:tcPr>
            <w:tcW w:w="836" w:type="dxa"/>
            <w:tcBorders>
              <w:top w:val="nil"/>
              <w:left w:val="nil"/>
              <w:bottom w:val="nil"/>
              <w:right w:val="nil"/>
            </w:tcBorders>
            <w:shd w:val="clear" w:color="auto" w:fill="auto"/>
            <w:noWrap/>
            <w:vAlign w:val="bottom"/>
            <w:hideMark/>
          </w:tcPr>
          <w:p w14:paraId="7CF23E4C"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6</w:t>
            </w:r>
          </w:p>
        </w:tc>
        <w:tc>
          <w:tcPr>
            <w:tcW w:w="1589" w:type="dxa"/>
            <w:tcBorders>
              <w:top w:val="nil"/>
              <w:left w:val="nil"/>
              <w:bottom w:val="nil"/>
              <w:right w:val="nil"/>
            </w:tcBorders>
            <w:shd w:val="clear" w:color="auto" w:fill="auto"/>
            <w:noWrap/>
            <w:vAlign w:val="bottom"/>
            <w:hideMark/>
          </w:tcPr>
          <w:p w14:paraId="744CD368"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−0.0166</w:t>
            </w:r>
          </w:p>
        </w:tc>
        <w:tc>
          <w:tcPr>
            <w:tcW w:w="2238" w:type="dxa"/>
            <w:tcBorders>
              <w:top w:val="nil"/>
              <w:left w:val="nil"/>
              <w:bottom w:val="nil"/>
              <w:right w:val="nil"/>
            </w:tcBorders>
            <w:shd w:val="clear" w:color="auto" w:fill="auto"/>
            <w:noWrap/>
            <w:vAlign w:val="bottom"/>
            <w:hideMark/>
          </w:tcPr>
          <w:p w14:paraId="425728E7"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−0.8427</w:t>
            </w:r>
          </w:p>
        </w:tc>
      </w:tr>
      <w:tr w:rsidR="00B846CE" w:rsidRPr="00A50211" w14:paraId="03C346C0" w14:textId="77777777" w:rsidTr="00A33AA6">
        <w:trPr>
          <w:trHeight w:val="470"/>
        </w:trPr>
        <w:tc>
          <w:tcPr>
            <w:tcW w:w="836" w:type="dxa"/>
            <w:tcBorders>
              <w:top w:val="nil"/>
              <w:left w:val="nil"/>
              <w:bottom w:val="nil"/>
              <w:right w:val="nil"/>
            </w:tcBorders>
            <w:shd w:val="clear" w:color="auto" w:fill="auto"/>
            <w:noWrap/>
            <w:vAlign w:val="bottom"/>
            <w:hideMark/>
          </w:tcPr>
          <w:p w14:paraId="4EA97FE8"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7</w:t>
            </w:r>
          </w:p>
        </w:tc>
        <w:tc>
          <w:tcPr>
            <w:tcW w:w="1589" w:type="dxa"/>
            <w:tcBorders>
              <w:top w:val="nil"/>
              <w:left w:val="nil"/>
              <w:bottom w:val="nil"/>
              <w:right w:val="nil"/>
            </w:tcBorders>
            <w:shd w:val="clear" w:color="auto" w:fill="auto"/>
            <w:noWrap/>
            <w:vAlign w:val="bottom"/>
            <w:hideMark/>
          </w:tcPr>
          <w:p w14:paraId="579CC012"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−0.0148</w:t>
            </w:r>
          </w:p>
        </w:tc>
        <w:tc>
          <w:tcPr>
            <w:tcW w:w="2238" w:type="dxa"/>
            <w:tcBorders>
              <w:top w:val="nil"/>
              <w:left w:val="nil"/>
              <w:bottom w:val="nil"/>
              <w:right w:val="nil"/>
            </w:tcBorders>
            <w:shd w:val="clear" w:color="auto" w:fill="auto"/>
            <w:noWrap/>
            <w:vAlign w:val="bottom"/>
            <w:hideMark/>
          </w:tcPr>
          <w:p w14:paraId="338155BF"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−1.0400</w:t>
            </w:r>
          </w:p>
        </w:tc>
      </w:tr>
      <w:tr w:rsidR="00B846CE" w:rsidRPr="00A50211" w14:paraId="6506720E" w14:textId="77777777" w:rsidTr="00A33AA6">
        <w:trPr>
          <w:trHeight w:val="470"/>
        </w:trPr>
        <w:tc>
          <w:tcPr>
            <w:tcW w:w="836" w:type="dxa"/>
            <w:tcBorders>
              <w:top w:val="nil"/>
              <w:left w:val="nil"/>
              <w:bottom w:val="nil"/>
              <w:right w:val="nil"/>
            </w:tcBorders>
            <w:shd w:val="clear" w:color="auto" w:fill="auto"/>
            <w:noWrap/>
            <w:vAlign w:val="bottom"/>
            <w:hideMark/>
          </w:tcPr>
          <w:p w14:paraId="757DD65D"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8</w:t>
            </w:r>
          </w:p>
        </w:tc>
        <w:tc>
          <w:tcPr>
            <w:tcW w:w="1589" w:type="dxa"/>
            <w:tcBorders>
              <w:top w:val="nil"/>
              <w:left w:val="nil"/>
              <w:bottom w:val="nil"/>
              <w:right w:val="nil"/>
            </w:tcBorders>
            <w:shd w:val="clear" w:color="auto" w:fill="auto"/>
            <w:noWrap/>
            <w:vAlign w:val="bottom"/>
            <w:hideMark/>
          </w:tcPr>
          <w:p w14:paraId="7795AAD6"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−0.1162</w:t>
            </w:r>
          </w:p>
        </w:tc>
        <w:tc>
          <w:tcPr>
            <w:tcW w:w="2238" w:type="dxa"/>
            <w:tcBorders>
              <w:top w:val="nil"/>
              <w:left w:val="nil"/>
              <w:bottom w:val="nil"/>
              <w:right w:val="nil"/>
            </w:tcBorders>
            <w:shd w:val="clear" w:color="auto" w:fill="auto"/>
            <w:noWrap/>
            <w:vAlign w:val="bottom"/>
            <w:hideMark/>
          </w:tcPr>
          <w:p w14:paraId="43C7DA17"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−1.6677</w:t>
            </w:r>
            <w:r w:rsidRPr="00A50211">
              <w:rPr>
                <w:rFonts w:ascii="Times New Roman" w:eastAsia="Times New Roman" w:hAnsi="Times New Roman" w:cs="Times New Roman"/>
                <w:color w:val="000000"/>
                <w:sz w:val="24"/>
                <w:szCs w:val="24"/>
                <w:vertAlign w:val="superscript"/>
              </w:rPr>
              <w:t>*</w:t>
            </w:r>
          </w:p>
        </w:tc>
      </w:tr>
      <w:tr w:rsidR="00B846CE" w:rsidRPr="00A50211" w14:paraId="14DF29BE" w14:textId="77777777" w:rsidTr="00A33AA6">
        <w:trPr>
          <w:trHeight w:val="470"/>
        </w:trPr>
        <w:tc>
          <w:tcPr>
            <w:tcW w:w="836" w:type="dxa"/>
            <w:tcBorders>
              <w:top w:val="nil"/>
              <w:left w:val="nil"/>
              <w:right w:val="nil"/>
            </w:tcBorders>
            <w:shd w:val="clear" w:color="auto" w:fill="auto"/>
            <w:noWrap/>
            <w:vAlign w:val="bottom"/>
            <w:hideMark/>
          </w:tcPr>
          <w:p w14:paraId="43526AC9"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9</w:t>
            </w:r>
          </w:p>
        </w:tc>
        <w:tc>
          <w:tcPr>
            <w:tcW w:w="1589" w:type="dxa"/>
            <w:tcBorders>
              <w:top w:val="nil"/>
              <w:left w:val="nil"/>
              <w:right w:val="nil"/>
            </w:tcBorders>
            <w:shd w:val="clear" w:color="auto" w:fill="auto"/>
            <w:noWrap/>
            <w:vAlign w:val="bottom"/>
            <w:hideMark/>
          </w:tcPr>
          <w:p w14:paraId="4BD789D8"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−0.0485</w:t>
            </w:r>
          </w:p>
        </w:tc>
        <w:tc>
          <w:tcPr>
            <w:tcW w:w="2238" w:type="dxa"/>
            <w:tcBorders>
              <w:top w:val="nil"/>
              <w:left w:val="nil"/>
              <w:right w:val="nil"/>
            </w:tcBorders>
            <w:shd w:val="clear" w:color="auto" w:fill="auto"/>
            <w:noWrap/>
            <w:vAlign w:val="bottom"/>
            <w:hideMark/>
          </w:tcPr>
          <w:p w14:paraId="26D001BB"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−0.5739</w:t>
            </w:r>
          </w:p>
        </w:tc>
      </w:tr>
      <w:tr w:rsidR="00B846CE" w:rsidRPr="00A50211" w14:paraId="7432E69E" w14:textId="77777777" w:rsidTr="00A33AA6">
        <w:trPr>
          <w:trHeight w:val="470"/>
        </w:trPr>
        <w:tc>
          <w:tcPr>
            <w:tcW w:w="836" w:type="dxa"/>
            <w:tcBorders>
              <w:top w:val="nil"/>
              <w:left w:val="nil"/>
              <w:bottom w:val="single" w:sz="4" w:space="0" w:color="auto"/>
              <w:right w:val="nil"/>
            </w:tcBorders>
            <w:shd w:val="clear" w:color="auto" w:fill="auto"/>
            <w:noWrap/>
            <w:vAlign w:val="bottom"/>
            <w:hideMark/>
          </w:tcPr>
          <w:p w14:paraId="50512A73"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10</w:t>
            </w:r>
          </w:p>
        </w:tc>
        <w:tc>
          <w:tcPr>
            <w:tcW w:w="1589" w:type="dxa"/>
            <w:tcBorders>
              <w:top w:val="nil"/>
              <w:left w:val="nil"/>
              <w:bottom w:val="single" w:sz="4" w:space="0" w:color="auto"/>
              <w:right w:val="nil"/>
            </w:tcBorders>
            <w:shd w:val="clear" w:color="auto" w:fill="auto"/>
            <w:noWrap/>
            <w:vAlign w:val="bottom"/>
            <w:hideMark/>
          </w:tcPr>
          <w:p w14:paraId="54D6621B"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−0.0170</w:t>
            </w:r>
          </w:p>
        </w:tc>
        <w:tc>
          <w:tcPr>
            <w:tcW w:w="2238" w:type="dxa"/>
            <w:tcBorders>
              <w:top w:val="nil"/>
              <w:left w:val="nil"/>
              <w:bottom w:val="single" w:sz="4" w:space="0" w:color="auto"/>
              <w:right w:val="nil"/>
            </w:tcBorders>
            <w:shd w:val="clear" w:color="auto" w:fill="auto"/>
            <w:noWrap/>
            <w:vAlign w:val="bottom"/>
            <w:hideMark/>
          </w:tcPr>
          <w:p w14:paraId="3F7E87F7"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 xml:space="preserve">    0.2310</w:t>
            </w:r>
          </w:p>
        </w:tc>
      </w:tr>
    </w:tbl>
    <w:p w14:paraId="5FC63E12" w14:textId="77777777" w:rsidR="00B846CE" w:rsidRDefault="00B846CE" w:rsidP="00B846CE">
      <w:pPr>
        <w:spacing w:after="0" w:line="240" w:lineRule="auto"/>
        <w:rPr>
          <w:rFonts w:ascii="Times New Roman" w:eastAsia="Times New Roman" w:hAnsi="Times New Roman" w:cs="Times New Roman"/>
          <w:b/>
          <w:color w:val="000000"/>
          <w:sz w:val="24"/>
          <w:szCs w:val="24"/>
        </w:rPr>
      </w:pPr>
    </w:p>
    <w:p w14:paraId="53483059" w14:textId="77777777" w:rsidR="00B846CE" w:rsidRDefault="00B846CE" w:rsidP="00B846CE">
      <w:pPr>
        <w:pStyle w:val="Default"/>
        <w:contextualSpacing/>
        <w:jc w:val="both"/>
        <w:rPr>
          <w:rFonts w:eastAsia="Times New Roman"/>
          <w:sz w:val="20"/>
          <w:szCs w:val="20"/>
        </w:rPr>
      </w:pPr>
    </w:p>
    <w:p w14:paraId="1373B12F" w14:textId="77777777" w:rsidR="00B846CE" w:rsidRDefault="00B846CE" w:rsidP="00B846CE">
      <w:pPr>
        <w:pStyle w:val="Default"/>
        <w:jc w:val="both"/>
        <w:rPr>
          <w:color w:val="auto"/>
          <w:sz w:val="20"/>
          <w:szCs w:val="20"/>
        </w:rPr>
      </w:pPr>
    </w:p>
    <w:p w14:paraId="58610C4C" w14:textId="77777777" w:rsidR="00B846CE" w:rsidRDefault="00B846CE" w:rsidP="00B846CE">
      <w:pPr>
        <w:pStyle w:val="Default"/>
        <w:jc w:val="both"/>
        <w:rPr>
          <w:color w:val="auto"/>
          <w:sz w:val="20"/>
          <w:szCs w:val="20"/>
        </w:rPr>
      </w:pPr>
    </w:p>
    <w:p w14:paraId="1E21B09B" w14:textId="77777777" w:rsidR="00B846CE" w:rsidRDefault="00B846CE" w:rsidP="00B846CE">
      <w:pPr>
        <w:pStyle w:val="Default"/>
        <w:jc w:val="both"/>
        <w:rPr>
          <w:color w:val="auto"/>
          <w:sz w:val="20"/>
          <w:szCs w:val="20"/>
        </w:rPr>
      </w:pPr>
    </w:p>
    <w:p w14:paraId="0D80DA7E" w14:textId="77777777" w:rsidR="00B846CE" w:rsidRDefault="00B846CE" w:rsidP="00B846CE">
      <w:pPr>
        <w:pStyle w:val="Default"/>
        <w:jc w:val="both"/>
        <w:rPr>
          <w:color w:val="auto"/>
          <w:sz w:val="20"/>
          <w:szCs w:val="20"/>
        </w:rPr>
      </w:pPr>
    </w:p>
    <w:p w14:paraId="234ABF62" w14:textId="77777777" w:rsidR="00B846CE" w:rsidRDefault="00B846CE" w:rsidP="00B846CE">
      <w:pPr>
        <w:pStyle w:val="Default"/>
        <w:jc w:val="both"/>
        <w:rPr>
          <w:color w:val="auto"/>
          <w:sz w:val="20"/>
          <w:szCs w:val="20"/>
        </w:rPr>
      </w:pPr>
    </w:p>
    <w:p w14:paraId="059CE181" w14:textId="77777777" w:rsidR="00B846CE" w:rsidRDefault="00B846CE" w:rsidP="00B846CE">
      <w:pPr>
        <w:pStyle w:val="Default"/>
        <w:jc w:val="both"/>
        <w:rPr>
          <w:color w:val="auto"/>
          <w:sz w:val="20"/>
          <w:szCs w:val="20"/>
        </w:rPr>
      </w:pPr>
    </w:p>
    <w:p w14:paraId="6E83CF9A" w14:textId="77777777" w:rsidR="00B846CE" w:rsidRDefault="00B846CE" w:rsidP="00B846CE">
      <w:pPr>
        <w:pStyle w:val="Default"/>
        <w:jc w:val="both"/>
        <w:rPr>
          <w:color w:val="auto"/>
          <w:sz w:val="20"/>
          <w:szCs w:val="20"/>
        </w:rPr>
      </w:pPr>
    </w:p>
    <w:p w14:paraId="51C03A8F" w14:textId="77777777" w:rsidR="00B846CE" w:rsidRDefault="00B846CE" w:rsidP="00B846CE">
      <w:pPr>
        <w:pStyle w:val="Default"/>
        <w:jc w:val="both"/>
        <w:rPr>
          <w:color w:val="auto"/>
          <w:sz w:val="20"/>
          <w:szCs w:val="20"/>
        </w:rPr>
      </w:pPr>
    </w:p>
    <w:p w14:paraId="56936447" w14:textId="77777777" w:rsidR="00B846CE" w:rsidRDefault="00B846CE" w:rsidP="00B846CE">
      <w:pPr>
        <w:pStyle w:val="Default"/>
        <w:jc w:val="both"/>
        <w:rPr>
          <w:color w:val="auto"/>
          <w:sz w:val="20"/>
          <w:szCs w:val="20"/>
        </w:rPr>
      </w:pPr>
    </w:p>
    <w:p w14:paraId="6F7AD9F2" w14:textId="77777777" w:rsidR="00B846CE" w:rsidRDefault="00B846CE" w:rsidP="00B846CE">
      <w:pPr>
        <w:pStyle w:val="Default"/>
        <w:jc w:val="both"/>
        <w:rPr>
          <w:color w:val="auto"/>
          <w:sz w:val="20"/>
          <w:szCs w:val="20"/>
        </w:rPr>
      </w:pPr>
    </w:p>
    <w:p w14:paraId="5708172B" w14:textId="77777777" w:rsidR="00B846CE" w:rsidRDefault="00B846CE" w:rsidP="00B846CE">
      <w:pPr>
        <w:pStyle w:val="Default"/>
        <w:jc w:val="both"/>
        <w:rPr>
          <w:color w:val="auto"/>
          <w:sz w:val="20"/>
          <w:szCs w:val="20"/>
        </w:rPr>
      </w:pPr>
    </w:p>
    <w:p w14:paraId="6C6DA901" w14:textId="77777777" w:rsidR="00B846CE" w:rsidRDefault="00B846CE" w:rsidP="00B846CE">
      <w:pPr>
        <w:pStyle w:val="Default"/>
        <w:jc w:val="both"/>
        <w:rPr>
          <w:color w:val="auto"/>
          <w:sz w:val="20"/>
          <w:szCs w:val="20"/>
        </w:rPr>
      </w:pPr>
    </w:p>
    <w:p w14:paraId="45F98A24" w14:textId="77777777" w:rsidR="00B846CE" w:rsidRDefault="00B846CE" w:rsidP="00B846CE">
      <w:pPr>
        <w:pStyle w:val="Default"/>
        <w:jc w:val="both"/>
        <w:rPr>
          <w:color w:val="auto"/>
          <w:sz w:val="20"/>
          <w:szCs w:val="20"/>
        </w:rPr>
      </w:pPr>
    </w:p>
    <w:p w14:paraId="11356DCF" w14:textId="77777777" w:rsidR="00B846CE" w:rsidRDefault="00B846CE" w:rsidP="00B846CE">
      <w:pPr>
        <w:pStyle w:val="Default"/>
        <w:jc w:val="both"/>
        <w:rPr>
          <w:color w:val="auto"/>
          <w:sz w:val="20"/>
          <w:szCs w:val="20"/>
        </w:rPr>
      </w:pPr>
    </w:p>
    <w:p w14:paraId="49C252CC" w14:textId="77777777" w:rsidR="00B846CE" w:rsidRDefault="00B846CE" w:rsidP="00B846CE">
      <w:pPr>
        <w:pStyle w:val="Default"/>
        <w:jc w:val="both"/>
        <w:rPr>
          <w:color w:val="auto"/>
          <w:sz w:val="20"/>
          <w:szCs w:val="20"/>
        </w:rPr>
      </w:pPr>
    </w:p>
    <w:p w14:paraId="3EEF4994" w14:textId="77777777" w:rsidR="00B846CE" w:rsidRDefault="00B846CE" w:rsidP="00B846CE">
      <w:pPr>
        <w:pStyle w:val="Default"/>
        <w:jc w:val="both"/>
        <w:rPr>
          <w:color w:val="auto"/>
          <w:sz w:val="20"/>
          <w:szCs w:val="20"/>
        </w:rPr>
      </w:pPr>
    </w:p>
    <w:p w14:paraId="7CE69B10" w14:textId="77777777" w:rsidR="00B846CE" w:rsidRDefault="00B846CE" w:rsidP="00B846CE">
      <w:pPr>
        <w:pStyle w:val="Default"/>
        <w:jc w:val="both"/>
        <w:rPr>
          <w:color w:val="auto"/>
          <w:sz w:val="20"/>
          <w:szCs w:val="20"/>
        </w:rPr>
      </w:pPr>
    </w:p>
    <w:p w14:paraId="35D7AF06" w14:textId="77777777" w:rsidR="00B846CE" w:rsidRDefault="00B846CE" w:rsidP="00B846CE">
      <w:pPr>
        <w:pStyle w:val="Default"/>
        <w:jc w:val="both"/>
        <w:rPr>
          <w:color w:val="auto"/>
          <w:sz w:val="20"/>
          <w:szCs w:val="20"/>
        </w:rPr>
      </w:pPr>
    </w:p>
    <w:p w14:paraId="2E62368C" w14:textId="77777777" w:rsidR="00B846CE" w:rsidRDefault="00B846CE" w:rsidP="00B846CE">
      <w:pPr>
        <w:pStyle w:val="Default"/>
        <w:jc w:val="both"/>
        <w:rPr>
          <w:color w:val="auto"/>
          <w:sz w:val="20"/>
          <w:szCs w:val="20"/>
        </w:rPr>
      </w:pPr>
    </w:p>
    <w:p w14:paraId="08D369A3" w14:textId="77777777" w:rsidR="00B846CE" w:rsidRDefault="00B846CE" w:rsidP="00B846CE">
      <w:pPr>
        <w:pStyle w:val="Default"/>
        <w:jc w:val="both"/>
        <w:rPr>
          <w:color w:val="auto"/>
          <w:sz w:val="20"/>
          <w:szCs w:val="20"/>
        </w:rPr>
      </w:pPr>
    </w:p>
    <w:p w14:paraId="31883E59" w14:textId="77777777" w:rsidR="00B846CE" w:rsidRDefault="00B846CE" w:rsidP="00B846CE">
      <w:pPr>
        <w:pStyle w:val="Default"/>
        <w:jc w:val="both"/>
        <w:rPr>
          <w:color w:val="auto"/>
          <w:sz w:val="20"/>
          <w:szCs w:val="20"/>
        </w:rPr>
      </w:pPr>
    </w:p>
    <w:p w14:paraId="52CCB5A5" w14:textId="77777777" w:rsidR="00B846CE" w:rsidRDefault="00B846CE" w:rsidP="00B846CE">
      <w:pPr>
        <w:pStyle w:val="Default"/>
        <w:jc w:val="both"/>
        <w:rPr>
          <w:color w:val="auto"/>
          <w:sz w:val="20"/>
          <w:szCs w:val="20"/>
        </w:rPr>
      </w:pPr>
    </w:p>
    <w:p w14:paraId="12616891" w14:textId="77777777" w:rsidR="00B846CE" w:rsidRDefault="00B846CE" w:rsidP="00B846CE">
      <w:pPr>
        <w:pStyle w:val="Default"/>
        <w:jc w:val="both"/>
        <w:rPr>
          <w:color w:val="auto"/>
          <w:sz w:val="20"/>
          <w:szCs w:val="20"/>
        </w:rPr>
      </w:pPr>
    </w:p>
    <w:p w14:paraId="3DF52C30" w14:textId="77777777" w:rsidR="00B846CE" w:rsidRDefault="00B846CE" w:rsidP="00B846CE">
      <w:pPr>
        <w:pStyle w:val="Default"/>
        <w:jc w:val="both"/>
        <w:rPr>
          <w:color w:val="auto"/>
          <w:sz w:val="20"/>
          <w:szCs w:val="20"/>
        </w:rPr>
      </w:pPr>
    </w:p>
    <w:p w14:paraId="01ACF90B" w14:textId="77777777" w:rsidR="00B846CE" w:rsidRDefault="00B846CE" w:rsidP="00B846CE">
      <w:pPr>
        <w:pStyle w:val="Default"/>
        <w:jc w:val="both"/>
        <w:rPr>
          <w:color w:val="auto"/>
          <w:sz w:val="20"/>
          <w:szCs w:val="20"/>
        </w:rPr>
      </w:pPr>
    </w:p>
    <w:p w14:paraId="63DAD909" w14:textId="77777777" w:rsidR="00B846CE" w:rsidRDefault="00B846CE" w:rsidP="00B846CE">
      <w:pPr>
        <w:pStyle w:val="Default"/>
        <w:jc w:val="both"/>
        <w:rPr>
          <w:color w:val="auto"/>
          <w:sz w:val="20"/>
          <w:szCs w:val="20"/>
        </w:rPr>
      </w:pPr>
    </w:p>
    <w:p w14:paraId="5DC51765" w14:textId="77777777" w:rsidR="00B846CE" w:rsidRDefault="00B846CE" w:rsidP="00B846CE">
      <w:pPr>
        <w:pStyle w:val="Default"/>
        <w:jc w:val="both"/>
        <w:rPr>
          <w:color w:val="auto"/>
          <w:sz w:val="20"/>
          <w:szCs w:val="20"/>
        </w:rPr>
      </w:pPr>
    </w:p>
    <w:p w14:paraId="6D1F6876" w14:textId="77777777" w:rsidR="00B846CE" w:rsidRDefault="00B846CE" w:rsidP="00B846CE">
      <w:pPr>
        <w:pStyle w:val="Default"/>
        <w:jc w:val="both"/>
        <w:rPr>
          <w:color w:val="auto"/>
          <w:sz w:val="20"/>
          <w:szCs w:val="20"/>
        </w:rPr>
      </w:pPr>
    </w:p>
    <w:p w14:paraId="68F770D9" w14:textId="77777777" w:rsidR="00B846CE" w:rsidRDefault="00B846CE" w:rsidP="00B846CE">
      <w:pPr>
        <w:pStyle w:val="Default"/>
        <w:jc w:val="both"/>
        <w:rPr>
          <w:color w:val="auto"/>
          <w:sz w:val="20"/>
          <w:szCs w:val="20"/>
        </w:rPr>
      </w:pPr>
    </w:p>
    <w:p w14:paraId="77B129F1" w14:textId="77777777" w:rsidR="00B846CE" w:rsidRDefault="00B846CE" w:rsidP="00B846CE">
      <w:pPr>
        <w:pStyle w:val="Default"/>
        <w:jc w:val="both"/>
        <w:rPr>
          <w:color w:val="auto"/>
          <w:sz w:val="20"/>
          <w:szCs w:val="20"/>
        </w:rPr>
      </w:pPr>
    </w:p>
    <w:p w14:paraId="62A2FF14" w14:textId="77777777" w:rsidR="00B846CE" w:rsidRDefault="00B846CE" w:rsidP="00B846CE">
      <w:pPr>
        <w:pStyle w:val="Default"/>
        <w:jc w:val="both"/>
        <w:rPr>
          <w:color w:val="auto"/>
          <w:sz w:val="20"/>
          <w:szCs w:val="20"/>
        </w:rPr>
      </w:pPr>
    </w:p>
    <w:p w14:paraId="22209E46" w14:textId="77777777" w:rsidR="00B846CE" w:rsidRDefault="00B846CE" w:rsidP="00B846CE">
      <w:pPr>
        <w:pStyle w:val="Default"/>
        <w:jc w:val="both"/>
        <w:rPr>
          <w:color w:val="auto"/>
          <w:sz w:val="20"/>
          <w:szCs w:val="20"/>
        </w:rPr>
      </w:pPr>
    </w:p>
    <w:p w14:paraId="5864AE82" w14:textId="77777777" w:rsidR="00B846CE" w:rsidRDefault="00B846CE" w:rsidP="00B846CE">
      <w:pPr>
        <w:pStyle w:val="Default"/>
        <w:jc w:val="both"/>
        <w:rPr>
          <w:color w:val="auto"/>
          <w:sz w:val="20"/>
          <w:szCs w:val="20"/>
        </w:rPr>
      </w:pPr>
    </w:p>
    <w:p w14:paraId="29878B38" w14:textId="77777777" w:rsidR="00B846CE" w:rsidRDefault="00B846CE" w:rsidP="00B846CE">
      <w:pPr>
        <w:pStyle w:val="Default"/>
        <w:jc w:val="both"/>
        <w:rPr>
          <w:color w:val="auto"/>
          <w:sz w:val="20"/>
          <w:szCs w:val="20"/>
        </w:rPr>
      </w:pPr>
    </w:p>
    <w:p w14:paraId="4FF49C97" w14:textId="77777777" w:rsidR="00B846CE" w:rsidRDefault="00B846CE" w:rsidP="00B846CE">
      <w:pPr>
        <w:pStyle w:val="Default"/>
        <w:jc w:val="both"/>
        <w:rPr>
          <w:color w:val="auto"/>
          <w:sz w:val="20"/>
          <w:szCs w:val="20"/>
        </w:rPr>
      </w:pPr>
    </w:p>
    <w:p w14:paraId="76281E00" w14:textId="77777777" w:rsidR="00B846CE" w:rsidRDefault="00B846CE" w:rsidP="00B846CE">
      <w:pPr>
        <w:pStyle w:val="Default"/>
        <w:jc w:val="both"/>
        <w:rPr>
          <w:color w:val="auto"/>
          <w:sz w:val="20"/>
          <w:szCs w:val="20"/>
        </w:rPr>
      </w:pPr>
    </w:p>
    <w:p w14:paraId="7C13DB56" w14:textId="77777777" w:rsidR="00B846CE" w:rsidRPr="00F9325C" w:rsidRDefault="00B846CE" w:rsidP="00B846CE">
      <w:pPr>
        <w:pStyle w:val="Default"/>
        <w:jc w:val="both"/>
        <w:rPr>
          <w:color w:val="auto"/>
          <w:sz w:val="20"/>
          <w:szCs w:val="20"/>
        </w:rPr>
      </w:pPr>
      <w:r w:rsidRPr="00F9325C">
        <w:rPr>
          <w:color w:val="auto"/>
          <w:sz w:val="20"/>
          <w:szCs w:val="20"/>
        </w:rPr>
        <w:t xml:space="preserve">Notes: </w:t>
      </w:r>
      <w:r>
        <w:rPr>
          <w:rFonts w:eastAsia="Times New Roman"/>
          <w:sz w:val="20"/>
          <w:szCs w:val="20"/>
          <w:vertAlign w:val="superscript"/>
        </w:rPr>
        <w:t>*</w:t>
      </w:r>
      <w:r w:rsidRPr="00F9325C">
        <w:rPr>
          <w:color w:val="auto"/>
          <w:sz w:val="20"/>
          <w:szCs w:val="20"/>
        </w:rPr>
        <w:t>Significant at the 10% level, 2</w:t>
      </w:r>
      <w:r>
        <w:rPr>
          <w:color w:val="auto"/>
          <w:sz w:val="20"/>
          <w:szCs w:val="20"/>
        </w:rPr>
        <w:t>−</w:t>
      </w:r>
      <w:r w:rsidRPr="00F9325C">
        <w:rPr>
          <w:color w:val="auto"/>
          <w:sz w:val="20"/>
          <w:szCs w:val="20"/>
        </w:rPr>
        <w:t>tailed test</w:t>
      </w:r>
    </w:p>
    <w:p w14:paraId="20D25D78" w14:textId="77777777" w:rsidR="00B846CE" w:rsidRPr="00F9325C" w:rsidRDefault="00B846CE" w:rsidP="00B846CE">
      <w:pPr>
        <w:pStyle w:val="Default"/>
        <w:jc w:val="both"/>
        <w:rPr>
          <w:color w:val="auto"/>
          <w:sz w:val="20"/>
          <w:szCs w:val="20"/>
        </w:rPr>
      </w:pPr>
      <w:r>
        <w:rPr>
          <w:color w:val="auto"/>
          <w:sz w:val="20"/>
          <w:szCs w:val="20"/>
        </w:rPr>
        <w:t xml:space="preserve">           </w:t>
      </w:r>
      <w:r>
        <w:rPr>
          <w:rFonts w:eastAsia="Times New Roman"/>
          <w:sz w:val="20"/>
          <w:szCs w:val="20"/>
          <w:vertAlign w:val="superscript"/>
        </w:rPr>
        <w:t>**</w:t>
      </w:r>
      <w:r w:rsidRPr="00F9325C">
        <w:rPr>
          <w:color w:val="auto"/>
          <w:sz w:val="20"/>
          <w:szCs w:val="20"/>
        </w:rPr>
        <w:t>Significant at the 5% level, 2</w:t>
      </w:r>
      <w:r>
        <w:rPr>
          <w:color w:val="auto"/>
          <w:sz w:val="20"/>
          <w:szCs w:val="20"/>
        </w:rPr>
        <w:t>−</w:t>
      </w:r>
      <w:r w:rsidRPr="00F9325C">
        <w:rPr>
          <w:color w:val="auto"/>
          <w:sz w:val="20"/>
          <w:szCs w:val="20"/>
        </w:rPr>
        <w:t>tailed test</w:t>
      </w:r>
    </w:p>
    <w:p w14:paraId="4158755F" w14:textId="77777777" w:rsidR="00B846CE" w:rsidRPr="00F9325C" w:rsidRDefault="00B846CE" w:rsidP="00B846CE">
      <w:pPr>
        <w:pStyle w:val="Default"/>
        <w:jc w:val="both"/>
        <w:rPr>
          <w:color w:val="auto"/>
          <w:sz w:val="20"/>
          <w:szCs w:val="20"/>
        </w:rPr>
      </w:pPr>
      <w:r>
        <w:rPr>
          <w:color w:val="auto"/>
          <w:sz w:val="20"/>
          <w:szCs w:val="20"/>
        </w:rPr>
        <w:t xml:space="preserve">           </w:t>
      </w:r>
      <w:r>
        <w:rPr>
          <w:rFonts w:eastAsia="Times New Roman"/>
          <w:sz w:val="20"/>
          <w:szCs w:val="20"/>
          <w:vertAlign w:val="superscript"/>
        </w:rPr>
        <w:t>***</w:t>
      </w:r>
      <w:r w:rsidRPr="00F9325C">
        <w:rPr>
          <w:color w:val="auto"/>
          <w:sz w:val="20"/>
          <w:szCs w:val="20"/>
        </w:rPr>
        <w:t xml:space="preserve">Significant at the </w:t>
      </w:r>
      <w:r>
        <w:rPr>
          <w:color w:val="auto"/>
          <w:sz w:val="20"/>
          <w:szCs w:val="20"/>
        </w:rPr>
        <w:t>1</w:t>
      </w:r>
      <w:r w:rsidRPr="00F9325C">
        <w:rPr>
          <w:color w:val="auto"/>
          <w:sz w:val="20"/>
          <w:szCs w:val="20"/>
        </w:rPr>
        <w:t>% level, 2</w:t>
      </w:r>
      <w:r>
        <w:rPr>
          <w:color w:val="auto"/>
          <w:sz w:val="20"/>
          <w:szCs w:val="20"/>
        </w:rPr>
        <w:t>−</w:t>
      </w:r>
      <w:r w:rsidRPr="00F9325C">
        <w:rPr>
          <w:color w:val="auto"/>
          <w:sz w:val="20"/>
          <w:szCs w:val="20"/>
        </w:rPr>
        <w:t>tailed test</w:t>
      </w:r>
    </w:p>
    <w:p w14:paraId="799BA0DD" w14:textId="77777777" w:rsidR="00B846CE" w:rsidRPr="008E5593" w:rsidRDefault="00B846CE" w:rsidP="00B846CE">
      <w:pPr>
        <w:spacing w:after="0" w:line="240" w:lineRule="auto"/>
        <w:jc w:val="both"/>
        <w:rPr>
          <w:rFonts w:ascii="Times New Roman" w:eastAsia="Times New Roman" w:hAnsi="Times New Roman" w:cs="Times New Roman"/>
          <w:color w:val="000000"/>
          <w:sz w:val="20"/>
          <w:szCs w:val="20"/>
          <w:lang w:val="en-GB"/>
        </w:rPr>
      </w:pPr>
    </w:p>
    <w:p w14:paraId="627738F1" w14:textId="77777777" w:rsidR="00B846CE" w:rsidRDefault="00B846CE" w:rsidP="00B846CE">
      <w:pPr>
        <w:spacing w:after="0" w:line="240" w:lineRule="auto"/>
        <w:jc w:val="both"/>
        <w:rPr>
          <w:rFonts w:ascii="Times New Roman" w:eastAsia="Times New Roman" w:hAnsi="Times New Roman" w:cs="Times New Roman"/>
          <w:color w:val="000000"/>
          <w:sz w:val="20"/>
          <w:szCs w:val="20"/>
        </w:rPr>
      </w:pPr>
    </w:p>
    <w:p w14:paraId="12D05CBB" w14:textId="77777777" w:rsidR="00B846CE" w:rsidRDefault="00B846CE" w:rsidP="00B846CE">
      <w:pPr>
        <w:spacing w:after="0" w:line="240" w:lineRule="auto"/>
        <w:jc w:val="both"/>
        <w:rPr>
          <w:rFonts w:ascii="Times New Roman" w:eastAsia="Times New Roman" w:hAnsi="Times New Roman" w:cs="Times New Roman"/>
          <w:color w:val="000000"/>
          <w:sz w:val="20"/>
          <w:szCs w:val="20"/>
        </w:rPr>
      </w:pPr>
    </w:p>
    <w:p w14:paraId="5E8229FA" w14:textId="77777777" w:rsidR="00B846CE" w:rsidRDefault="00B846CE" w:rsidP="00B846CE">
      <w:pPr>
        <w:spacing w:after="0"/>
        <w:jc w:val="both"/>
        <w:rPr>
          <w:rFonts w:ascii="Times New Roman" w:hAnsi="Times New Roman" w:cs="Times New Roman"/>
          <w:b/>
          <w:sz w:val="24"/>
          <w:szCs w:val="24"/>
          <w:u w:val="single"/>
        </w:rPr>
      </w:pPr>
    </w:p>
    <w:p w14:paraId="429156ED" w14:textId="77777777" w:rsidR="00B846CE" w:rsidRDefault="00B846CE" w:rsidP="00B846CE">
      <w:pPr>
        <w:spacing w:after="0"/>
        <w:jc w:val="both"/>
        <w:rPr>
          <w:rFonts w:ascii="Times New Roman" w:hAnsi="Times New Roman" w:cs="Times New Roman"/>
          <w:b/>
          <w:sz w:val="24"/>
          <w:szCs w:val="24"/>
          <w:u w:val="single"/>
        </w:rPr>
      </w:pPr>
    </w:p>
    <w:p w14:paraId="5CC0ACA5" w14:textId="77777777" w:rsidR="00B846CE" w:rsidRDefault="00B846CE" w:rsidP="00B846CE">
      <w:pPr>
        <w:spacing w:after="0"/>
        <w:jc w:val="both"/>
        <w:rPr>
          <w:rFonts w:ascii="Times New Roman" w:hAnsi="Times New Roman" w:cs="Times New Roman"/>
          <w:b/>
          <w:sz w:val="24"/>
          <w:szCs w:val="24"/>
          <w:u w:val="single"/>
        </w:rPr>
      </w:pPr>
    </w:p>
    <w:p w14:paraId="66AC1B05" w14:textId="77777777" w:rsidR="00B846CE" w:rsidRDefault="00B846CE" w:rsidP="00B846CE">
      <w:pPr>
        <w:spacing w:after="0"/>
        <w:jc w:val="both"/>
        <w:rPr>
          <w:rFonts w:ascii="Times New Roman" w:hAnsi="Times New Roman" w:cs="Times New Roman"/>
          <w:b/>
          <w:sz w:val="24"/>
          <w:szCs w:val="24"/>
          <w:u w:val="single"/>
        </w:rPr>
      </w:pPr>
    </w:p>
    <w:p w14:paraId="739569ED" w14:textId="77777777" w:rsidR="00B846CE" w:rsidRDefault="00B846CE" w:rsidP="00B846CE">
      <w:pPr>
        <w:spacing w:after="0"/>
        <w:jc w:val="both"/>
        <w:rPr>
          <w:rFonts w:ascii="Times New Roman" w:hAnsi="Times New Roman" w:cs="Times New Roman"/>
          <w:b/>
          <w:sz w:val="24"/>
          <w:szCs w:val="24"/>
          <w:u w:val="single"/>
        </w:rPr>
      </w:pPr>
    </w:p>
    <w:p w14:paraId="460DA481" w14:textId="4A6FF474" w:rsidR="00B846CE" w:rsidRDefault="00B846CE" w:rsidP="00B846CE">
      <w:pPr>
        <w:spacing w:after="0"/>
        <w:jc w:val="both"/>
        <w:rPr>
          <w:rFonts w:ascii="Times New Roman" w:hAnsi="Times New Roman" w:cs="Times New Roman"/>
          <w:b/>
          <w:sz w:val="24"/>
          <w:szCs w:val="24"/>
          <w:u w:val="single"/>
        </w:rPr>
      </w:pPr>
    </w:p>
    <w:p w14:paraId="4401E779" w14:textId="77777777" w:rsidR="000B3CE3" w:rsidRDefault="000B3CE3" w:rsidP="00B846CE">
      <w:pPr>
        <w:spacing w:after="0"/>
        <w:jc w:val="both"/>
        <w:rPr>
          <w:rFonts w:ascii="Times New Roman" w:hAnsi="Times New Roman" w:cs="Times New Roman"/>
          <w:b/>
          <w:sz w:val="24"/>
          <w:szCs w:val="24"/>
          <w:u w:val="single"/>
        </w:rPr>
      </w:pPr>
    </w:p>
    <w:p w14:paraId="10EC5CFA" w14:textId="77777777" w:rsidR="0047536C" w:rsidRDefault="0047536C" w:rsidP="00B846CE">
      <w:pPr>
        <w:spacing w:after="0"/>
        <w:jc w:val="both"/>
        <w:rPr>
          <w:rFonts w:ascii="Times New Roman" w:hAnsi="Times New Roman" w:cs="Times New Roman"/>
          <w:b/>
          <w:sz w:val="24"/>
          <w:szCs w:val="24"/>
          <w:u w:val="single"/>
        </w:rPr>
      </w:pPr>
    </w:p>
    <w:p w14:paraId="225F0F05" w14:textId="77777777" w:rsidR="00B846CE" w:rsidRPr="007C47B5" w:rsidRDefault="00B846CE" w:rsidP="00B846CE">
      <w:pPr>
        <w:spacing w:after="0"/>
        <w:jc w:val="both"/>
        <w:rPr>
          <w:rFonts w:ascii="Times New Roman" w:hAnsi="Times New Roman" w:cs="Times New Roman"/>
          <w:b/>
          <w:sz w:val="24"/>
          <w:szCs w:val="24"/>
          <w:u w:val="single"/>
        </w:rPr>
      </w:pPr>
      <w:r w:rsidRPr="007C47B5">
        <w:rPr>
          <w:rFonts w:ascii="Times New Roman" w:hAnsi="Times New Roman" w:cs="Times New Roman"/>
          <w:b/>
          <w:sz w:val="24"/>
          <w:szCs w:val="24"/>
          <w:u w:val="single"/>
        </w:rPr>
        <w:t>Table 4</w:t>
      </w:r>
    </w:p>
    <w:p w14:paraId="33CFFA26" w14:textId="4FD5CF08" w:rsidR="00B846CE" w:rsidRDefault="00B846CE" w:rsidP="00B846CE">
      <w:pPr>
        <w:spacing w:after="0" w:line="240" w:lineRule="auto"/>
        <w:jc w:val="both"/>
        <w:rPr>
          <w:rFonts w:ascii="Times New Roman" w:eastAsia="Times New Roman" w:hAnsi="Times New Roman" w:cs="Times New Roman"/>
          <w:b/>
          <w:color w:val="000000"/>
          <w:sz w:val="24"/>
          <w:szCs w:val="24"/>
        </w:rPr>
      </w:pPr>
      <w:r w:rsidRPr="007C47B5">
        <w:rPr>
          <w:rFonts w:ascii="Times New Roman" w:eastAsia="Times New Roman" w:hAnsi="Times New Roman" w:cs="Times New Roman"/>
          <w:b/>
          <w:sz w:val="24"/>
          <w:szCs w:val="24"/>
        </w:rPr>
        <w:t xml:space="preserve">Average Abnormal Returns </w:t>
      </w:r>
      <w:r>
        <w:rPr>
          <w:rFonts w:ascii="Times New Roman" w:eastAsia="Times New Roman" w:hAnsi="Times New Roman" w:cs="Times New Roman"/>
          <w:b/>
          <w:sz w:val="24"/>
          <w:szCs w:val="24"/>
        </w:rPr>
        <w:t>for</w:t>
      </w:r>
      <w:r w:rsidRPr="007C47B5">
        <w:rPr>
          <w:rFonts w:ascii="Times New Roman" w:eastAsia="Times New Roman" w:hAnsi="Times New Roman" w:cs="Times New Roman"/>
          <w:b/>
          <w:sz w:val="24"/>
          <w:szCs w:val="24"/>
        </w:rPr>
        <w:t xml:space="preserve"> new buy coverage initiation</w:t>
      </w:r>
      <w:r>
        <w:rPr>
          <w:rFonts w:ascii="Times New Roman" w:eastAsia="Times New Roman" w:hAnsi="Times New Roman" w:cs="Times New Roman"/>
          <w:b/>
          <w:sz w:val="24"/>
          <w:szCs w:val="24"/>
        </w:rPr>
        <w:t>s</w:t>
      </w:r>
      <w:r w:rsidRPr="007C47B5">
        <w:rPr>
          <w:rFonts w:ascii="Times New Roman" w:eastAsia="Times New Roman" w:hAnsi="Times New Roman" w:cs="Times New Roman"/>
          <w:b/>
          <w:sz w:val="24"/>
          <w:szCs w:val="24"/>
        </w:rPr>
        <w:t xml:space="preserve"> surrounding the day of release</w:t>
      </w:r>
      <w:r>
        <w:rPr>
          <w:rFonts w:ascii="Times New Roman" w:eastAsia="Times New Roman" w:hAnsi="Times New Roman" w:cs="Times New Roman"/>
          <w:b/>
          <w:sz w:val="24"/>
          <w:szCs w:val="24"/>
        </w:rPr>
        <w:t>. Data window runs</w:t>
      </w:r>
      <w:r w:rsidRPr="007C47B5">
        <w:rPr>
          <w:rFonts w:ascii="Times New Roman" w:eastAsia="Times New Roman" w:hAnsi="Times New Roman" w:cs="Times New Roman"/>
          <w:b/>
          <w:sz w:val="24"/>
          <w:szCs w:val="24"/>
        </w:rPr>
        <w:t xml:space="preserve"> from </w:t>
      </w:r>
      <w:r>
        <w:rPr>
          <w:rFonts w:ascii="Times New Roman" w:eastAsia="Times New Roman" w:hAnsi="Times New Roman" w:cs="Times New Roman"/>
          <w:b/>
          <w:sz w:val="24"/>
          <w:szCs w:val="24"/>
        </w:rPr>
        <w:t xml:space="preserve">January </w:t>
      </w:r>
      <w:r w:rsidR="006E0FEC">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2009 to</w:t>
      </w:r>
      <w:r w:rsidR="006E0FE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May </w:t>
      </w:r>
      <w:r w:rsidR="006E0FEC">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 xml:space="preserve">2014 </w:t>
      </w:r>
      <w:r w:rsidRPr="001911BA">
        <w:rPr>
          <w:rFonts w:ascii="Times New Roman" w:eastAsia="Times New Roman" w:hAnsi="Times New Roman" w:cs="Times New Roman"/>
          <w:b/>
          <w:color w:val="000000"/>
          <w:sz w:val="24"/>
          <w:szCs w:val="24"/>
        </w:rPr>
        <w:t>(Based on 100 days estimation period)</w:t>
      </w:r>
    </w:p>
    <w:p w14:paraId="4CBC5AA5" w14:textId="77777777" w:rsidR="00B846CE" w:rsidRDefault="00B846CE" w:rsidP="00B846CE">
      <w:pPr>
        <w:spacing w:after="0" w:line="240" w:lineRule="auto"/>
        <w:jc w:val="both"/>
        <w:rPr>
          <w:rFonts w:ascii="Times New Roman" w:eastAsia="Times New Roman" w:hAnsi="Times New Roman" w:cs="Times New Roman"/>
          <w:b/>
          <w:color w:val="000000"/>
          <w:sz w:val="24"/>
          <w:szCs w:val="24"/>
        </w:rPr>
      </w:pPr>
    </w:p>
    <w:tbl>
      <w:tblPr>
        <w:tblpPr w:leftFromText="180" w:rightFromText="180" w:vertAnchor="text" w:horzAnchor="margin" w:tblpXSpec="center" w:tblpY="306"/>
        <w:tblW w:w="4663" w:type="dxa"/>
        <w:tblLook w:val="04A0" w:firstRow="1" w:lastRow="0" w:firstColumn="1" w:lastColumn="0" w:noHBand="0" w:noVBand="1"/>
      </w:tblPr>
      <w:tblGrid>
        <w:gridCol w:w="836"/>
        <w:gridCol w:w="1589"/>
        <w:gridCol w:w="2238"/>
      </w:tblGrid>
      <w:tr w:rsidR="00B846CE" w:rsidRPr="00A50211" w14:paraId="2487FFAF" w14:textId="77777777" w:rsidTr="00A33AA6">
        <w:trPr>
          <w:trHeight w:val="470"/>
        </w:trPr>
        <w:tc>
          <w:tcPr>
            <w:tcW w:w="836" w:type="dxa"/>
            <w:tcBorders>
              <w:top w:val="nil"/>
              <w:left w:val="nil"/>
              <w:bottom w:val="single" w:sz="4" w:space="0" w:color="auto"/>
              <w:right w:val="nil"/>
            </w:tcBorders>
            <w:shd w:val="clear" w:color="auto" w:fill="auto"/>
            <w:noWrap/>
            <w:vAlign w:val="bottom"/>
            <w:hideMark/>
          </w:tcPr>
          <w:p w14:paraId="70EE59C9"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Event Day</w:t>
            </w:r>
          </w:p>
        </w:tc>
        <w:tc>
          <w:tcPr>
            <w:tcW w:w="1589" w:type="dxa"/>
            <w:tcBorders>
              <w:top w:val="nil"/>
              <w:left w:val="nil"/>
              <w:bottom w:val="single" w:sz="4" w:space="0" w:color="auto"/>
              <w:right w:val="nil"/>
            </w:tcBorders>
            <w:shd w:val="clear" w:color="auto" w:fill="auto"/>
            <w:noWrap/>
            <w:vAlign w:val="bottom"/>
            <w:hideMark/>
          </w:tcPr>
          <w:p w14:paraId="02F758CD" w14:textId="77777777" w:rsidR="00B846CE"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Average </w:t>
            </w:r>
            <w:r w:rsidRPr="00D62591">
              <w:rPr>
                <w:rFonts w:ascii="Times New Roman" w:eastAsia="Times New Roman" w:hAnsi="Times New Roman" w:cs="Times New Roman"/>
                <w:color w:val="000000"/>
                <w:sz w:val="24"/>
                <w:szCs w:val="24"/>
              </w:rPr>
              <w:t xml:space="preserve">AR </w:t>
            </w:r>
          </w:p>
          <w:p w14:paraId="66166FC9" w14:textId="77777777" w:rsidR="00B846CE" w:rsidRPr="00A50211" w:rsidRDefault="00B846CE" w:rsidP="00A33AA6">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62591">
              <w:rPr>
                <w:rFonts w:ascii="Times New Roman" w:eastAsia="Times New Roman" w:hAnsi="Times New Roman" w:cs="Times New Roman"/>
                <w:color w:val="000000"/>
                <w:sz w:val="24"/>
                <w:szCs w:val="24"/>
              </w:rPr>
              <w:t>(%)</w:t>
            </w:r>
          </w:p>
        </w:tc>
        <w:tc>
          <w:tcPr>
            <w:tcW w:w="2238" w:type="dxa"/>
            <w:tcBorders>
              <w:top w:val="nil"/>
              <w:left w:val="nil"/>
              <w:bottom w:val="single" w:sz="4" w:space="0" w:color="auto"/>
              <w:right w:val="nil"/>
            </w:tcBorders>
            <w:shd w:val="clear" w:color="auto" w:fill="auto"/>
            <w:noWrap/>
            <w:vAlign w:val="bottom"/>
            <w:hideMark/>
          </w:tcPr>
          <w:p w14:paraId="05CB5E86" w14:textId="77777777" w:rsidR="00B846CE" w:rsidRPr="00A50211" w:rsidRDefault="00B846CE" w:rsidP="00A33AA6">
            <w:pPr>
              <w:spacing w:after="0" w:line="240" w:lineRule="auto"/>
              <w:ind w:right="194"/>
              <w:jc w:val="both"/>
              <w:rPr>
                <w:rFonts w:ascii="Times New Roman" w:eastAsia="Times New Roman" w:hAnsi="Times New Roman" w:cs="Times New Roman"/>
                <w:color w:val="000000"/>
                <w:sz w:val="24"/>
                <w:szCs w:val="24"/>
              </w:rPr>
            </w:pPr>
            <w:r w:rsidRPr="00A8565D">
              <w:rPr>
                <w:rFonts w:ascii="Times New Roman" w:eastAsia="Times New Roman" w:hAnsi="Times New Roman" w:cs="Times New Roman"/>
                <w:i/>
                <w:iCs/>
                <w:color w:val="000000"/>
                <w:sz w:val="24"/>
                <w:szCs w:val="24"/>
              </w:rPr>
              <w:t>t</w:t>
            </w:r>
            <w:r w:rsidRPr="00A50211">
              <w:rPr>
                <w:rFonts w:ascii="Times New Roman" w:eastAsia="Times New Roman" w:hAnsi="Times New Roman" w:cs="Times New Roman"/>
                <w:color w:val="000000"/>
                <w:sz w:val="24"/>
                <w:szCs w:val="24"/>
              </w:rPr>
              <w:t>−statistics for</w:t>
            </w:r>
          </w:p>
          <w:p w14:paraId="65F5DF64" w14:textId="3144B134" w:rsidR="00B846CE" w:rsidRPr="00A50211" w:rsidRDefault="00B846CE" w:rsidP="00A33AA6">
            <w:pPr>
              <w:spacing w:after="0" w:line="240" w:lineRule="auto"/>
              <w:ind w:right="194"/>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Average AR</w:t>
            </w:r>
          </w:p>
        </w:tc>
      </w:tr>
      <w:tr w:rsidR="00B846CE" w:rsidRPr="00A50211" w14:paraId="2D6D5378" w14:textId="77777777" w:rsidTr="00A33AA6">
        <w:trPr>
          <w:trHeight w:val="470"/>
        </w:trPr>
        <w:tc>
          <w:tcPr>
            <w:tcW w:w="836" w:type="dxa"/>
            <w:tcBorders>
              <w:top w:val="nil"/>
              <w:left w:val="nil"/>
              <w:bottom w:val="nil"/>
              <w:right w:val="nil"/>
            </w:tcBorders>
            <w:shd w:val="clear" w:color="auto" w:fill="auto"/>
            <w:noWrap/>
            <w:vAlign w:val="bottom"/>
            <w:hideMark/>
          </w:tcPr>
          <w:p w14:paraId="106895D3"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−5</w:t>
            </w:r>
          </w:p>
        </w:tc>
        <w:tc>
          <w:tcPr>
            <w:tcW w:w="1589" w:type="dxa"/>
            <w:tcBorders>
              <w:top w:val="nil"/>
              <w:left w:val="nil"/>
              <w:bottom w:val="nil"/>
              <w:right w:val="nil"/>
            </w:tcBorders>
            <w:shd w:val="clear" w:color="auto" w:fill="auto"/>
            <w:noWrap/>
            <w:vAlign w:val="bottom"/>
            <w:hideMark/>
          </w:tcPr>
          <w:p w14:paraId="17486A70"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0.0695</w:t>
            </w:r>
          </w:p>
        </w:tc>
        <w:tc>
          <w:tcPr>
            <w:tcW w:w="2238" w:type="dxa"/>
            <w:tcBorders>
              <w:top w:val="nil"/>
              <w:left w:val="nil"/>
              <w:bottom w:val="nil"/>
              <w:right w:val="nil"/>
            </w:tcBorders>
            <w:shd w:val="clear" w:color="auto" w:fill="auto"/>
            <w:noWrap/>
            <w:vAlign w:val="bottom"/>
            <w:hideMark/>
          </w:tcPr>
          <w:p w14:paraId="502819A9"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1.7979</w:t>
            </w:r>
            <w:r w:rsidRPr="00A50211">
              <w:rPr>
                <w:rFonts w:ascii="Times New Roman" w:eastAsia="Times New Roman" w:hAnsi="Times New Roman" w:cs="Times New Roman"/>
                <w:color w:val="000000"/>
                <w:sz w:val="24"/>
                <w:szCs w:val="24"/>
                <w:vertAlign w:val="superscript"/>
              </w:rPr>
              <w:t>*</w:t>
            </w:r>
          </w:p>
        </w:tc>
      </w:tr>
      <w:tr w:rsidR="00B846CE" w:rsidRPr="00A50211" w14:paraId="262F048E" w14:textId="77777777" w:rsidTr="00A33AA6">
        <w:trPr>
          <w:trHeight w:val="470"/>
        </w:trPr>
        <w:tc>
          <w:tcPr>
            <w:tcW w:w="836" w:type="dxa"/>
            <w:tcBorders>
              <w:top w:val="nil"/>
              <w:left w:val="nil"/>
              <w:bottom w:val="nil"/>
              <w:right w:val="nil"/>
            </w:tcBorders>
            <w:shd w:val="clear" w:color="auto" w:fill="auto"/>
            <w:noWrap/>
            <w:vAlign w:val="bottom"/>
            <w:hideMark/>
          </w:tcPr>
          <w:p w14:paraId="5627EBB9"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−4</w:t>
            </w:r>
          </w:p>
        </w:tc>
        <w:tc>
          <w:tcPr>
            <w:tcW w:w="1589" w:type="dxa"/>
            <w:tcBorders>
              <w:top w:val="nil"/>
              <w:left w:val="nil"/>
              <w:bottom w:val="nil"/>
              <w:right w:val="nil"/>
            </w:tcBorders>
            <w:shd w:val="clear" w:color="auto" w:fill="auto"/>
            <w:noWrap/>
            <w:vAlign w:val="bottom"/>
            <w:hideMark/>
          </w:tcPr>
          <w:p w14:paraId="548AFCD6"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−0.0659</w:t>
            </w:r>
          </w:p>
        </w:tc>
        <w:tc>
          <w:tcPr>
            <w:tcW w:w="2238" w:type="dxa"/>
            <w:tcBorders>
              <w:top w:val="nil"/>
              <w:left w:val="nil"/>
              <w:bottom w:val="nil"/>
              <w:right w:val="nil"/>
            </w:tcBorders>
            <w:shd w:val="clear" w:color="auto" w:fill="auto"/>
            <w:noWrap/>
            <w:vAlign w:val="bottom"/>
            <w:hideMark/>
          </w:tcPr>
          <w:p w14:paraId="73127568"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−0.5538</w:t>
            </w:r>
          </w:p>
        </w:tc>
      </w:tr>
      <w:tr w:rsidR="00B846CE" w:rsidRPr="00A50211" w14:paraId="6142D1DC" w14:textId="77777777" w:rsidTr="00A33AA6">
        <w:trPr>
          <w:trHeight w:val="470"/>
        </w:trPr>
        <w:tc>
          <w:tcPr>
            <w:tcW w:w="836" w:type="dxa"/>
            <w:tcBorders>
              <w:top w:val="nil"/>
              <w:left w:val="nil"/>
              <w:bottom w:val="nil"/>
              <w:right w:val="nil"/>
            </w:tcBorders>
            <w:shd w:val="clear" w:color="auto" w:fill="auto"/>
            <w:noWrap/>
            <w:vAlign w:val="bottom"/>
            <w:hideMark/>
          </w:tcPr>
          <w:p w14:paraId="74CE731B"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−3</w:t>
            </w:r>
          </w:p>
        </w:tc>
        <w:tc>
          <w:tcPr>
            <w:tcW w:w="1589" w:type="dxa"/>
            <w:tcBorders>
              <w:top w:val="nil"/>
              <w:left w:val="nil"/>
              <w:bottom w:val="nil"/>
              <w:right w:val="nil"/>
            </w:tcBorders>
            <w:shd w:val="clear" w:color="auto" w:fill="auto"/>
            <w:noWrap/>
            <w:vAlign w:val="bottom"/>
            <w:hideMark/>
          </w:tcPr>
          <w:p w14:paraId="2F22C381"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0.0628</w:t>
            </w:r>
          </w:p>
        </w:tc>
        <w:tc>
          <w:tcPr>
            <w:tcW w:w="2238" w:type="dxa"/>
            <w:tcBorders>
              <w:top w:val="nil"/>
              <w:left w:val="nil"/>
              <w:bottom w:val="nil"/>
              <w:right w:val="nil"/>
            </w:tcBorders>
            <w:shd w:val="clear" w:color="auto" w:fill="auto"/>
            <w:noWrap/>
            <w:vAlign w:val="bottom"/>
            <w:hideMark/>
          </w:tcPr>
          <w:p w14:paraId="63B2E688"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1.8540</w:t>
            </w:r>
            <w:r w:rsidRPr="00A50211">
              <w:rPr>
                <w:rFonts w:ascii="Times New Roman" w:eastAsia="Times New Roman" w:hAnsi="Times New Roman" w:cs="Times New Roman"/>
                <w:color w:val="000000"/>
                <w:sz w:val="24"/>
                <w:szCs w:val="24"/>
                <w:vertAlign w:val="superscript"/>
              </w:rPr>
              <w:t>*</w:t>
            </w:r>
          </w:p>
        </w:tc>
      </w:tr>
      <w:tr w:rsidR="00B846CE" w:rsidRPr="00A50211" w14:paraId="1073B3A5" w14:textId="77777777" w:rsidTr="00A33AA6">
        <w:trPr>
          <w:trHeight w:val="470"/>
        </w:trPr>
        <w:tc>
          <w:tcPr>
            <w:tcW w:w="836" w:type="dxa"/>
            <w:tcBorders>
              <w:top w:val="nil"/>
              <w:left w:val="nil"/>
              <w:bottom w:val="nil"/>
              <w:right w:val="nil"/>
            </w:tcBorders>
            <w:shd w:val="clear" w:color="auto" w:fill="auto"/>
            <w:noWrap/>
            <w:vAlign w:val="bottom"/>
            <w:hideMark/>
          </w:tcPr>
          <w:p w14:paraId="5B79D8AF"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−2</w:t>
            </w:r>
          </w:p>
        </w:tc>
        <w:tc>
          <w:tcPr>
            <w:tcW w:w="1589" w:type="dxa"/>
            <w:tcBorders>
              <w:top w:val="nil"/>
              <w:left w:val="nil"/>
              <w:bottom w:val="nil"/>
              <w:right w:val="nil"/>
            </w:tcBorders>
            <w:shd w:val="clear" w:color="auto" w:fill="auto"/>
            <w:noWrap/>
            <w:vAlign w:val="bottom"/>
            <w:hideMark/>
          </w:tcPr>
          <w:p w14:paraId="6C7AA3C3"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0.1095</w:t>
            </w:r>
          </w:p>
        </w:tc>
        <w:tc>
          <w:tcPr>
            <w:tcW w:w="2238" w:type="dxa"/>
            <w:tcBorders>
              <w:top w:val="nil"/>
              <w:left w:val="nil"/>
              <w:bottom w:val="nil"/>
              <w:right w:val="nil"/>
            </w:tcBorders>
            <w:shd w:val="clear" w:color="auto" w:fill="auto"/>
            <w:noWrap/>
            <w:vAlign w:val="bottom"/>
            <w:hideMark/>
          </w:tcPr>
          <w:p w14:paraId="37E96926"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1.1913</w:t>
            </w:r>
          </w:p>
        </w:tc>
      </w:tr>
      <w:tr w:rsidR="00B846CE" w:rsidRPr="00A50211" w14:paraId="031B8F2B" w14:textId="77777777" w:rsidTr="00A33AA6">
        <w:trPr>
          <w:trHeight w:val="470"/>
        </w:trPr>
        <w:tc>
          <w:tcPr>
            <w:tcW w:w="836" w:type="dxa"/>
            <w:tcBorders>
              <w:top w:val="nil"/>
              <w:left w:val="nil"/>
              <w:bottom w:val="nil"/>
              <w:right w:val="nil"/>
            </w:tcBorders>
            <w:shd w:val="clear" w:color="auto" w:fill="auto"/>
            <w:noWrap/>
            <w:vAlign w:val="bottom"/>
            <w:hideMark/>
          </w:tcPr>
          <w:p w14:paraId="41BF7671"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−1</w:t>
            </w:r>
          </w:p>
        </w:tc>
        <w:tc>
          <w:tcPr>
            <w:tcW w:w="1589" w:type="dxa"/>
            <w:tcBorders>
              <w:top w:val="nil"/>
              <w:left w:val="nil"/>
              <w:bottom w:val="nil"/>
              <w:right w:val="nil"/>
            </w:tcBorders>
            <w:shd w:val="clear" w:color="auto" w:fill="auto"/>
            <w:noWrap/>
            <w:vAlign w:val="bottom"/>
            <w:hideMark/>
          </w:tcPr>
          <w:p w14:paraId="692F9B0D"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0.1368</w:t>
            </w:r>
          </w:p>
        </w:tc>
        <w:tc>
          <w:tcPr>
            <w:tcW w:w="2238" w:type="dxa"/>
            <w:tcBorders>
              <w:top w:val="nil"/>
              <w:left w:val="nil"/>
              <w:bottom w:val="nil"/>
              <w:right w:val="nil"/>
            </w:tcBorders>
            <w:shd w:val="clear" w:color="auto" w:fill="auto"/>
            <w:noWrap/>
            <w:vAlign w:val="bottom"/>
            <w:hideMark/>
          </w:tcPr>
          <w:p w14:paraId="625C1EEF"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2.2892</w:t>
            </w:r>
            <w:r w:rsidRPr="00A50211">
              <w:rPr>
                <w:rFonts w:ascii="Times New Roman" w:eastAsia="Times New Roman" w:hAnsi="Times New Roman" w:cs="Times New Roman"/>
                <w:color w:val="000000"/>
                <w:sz w:val="24"/>
                <w:szCs w:val="24"/>
                <w:vertAlign w:val="superscript"/>
              </w:rPr>
              <w:t>**</w:t>
            </w:r>
          </w:p>
        </w:tc>
      </w:tr>
      <w:tr w:rsidR="00B846CE" w:rsidRPr="00A50211" w14:paraId="1A2B7468" w14:textId="77777777" w:rsidTr="00A33AA6">
        <w:trPr>
          <w:trHeight w:val="470"/>
        </w:trPr>
        <w:tc>
          <w:tcPr>
            <w:tcW w:w="836" w:type="dxa"/>
            <w:tcBorders>
              <w:top w:val="nil"/>
              <w:left w:val="nil"/>
              <w:bottom w:val="nil"/>
              <w:right w:val="nil"/>
            </w:tcBorders>
            <w:shd w:val="clear" w:color="auto" w:fill="auto"/>
            <w:noWrap/>
            <w:vAlign w:val="bottom"/>
            <w:hideMark/>
          </w:tcPr>
          <w:p w14:paraId="53501E04"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w:t>
            </w:r>
          </w:p>
        </w:tc>
        <w:tc>
          <w:tcPr>
            <w:tcW w:w="1589" w:type="dxa"/>
            <w:tcBorders>
              <w:top w:val="nil"/>
              <w:left w:val="nil"/>
              <w:bottom w:val="nil"/>
              <w:right w:val="nil"/>
            </w:tcBorders>
            <w:shd w:val="clear" w:color="auto" w:fill="auto"/>
            <w:noWrap/>
            <w:vAlign w:val="bottom"/>
            <w:hideMark/>
          </w:tcPr>
          <w:p w14:paraId="439C5E8A"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0.0822</w:t>
            </w:r>
          </w:p>
        </w:tc>
        <w:tc>
          <w:tcPr>
            <w:tcW w:w="2238" w:type="dxa"/>
            <w:tcBorders>
              <w:top w:val="nil"/>
              <w:left w:val="nil"/>
              <w:bottom w:val="nil"/>
              <w:right w:val="nil"/>
            </w:tcBorders>
            <w:shd w:val="clear" w:color="auto" w:fill="auto"/>
            <w:noWrap/>
            <w:vAlign w:val="bottom"/>
            <w:hideMark/>
          </w:tcPr>
          <w:p w14:paraId="60E3B1DE"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1.3423</w:t>
            </w:r>
          </w:p>
        </w:tc>
      </w:tr>
      <w:tr w:rsidR="00B846CE" w:rsidRPr="00A50211" w14:paraId="70EA77A8" w14:textId="77777777" w:rsidTr="00A33AA6">
        <w:trPr>
          <w:trHeight w:val="470"/>
        </w:trPr>
        <w:tc>
          <w:tcPr>
            <w:tcW w:w="836" w:type="dxa"/>
            <w:tcBorders>
              <w:top w:val="nil"/>
              <w:left w:val="nil"/>
              <w:bottom w:val="nil"/>
              <w:right w:val="nil"/>
            </w:tcBorders>
            <w:shd w:val="clear" w:color="auto" w:fill="auto"/>
            <w:noWrap/>
            <w:vAlign w:val="bottom"/>
            <w:hideMark/>
          </w:tcPr>
          <w:p w14:paraId="101D7CB2"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1</w:t>
            </w:r>
          </w:p>
        </w:tc>
        <w:tc>
          <w:tcPr>
            <w:tcW w:w="1589" w:type="dxa"/>
            <w:tcBorders>
              <w:top w:val="nil"/>
              <w:left w:val="nil"/>
              <w:bottom w:val="nil"/>
              <w:right w:val="nil"/>
            </w:tcBorders>
            <w:shd w:val="clear" w:color="auto" w:fill="auto"/>
            <w:noWrap/>
            <w:vAlign w:val="bottom"/>
            <w:hideMark/>
          </w:tcPr>
          <w:p w14:paraId="56457402"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−0.0730</w:t>
            </w:r>
          </w:p>
        </w:tc>
        <w:tc>
          <w:tcPr>
            <w:tcW w:w="2238" w:type="dxa"/>
            <w:tcBorders>
              <w:top w:val="nil"/>
              <w:left w:val="nil"/>
              <w:bottom w:val="nil"/>
              <w:right w:val="nil"/>
            </w:tcBorders>
            <w:shd w:val="clear" w:color="auto" w:fill="auto"/>
            <w:noWrap/>
            <w:vAlign w:val="bottom"/>
            <w:hideMark/>
          </w:tcPr>
          <w:p w14:paraId="4180452C"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−0.9238</w:t>
            </w:r>
          </w:p>
        </w:tc>
      </w:tr>
      <w:tr w:rsidR="00B846CE" w:rsidRPr="00A50211" w14:paraId="48F7F1BE" w14:textId="77777777" w:rsidTr="00A33AA6">
        <w:trPr>
          <w:trHeight w:val="470"/>
        </w:trPr>
        <w:tc>
          <w:tcPr>
            <w:tcW w:w="836" w:type="dxa"/>
            <w:tcBorders>
              <w:top w:val="nil"/>
              <w:left w:val="nil"/>
              <w:bottom w:val="nil"/>
              <w:right w:val="nil"/>
            </w:tcBorders>
            <w:shd w:val="clear" w:color="auto" w:fill="auto"/>
            <w:noWrap/>
            <w:vAlign w:val="bottom"/>
            <w:hideMark/>
          </w:tcPr>
          <w:p w14:paraId="6DFD5D97"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2</w:t>
            </w:r>
          </w:p>
        </w:tc>
        <w:tc>
          <w:tcPr>
            <w:tcW w:w="1589" w:type="dxa"/>
            <w:tcBorders>
              <w:top w:val="nil"/>
              <w:left w:val="nil"/>
              <w:bottom w:val="nil"/>
              <w:right w:val="nil"/>
            </w:tcBorders>
            <w:shd w:val="clear" w:color="auto" w:fill="auto"/>
            <w:noWrap/>
            <w:vAlign w:val="bottom"/>
            <w:hideMark/>
          </w:tcPr>
          <w:p w14:paraId="2BFC69E9"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0.0395</w:t>
            </w:r>
          </w:p>
        </w:tc>
        <w:tc>
          <w:tcPr>
            <w:tcW w:w="2238" w:type="dxa"/>
            <w:tcBorders>
              <w:top w:val="nil"/>
              <w:left w:val="nil"/>
              <w:bottom w:val="nil"/>
              <w:right w:val="nil"/>
            </w:tcBorders>
            <w:shd w:val="clear" w:color="auto" w:fill="auto"/>
            <w:noWrap/>
            <w:vAlign w:val="bottom"/>
            <w:hideMark/>
          </w:tcPr>
          <w:p w14:paraId="0D77D375"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1.6234</w:t>
            </w:r>
          </w:p>
        </w:tc>
      </w:tr>
      <w:tr w:rsidR="00B846CE" w:rsidRPr="00A50211" w14:paraId="6DB3160C" w14:textId="77777777" w:rsidTr="00A33AA6">
        <w:trPr>
          <w:trHeight w:val="470"/>
        </w:trPr>
        <w:tc>
          <w:tcPr>
            <w:tcW w:w="836" w:type="dxa"/>
            <w:tcBorders>
              <w:top w:val="nil"/>
              <w:left w:val="nil"/>
              <w:bottom w:val="nil"/>
              <w:right w:val="nil"/>
            </w:tcBorders>
            <w:shd w:val="clear" w:color="auto" w:fill="auto"/>
            <w:noWrap/>
            <w:vAlign w:val="bottom"/>
            <w:hideMark/>
          </w:tcPr>
          <w:p w14:paraId="6B01CF60"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3</w:t>
            </w:r>
          </w:p>
        </w:tc>
        <w:tc>
          <w:tcPr>
            <w:tcW w:w="1589" w:type="dxa"/>
            <w:tcBorders>
              <w:top w:val="nil"/>
              <w:left w:val="nil"/>
              <w:bottom w:val="nil"/>
              <w:right w:val="nil"/>
            </w:tcBorders>
            <w:shd w:val="clear" w:color="auto" w:fill="auto"/>
            <w:noWrap/>
            <w:vAlign w:val="bottom"/>
            <w:hideMark/>
          </w:tcPr>
          <w:p w14:paraId="3F7D8F69"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0.0006</w:t>
            </w:r>
          </w:p>
        </w:tc>
        <w:tc>
          <w:tcPr>
            <w:tcW w:w="2238" w:type="dxa"/>
            <w:tcBorders>
              <w:top w:val="nil"/>
              <w:left w:val="nil"/>
              <w:bottom w:val="nil"/>
              <w:right w:val="nil"/>
            </w:tcBorders>
            <w:shd w:val="clear" w:color="auto" w:fill="auto"/>
            <w:noWrap/>
            <w:vAlign w:val="bottom"/>
            <w:hideMark/>
          </w:tcPr>
          <w:p w14:paraId="4EF37A99"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0.3832</w:t>
            </w:r>
          </w:p>
        </w:tc>
      </w:tr>
      <w:tr w:rsidR="00B846CE" w:rsidRPr="00A50211" w14:paraId="06471229" w14:textId="77777777" w:rsidTr="00A33AA6">
        <w:trPr>
          <w:trHeight w:val="470"/>
        </w:trPr>
        <w:tc>
          <w:tcPr>
            <w:tcW w:w="836" w:type="dxa"/>
            <w:tcBorders>
              <w:top w:val="nil"/>
              <w:left w:val="nil"/>
              <w:bottom w:val="nil"/>
              <w:right w:val="nil"/>
            </w:tcBorders>
            <w:shd w:val="clear" w:color="auto" w:fill="auto"/>
            <w:noWrap/>
            <w:vAlign w:val="bottom"/>
            <w:hideMark/>
          </w:tcPr>
          <w:p w14:paraId="0A61BBBB"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4</w:t>
            </w:r>
          </w:p>
        </w:tc>
        <w:tc>
          <w:tcPr>
            <w:tcW w:w="1589" w:type="dxa"/>
            <w:tcBorders>
              <w:top w:val="nil"/>
              <w:left w:val="nil"/>
              <w:bottom w:val="nil"/>
              <w:right w:val="nil"/>
            </w:tcBorders>
            <w:shd w:val="clear" w:color="auto" w:fill="auto"/>
            <w:noWrap/>
            <w:vAlign w:val="bottom"/>
            <w:hideMark/>
          </w:tcPr>
          <w:p w14:paraId="626BA1AA"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−0.1890</w:t>
            </w:r>
          </w:p>
        </w:tc>
        <w:tc>
          <w:tcPr>
            <w:tcW w:w="2238" w:type="dxa"/>
            <w:tcBorders>
              <w:top w:val="nil"/>
              <w:left w:val="nil"/>
              <w:bottom w:val="nil"/>
              <w:right w:val="nil"/>
            </w:tcBorders>
            <w:shd w:val="clear" w:color="auto" w:fill="auto"/>
            <w:noWrap/>
            <w:vAlign w:val="bottom"/>
            <w:hideMark/>
          </w:tcPr>
          <w:p w14:paraId="5625E174"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−3.1250</w:t>
            </w:r>
            <w:r w:rsidRPr="00A50211">
              <w:rPr>
                <w:rFonts w:ascii="Times New Roman" w:eastAsia="Times New Roman" w:hAnsi="Times New Roman" w:cs="Times New Roman"/>
                <w:color w:val="000000"/>
                <w:sz w:val="24"/>
                <w:szCs w:val="24"/>
                <w:vertAlign w:val="superscript"/>
              </w:rPr>
              <w:t>***</w:t>
            </w:r>
          </w:p>
        </w:tc>
      </w:tr>
      <w:tr w:rsidR="00B846CE" w:rsidRPr="00A50211" w14:paraId="26701C79" w14:textId="77777777" w:rsidTr="00A33AA6">
        <w:trPr>
          <w:trHeight w:val="470"/>
        </w:trPr>
        <w:tc>
          <w:tcPr>
            <w:tcW w:w="836" w:type="dxa"/>
            <w:tcBorders>
              <w:top w:val="nil"/>
              <w:left w:val="nil"/>
              <w:bottom w:val="nil"/>
              <w:right w:val="nil"/>
            </w:tcBorders>
            <w:shd w:val="clear" w:color="auto" w:fill="auto"/>
            <w:noWrap/>
            <w:vAlign w:val="bottom"/>
            <w:hideMark/>
          </w:tcPr>
          <w:p w14:paraId="6F905B66"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5</w:t>
            </w:r>
          </w:p>
        </w:tc>
        <w:tc>
          <w:tcPr>
            <w:tcW w:w="1589" w:type="dxa"/>
            <w:tcBorders>
              <w:top w:val="nil"/>
              <w:left w:val="nil"/>
              <w:bottom w:val="nil"/>
              <w:right w:val="nil"/>
            </w:tcBorders>
            <w:shd w:val="clear" w:color="auto" w:fill="auto"/>
            <w:noWrap/>
            <w:vAlign w:val="bottom"/>
            <w:hideMark/>
          </w:tcPr>
          <w:p w14:paraId="100F5437"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0.0401</w:t>
            </w:r>
          </w:p>
        </w:tc>
        <w:tc>
          <w:tcPr>
            <w:tcW w:w="2238" w:type="dxa"/>
            <w:tcBorders>
              <w:top w:val="nil"/>
              <w:left w:val="nil"/>
              <w:bottom w:val="nil"/>
              <w:right w:val="nil"/>
            </w:tcBorders>
            <w:shd w:val="clear" w:color="auto" w:fill="auto"/>
            <w:noWrap/>
            <w:vAlign w:val="bottom"/>
            <w:hideMark/>
          </w:tcPr>
          <w:p w14:paraId="371E74B5"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0.4892</w:t>
            </w:r>
          </w:p>
        </w:tc>
      </w:tr>
      <w:tr w:rsidR="00B846CE" w:rsidRPr="00A50211" w14:paraId="79580141" w14:textId="77777777" w:rsidTr="00A33AA6">
        <w:trPr>
          <w:trHeight w:val="470"/>
        </w:trPr>
        <w:tc>
          <w:tcPr>
            <w:tcW w:w="836" w:type="dxa"/>
            <w:tcBorders>
              <w:top w:val="nil"/>
              <w:left w:val="nil"/>
              <w:bottom w:val="nil"/>
              <w:right w:val="nil"/>
            </w:tcBorders>
            <w:shd w:val="clear" w:color="auto" w:fill="auto"/>
            <w:noWrap/>
            <w:vAlign w:val="bottom"/>
            <w:hideMark/>
          </w:tcPr>
          <w:p w14:paraId="360103D5"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6</w:t>
            </w:r>
          </w:p>
        </w:tc>
        <w:tc>
          <w:tcPr>
            <w:tcW w:w="1589" w:type="dxa"/>
            <w:tcBorders>
              <w:top w:val="nil"/>
              <w:left w:val="nil"/>
              <w:bottom w:val="nil"/>
              <w:right w:val="nil"/>
            </w:tcBorders>
            <w:shd w:val="clear" w:color="auto" w:fill="auto"/>
            <w:noWrap/>
            <w:vAlign w:val="bottom"/>
            <w:hideMark/>
          </w:tcPr>
          <w:p w14:paraId="5FFCCCDB"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−0.0942</w:t>
            </w:r>
          </w:p>
        </w:tc>
        <w:tc>
          <w:tcPr>
            <w:tcW w:w="2238" w:type="dxa"/>
            <w:tcBorders>
              <w:top w:val="nil"/>
              <w:left w:val="nil"/>
              <w:bottom w:val="nil"/>
              <w:right w:val="nil"/>
            </w:tcBorders>
            <w:shd w:val="clear" w:color="auto" w:fill="auto"/>
            <w:noWrap/>
            <w:vAlign w:val="bottom"/>
            <w:hideMark/>
          </w:tcPr>
          <w:p w14:paraId="004BDC88"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−1.3055</w:t>
            </w:r>
          </w:p>
        </w:tc>
      </w:tr>
      <w:tr w:rsidR="00B846CE" w:rsidRPr="00A50211" w14:paraId="1B01FEF4" w14:textId="77777777" w:rsidTr="00A33AA6">
        <w:trPr>
          <w:trHeight w:val="470"/>
        </w:trPr>
        <w:tc>
          <w:tcPr>
            <w:tcW w:w="836" w:type="dxa"/>
            <w:tcBorders>
              <w:top w:val="nil"/>
              <w:left w:val="nil"/>
              <w:bottom w:val="nil"/>
              <w:right w:val="nil"/>
            </w:tcBorders>
            <w:shd w:val="clear" w:color="auto" w:fill="auto"/>
            <w:noWrap/>
            <w:vAlign w:val="bottom"/>
            <w:hideMark/>
          </w:tcPr>
          <w:p w14:paraId="40350F21"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7</w:t>
            </w:r>
          </w:p>
        </w:tc>
        <w:tc>
          <w:tcPr>
            <w:tcW w:w="1589" w:type="dxa"/>
            <w:tcBorders>
              <w:top w:val="nil"/>
              <w:left w:val="nil"/>
              <w:bottom w:val="nil"/>
              <w:right w:val="nil"/>
            </w:tcBorders>
            <w:shd w:val="clear" w:color="auto" w:fill="auto"/>
            <w:noWrap/>
            <w:vAlign w:val="bottom"/>
            <w:hideMark/>
          </w:tcPr>
          <w:p w14:paraId="4E92383C"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−0.1108</w:t>
            </w:r>
          </w:p>
        </w:tc>
        <w:tc>
          <w:tcPr>
            <w:tcW w:w="2238" w:type="dxa"/>
            <w:tcBorders>
              <w:top w:val="nil"/>
              <w:left w:val="nil"/>
              <w:bottom w:val="nil"/>
              <w:right w:val="nil"/>
            </w:tcBorders>
            <w:shd w:val="clear" w:color="auto" w:fill="auto"/>
            <w:noWrap/>
            <w:vAlign w:val="bottom"/>
            <w:hideMark/>
          </w:tcPr>
          <w:p w14:paraId="5A842811"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−1.6990</w:t>
            </w:r>
            <w:r w:rsidRPr="00A50211">
              <w:rPr>
                <w:rFonts w:ascii="Times New Roman" w:eastAsia="Times New Roman" w:hAnsi="Times New Roman" w:cs="Times New Roman"/>
                <w:color w:val="000000"/>
                <w:sz w:val="24"/>
                <w:szCs w:val="24"/>
                <w:vertAlign w:val="superscript"/>
              </w:rPr>
              <w:t>*</w:t>
            </w:r>
          </w:p>
        </w:tc>
      </w:tr>
      <w:tr w:rsidR="00B846CE" w:rsidRPr="00A50211" w14:paraId="70295D81" w14:textId="77777777" w:rsidTr="00A33AA6">
        <w:trPr>
          <w:trHeight w:val="470"/>
        </w:trPr>
        <w:tc>
          <w:tcPr>
            <w:tcW w:w="836" w:type="dxa"/>
            <w:tcBorders>
              <w:top w:val="nil"/>
              <w:left w:val="nil"/>
              <w:bottom w:val="nil"/>
              <w:right w:val="nil"/>
            </w:tcBorders>
            <w:shd w:val="clear" w:color="auto" w:fill="auto"/>
            <w:noWrap/>
            <w:vAlign w:val="bottom"/>
            <w:hideMark/>
          </w:tcPr>
          <w:p w14:paraId="369E83E6"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8</w:t>
            </w:r>
          </w:p>
        </w:tc>
        <w:tc>
          <w:tcPr>
            <w:tcW w:w="1589" w:type="dxa"/>
            <w:tcBorders>
              <w:top w:val="nil"/>
              <w:left w:val="nil"/>
              <w:bottom w:val="nil"/>
              <w:right w:val="nil"/>
            </w:tcBorders>
            <w:shd w:val="clear" w:color="auto" w:fill="auto"/>
            <w:noWrap/>
            <w:vAlign w:val="bottom"/>
            <w:hideMark/>
          </w:tcPr>
          <w:p w14:paraId="7A36DD4D"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−0.0712</w:t>
            </w:r>
          </w:p>
        </w:tc>
        <w:tc>
          <w:tcPr>
            <w:tcW w:w="2238" w:type="dxa"/>
            <w:tcBorders>
              <w:top w:val="nil"/>
              <w:left w:val="nil"/>
              <w:bottom w:val="nil"/>
              <w:right w:val="nil"/>
            </w:tcBorders>
            <w:shd w:val="clear" w:color="auto" w:fill="auto"/>
            <w:noWrap/>
            <w:vAlign w:val="bottom"/>
            <w:hideMark/>
          </w:tcPr>
          <w:p w14:paraId="25D4CF81"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−0.3085</w:t>
            </w:r>
          </w:p>
        </w:tc>
      </w:tr>
      <w:tr w:rsidR="00B846CE" w:rsidRPr="00A50211" w14:paraId="324D15A4" w14:textId="77777777" w:rsidTr="00A33AA6">
        <w:trPr>
          <w:trHeight w:val="470"/>
        </w:trPr>
        <w:tc>
          <w:tcPr>
            <w:tcW w:w="836" w:type="dxa"/>
            <w:tcBorders>
              <w:top w:val="nil"/>
              <w:left w:val="nil"/>
              <w:right w:val="nil"/>
            </w:tcBorders>
            <w:shd w:val="clear" w:color="auto" w:fill="auto"/>
            <w:noWrap/>
            <w:vAlign w:val="bottom"/>
            <w:hideMark/>
          </w:tcPr>
          <w:p w14:paraId="7DF50F4D"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9</w:t>
            </w:r>
          </w:p>
        </w:tc>
        <w:tc>
          <w:tcPr>
            <w:tcW w:w="1589" w:type="dxa"/>
            <w:tcBorders>
              <w:top w:val="nil"/>
              <w:left w:val="nil"/>
              <w:right w:val="nil"/>
            </w:tcBorders>
            <w:shd w:val="clear" w:color="auto" w:fill="auto"/>
            <w:noWrap/>
            <w:vAlign w:val="bottom"/>
            <w:hideMark/>
          </w:tcPr>
          <w:p w14:paraId="3D58FD7A"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−0.0597</w:t>
            </w:r>
          </w:p>
        </w:tc>
        <w:tc>
          <w:tcPr>
            <w:tcW w:w="2238" w:type="dxa"/>
            <w:tcBorders>
              <w:top w:val="nil"/>
              <w:left w:val="nil"/>
              <w:right w:val="nil"/>
            </w:tcBorders>
            <w:shd w:val="clear" w:color="auto" w:fill="auto"/>
            <w:noWrap/>
            <w:vAlign w:val="bottom"/>
            <w:hideMark/>
          </w:tcPr>
          <w:p w14:paraId="1A00F894"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−0.1103</w:t>
            </w:r>
          </w:p>
        </w:tc>
      </w:tr>
      <w:tr w:rsidR="00B846CE" w:rsidRPr="00A50211" w14:paraId="1052952B" w14:textId="77777777" w:rsidTr="00A33AA6">
        <w:trPr>
          <w:trHeight w:val="470"/>
        </w:trPr>
        <w:tc>
          <w:tcPr>
            <w:tcW w:w="836" w:type="dxa"/>
            <w:tcBorders>
              <w:top w:val="nil"/>
              <w:left w:val="nil"/>
              <w:bottom w:val="single" w:sz="4" w:space="0" w:color="auto"/>
              <w:right w:val="nil"/>
            </w:tcBorders>
            <w:shd w:val="clear" w:color="auto" w:fill="auto"/>
            <w:noWrap/>
            <w:vAlign w:val="bottom"/>
            <w:hideMark/>
          </w:tcPr>
          <w:p w14:paraId="5244002E" w14:textId="77777777" w:rsidR="00B846CE" w:rsidRPr="00A50211" w:rsidRDefault="00B846CE" w:rsidP="00A33AA6">
            <w:pPr>
              <w:adjustRightInd w:val="0"/>
              <w:spacing w:after="0" w:line="240" w:lineRule="auto"/>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10</w:t>
            </w:r>
          </w:p>
        </w:tc>
        <w:tc>
          <w:tcPr>
            <w:tcW w:w="1589" w:type="dxa"/>
            <w:tcBorders>
              <w:top w:val="nil"/>
              <w:left w:val="nil"/>
              <w:bottom w:val="single" w:sz="4" w:space="0" w:color="auto"/>
              <w:right w:val="nil"/>
            </w:tcBorders>
            <w:shd w:val="clear" w:color="auto" w:fill="auto"/>
            <w:noWrap/>
            <w:vAlign w:val="bottom"/>
            <w:hideMark/>
          </w:tcPr>
          <w:p w14:paraId="15C7C91E" w14:textId="77777777" w:rsidR="00B846CE" w:rsidRPr="00A50211" w:rsidRDefault="00B846CE" w:rsidP="00A33AA6">
            <w:pPr>
              <w:adjustRightInd w:val="0"/>
              <w:spacing w:after="0" w:line="240" w:lineRule="auto"/>
              <w:ind w:right="34"/>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0.0130</w:t>
            </w:r>
          </w:p>
        </w:tc>
        <w:tc>
          <w:tcPr>
            <w:tcW w:w="2238" w:type="dxa"/>
            <w:tcBorders>
              <w:top w:val="nil"/>
              <w:left w:val="nil"/>
              <w:bottom w:val="single" w:sz="4" w:space="0" w:color="auto"/>
              <w:right w:val="nil"/>
            </w:tcBorders>
            <w:shd w:val="clear" w:color="auto" w:fill="auto"/>
            <w:noWrap/>
            <w:vAlign w:val="bottom"/>
            <w:hideMark/>
          </w:tcPr>
          <w:p w14:paraId="2C7B46A9" w14:textId="77777777" w:rsidR="00B846CE" w:rsidRPr="00A50211" w:rsidRDefault="00B846CE" w:rsidP="00A33AA6">
            <w:pPr>
              <w:adjustRightInd w:val="0"/>
              <w:spacing w:after="0" w:line="240" w:lineRule="auto"/>
              <w:ind w:right="139"/>
              <w:jc w:val="both"/>
              <w:rPr>
                <w:rFonts w:ascii="Times New Roman" w:eastAsia="Times New Roman" w:hAnsi="Times New Roman" w:cs="Times New Roman"/>
                <w:sz w:val="24"/>
                <w:szCs w:val="24"/>
              </w:rPr>
            </w:pPr>
            <w:r w:rsidRPr="00A50211">
              <w:rPr>
                <w:rFonts w:ascii="Times New Roman" w:eastAsia="Times New Roman" w:hAnsi="Times New Roman" w:cs="Times New Roman"/>
                <w:sz w:val="24"/>
                <w:szCs w:val="24"/>
              </w:rPr>
              <w:t xml:space="preserve">    0.6333</w:t>
            </w:r>
          </w:p>
        </w:tc>
      </w:tr>
    </w:tbl>
    <w:p w14:paraId="4B3148F2" w14:textId="77777777" w:rsidR="00B846CE" w:rsidRDefault="00B846CE" w:rsidP="00B846CE">
      <w:pPr>
        <w:spacing w:after="0" w:line="240" w:lineRule="auto"/>
        <w:jc w:val="both"/>
        <w:rPr>
          <w:rFonts w:ascii="Times New Roman" w:eastAsia="Times New Roman" w:hAnsi="Times New Roman" w:cs="Times New Roman"/>
          <w:b/>
          <w:color w:val="000000"/>
          <w:sz w:val="24"/>
          <w:szCs w:val="24"/>
        </w:rPr>
      </w:pPr>
    </w:p>
    <w:p w14:paraId="3CC839D7" w14:textId="77777777" w:rsidR="00B846CE" w:rsidRDefault="00B846CE" w:rsidP="00B846CE">
      <w:pPr>
        <w:pStyle w:val="Default"/>
        <w:jc w:val="both"/>
        <w:rPr>
          <w:color w:val="auto"/>
          <w:sz w:val="20"/>
          <w:szCs w:val="20"/>
        </w:rPr>
      </w:pPr>
    </w:p>
    <w:p w14:paraId="685FC359" w14:textId="77777777" w:rsidR="00B846CE" w:rsidRDefault="00B846CE" w:rsidP="00B846CE">
      <w:pPr>
        <w:pStyle w:val="Default"/>
        <w:jc w:val="both"/>
        <w:rPr>
          <w:color w:val="auto"/>
          <w:sz w:val="20"/>
          <w:szCs w:val="20"/>
        </w:rPr>
      </w:pPr>
    </w:p>
    <w:p w14:paraId="3CD609CB" w14:textId="77777777" w:rsidR="00B846CE" w:rsidRDefault="00B846CE" w:rsidP="00B846CE">
      <w:pPr>
        <w:pStyle w:val="Default"/>
        <w:jc w:val="both"/>
        <w:rPr>
          <w:color w:val="auto"/>
          <w:sz w:val="20"/>
          <w:szCs w:val="20"/>
        </w:rPr>
      </w:pPr>
    </w:p>
    <w:p w14:paraId="7A429020" w14:textId="77777777" w:rsidR="00B846CE" w:rsidRDefault="00B846CE" w:rsidP="00B846CE">
      <w:pPr>
        <w:pStyle w:val="Default"/>
        <w:jc w:val="both"/>
        <w:rPr>
          <w:color w:val="auto"/>
          <w:sz w:val="20"/>
          <w:szCs w:val="20"/>
        </w:rPr>
      </w:pPr>
    </w:p>
    <w:p w14:paraId="66A02498" w14:textId="77777777" w:rsidR="00B846CE" w:rsidRDefault="00B846CE" w:rsidP="00B846CE">
      <w:pPr>
        <w:pStyle w:val="Default"/>
        <w:jc w:val="both"/>
        <w:rPr>
          <w:color w:val="auto"/>
          <w:sz w:val="20"/>
          <w:szCs w:val="20"/>
        </w:rPr>
      </w:pPr>
    </w:p>
    <w:p w14:paraId="28A8B68F" w14:textId="77777777" w:rsidR="00B846CE" w:rsidRDefault="00B846CE" w:rsidP="00B846CE">
      <w:pPr>
        <w:pStyle w:val="Default"/>
        <w:jc w:val="both"/>
        <w:rPr>
          <w:color w:val="auto"/>
          <w:sz w:val="20"/>
          <w:szCs w:val="20"/>
        </w:rPr>
      </w:pPr>
    </w:p>
    <w:p w14:paraId="6B704F88" w14:textId="77777777" w:rsidR="00B846CE" w:rsidRDefault="00B846CE" w:rsidP="00B846CE">
      <w:pPr>
        <w:pStyle w:val="Default"/>
        <w:jc w:val="both"/>
        <w:rPr>
          <w:color w:val="auto"/>
          <w:sz w:val="20"/>
          <w:szCs w:val="20"/>
        </w:rPr>
      </w:pPr>
    </w:p>
    <w:p w14:paraId="4EA80E77" w14:textId="77777777" w:rsidR="00B846CE" w:rsidRDefault="00B846CE" w:rsidP="00B846CE">
      <w:pPr>
        <w:pStyle w:val="Default"/>
        <w:jc w:val="both"/>
        <w:rPr>
          <w:color w:val="auto"/>
          <w:sz w:val="20"/>
          <w:szCs w:val="20"/>
        </w:rPr>
      </w:pPr>
    </w:p>
    <w:p w14:paraId="203FC107" w14:textId="77777777" w:rsidR="00B846CE" w:rsidRDefault="00B846CE" w:rsidP="00B846CE">
      <w:pPr>
        <w:pStyle w:val="Default"/>
        <w:jc w:val="both"/>
        <w:rPr>
          <w:color w:val="auto"/>
          <w:sz w:val="20"/>
          <w:szCs w:val="20"/>
        </w:rPr>
      </w:pPr>
    </w:p>
    <w:p w14:paraId="48DCDC32" w14:textId="77777777" w:rsidR="00B846CE" w:rsidRDefault="00B846CE" w:rsidP="00B846CE">
      <w:pPr>
        <w:pStyle w:val="Default"/>
        <w:jc w:val="both"/>
        <w:rPr>
          <w:color w:val="auto"/>
          <w:sz w:val="20"/>
          <w:szCs w:val="20"/>
        </w:rPr>
      </w:pPr>
    </w:p>
    <w:p w14:paraId="5BF83BE9" w14:textId="77777777" w:rsidR="00B846CE" w:rsidRDefault="00B846CE" w:rsidP="00B846CE">
      <w:pPr>
        <w:pStyle w:val="Default"/>
        <w:jc w:val="both"/>
        <w:rPr>
          <w:color w:val="auto"/>
          <w:sz w:val="20"/>
          <w:szCs w:val="20"/>
        </w:rPr>
      </w:pPr>
    </w:p>
    <w:p w14:paraId="5D1F3A00" w14:textId="77777777" w:rsidR="00B846CE" w:rsidRDefault="00B846CE" w:rsidP="00B846CE">
      <w:pPr>
        <w:pStyle w:val="Default"/>
        <w:jc w:val="both"/>
        <w:rPr>
          <w:color w:val="auto"/>
          <w:sz w:val="20"/>
          <w:szCs w:val="20"/>
        </w:rPr>
      </w:pPr>
    </w:p>
    <w:p w14:paraId="12010278" w14:textId="77777777" w:rsidR="00B846CE" w:rsidRDefault="00B846CE" w:rsidP="00B846CE">
      <w:pPr>
        <w:pStyle w:val="Default"/>
        <w:jc w:val="both"/>
        <w:rPr>
          <w:color w:val="auto"/>
          <w:sz w:val="20"/>
          <w:szCs w:val="20"/>
        </w:rPr>
      </w:pPr>
    </w:p>
    <w:p w14:paraId="4BC881B8" w14:textId="77777777" w:rsidR="00B846CE" w:rsidRDefault="00B846CE" w:rsidP="00B846CE">
      <w:pPr>
        <w:pStyle w:val="Default"/>
        <w:jc w:val="both"/>
        <w:rPr>
          <w:color w:val="auto"/>
          <w:sz w:val="20"/>
          <w:szCs w:val="20"/>
        </w:rPr>
      </w:pPr>
    </w:p>
    <w:p w14:paraId="66255EA9" w14:textId="77777777" w:rsidR="00B846CE" w:rsidRDefault="00B846CE" w:rsidP="00B846CE">
      <w:pPr>
        <w:pStyle w:val="Default"/>
        <w:jc w:val="both"/>
        <w:rPr>
          <w:color w:val="auto"/>
          <w:sz w:val="20"/>
          <w:szCs w:val="20"/>
        </w:rPr>
      </w:pPr>
    </w:p>
    <w:p w14:paraId="42AD6C09" w14:textId="77777777" w:rsidR="00B846CE" w:rsidRDefault="00B846CE" w:rsidP="00B846CE">
      <w:pPr>
        <w:pStyle w:val="Default"/>
        <w:jc w:val="both"/>
        <w:rPr>
          <w:color w:val="auto"/>
          <w:sz w:val="20"/>
          <w:szCs w:val="20"/>
        </w:rPr>
      </w:pPr>
    </w:p>
    <w:p w14:paraId="12166BAA" w14:textId="77777777" w:rsidR="00B846CE" w:rsidRDefault="00B846CE" w:rsidP="00B846CE">
      <w:pPr>
        <w:pStyle w:val="Default"/>
        <w:jc w:val="both"/>
        <w:rPr>
          <w:color w:val="auto"/>
          <w:sz w:val="20"/>
          <w:szCs w:val="20"/>
        </w:rPr>
      </w:pPr>
    </w:p>
    <w:p w14:paraId="012D1CCC" w14:textId="77777777" w:rsidR="00B846CE" w:rsidRDefault="00B846CE" w:rsidP="00B846CE">
      <w:pPr>
        <w:pStyle w:val="Default"/>
        <w:jc w:val="both"/>
        <w:rPr>
          <w:color w:val="auto"/>
          <w:sz w:val="20"/>
          <w:szCs w:val="20"/>
        </w:rPr>
      </w:pPr>
    </w:p>
    <w:p w14:paraId="3AB66EE3" w14:textId="77777777" w:rsidR="00B846CE" w:rsidRDefault="00B846CE" w:rsidP="00B846CE">
      <w:pPr>
        <w:pStyle w:val="Default"/>
        <w:jc w:val="both"/>
        <w:rPr>
          <w:color w:val="auto"/>
          <w:sz w:val="20"/>
          <w:szCs w:val="20"/>
        </w:rPr>
      </w:pPr>
    </w:p>
    <w:p w14:paraId="03C8DDD3" w14:textId="77777777" w:rsidR="00B846CE" w:rsidRDefault="00B846CE" w:rsidP="00B846CE">
      <w:pPr>
        <w:pStyle w:val="Default"/>
        <w:jc w:val="both"/>
        <w:rPr>
          <w:color w:val="auto"/>
          <w:sz w:val="20"/>
          <w:szCs w:val="20"/>
        </w:rPr>
      </w:pPr>
    </w:p>
    <w:p w14:paraId="4BF2A10C" w14:textId="77777777" w:rsidR="00B846CE" w:rsidRDefault="00B846CE" w:rsidP="00B846CE">
      <w:pPr>
        <w:pStyle w:val="Default"/>
        <w:jc w:val="both"/>
        <w:rPr>
          <w:color w:val="auto"/>
          <w:sz w:val="20"/>
          <w:szCs w:val="20"/>
        </w:rPr>
      </w:pPr>
    </w:p>
    <w:p w14:paraId="36192872" w14:textId="77777777" w:rsidR="00B846CE" w:rsidRDefault="00B846CE" w:rsidP="00B846CE">
      <w:pPr>
        <w:pStyle w:val="Default"/>
        <w:jc w:val="both"/>
        <w:rPr>
          <w:color w:val="auto"/>
          <w:sz w:val="20"/>
          <w:szCs w:val="20"/>
        </w:rPr>
      </w:pPr>
    </w:p>
    <w:p w14:paraId="7E316425" w14:textId="77777777" w:rsidR="00B846CE" w:rsidRDefault="00B846CE" w:rsidP="00B846CE">
      <w:pPr>
        <w:pStyle w:val="Default"/>
        <w:jc w:val="both"/>
        <w:rPr>
          <w:color w:val="auto"/>
          <w:sz w:val="20"/>
          <w:szCs w:val="20"/>
        </w:rPr>
      </w:pPr>
    </w:p>
    <w:p w14:paraId="47DBCB43" w14:textId="77777777" w:rsidR="00B846CE" w:rsidRDefault="00B846CE" w:rsidP="00B846CE">
      <w:pPr>
        <w:pStyle w:val="Default"/>
        <w:jc w:val="both"/>
        <w:rPr>
          <w:color w:val="auto"/>
          <w:sz w:val="20"/>
          <w:szCs w:val="20"/>
        </w:rPr>
      </w:pPr>
    </w:p>
    <w:p w14:paraId="5611B1DD" w14:textId="77777777" w:rsidR="00B846CE" w:rsidRDefault="00B846CE" w:rsidP="00B846CE">
      <w:pPr>
        <w:pStyle w:val="Default"/>
        <w:jc w:val="both"/>
        <w:rPr>
          <w:color w:val="auto"/>
          <w:sz w:val="20"/>
          <w:szCs w:val="20"/>
        </w:rPr>
      </w:pPr>
    </w:p>
    <w:p w14:paraId="7FE15408" w14:textId="77777777" w:rsidR="00B846CE" w:rsidRDefault="00B846CE" w:rsidP="00B846CE">
      <w:pPr>
        <w:pStyle w:val="Default"/>
        <w:jc w:val="both"/>
        <w:rPr>
          <w:color w:val="auto"/>
          <w:sz w:val="20"/>
          <w:szCs w:val="20"/>
        </w:rPr>
      </w:pPr>
    </w:p>
    <w:p w14:paraId="0261B491" w14:textId="77777777" w:rsidR="00B846CE" w:rsidRDefault="00B846CE" w:rsidP="00B846CE">
      <w:pPr>
        <w:pStyle w:val="Default"/>
        <w:jc w:val="both"/>
        <w:rPr>
          <w:color w:val="auto"/>
          <w:sz w:val="20"/>
          <w:szCs w:val="20"/>
        </w:rPr>
      </w:pPr>
    </w:p>
    <w:p w14:paraId="7958C350" w14:textId="77777777" w:rsidR="00B846CE" w:rsidRDefault="00B846CE" w:rsidP="00B846CE">
      <w:pPr>
        <w:pStyle w:val="Default"/>
        <w:jc w:val="both"/>
        <w:rPr>
          <w:color w:val="auto"/>
          <w:sz w:val="20"/>
          <w:szCs w:val="20"/>
        </w:rPr>
      </w:pPr>
    </w:p>
    <w:p w14:paraId="5D49CD72" w14:textId="77777777" w:rsidR="00B846CE" w:rsidRDefault="00B846CE" w:rsidP="00B846CE">
      <w:pPr>
        <w:pStyle w:val="Default"/>
        <w:jc w:val="both"/>
        <w:rPr>
          <w:color w:val="auto"/>
          <w:sz w:val="20"/>
          <w:szCs w:val="20"/>
        </w:rPr>
      </w:pPr>
    </w:p>
    <w:p w14:paraId="735B8938" w14:textId="77777777" w:rsidR="00B846CE" w:rsidRDefault="00B846CE" w:rsidP="00B846CE">
      <w:pPr>
        <w:pStyle w:val="Default"/>
        <w:jc w:val="both"/>
        <w:rPr>
          <w:color w:val="auto"/>
          <w:sz w:val="20"/>
          <w:szCs w:val="20"/>
        </w:rPr>
      </w:pPr>
    </w:p>
    <w:p w14:paraId="19AC1E62" w14:textId="77777777" w:rsidR="00B846CE" w:rsidRDefault="00B846CE" w:rsidP="00B846CE">
      <w:pPr>
        <w:pStyle w:val="Default"/>
        <w:jc w:val="both"/>
        <w:rPr>
          <w:color w:val="auto"/>
          <w:sz w:val="20"/>
          <w:szCs w:val="20"/>
        </w:rPr>
      </w:pPr>
    </w:p>
    <w:p w14:paraId="7B1664F3" w14:textId="77777777" w:rsidR="00B846CE" w:rsidRDefault="00B846CE" w:rsidP="00B846CE">
      <w:pPr>
        <w:pStyle w:val="Default"/>
        <w:jc w:val="both"/>
        <w:rPr>
          <w:color w:val="auto"/>
          <w:sz w:val="20"/>
          <w:szCs w:val="20"/>
        </w:rPr>
      </w:pPr>
    </w:p>
    <w:p w14:paraId="252BA5D5" w14:textId="77777777" w:rsidR="00B846CE" w:rsidRDefault="00B846CE" w:rsidP="00B846CE">
      <w:pPr>
        <w:pStyle w:val="Default"/>
        <w:jc w:val="both"/>
        <w:rPr>
          <w:color w:val="auto"/>
          <w:sz w:val="20"/>
          <w:szCs w:val="20"/>
        </w:rPr>
      </w:pPr>
    </w:p>
    <w:p w14:paraId="1685910E" w14:textId="77777777" w:rsidR="00B846CE" w:rsidRDefault="00B846CE" w:rsidP="00B846CE">
      <w:pPr>
        <w:pStyle w:val="Default"/>
        <w:jc w:val="both"/>
        <w:rPr>
          <w:color w:val="auto"/>
          <w:sz w:val="20"/>
          <w:szCs w:val="20"/>
        </w:rPr>
      </w:pPr>
    </w:p>
    <w:p w14:paraId="1D1A942A" w14:textId="77777777" w:rsidR="00B846CE" w:rsidRDefault="00B846CE" w:rsidP="00B846CE">
      <w:pPr>
        <w:pStyle w:val="Default"/>
        <w:jc w:val="both"/>
        <w:rPr>
          <w:color w:val="auto"/>
          <w:sz w:val="20"/>
          <w:szCs w:val="20"/>
        </w:rPr>
      </w:pPr>
    </w:p>
    <w:p w14:paraId="1FB2CD13" w14:textId="33BCA046" w:rsidR="00B846CE" w:rsidRDefault="00B846CE" w:rsidP="00B846CE">
      <w:pPr>
        <w:pStyle w:val="Default"/>
        <w:jc w:val="both"/>
        <w:rPr>
          <w:color w:val="auto"/>
          <w:sz w:val="20"/>
          <w:szCs w:val="20"/>
        </w:rPr>
      </w:pPr>
    </w:p>
    <w:p w14:paraId="665D6BCD" w14:textId="77777777" w:rsidR="00B537DF" w:rsidRDefault="00B537DF" w:rsidP="00B846CE">
      <w:pPr>
        <w:pStyle w:val="Default"/>
        <w:jc w:val="both"/>
        <w:rPr>
          <w:color w:val="auto"/>
          <w:sz w:val="20"/>
          <w:szCs w:val="20"/>
        </w:rPr>
      </w:pPr>
    </w:p>
    <w:p w14:paraId="29722620" w14:textId="77777777" w:rsidR="00B846CE" w:rsidRPr="00F9325C" w:rsidRDefault="00B846CE" w:rsidP="00B846CE">
      <w:pPr>
        <w:pStyle w:val="Default"/>
        <w:jc w:val="both"/>
        <w:rPr>
          <w:color w:val="auto"/>
          <w:sz w:val="20"/>
          <w:szCs w:val="20"/>
        </w:rPr>
      </w:pPr>
      <w:r w:rsidRPr="00F9325C">
        <w:rPr>
          <w:color w:val="auto"/>
          <w:sz w:val="20"/>
          <w:szCs w:val="20"/>
        </w:rPr>
        <w:t xml:space="preserve">Notes: </w:t>
      </w:r>
      <w:r>
        <w:rPr>
          <w:rFonts w:eastAsia="Times New Roman"/>
          <w:sz w:val="20"/>
          <w:szCs w:val="20"/>
          <w:vertAlign w:val="superscript"/>
        </w:rPr>
        <w:t>*</w:t>
      </w:r>
      <w:r w:rsidRPr="00F9325C">
        <w:rPr>
          <w:color w:val="auto"/>
          <w:sz w:val="20"/>
          <w:szCs w:val="20"/>
        </w:rPr>
        <w:t>Significant at the 10% level, 2</w:t>
      </w:r>
      <w:r>
        <w:rPr>
          <w:color w:val="auto"/>
          <w:sz w:val="20"/>
          <w:szCs w:val="20"/>
        </w:rPr>
        <w:t>−</w:t>
      </w:r>
      <w:r w:rsidRPr="00F9325C">
        <w:rPr>
          <w:color w:val="auto"/>
          <w:sz w:val="20"/>
          <w:szCs w:val="20"/>
        </w:rPr>
        <w:t>tailed test</w:t>
      </w:r>
    </w:p>
    <w:p w14:paraId="1B2D5366" w14:textId="77777777" w:rsidR="00B846CE" w:rsidRPr="00F9325C" w:rsidRDefault="00B846CE" w:rsidP="00B846CE">
      <w:pPr>
        <w:pStyle w:val="Default"/>
        <w:jc w:val="both"/>
        <w:rPr>
          <w:color w:val="auto"/>
          <w:sz w:val="20"/>
          <w:szCs w:val="20"/>
        </w:rPr>
      </w:pPr>
      <w:r>
        <w:rPr>
          <w:color w:val="auto"/>
          <w:sz w:val="20"/>
          <w:szCs w:val="20"/>
        </w:rPr>
        <w:t xml:space="preserve">           </w:t>
      </w:r>
      <w:r>
        <w:rPr>
          <w:rFonts w:eastAsia="Times New Roman"/>
          <w:sz w:val="20"/>
          <w:szCs w:val="20"/>
          <w:vertAlign w:val="superscript"/>
        </w:rPr>
        <w:t>**</w:t>
      </w:r>
      <w:r w:rsidRPr="00F9325C">
        <w:rPr>
          <w:color w:val="auto"/>
          <w:sz w:val="20"/>
          <w:szCs w:val="20"/>
        </w:rPr>
        <w:t>Significant at the 5% level, 2</w:t>
      </w:r>
      <w:r>
        <w:rPr>
          <w:color w:val="auto"/>
          <w:sz w:val="20"/>
          <w:szCs w:val="20"/>
        </w:rPr>
        <w:t>−</w:t>
      </w:r>
      <w:r w:rsidRPr="00F9325C">
        <w:rPr>
          <w:color w:val="auto"/>
          <w:sz w:val="20"/>
          <w:szCs w:val="20"/>
        </w:rPr>
        <w:t>tailed test</w:t>
      </w:r>
    </w:p>
    <w:p w14:paraId="34E52541" w14:textId="77777777" w:rsidR="00B846CE" w:rsidRDefault="00B846CE" w:rsidP="00B846CE">
      <w:pPr>
        <w:pStyle w:val="Default"/>
        <w:jc w:val="both"/>
        <w:rPr>
          <w:color w:val="auto"/>
          <w:sz w:val="20"/>
          <w:szCs w:val="20"/>
        </w:rPr>
      </w:pPr>
      <w:r>
        <w:rPr>
          <w:color w:val="auto"/>
          <w:sz w:val="20"/>
          <w:szCs w:val="20"/>
        </w:rPr>
        <w:t xml:space="preserve">           </w:t>
      </w:r>
      <w:r>
        <w:rPr>
          <w:rFonts w:eastAsia="Times New Roman"/>
          <w:sz w:val="20"/>
          <w:szCs w:val="20"/>
          <w:vertAlign w:val="superscript"/>
        </w:rPr>
        <w:t>***</w:t>
      </w:r>
      <w:r w:rsidRPr="00F9325C">
        <w:rPr>
          <w:color w:val="auto"/>
          <w:sz w:val="20"/>
          <w:szCs w:val="20"/>
        </w:rPr>
        <w:t xml:space="preserve">Significant at the </w:t>
      </w:r>
      <w:r w:rsidRPr="000E13FC">
        <w:rPr>
          <w:color w:val="auto"/>
          <w:sz w:val="20"/>
          <w:szCs w:val="20"/>
        </w:rPr>
        <w:t>1% level</w:t>
      </w:r>
      <w:r w:rsidRPr="00F9325C">
        <w:rPr>
          <w:color w:val="auto"/>
          <w:sz w:val="20"/>
          <w:szCs w:val="20"/>
        </w:rPr>
        <w:t>, 2</w:t>
      </w:r>
      <w:r>
        <w:rPr>
          <w:color w:val="auto"/>
          <w:sz w:val="20"/>
          <w:szCs w:val="20"/>
        </w:rPr>
        <w:t>−</w:t>
      </w:r>
      <w:r w:rsidRPr="00F9325C">
        <w:rPr>
          <w:color w:val="auto"/>
          <w:sz w:val="20"/>
          <w:szCs w:val="20"/>
        </w:rPr>
        <w:t>tailed test</w:t>
      </w:r>
    </w:p>
    <w:p w14:paraId="55D3071A" w14:textId="77777777" w:rsidR="00B846CE" w:rsidRDefault="00B846CE" w:rsidP="00B846CE">
      <w:pPr>
        <w:spacing w:after="0" w:line="240" w:lineRule="auto"/>
        <w:jc w:val="both"/>
        <w:rPr>
          <w:rFonts w:ascii="Times New Roman" w:eastAsia="Times New Roman" w:hAnsi="Times New Roman" w:cs="Times New Roman"/>
          <w:b/>
          <w:color w:val="000000"/>
          <w:sz w:val="24"/>
          <w:szCs w:val="24"/>
          <w:lang w:val="en-GB"/>
        </w:rPr>
      </w:pPr>
    </w:p>
    <w:p w14:paraId="1BC45E25" w14:textId="77777777" w:rsidR="00B846CE" w:rsidRDefault="00B846CE" w:rsidP="00B846CE">
      <w:pPr>
        <w:spacing w:after="0" w:line="240" w:lineRule="auto"/>
        <w:jc w:val="both"/>
        <w:rPr>
          <w:rFonts w:ascii="Times New Roman" w:hAnsi="Times New Roman" w:cs="Times New Roman"/>
          <w:b/>
          <w:sz w:val="24"/>
          <w:szCs w:val="24"/>
          <w:u w:val="single"/>
        </w:rPr>
      </w:pPr>
    </w:p>
    <w:p w14:paraId="575C61EB" w14:textId="77777777" w:rsidR="00B846CE" w:rsidRDefault="00B846CE" w:rsidP="00B846CE">
      <w:pPr>
        <w:spacing w:after="0" w:line="240" w:lineRule="auto"/>
        <w:jc w:val="both"/>
        <w:rPr>
          <w:rFonts w:ascii="Times New Roman" w:hAnsi="Times New Roman" w:cs="Times New Roman"/>
          <w:b/>
          <w:sz w:val="24"/>
          <w:szCs w:val="24"/>
          <w:u w:val="single"/>
        </w:rPr>
      </w:pPr>
    </w:p>
    <w:p w14:paraId="0E256238" w14:textId="77777777" w:rsidR="00B846CE" w:rsidRDefault="00B846CE" w:rsidP="00B846CE">
      <w:pPr>
        <w:spacing w:after="0" w:line="240" w:lineRule="auto"/>
        <w:jc w:val="both"/>
        <w:rPr>
          <w:rFonts w:ascii="Times New Roman" w:hAnsi="Times New Roman" w:cs="Times New Roman"/>
          <w:b/>
          <w:sz w:val="24"/>
          <w:szCs w:val="24"/>
          <w:u w:val="single"/>
        </w:rPr>
      </w:pPr>
    </w:p>
    <w:p w14:paraId="4B35BCC2" w14:textId="77777777" w:rsidR="00B846CE" w:rsidRDefault="00B846CE" w:rsidP="00B846CE">
      <w:pPr>
        <w:spacing w:after="0" w:line="240" w:lineRule="auto"/>
        <w:jc w:val="both"/>
        <w:rPr>
          <w:rFonts w:ascii="Times New Roman" w:hAnsi="Times New Roman" w:cs="Times New Roman"/>
          <w:b/>
          <w:sz w:val="24"/>
          <w:szCs w:val="24"/>
          <w:u w:val="single"/>
        </w:rPr>
      </w:pPr>
    </w:p>
    <w:p w14:paraId="67974414" w14:textId="77777777" w:rsidR="00B846CE" w:rsidRDefault="00B846CE" w:rsidP="00B846CE">
      <w:pPr>
        <w:spacing w:after="0" w:line="240" w:lineRule="auto"/>
        <w:jc w:val="both"/>
        <w:rPr>
          <w:rFonts w:ascii="Times New Roman" w:hAnsi="Times New Roman" w:cs="Times New Roman"/>
          <w:b/>
          <w:sz w:val="24"/>
          <w:szCs w:val="24"/>
          <w:u w:val="single"/>
        </w:rPr>
      </w:pPr>
    </w:p>
    <w:p w14:paraId="311B98CB" w14:textId="77777777" w:rsidR="00B846CE" w:rsidRDefault="00B846CE" w:rsidP="00B846CE">
      <w:pPr>
        <w:spacing w:after="0" w:line="240" w:lineRule="auto"/>
        <w:jc w:val="both"/>
        <w:rPr>
          <w:rFonts w:ascii="Times New Roman" w:hAnsi="Times New Roman" w:cs="Times New Roman"/>
          <w:b/>
          <w:sz w:val="24"/>
          <w:szCs w:val="24"/>
          <w:u w:val="single"/>
        </w:rPr>
      </w:pPr>
    </w:p>
    <w:p w14:paraId="0AC1824F" w14:textId="72FA00E6" w:rsidR="00B846CE" w:rsidRDefault="00B846CE" w:rsidP="00B846CE">
      <w:pPr>
        <w:spacing w:after="0" w:line="240" w:lineRule="auto"/>
        <w:jc w:val="both"/>
        <w:rPr>
          <w:rFonts w:ascii="Times New Roman" w:hAnsi="Times New Roman" w:cs="Times New Roman"/>
          <w:b/>
          <w:sz w:val="24"/>
          <w:szCs w:val="24"/>
          <w:u w:val="single"/>
        </w:rPr>
      </w:pPr>
    </w:p>
    <w:p w14:paraId="7C017C66" w14:textId="77777777" w:rsidR="000B3CE3" w:rsidRDefault="000B3CE3" w:rsidP="00B846CE">
      <w:pPr>
        <w:spacing w:after="0" w:line="240" w:lineRule="auto"/>
        <w:jc w:val="both"/>
        <w:rPr>
          <w:rFonts w:ascii="Times New Roman" w:hAnsi="Times New Roman" w:cs="Times New Roman"/>
          <w:b/>
          <w:sz w:val="24"/>
          <w:szCs w:val="24"/>
          <w:u w:val="single"/>
        </w:rPr>
      </w:pPr>
    </w:p>
    <w:p w14:paraId="3CB0CD04" w14:textId="56B7A222" w:rsidR="00B846CE" w:rsidRDefault="00B846CE" w:rsidP="00B846CE">
      <w:pPr>
        <w:spacing w:after="0" w:line="240" w:lineRule="auto"/>
        <w:jc w:val="both"/>
        <w:rPr>
          <w:rFonts w:ascii="Times New Roman" w:hAnsi="Times New Roman" w:cs="Times New Roman"/>
          <w:b/>
          <w:sz w:val="24"/>
          <w:szCs w:val="24"/>
          <w:u w:val="single"/>
        </w:rPr>
      </w:pPr>
    </w:p>
    <w:p w14:paraId="71283067" w14:textId="77777777" w:rsidR="00B846CE" w:rsidRPr="00EA0ED2" w:rsidRDefault="00B846CE" w:rsidP="00B846CE">
      <w:pPr>
        <w:spacing w:after="0" w:line="240" w:lineRule="auto"/>
        <w:jc w:val="both"/>
        <w:rPr>
          <w:rFonts w:ascii="Times New Roman" w:hAnsi="Times New Roman" w:cs="Times New Roman"/>
          <w:b/>
          <w:sz w:val="24"/>
          <w:szCs w:val="24"/>
          <w:u w:val="single"/>
        </w:rPr>
      </w:pPr>
      <w:r w:rsidRPr="00EA0ED2">
        <w:rPr>
          <w:rFonts w:ascii="Times New Roman" w:hAnsi="Times New Roman" w:cs="Times New Roman"/>
          <w:b/>
          <w:sz w:val="24"/>
          <w:szCs w:val="24"/>
          <w:u w:val="single"/>
        </w:rPr>
        <w:t>Table 5</w:t>
      </w:r>
    </w:p>
    <w:p w14:paraId="2DD5D7FB" w14:textId="7E1D5B4C" w:rsidR="00B846CE" w:rsidRDefault="00B846CE" w:rsidP="00A67605">
      <w:pPr>
        <w:spacing w:after="0" w:line="240" w:lineRule="auto"/>
        <w:jc w:val="both"/>
        <w:rPr>
          <w:rFonts w:ascii="Times New Roman" w:eastAsia="Times New Roman" w:hAnsi="Times New Roman" w:cs="Times New Roman"/>
          <w:b/>
          <w:color w:val="000000"/>
          <w:sz w:val="24"/>
          <w:szCs w:val="24"/>
        </w:rPr>
      </w:pPr>
      <w:r w:rsidRPr="006D7589">
        <w:rPr>
          <w:rFonts w:ascii="Times New Roman" w:eastAsia="Times New Roman" w:hAnsi="Times New Roman" w:cs="Times New Roman"/>
          <w:b/>
          <w:color w:val="000000"/>
          <w:sz w:val="24"/>
          <w:szCs w:val="24"/>
        </w:rPr>
        <w:t xml:space="preserve">Average Abnormal Returns </w:t>
      </w:r>
      <w:r>
        <w:rPr>
          <w:rFonts w:ascii="Times New Roman" w:eastAsia="Times New Roman" w:hAnsi="Times New Roman" w:cs="Times New Roman"/>
          <w:b/>
          <w:color w:val="000000"/>
          <w:sz w:val="24"/>
          <w:szCs w:val="24"/>
        </w:rPr>
        <w:t>for</w:t>
      </w:r>
      <w:r w:rsidRPr="006D7589">
        <w:rPr>
          <w:rFonts w:ascii="Times New Roman" w:eastAsia="Times New Roman" w:hAnsi="Times New Roman" w:cs="Times New Roman"/>
          <w:b/>
          <w:color w:val="000000"/>
          <w:sz w:val="24"/>
          <w:szCs w:val="24"/>
        </w:rPr>
        <w:t xml:space="preserve"> new sell coverage</w:t>
      </w:r>
      <w:r>
        <w:rPr>
          <w:rFonts w:ascii="Times New Roman" w:eastAsia="Times New Roman" w:hAnsi="Times New Roman" w:cs="Times New Roman"/>
          <w:b/>
          <w:color w:val="000000"/>
          <w:sz w:val="24"/>
          <w:szCs w:val="24"/>
        </w:rPr>
        <w:t xml:space="preserve"> initiations</w:t>
      </w:r>
      <w:r w:rsidRPr="006D7589">
        <w:rPr>
          <w:rFonts w:ascii="Times New Roman" w:eastAsia="Times New Roman" w:hAnsi="Times New Roman" w:cs="Times New Roman"/>
          <w:b/>
          <w:color w:val="000000"/>
          <w:sz w:val="24"/>
          <w:szCs w:val="24"/>
        </w:rPr>
        <w:t xml:space="preserve"> surrounding the day of</w:t>
      </w:r>
      <w:r w:rsidR="00A67605">
        <w:rPr>
          <w:rFonts w:ascii="Times New Roman" w:eastAsia="Times New Roman" w:hAnsi="Times New Roman" w:cs="Times New Roman"/>
          <w:b/>
          <w:color w:val="000000"/>
          <w:sz w:val="24"/>
          <w:szCs w:val="24"/>
        </w:rPr>
        <w:t xml:space="preserve"> </w:t>
      </w:r>
      <w:r w:rsidRPr="006D7589">
        <w:rPr>
          <w:rFonts w:ascii="Times New Roman" w:eastAsia="Times New Roman" w:hAnsi="Times New Roman" w:cs="Times New Roman"/>
          <w:b/>
          <w:color w:val="000000"/>
          <w:sz w:val="24"/>
          <w:szCs w:val="24"/>
        </w:rPr>
        <w:t>release</w:t>
      </w:r>
      <w:r>
        <w:rPr>
          <w:rFonts w:ascii="Times New Roman" w:eastAsia="Times New Roman" w:hAnsi="Times New Roman" w:cs="Times New Roman"/>
          <w:b/>
          <w:color w:val="000000"/>
          <w:sz w:val="24"/>
          <w:szCs w:val="24"/>
        </w:rPr>
        <w:t>. Data window runs</w:t>
      </w:r>
      <w:r w:rsidRPr="006D7589">
        <w:rPr>
          <w:rFonts w:ascii="Times New Roman" w:eastAsia="Times New Roman" w:hAnsi="Times New Roman" w:cs="Times New Roman"/>
          <w:b/>
          <w:color w:val="000000"/>
          <w:sz w:val="24"/>
          <w:szCs w:val="24"/>
        </w:rPr>
        <w:t xml:space="preserve"> from </w:t>
      </w:r>
      <w:r>
        <w:rPr>
          <w:rFonts w:ascii="Times New Roman" w:eastAsia="Times New Roman" w:hAnsi="Times New Roman" w:cs="Times New Roman"/>
          <w:b/>
          <w:color w:val="000000"/>
          <w:sz w:val="24"/>
          <w:szCs w:val="24"/>
        </w:rPr>
        <w:t xml:space="preserve">January </w:t>
      </w:r>
      <w:r w:rsidR="00B537DF">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 xml:space="preserve">2009 to May </w:t>
      </w:r>
      <w:r w:rsidR="00B537DF">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2014</w:t>
      </w:r>
      <w:r w:rsidRPr="001911BA">
        <w:rPr>
          <w:rFonts w:ascii="Times New Roman" w:eastAsia="Times New Roman" w:hAnsi="Times New Roman" w:cs="Times New Roman"/>
          <w:b/>
          <w:color w:val="000000"/>
          <w:sz w:val="24"/>
          <w:szCs w:val="24"/>
        </w:rPr>
        <w:t xml:space="preserve"> (Based on 100 days estimation period)</w:t>
      </w:r>
    </w:p>
    <w:p w14:paraId="7FCB75B2" w14:textId="77777777" w:rsidR="00B846CE" w:rsidRDefault="00B846CE" w:rsidP="00B846CE">
      <w:pPr>
        <w:spacing w:after="0" w:line="240" w:lineRule="auto"/>
        <w:rPr>
          <w:rFonts w:ascii="Times New Roman" w:eastAsia="Times New Roman" w:hAnsi="Times New Roman" w:cs="Times New Roman"/>
          <w:b/>
          <w:color w:val="000000"/>
          <w:sz w:val="24"/>
          <w:szCs w:val="24"/>
        </w:rPr>
      </w:pPr>
    </w:p>
    <w:tbl>
      <w:tblPr>
        <w:tblpPr w:leftFromText="180" w:rightFromText="180" w:vertAnchor="text" w:horzAnchor="margin" w:tblpXSpec="center" w:tblpY="306"/>
        <w:tblW w:w="4663" w:type="dxa"/>
        <w:tblLook w:val="04A0" w:firstRow="1" w:lastRow="0" w:firstColumn="1" w:lastColumn="0" w:noHBand="0" w:noVBand="1"/>
      </w:tblPr>
      <w:tblGrid>
        <w:gridCol w:w="836"/>
        <w:gridCol w:w="1589"/>
        <w:gridCol w:w="2238"/>
      </w:tblGrid>
      <w:tr w:rsidR="00B846CE" w:rsidRPr="00A50211" w14:paraId="75D37072" w14:textId="77777777" w:rsidTr="00A33AA6">
        <w:trPr>
          <w:trHeight w:val="470"/>
        </w:trPr>
        <w:tc>
          <w:tcPr>
            <w:tcW w:w="836" w:type="dxa"/>
            <w:tcBorders>
              <w:top w:val="nil"/>
              <w:left w:val="nil"/>
              <w:bottom w:val="single" w:sz="4" w:space="0" w:color="auto"/>
              <w:right w:val="nil"/>
            </w:tcBorders>
            <w:shd w:val="clear" w:color="auto" w:fill="auto"/>
            <w:noWrap/>
            <w:vAlign w:val="bottom"/>
            <w:hideMark/>
          </w:tcPr>
          <w:p w14:paraId="3B6F32BD" w14:textId="77777777" w:rsidR="00B846CE" w:rsidRPr="00A50211" w:rsidRDefault="00B846CE" w:rsidP="00A33AA6">
            <w:pPr>
              <w:spacing w:after="0" w:line="240" w:lineRule="auto"/>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Event Day</w:t>
            </w:r>
          </w:p>
        </w:tc>
        <w:tc>
          <w:tcPr>
            <w:tcW w:w="1589" w:type="dxa"/>
            <w:tcBorders>
              <w:top w:val="nil"/>
              <w:left w:val="nil"/>
              <w:bottom w:val="single" w:sz="4" w:space="0" w:color="auto"/>
              <w:right w:val="nil"/>
            </w:tcBorders>
            <w:shd w:val="clear" w:color="auto" w:fill="auto"/>
            <w:noWrap/>
            <w:vAlign w:val="bottom"/>
            <w:hideMark/>
          </w:tcPr>
          <w:p w14:paraId="33FA46EA" w14:textId="77777777" w:rsidR="00B846CE"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Average </w:t>
            </w:r>
            <w:r w:rsidRPr="00D62591">
              <w:rPr>
                <w:rFonts w:ascii="Times New Roman" w:eastAsia="Times New Roman" w:hAnsi="Times New Roman" w:cs="Times New Roman"/>
                <w:color w:val="000000"/>
                <w:sz w:val="24"/>
                <w:szCs w:val="24"/>
              </w:rPr>
              <w:t xml:space="preserve">AR </w:t>
            </w:r>
          </w:p>
          <w:p w14:paraId="237F5913" w14:textId="77777777" w:rsidR="00B846CE" w:rsidRPr="00A50211" w:rsidRDefault="00B846CE" w:rsidP="00A33AA6">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62591">
              <w:rPr>
                <w:rFonts w:ascii="Times New Roman" w:eastAsia="Times New Roman" w:hAnsi="Times New Roman" w:cs="Times New Roman"/>
                <w:color w:val="000000"/>
                <w:sz w:val="24"/>
                <w:szCs w:val="24"/>
              </w:rPr>
              <w:t>(%)</w:t>
            </w:r>
          </w:p>
        </w:tc>
        <w:tc>
          <w:tcPr>
            <w:tcW w:w="2238" w:type="dxa"/>
            <w:tcBorders>
              <w:top w:val="nil"/>
              <w:left w:val="nil"/>
              <w:bottom w:val="single" w:sz="4" w:space="0" w:color="auto"/>
              <w:right w:val="nil"/>
            </w:tcBorders>
            <w:shd w:val="clear" w:color="auto" w:fill="auto"/>
            <w:noWrap/>
            <w:vAlign w:val="bottom"/>
            <w:hideMark/>
          </w:tcPr>
          <w:p w14:paraId="6788EE1D" w14:textId="77777777" w:rsidR="00B846CE" w:rsidRPr="00A50211" w:rsidRDefault="00B846CE" w:rsidP="00A33AA6">
            <w:pPr>
              <w:spacing w:after="0" w:line="240" w:lineRule="auto"/>
              <w:ind w:right="194"/>
              <w:jc w:val="both"/>
              <w:rPr>
                <w:rFonts w:ascii="Times New Roman" w:eastAsia="Times New Roman" w:hAnsi="Times New Roman" w:cs="Times New Roman"/>
                <w:color w:val="000000"/>
                <w:sz w:val="24"/>
                <w:szCs w:val="24"/>
              </w:rPr>
            </w:pPr>
            <w:r w:rsidRPr="00A8565D">
              <w:rPr>
                <w:rFonts w:ascii="Times New Roman" w:eastAsia="Times New Roman" w:hAnsi="Times New Roman" w:cs="Times New Roman"/>
                <w:i/>
                <w:iCs/>
                <w:color w:val="000000"/>
                <w:sz w:val="24"/>
                <w:szCs w:val="24"/>
              </w:rPr>
              <w:t>t</w:t>
            </w:r>
            <w:r w:rsidRPr="00A50211">
              <w:rPr>
                <w:rFonts w:ascii="Times New Roman" w:eastAsia="Times New Roman" w:hAnsi="Times New Roman" w:cs="Times New Roman"/>
                <w:color w:val="000000"/>
                <w:sz w:val="24"/>
                <w:szCs w:val="24"/>
              </w:rPr>
              <w:t>−statistics for</w:t>
            </w:r>
          </w:p>
          <w:p w14:paraId="0B23C1EE" w14:textId="41F42A70" w:rsidR="00B846CE" w:rsidRPr="00A50211" w:rsidRDefault="00B846CE" w:rsidP="00A33AA6">
            <w:pPr>
              <w:spacing w:after="0" w:line="240" w:lineRule="auto"/>
              <w:ind w:right="194"/>
              <w:jc w:val="both"/>
              <w:rPr>
                <w:rFonts w:ascii="Times New Roman" w:eastAsia="Times New Roman" w:hAnsi="Times New Roman" w:cs="Times New Roman"/>
                <w:color w:val="000000"/>
                <w:sz w:val="24"/>
                <w:szCs w:val="24"/>
              </w:rPr>
            </w:pPr>
            <w:r w:rsidRPr="00A50211">
              <w:rPr>
                <w:rFonts w:ascii="Times New Roman" w:eastAsia="Times New Roman" w:hAnsi="Times New Roman" w:cs="Times New Roman"/>
                <w:color w:val="000000"/>
                <w:sz w:val="24"/>
                <w:szCs w:val="24"/>
              </w:rPr>
              <w:t>Average AR</w:t>
            </w:r>
          </w:p>
        </w:tc>
      </w:tr>
      <w:tr w:rsidR="00B846CE" w:rsidRPr="00A50211" w14:paraId="7B0948C1" w14:textId="77777777" w:rsidTr="00A33AA6">
        <w:trPr>
          <w:trHeight w:val="470"/>
        </w:trPr>
        <w:tc>
          <w:tcPr>
            <w:tcW w:w="836" w:type="dxa"/>
            <w:tcBorders>
              <w:top w:val="nil"/>
              <w:left w:val="nil"/>
              <w:bottom w:val="nil"/>
              <w:right w:val="nil"/>
            </w:tcBorders>
            <w:shd w:val="clear" w:color="auto" w:fill="auto"/>
            <w:noWrap/>
            <w:vAlign w:val="bottom"/>
            <w:hideMark/>
          </w:tcPr>
          <w:p w14:paraId="4B8DACF7"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−5</w:t>
            </w:r>
          </w:p>
        </w:tc>
        <w:tc>
          <w:tcPr>
            <w:tcW w:w="1589" w:type="dxa"/>
            <w:tcBorders>
              <w:top w:val="nil"/>
              <w:left w:val="nil"/>
              <w:bottom w:val="nil"/>
              <w:right w:val="nil"/>
            </w:tcBorders>
            <w:shd w:val="clear" w:color="auto" w:fill="auto"/>
            <w:noWrap/>
            <w:vAlign w:val="bottom"/>
            <w:hideMark/>
          </w:tcPr>
          <w:p w14:paraId="15315AC5"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0.224</w:t>
            </w:r>
          </w:p>
        </w:tc>
        <w:tc>
          <w:tcPr>
            <w:tcW w:w="2238" w:type="dxa"/>
            <w:tcBorders>
              <w:top w:val="nil"/>
              <w:left w:val="nil"/>
              <w:bottom w:val="nil"/>
              <w:right w:val="nil"/>
            </w:tcBorders>
            <w:shd w:val="clear" w:color="auto" w:fill="auto"/>
            <w:noWrap/>
            <w:vAlign w:val="bottom"/>
            <w:hideMark/>
          </w:tcPr>
          <w:p w14:paraId="217405A5"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0.784</w:t>
            </w:r>
          </w:p>
        </w:tc>
      </w:tr>
      <w:tr w:rsidR="00B846CE" w:rsidRPr="00A50211" w14:paraId="689169F9" w14:textId="77777777" w:rsidTr="00A33AA6">
        <w:trPr>
          <w:trHeight w:val="470"/>
        </w:trPr>
        <w:tc>
          <w:tcPr>
            <w:tcW w:w="836" w:type="dxa"/>
            <w:tcBorders>
              <w:top w:val="nil"/>
              <w:left w:val="nil"/>
              <w:bottom w:val="nil"/>
              <w:right w:val="nil"/>
            </w:tcBorders>
            <w:shd w:val="clear" w:color="auto" w:fill="auto"/>
            <w:noWrap/>
            <w:vAlign w:val="bottom"/>
            <w:hideMark/>
          </w:tcPr>
          <w:p w14:paraId="2E390EB3"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−4</w:t>
            </w:r>
          </w:p>
        </w:tc>
        <w:tc>
          <w:tcPr>
            <w:tcW w:w="1589" w:type="dxa"/>
            <w:tcBorders>
              <w:top w:val="nil"/>
              <w:left w:val="nil"/>
              <w:bottom w:val="nil"/>
              <w:right w:val="nil"/>
            </w:tcBorders>
            <w:shd w:val="clear" w:color="auto" w:fill="auto"/>
            <w:noWrap/>
            <w:vAlign w:val="bottom"/>
            <w:hideMark/>
          </w:tcPr>
          <w:p w14:paraId="5DF5A2CC"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0.161</w:t>
            </w:r>
          </w:p>
        </w:tc>
        <w:tc>
          <w:tcPr>
            <w:tcW w:w="2238" w:type="dxa"/>
            <w:tcBorders>
              <w:top w:val="nil"/>
              <w:left w:val="nil"/>
              <w:bottom w:val="nil"/>
              <w:right w:val="nil"/>
            </w:tcBorders>
            <w:shd w:val="clear" w:color="auto" w:fill="auto"/>
            <w:noWrap/>
            <w:vAlign w:val="bottom"/>
            <w:hideMark/>
          </w:tcPr>
          <w:p w14:paraId="337347AC"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0.016</w:t>
            </w:r>
          </w:p>
        </w:tc>
      </w:tr>
      <w:tr w:rsidR="00B846CE" w:rsidRPr="00A50211" w14:paraId="65CC2DD1" w14:textId="77777777" w:rsidTr="00A33AA6">
        <w:trPr>
          <w:trHeight w:val="470"/>
        </w:trPr>
        <w:tc>
          <w:tcPr>
            <w:tcW w:w="836" w:type="dxa"/>
            <w:tcBorders>
              <w:top w:val="nil"/>
              <w:left w:val="nil"/>
              <w:bottom w:val="nil"/>
              <w:right w:val="nil"/>
            </w:tcBorders>
            <w:shd w:val="clear" w:color="auto" w:fill="auto"/>
            <w:noWrap/>
            <w:vAlign w:val="bottom"/>
            <w:hideMark/>
          </w:tcPr>
          <w:p w14:paraId="2D9B6327"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−3</w:t>
            </w:r>
          </w:p>
        </w:tc>
        <w:tc>
          <w:tcPr>
            <w:tcW w:w="1589" w:type="dxa"/>
            <w:tcBorders>
              <w:top w:val="nil"/>
              <w:left w:val="nil"/>
              <w:bottom w:val="nil"/>
              <w:right w:val="nil"/>
            </w:tcBorders>
            <w:shd w:val="clear" w:color="auto" w:fill="auto"/>
            <w:noWrap/>
            <w:vAlign w:val="bottom"/>
            <w:hideMark/>
          </w:tcPr>
          <w:p w14:paraId="3D37A603"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0.264</w:t>
            </w:r>
          </w:p>
        </w:tc>
        <w:tc>
          <w:tcPr>
            <w:tcW w:w="2238" w:type="dxa"/>
            <w:tcBorders>
              <w:top w:val="nil"/>
              <w:left w:val="nil"/>
              <w:bottom w:val="nil"/>
              <w:right w:val="nil"/>
            </w:tcBorders>
            <w:shd w:val="clear" w:color="auto" w:fill="auto"/>
            <w:noWrap/>
            <w:vAlign w:val="bottom"/>
            <w:hideMark/>
          </w:tcPr>
          <w:p w14:paraId="1AE88893"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0.788</w:t>
            </w:r>
          </w:p>
        </w:tc>
      </w:tr>
      <w:tr w:rsidR="00B846CE" w:rsidRPr="00A50211" w14:paraId="0A602344" w14:textId="77777777" w:rsidTr="00A33AA6">
        <w:trPr>
          <w:trHeight w:val="470"/>
        </w:trPr>
        <w:tc>
          <w:tcPr>
            <w:tcW w:w="836" w:type="dxa"/>
            <w:tcBorders>
              <w:top w:val="nil"/>
              <w:left w:val="nil"/>
              <w:bottom w:val="nil"/>
              <w:right w:val="nil"/>
            </w:tcBorders>
            <w:shd w:val="clear" w:color="auto" w:fill="auto"/>
            <w:noWrap/>
            <w:vAlign w:val="bottom"/>
            <w:hideMark/>
          </w:tcPr>
          <w:p w14:paraId="65069087"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−2</w:t>
            </w:r>
          </w:p>
        </w:tc>
        <w:tc>
          <w:tcPr>
            <w:tcW w:w="1589" w:type="dxa"/>
            <w:tcBorders>
              <w:top w:val="nil"/>
              <w:left w:val="nil"/>
              <w:bottom w:val="nil"/>
              <w:right w:val="nil"/>
            </w:tcBorders>
            <w:shd w:val="clear" w:color="auto" w:fill="auto"/>
            <w:noWrap/>
            <w:vAlign w:val="bottom"/>
            <w:hideMark/>
          </w:tcPr>
          <w:p w14:paraId="47E37092"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0.133</w:t>
            </w:r>
          </w:p>
        </w:tc>
        <w:tc>
          <w:tcPr>
            <w:tcW w:w="2238" w:type="dxa"/>
            <w:tcBorders>
              <w:top w:val="nil"/>
              <w:left w:val="nil"/>
              <w:bottom w:val="nil"/>
              <w:right w:val="nil"/>
            </w:tcBorders>
            <w:shd w:val="clear" w:color="auto" w:fill="auto"/>
            <w:noWrap/>
            <w:vAlign w:val="bottom"/>
            <w:hideMark/>
          </w:tcPr>
          <w:p w14:paraId="7B626F98"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−0.592</w:t>
            </w:r>
          </w:p>
        </w:tc>
      </w:tr>
      <w:tr w:rsidR="00B846CE" w:rsidRPr="00A50211" w14:paraId="785AEA9C" w14:textId="77777777" w:rsidTr="00A33AA6">
        <w:trPr>
          <w:trHeight w:val="470"/>
        </w:trPr>
        <w:tc>
          <w:tcPr>
            <w:tcW w:w="836" w:type="dxa"/>
            <w:tcBorders>
              <w:top w:val="nil"/>
              <w:left w:val="nil"/>
              <w:bottom w:val="nil"/>
              <w:right w:val="nil"/>
            </w:tcBorders>
            <w:shd w:val="clear" w:color="auto" w:fill="auto"/>
            <w:noWrap/>
            <w:vAlign w:val="bottom"/>
            <w:hideMark/>
          </w:tcPr>
          <w:p w14:paraId="2535A3B9"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−1</w:t>
            </w:r>
          </w:p>
        </w:tc>
        <w:tc>
          <w:tcPr>
            <w:tcW w:w="1589" w:type="dxa"/>
            <w:tcBorders>
              <w:top w:val="nil"/>
              <w:left w:val="nil"/>
              <w:bottom w:val="nil"/>
              <w:right w:val="nil"/>
            </w:tcBorders>
            <w:shd w:val="clear" w:color="auto" w:fill="auto"/>
            <w:noWrap/>
            <w:vAlign w:val="bottom"/>
            <w:hideMark/>
          </w:tcPr>
          <w:p w14:paraId="15D6B6A4"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−0.104</w:t>
            </w:r>
          </w:p>
        </w:tc>
        <w:tc>
          <w:tcPr>
            <w:tcW w:w="2238" w:type="dxa"/>
            <w:tcBorders>
              <w:top w:val="nil"/>
              <w:left w:val="nil"/>
              <w:bottom w:val="nil"/>
              <w:right w:val="nil"/>
            </w:tcBorders>
            <w:shd w:val="clear" w:color="auto" w:fill="auto"/>
            <w:noWrap/>
            <w:vAlign w:val="bottom"/>
            <w:hideMark/>
          </w:tcPr>
          <w:p w14:paraId="69298186"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−0.724</w:t>
            </w:r>
          </w:p>
        </w:tc>
      </w:tr>
      <w:tr w:rsidR="00B846CE" w:rsidRPr="00A50211" w14:paraId="427A854E" w14:textId="77777777" w:rsidTr="00A33AA6">
        <w:trPr>
          <w:trHeight w:val="470"/>
        </w:trPr>
        <w:tc>
          <w:tcPr>
            <w:tcW w:w="836" w:type="dxa"/>
            <w:tcBorders>
              <w:top w:val="nil"/>
              <w:left w:val="nil"/>
              <w:bottom w:val="nil"/>
              <w:right w:val="nil"/>
            </w:tcBorders>
            <w:shd w:val="clear" w:color="auto" w:fill="auto"/>
            <w:noWrap/>
            <w:vAlign w:val="bottom"/>
            <w:hideMark/>
          </w:tcPr>
          <w:p w14:paraId="52E76951"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1EAB">
              <w:rPr>
                <w:rFonts w:ascii="Times New Roman" w:eastAsia="Times New Roman" w:hAnsi="Times New Roman" w:cs="Times New Roman"/>
                <w:color w:val="000000"/>
                <w:sz w:val="24"/>
                <w:szCs w:val="24"/>
              </w:rPr>
              <w:t>0</w:t>
            </w:r>
          </w:p>
        </w:tc>
        <w:tc>
          <w:tcPr>
            <w:tcW w:w="1589" w:type="dxa"/>
            <w:tcBorders>
              <w:top w:val="nil"/>
              <w:left w:val="nil"/>
              <w:bottom w:val="nil"/>
              <w:right w:val="nil"/>
            </w:tcBorders>
            <w:shd w:val="clear" w:color="auto" w:fill="auto"/>
            <w:noWrap/>
            <w:vAlign w:val="bottom"/>
            <w:hideMark/>
          </w:tcPr>
          <w:p w14:paraId="12C03201"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−0.198</w:t>
            </w:r>
          </w:p>
        </w:tc>
        <w:tc>
          <w:tcPr>
            <w:tcW w:w="2238" w:type="dxa"/>
            <w:tcBorders>
              <w:top w:val="nil"/>
              <w:left w:val="nil"/>
              <w:bottom w:val="nil"/>
              <w:right w:val="nil"/>
            </w:tcBorders>
            <w:shd w:val="clear" w:color="auto" w:fill="auto"/>
            <w:noWrap/>
            <w:vAlign w:val="bottom"/>
            <w:hideMark/>
          </w:tcPr>
          <w:p w14:paraId="724B0137"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−0.464</w:t>
            </w:r>
          </w:p>
        </w:tc>
      </w:tr>
      <w:tr w:rsidR="00B846CE" w:rsidRPr="00A50211" w14:paraId="14195158" w14:textId="77777777" w:rsidTr="00A33AA6">
        <w:trPr>
          <w:trHeight w:val="470"/>
        </w:trPr>
        <w:tc>
          <w:tcPr>
            <w:tcW w:w="836" w:type="dxa"/>
            <w:tcBorders>
              <w:top w:val="nil"/>
              <w:left w:val="nil"/>
              <w:bottom w:val="nil"/>
              <w:right w:val="nil"/>
            </w:tcBorders>
            <w:shd w:val="clear" w:color="auto" w:fill="auto"/>
            <w:noWrap/>
            <w:vAlign w:val="bottom"/>
            <w:hideMark/>
          </w:tcPr>
          <w:p w14:paraId="7158D195"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1EAB">
              <w:rPr>
                <w:rFonts w:ascii="Times New Roman" w:eastAsia="Times New Roman" w:hAnsi="Times New Roman" w:cs="Times New Roman"/>
                <w:color w:val="000000"/>
                <w:sz w:val="24"/>
                <w:szCs w:val="24"/>
              </w:rPr>
              <w:t>1</w:t>
            </w:r>
          </w:p>
        </w:tc>
        <w:tc>
          <w:tcPr>
            <w:tcW w:w="1589" w:type="dxa"/>
            <w:tcBorders>
              <w:top w:val="nil"/>
              <w:left w:val="nil"/>
              <w:bottom w:val="nil"/>
              <w:right w:val="nil"/>
            </w:tcBorders>
            <w:shd w:val="clear" w:color="auto" w:fill="auto"/>
            <w:noWrap/>
            <w:vAlign w:val="bottom"/>
            <w:hideMark/>
          </w:tcPr>
          <w:p w14:paraId="776D2F92"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−0.304</w:t>
            </w:r>
          </w:p>
        </w:tc>
        <w:tc>
          <w:tcPr>
            <w:tcW w:w="2238" w:type="dxa"/>
            <w:tcBorders>
              <w:top w:val="nil"/>
              <w:left w:val="nil"/>
              <w:bottom w:val="nil"/>
              <w:right w:val="nil"/>
            </w:tcBorders>
            <w:shd w:val="clear" w:color="auto" w:fill="auto"/>
            <w:noWrap/>
            <w:vAlign w:val="bottom"/>
            <w:hideMark/>
          </w:tcPr>
          <w:p w14:paraId="32C6EA5A"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−1.739</w:t>
            </w:r>
            <w:r w:rsidRPr="00FC1EAB">
              <w:rPr>
                <w:rFonts w:ascii="Times New Roman" w:eastAsia="Times New Roman" w:hAnsi="Times New Roman" w:cs="Times New Roman"/>
                <w:color w:val="000000"/>
                <w:sz w:val="24"/>
                <w:szCs w:val="24"/>
                <w:vertAlign w:val="superscript"/>
              </w:rPr>
              <w:t>*</w:t>
            </w:r>
          </w:p>
        </w:tc>
      </w:tr>
      <w:tr w:rsidR="00B846CE" w:rsidRPr="00A50211" w14:paraId="6CF3F21F" w14:textId="77777777" w:rsidTr="00A33AA6">
        <w:trPr>
          <w:trHeight w:val="470"/>
        </w:trPr>
        <w:tc>
          <w:tcPr>
            <w:tcW w:w="836" w:type="dxa"/>
            <w:tcBorders>
              <w:top w:val="nil"/>
              <w:left w:val="nil"/>
              <w:bottom w:val="nil"/>
              <w:right w:val="nil"/>
            </w:tcBorders>
            <w:shd w:val="clear" w:color="auto" w:fill="auto"/>
            <w:noWrap/>
            <w:vAlign w:val="bottom"/>
            <w:hideMark/>
          </w:tcPr>
          <w:p w14:paraId="2A525DDC"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1EAB">
              <w:rPr>
                <w:rFonts w:ascii="Times New Roman" w:eastAsia="Times New Roman" w:hAnsi="Times New Roman" w:cs="Times New Roman"/>
                <w:color w:val="000000"/>
                <w:sz w:val="24"/>
                <w:szCs w:val="24"/>
              </w:rPr>
              <w:t>2</w:t>
            </w:r>
          </w:p>
        </w:tc>
        <w:tc>
          <w:tcPr>
            <w:tcW w:w="1589" w:type="dxa"/>
            <w:tcBorders>
              <w:top w:val="nil"/>
              <w:left w:val="nil"/>
              <w:bottom w:val="nil"/>
              <w:right w:val="nil"/>
            </w:tcBorders>
            <w:shd w:val="clear" w:color="auto" w:fill="auto"/>
            <w:noWrap/>
            <w:vAlign w:val="bottom"/>
            <w:hideMark/>
          </w:tcPr>
          <w:p w14:paraId="34E77FF0"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−0.293</w:t>
            </w:r>
          </w:p>
        </w:tc>
        <w:tc>
          <w:tcPr>
            <w:tcW w:w="2238" w:type="dxa"/>
            <w:tcBorders>
              <w:top w:val="nil"/>
              <w:left w:val="nil"/>
              <w:bottom w:val="nil"/>
              <w:right w:val="nil"/>
            </w:tcBorders>
            <w:shd w:val="clear" w:color="auto" w:fill="auto"/>
            <w:noWrap/>
            <w:vAlign w:val="bottom"/>
            <w:hideMark/>
          </w:tcPr>
          <w:p w14:paraId="3023EAD0"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−0.808</w:t>
            </w:r>
          </w:p>
        </w:tc>
      </w:tr>
      <w:tr w:rsidR="00B846CE" w:rsidRPr="00A50211" w14:paraId="0D06B1C7" w14:textId="77777777" w:rsidTr="00A33AA6">
        <w:trPr>
          <w:trHeight w:val="470"/>
        </w:trPr>
        <w:tc>
          <w:tcPr>
            <w:tcW w:w="836" w:type="dxa"/>
            <w:tcBorders>
              <w:top w:val="nil"/>
              <w:left w:val="nil"/>
              <w:bottom w:val="nil"/>
              <w:right w:val="nil"/>
            </w:tcBorders>
            <w:shd w:val="clear" w:color="auto" w:fill="auto"/>
            <w:noWrap/>
            <w:vAlign w:val="bottom"/>
            <w:hideMark/>
          </w:tcPr>
          <w:p w14:paraId="659C70D1"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1EAB">
              <w:rPr>
                <w:rFonts w:ascii="Times New Roman" w:eastAsia="Times New Roman" w:hAnsi="Times New Roman" w:cs="Times New Roman"/>
                <w:color w:val="000000"/>
                <w:sz w:val="24"/>
                <w:szCs w:val="24"/>
              </w:rPr>
              <w:t>3</w:t>
            </w:r>
          </w:p>
        </w:tc>
        <w:tc>
          <w:tcPr>
            <w:tcW w:w="1589" w:type="dxa"/>
            <w:tcBorders>
              <w:top w:val="nil"/>
              <w:left w:val="nil"/>
              <w:bottom w:val="nil"/>
              <w:right w:val="nil"/>
            </w:tcBorders>
            <w:shd w:val="clear" w:color="auto" w:fill="auto"/>
            <w:noWrap/>
            <w:vAlign w:val="bottom"/>
            <w:hideMark/>
          </w:tcPr>
          <w:p w14:paraId="3DA0EEF2"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−0.010</w:t>
            </w:r>
          </w:p>
        </w:tc>
        <w:tc>
          <w:tcPr>
            <w:tcW w:w="2238" w:type="dxa"/>
            <w:tcBorders>
              <w:top w:val="nil"/>
              <w:left w:val="nil"/>
              <w:bottom w:val="nil"/>
              <w:right w:val="nil"/>
            </w:tcBorders>
            <w:shd w:val="clear" w:color="auto" w:fill="auto"/>
            <w:noWrap/>
            <w:vAlign w:val="bottom"/>
            <w:hideMark/>
          </w:tcPr>
          <w:p w14:paraId="61FB9EC4"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−0.489</w:t>
            </w:r>
          </w:p>
        </w:tc>
      </w:tr>
      <w:tr w:rsidR="00B846CE" w:rsidRPr="00A50211" w14:paraId="54ABE5ED" w14:textId="77777777" w:rsidTr="00A33AA6">
        <w:trPr>
          <w:trHeight w:val="470"/>
        </w:trPr>
        <w:tc>
          <w:tcPr>
            <w:tcW w:w="836" w:type="dxa"/>
            <w:tcBorders>
              <w:top w:val="nil"/>
              <w:left w:val="nil"/>
              <w:bottom w:val="nil"/>
              <w:right w:val="nil"/>
            </w:tcBorders>
            <w:shd w:val="clear" w:color="auto" w:fill="auto"/>
            <w:noWrap/>
            <w:vAlign w:val="bottom"/>
            <w:hideMark/>
          </w:tcPr>
          <w:p w14:paraId="54DEDA56"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1EAB">
              <w:rPr>
                <w:rFonts w:ascii="Times New Roman" w:eastAsia="Times New Roman" w:hAnsi="Times New Roman" w:cs="Times New Roman"/>
                <w:color w:val="000000"/>
                <w:sz w:val="24"/>
                <w:szCs w:val="24"/>
              </w:rPr>
              <w:t>4</w:t>
            </w:r>
          </w:p>
        </w:tc>
        <w:tc>
          <w:tcPr>
            <w:tcW w:w="1589" w:type="dxa"/>
            <w:tcBorders>
              <w:top w:val="nil"/>
              <w:left w:val="nil"/>
              <w:bottom w:val="nil"/>
              <w:right w:val="nil"/>
            </w:tcBorders>
            <w:shd w:val="clear" w:color="auto" w:fill="auto"/>
            <w:noWrap/>
            <w:vAlign w:val="bottom"/>
            <w:hideMark/>
          </w:tcPr>
          <w:p w14:paraId="046AF42E"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0.077</w:t>
            </w:r>
          </w:p>
        </w:tc>
        <w:tc>
          <w:tcPr>
            <w:tcW w:w="2238" w:type="dxa"/>
            <w:tcBorders>
              <w:top w:val="nil"/>
              <w:left w:val="nil"/>
              <w:bottom w:val="nil"/>
              <w:right w:val="nil"/>
            </w:tcBorders>
            <w:shd w:val="clear" w:color="auto" w:fill="auto"/>
            <w:noWrap/>
            <w:vAlign w:val="bottom"/>
            <w:hideMark/>
          </w:tcPr>
          <w:p w14:paraId="16264182"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−0.367</w:t>
            </w:r>
          </w:p>
        </w:tc>
      </w:tr>
      <w:tr w:rsidR="00B846CE" w:rsidRPr="00A50211" w14:paraId="1FF17BCD" w14:textId="77777777" w:rsidTr="00A33AA6">
        <w:trPr>
          <w:trHeight w:val="470"/>
        </w:trPr>
        <w:tc>
          <w:tcPr>
            <w:tcW w:w="836" w:type="dxa"/>
            <w:tcBorders>
              <w:top w:val="nil"/>
              <w:left w:val="nil"/>
              <w:bottom w:val="nil"/>
              <w:right w:val="nil"/>
            </w:tcBorders>
            <w:shd w:val="clear" w:color="auto" w:fill="auto"/>
            <w:noWrap/>
            <w:vAlign w:val="bottom"/>
            <w:hideMark/>
          </w:tcPr>
          <w:p w14:paraId="61A09CCC"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1EAB">
              <w:rPr>
                <w:rFonts w:ascii="Times New Roman" w:eastAsia="Times New Roman" w:hAnsi="Times New Roman" w:cs="Times New Roman"/>
                <w:color w:val="000000"/>
                <w:sz w:val="24"/>
                <w:szCs w:val="24"/>
              </w:rPr>
              <w:t>5</w:t>
            </w:r>
          </w:p>
        </w:tc>
        <w:tc>
          <w:tcPr>
            <w:tcW w:w="1589" w:type="dxa"/>
            <w:tcBorders>
              <w:top w:val="nil"/>
              <w:left w:val="nil"/>
              <w:bottom w:val="nil"/>
              <w:right w:val="nil"/>
            </w:tcBorders>
            <w:shd w:val="clear" w:color="auto" w:fill="auto"/>
            <w:noWrap/>
            <w:vAlign w:val="bottom"/>
            <w:hideMark/>
          </w:tcPr>
          <w:p w14:paraId="69AC26EF"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−0.171</w:t>
            </w:r>
          </w:p>
        </w:tc>
        <w:tc>
          <w:tcPr>
            <w:tcW w:w="2238" w:type="dxa"/>
            <w:tcBorders>
              <w:top w:val="nil"/>
              <w:left w:val="nil"/>
              <w:bottom w:val="nil"/>
              <w:right w:val="nil"/>
            </w:tcBorders>
            <w:shd w:val="clear" w:color="auto" w:fill="auto"/>
            <w:noWrap/>
            <w:vAlign w:val="bottom"/>
            <w:hideMark/>
          </w:tcPr>
          <w:p w14:paraId="0C5E7D16"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0.653</w:t>
            </w:r>
          </w:p>
        </w:tc>
      </w:tr>
      <w:tr w:rsidR="00B846CE" w:rsidRPr="00A50211" w14:paraId="0E8BEDDF" w14:textId="77777777" w:rsidTr="00A33AA6">
        <w:trPr>
          <w:trHeight w:val="470"/>
        </w:trPr>
        <w:tc>
          <w:tcPr>
            <w:tcW w:w="836" w:type="dxa"/>
            <w:tcBorders>
              <w:top w:val="nil"/>
              <w:left w:val="nil"/>
              <w:bottom w:val="nil"/>
              <w:right w:val="nil"/>
            </w:tcBorders>
            <w:shd w:val="clear" w:color="auto" w:fill="auto"/>
            <w:noWrap/>
            <w:vAlign w:val="bottom"/>
            <w:hideMark/>
          </w:tcPr>
          <w:p w14:paraId="0E2733E7"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1EAB">
              <w:rPr>
                <w:rFonts w:ascii="Times New Roman" w:eastAsia="Times New Roman" w:hAnsi="Times New Roman" w:cs="Times New Roman"/>
                <w:color w:val="000000"/>
                <w:sz w:val="24"/>
                <w:szCs w:val="24"/>
              </w:rPr>
              <w:t>6</w:t>
            </w:r>
          </w:p>
        </w:tc>
        <w:tc>
          <w:tcPr>
            <w:tcW w:w="1589" w:type="dxa"/>
            <w:tcBorders>
              <w:top w:val="nil"/>
              <w:left w:val="nil"/>
              <w:bottom w:val="nil"/>
              <w:right w:val="nil"/>
            </w:tcBorders>
            <w:shd w:val="clear" w:color="auto" w:fill="auto"/>
            <w:noWrap/>
            <w:vAlign w:val="bottom"/>
            <w:hideMark/>
          </w:tcPr>
          <w:p w14:paraId="10FEE2E3"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0.316</w:t>
            </w:r>
          </w:p>
        </w:tc>
        <w:tc>
          <w:tcPr>
            <w:tcW w:w="2238" w:type="dxa"/>
            <w:tcBorders>
              <w:top w:val="nil"/>
              <w:left w:val="nil"/>
              <w:bottom w:val="nil"/>
              <w:right w:val="nil"/>
            </w:tcBorders>
            <w:shd w:val="clear" w:color="auto" w:fill="auto"/>
            <w:noWrap/>
            <w:vAlign w:val="bottom"/>
            <w:hideMark/>
          </w:tcPr>
          <w:p w14:paraId="1D52DA43"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0.099</w:t>
            </w:r>
          </w:p>
        </w:tc>
      </w:tr>
      <w:tr w:rsidR="00B846CE" w:rsidRPr="00A50211" w14:paraId="1C5A4FBC" w14:textId="77777777" w:rsidTr="00A33AA6">
        <w:trPr>
          <w:trHeight w:val="470"/>
        </w:trPr>
        <w:tc>
          <w:tcPr>
            <w:tcW w:w="836" w:type="dxa"/>
            <w:tcBorders>
              <w:top w:val="nil"/>
              <w:left w:val="nil"/>
              <w:bottom w:val="nil"/>
              <w:right w:val="nil"/>
            </w:tcBorders>
            <w:shd w:val="clear" w:color="auto" w:fill="auto"/>
            <w:noWrap/>
            <w:vAlign w:val="bottom"/>
            <w:hideMark/>
          </w:tcPr>
          <w:p w14:paraId="293139F6"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1EAB">
              <w:rPr>
                <w:rFonts w:ascii="Times New Roman" w:eastAsia="Times New Roman" w:hAnsi="Times New Roman" w:cs="Times New Roman"/>
                <w:color w:val="000000"/>
                <w:sz w:val="24"/>
                <w:szCs w:val="24"/>
              </w:rPr>
              <w:t>7</w:t>
            </w:r>
          </w:p>
        </w:tc>
        <w:tc>
          <w:tcPr>
            <w:tcW w:w="1589" w:type="dxa"/>
            <w:tcBorders>
              <w:top w:val="nil"/>
              <w:left w:val="nil"/>
              <w:bottom w:val="nil"/>
              <w:right w:val="nil"/>
            </w:tcBorders>
            <w:shd w:val="clear" w:color="auto" w:fill="auto"/>
            <w:noWrap/>
            <w:vAlign w:val="bottom"/>
            <w:hideMark/>
          </w:tcPr>
          <w:p w14:paraId="608963D0"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0.076</w:t>
            </w:r>
          </w:p>
        </w:tc>
        <w:tc>
          <w:tcPr>
            <w:tcW w:w="2238" w:type="dxa"/>
            <w:tcBorders>
              <w:top w:val="nil"/>
              <w:left w:val="nil"/>
              <w:bottom w:val="nil"/>
              <w:right w:val="nil"/>
            </w:tcBorders>
            <w:shd w:val="clear" w:color="auto" w:fill="auto"/>
            <w:noWrap/>
            <w:vAlign w:val="bottom"/>
            <w:hideMark/>
          </w:tcPr>
          <w:p w14:paraId="11C70D6A"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−0.437</w:t>
            </w:r>
          </w:p>
        </w:tc>
      </w:tr>
      <w:tr w:rsidR="00B846CE" w:rsidRPr="00A50211" w14:paraId="5B9E9845" w14:textId="77777777" w:rsidTr="00A33AA6">
        <w:trPr>
          <w:trHeight w:val="470"/>
        </w:trPr>
        <w:tc>
          <w:tcPr>
            <w:tcW w:w="836" w:type="dxa"/>
            <w:tcBorders>
              <w:top w:val="nil"/>
              <w:left w:val="nil"/>
              <w:bottom w:val="nil"/>
              <w:right w:val="nil"/>
            </w:tcBorders>
            <w:shd w:val="clear" w:color="auto" w:fill="auto"/>
            <w:noWrap/>
            <w:vAlign w:val="bottom"/>
            <w:hideMark/>
          </w:tcPr>
          <w:p w14:paraId="4FB1A9ED"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1EAB">
              <w:rPr>
                <w:rFonts w:ascii="Times New Roman" w:eastAsia="Times New Roman" w:hAnsi="Times New Roman" w:cs="Times New Roman"/>
                <w:color w:val="000000"/>
                <w:sz w:val="24"/>
                <w:szCs w:val="24"/>
              </w:rPr>
              <w:t>8</w:t>
            </w:r>
          </w:p>
        </w:tc>
        <w:tc>
          <w:tcPr>
            <w:tcW w:w="1589" w:type="dxa"/>
            <w:tcBorders>
              <w:top w:val="nil"/>
              <w:left w:val="nil"/>
              <w:bottom w:val="nil"/>
              <w:right w:val="nil"/>
            </w:tcBorders>
            <w:shd w:val="clear" w:color="auto" w:fill="auto"/>
            <w:noWrap/>
            <w:vAlign w:val="bottom"/>
            <w:hideMark/>
          </w:tcPr>
          <w:p w14:paraId="6DD0BFA3"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0.132</w:t>
            </w:r>
          </w:p>
        </w:tc>
        <w:tc>
          <w:tcPr>
            <w:tcW w:w="2238" w:type="dxa"/>
            <w:tcBorders>
              <w:top w:val="nil"/>
              <w:left w:val="nil"/>
              <w:bottom w:val="nil"/>
              <w:right w:val="nil"/>
            </w:tcBorders>
            <w:shd w:val="clear" w:color="auto" w:fill="auto"/>
            <w:noWrap/>
            <w:vAlign w:val="bottom"/>
            <w:hideMark/>
          </w:tcPr>
          <w:p w14:paraId="7C54C88C"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1.323</w:t>
            </w:r>
          </w:p>
        </w:tc>
      </w:tr>
      <w:tr w:rsidR="00B846CE" w:rsidRPr="00A50211" w14:paraId="734BC991" w14:textId="77777777" w:rsidTr="00A33AA6">
        <w:trPr>
          <w:trHeight w:val="470"/>
        </w:trPr>
        <w:tc>
          <w:tcPr>
            <w:tcW w:w="836" w:type="dxa"/>
            <w:tcBorders>
              <w:top w:val="nil"/>
              <w:left w:val="nil"/>
              <w:right w:val="nil"/>
            </w:tcBorders>
            <w:shd w:val="clear" w:color="auto" w:fill="auto"/>
            <w:noWrap/>
            <w:vAlign w:val="bottom"/>
            <w:hideMark/>
          </w:tcPr>
          <w:p w14:paraId="6E44812E"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1EAB">
              <w:rPr>
                <w:rFonts w:ascii="Times New Roman" w:eastAsia="Times New Roman" w:hAnsi="Times New Roman" w:cs="Times New Roman"/>
                <w:color w:val="000000"/>
                <w:sz w:val="24"/>
                <w:szCs w:val="24"/>
              </w:rPr>
              <w:t>9</w:t>
            </w:r>
          </w:p>
        </w:tc>
        <w:tc>
          <w:tcPr>
            <w:tcW w:w="1589" w:type="dxa"/>
            <w:tcBorders>
              <w:top w:val="nil"/>
              <w:left w:val="nil"/>
              <w:right w:val="nil"/>
            </w:tcBorders>
            <w:shd w:val="clear" w:color="auto" w:fill="auto"/>
            <w:noWrap/>
            <w:vAlign w:val="bottom"/>
            <w:hideMark/>
          </w:tcPr>
          <w:p w14:paraId="551CB40D"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−0.345</w:t>
            </w:r>
          </w:p>
        </w:tc>
        <w:tc>
          <w:tcPr>
            <w:tcW w:w="2238" w:type="dxa"/>
            <w:tcBorders>
              <w:top w:val="nil"/>
              <w:left w:val="nil"/>
              <w:right w:val="nil"/>
            </w:tcBorders>
            <w:shd w:val="clear" w:color="auto" w:fill="auto"/>
            <w:noWrap/>
            <w:vAlign w:val="bottom"/>
            <w:hideMark/>
          </w:tcPr>
          <w:p w14:paraId="493437C1"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−1.393</w:t>
            </w:r>
          </w:p>
        </w:tc>
      </w:tr>
      <w:tr w:rsidR="00B846CE" w:rsidRPr="00A50211" w14:paraId="1CD62B3B" w14:textId="77777777" w:rsidTr="00A33AA6">
        <w:trPr>
          <w:trHeight w:val="470"/>
        </w:trPr>
        <w:tc>
          <w:tcPr>
            <w:tcW w:w="836" w:type="dxa"/>
            <w:tcBorders>
              <w:top w:val="nil"/>
              <w:left w:val="nil"/>
              <w:bottom w:val="single" w:sz="4" w:space="0" w:color="auto"/>
              <w:right w:val="nil"/>
            </w:tcBorders>
            <w:shd w:val="clear" w:color="auto" w:fill="auto"/>
            <w:noWrap/>
            <w:vAlign w:val="bottom"/>
            <w:hideMark/>
          </w:tcPr>
          <w:p w14:paraId="3D80B371"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1EAB">
              <w:rPr>
                <w:rFonts w:ascii="Times New Roman" w:eastAsia="Times New Roman" w:hAnsi="Times New Roman" w:cs="Times New Roman"/>
                <w:color w:val="000000"/>
                <w:sz w:val="24"/>
                <w:szCs w:val="24"/>
              </w:rPr>
              <w:t>10</w:t>
            </w:r>
          </w:p>
        </w:tc>
        <w:tc>
          <w:tcPr>
            <w:tcW w:w="1589" w:type="dxa"/>
            <w:tcBorders>
              <w:top w:val="nil"/>
              <w:left w:val="nil"/>
              <w:bottom w:val="single" w:sz="4" w:space="0" w:color="auto"/>
              <w:right w:val="nil"/>
            </w:tcBorders>
            <w:shd w:val="clear" w:color="auto" w:fill="auto"/>
            <w:noWrap/>
            <w:vAlign w:val="bottom"/>
            <w:hideMark/>
          </w:tcPr>
          <w:p w14:paraId="0D70C1F5" w14:textId="77777777" w:rsidR="00B846CE" w:rsidRPr="00FC1EAB" w:rsidRDefault="00B846CE" w:rsidP="00A33AA6">
            <w:pPr>
              <w:spacing w:after="0" w:line="240" w:lineRule="auto"/>
              <w:ind w:right="-66"/>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−0.528</w:t>
            </w:r>
          </w:p>
        </w:tc>
        <w:tc>
          <w:tcPr>
            <w:tcW w:w="2238" w:type="dxa"/>
            <w:tcBorders>
              <w:top w:val="nil"/>
              <w:left w:val="nil"/>
              <w:bottom w:val="single" w:sz="4" w:space="0" w:color="auto"/>
              <w:right w:val="nil"/>
            </w:tcBorders>
            <w:shd w:val="clear" w:color="auto" w:fill="auto"/>
            <w:noWrap/>
            <w:vAlign w:val="bottom"/>
            <w:hideMark/>
          </w:tcPr>
          <w:p w14:paraId="39CD878E" w14:textId="77777777" w:rsidR="00B846CE" w:rsidRPr="00FC1EAB" w:rsidRDefault="00B846CE" w:rsidP="00A33AA6">
            <w:pPr>
              <w:spacing w:after="0" w:line="240" w:lineRule="auto"/>
              <w:jc w:val="both"/>
              <w:rPr>
                <w:rFonts w:ascii="Times New Roman" w:eastAsia="Times New Roman" w:hAnsi="Times New Roman" w:cs="Times New Roman"/>
                <w:color w:val="000000"/>
                <w:sz w:val="24"/>
                <w:szCs w:val="24"/>
              </w:rPr>
            </w:pPr>
            <w:r w:rsidRPr="00FC1EAB">
              <w:rPr>
                <w:rFonts w:ascii="Times New Roman" w:eastAsia="Times New Roman" w:hAnsi="Times New Roman" w:cs="Times New Roman"/>
                <w:color w:val="000000"/>
                <w:sz w:val="24"/>
                <w:szCs w:val="24"/>
              </w:rPr>
              <w:t xml:space="preserve">   −1.595</w:t>
            </w:r>
          </w:p>
        </w:tc>
      </w:tr>
    </w:tbl>
    <w:p w14:paraId="5F452556" w14:textId="77777777" w:rsidR="00B846CE" w:rsidRPr="007C47B5" w:rsidRDefault="00B846CE" w:rsidP="00B846CE">
      <w:pPr>
        <w:spacing w:after="0" w:line="240" w:lineRule="auto"/>
        <w:rPr>
          <w:rFonts w:ascii="Times New Roman" w:eastAsia="Times New Roman" w:hAnsi="Times New Roman" w:cs="Times New Roman"/>
          <w:b/>
          <w:color w:val="000000"/>
          <w:sz w:val="24"/>
          <w:szCs w:val="24"/>
        </w:rPr>
      </w:pPr>
    </w:p>
    <w:p w14:paraId="7AB64934" w14:textId="77777777" w:rsidR="00B846CE" w:rsidRDefault="00B846CE" w:rsidP="00B846CE">
      <w:pPr>
        <w:spacing w:after="0" w:line="240" w:lineRule="auto"/>
        <w:contextualSpacing/>
        <w:jc w:val="both"/>
        <w:rPr>
          <w:rFonts w:ascii="Times New Roman" w:hAnsi="Times New Roman" w:cs="Times New Roman"/>
          <w:b/>
          <w:sz w:val="24"/>
          <w:szCs w:val="24"/>
          <w:u w:val="single"/>
        </w:rPr>
      </w:pPr>
    </w:p>
    <w:p w14:paraId="3E233E7C" w14:textId="77777777" w:rsidR="00B846CE" w:rsidRDefault="00B846CE" w:rsidP="00B846CE">
      <w:pPr>
        <w:pStyle w:val="Default"/>
        <w:jc w:val="both"/>
        <w:rPr>
          <w:color w:val="auto"/>
          <w:sz w:val="20"/>
          <w:szCs w:val="20"/>
        </w:rPr>
      </w:pPr>
    </w:p>
    <w:p w14:paraId="6920F8C8" w14:textId="77777777" w:rsidR="00B846CE" w:rsidRDefault="00B846CE" w:rsidP="00B846CE">
      <w:pPr>
        <w:pStyle w:val="Default"/>
        <w:jc w:val="both"/>
        <w:rPr>
          <w:color w:val="auto"/>
          <w:sz w:val="20"/>
          <w:szCs w:val="20"/>
        </w:rPr>
      </w:pPr>
    </w:p>
    <w:p w14:paraId="30F4F36A" w14:textId="77777777" w:rsidR="00B846CE" w:rsidRDefault="00B846CE" w:rsidP="00B846CE">
      <w:pPr>
        <w:pStyle w:val="Default"/>
        <w:jc w:val="both"/>
        <w:rPr>
          <w:color w:val="auto"/>
          <w:sz w:val="20"/>
          <w:szCs w:val="20"/>
        </w:rPr>
      </w:pPr>
    </w:p>
    <w:p w14:paraId="402AEC6B" w14:textId="77777777" w:rsidR="00B846CE" w:rsidRDefault="00B846CE" w:rsidP="00B846CE">
      <w:pPr>
        <w:pStyle w:val="Default"/>
        <w:jc w:val="both"/>
        <w:rPr>
          <w:color w:val="auto"/>
          <w:sz w:val="20"/>
          <w:szCs w:val="20"/>
        </w:rPr>
      </w:pPr>
    </w:p>
    <w:p w14:paraId="49BCA694" w14:textId="77777777" w:rsidR="00B846CE" w:rsidRDefault="00B846CE" w:rsidP="00B846CE">
      <w:pPr>
        <w:pStyle w:val="Default"/>
        <w:jc w:val="both"/>
        <w:rPr>
          <w:color w:val="auto"/>
          <w:sz w:val="20"/>
          <w:szCs w:val="20"/>
        </w:rPr>
      </w:pPr>
    </w:p>
    <w:p w14:paraId="654F5035" w14:textId="77777777" w:rsidR="00B846CE" w:rsidRDefault="00B846CE" w:rsidP="00B846CE">
      <w:pPr>
        <w:pStyle w:val="Default"/>
        <w:jc w:val="both"/>
        <w:rPr>
          <w:color w:val="auto"/>
          <w:sz w:val="20"/>
          <w:szCs w:val="20"/>
        </w:rPr>
      </w:pPr>
    </w:p>
    <w:p w14:paraId="2EC4F64B" w14:textId="77777777" w:rsidR="00B846CE" w:rsidRDefault="00B846CE" w:rsidP="00B846CE">
      <w:pPr>
        <w:pStyle w:val="Default"/>
        <w:jc w:val="both"/>
        <w:rPr>
          <w:color w:val="auto"/>
          <w:sz w:val="20"/>
          <w:szCs w:val="20"/>
        </w:rPr>
      </w:pPr>
    </w:p>
    <w:p w14:paraId="55296A72" w14:textId="77777777" w:rsidR="00B846CE" w:rsidRDefault="00B846CE" w:rsidP="00B846CE">
      <w:pPr>
        <w:pStyle w:val="Default"/>
        <w:jc w:val="both"/>
        <w:rPr>
          <w:color w:val="auto"/>
          <w:sz w:val="20"/>
          <w:szCs w:val="20"/>
        </w:rPr>
      </w:pPr>
    </w:p>
    <w:p w14:paraId="30E57108" w14:textId="77777777" w:rsidR="00B846CE" w:rsidRDefault="00B846CE" w:rsidP="00B846CE">
      <w:pPr>
        <w:pStyle w:val="Default"/>
        <w:jc w:val="both"/>
        <w:rPr>
          <w:color w:val="auto"/>
          <w:sz w:val="20"/>
          <w:szCs w:val="20"/>
        </w:rPr>
      </w:pPr>
    </w:p>
    <w:p w14:paraId="6D2DFCAC" w14:textId="77777777" w:rsidR="00B846CE" w:rsidRDefault="00B846CE" w:rsidP="00B846CE">
      <w:pPr>
        <w:pStyle w:val="Default"/>
        <w:jc w:val="both"/>
        <w:rPr>
          <w:color w:val="auto"/>
          <w:sz w:val="20"/>
          <w:szCs w:val="20"/>
        </w:rPr>
      </w:pPr>
    </w:p>
    <w:p w14:paraId="1843383D" w14:textId="77777777" w:rsidR="00B846CE" w:rsidRDefault="00B846CE" w:rsidP="00B846CE">
      <w:pPr>
        <w:pStyle w:val="Default"/>
        <w:jc w:val="both"/>
        <w:rPr>
          <w:color w:val="auto"/>
          <w:sz w:val="20"/>
          <w:szCs w:val="20"/>
        </w:rPr>
      </w:pPr>
    </w:p>
    <w:p w14:paraId="65D14969" w14:textId="77777777" w:rsidR="00B846CE" w:rsidRDefault="00B846CE" w:rsidP="00B846CE">
      <w:pPr>
        <w:pStyle w:val="Default"/>
        <w:jc w:val="both"/>
        <w:rPr>
          <w:color w:val="auto"/>
          <w:sz w:val="20"/>
          <w:szCs w:val="20"/>
        </w:rPr>
      </w:pPr>
    </w:p>
    <w:p w14:paraId="28FA2566" w14:textId="77777777" w:rsidR="00B846CE" w:rsidRDefault="00B846CE" w:rsidP="00B846CE">
      <w:pPr>
        <w:pStyle w:val="Default"/>
        <w:jc w:val="both"/>
        <w:rPr>
          <w:color w:val="auto"/>
          <w:sz w:val="20"/>
          <w:szCs w:val="20"/>
        </w:rPr>
      </w:pPr>
    </w:p>
    <w:p w14:paraId="1F79953F" w14:textId="77777777" w:rsidR="00B846CE" w:rsidRDefault="00B846CE" w:rsidP="00B846CE">
      <w:pPr>
        <w:pStyle w:val="Default"/>
        <w:jc w:val="both"/>
        <w:rPr>
          <w:color w:val="auto"/>
          <w:sz w:val="20"/>
          <w:szCs w:val="20"/>
        </w:rPr>
      </w:pPr>
    </w:p>
    <w:p w14:paraId="165F478A" w14:textId="77777777" w:rsidR="00B846CE" w:rsidRDefault="00B846CE" w:rsidP="00B846CE">
      <w:pPr>
        <w:pStyle w:val="Default"/>
        <w:jc w:val="both"/>
        <w:rPr>
          <w:color w:val="auto"/>
          <w:sz w:val="20"/>
          <w:szCs w:val="20"/>
        </w:rPr>
      </w:pPr>
    </w:p>
    <w:p w14:paraId="60482EB4" w14:textId="77777777" w:rsidR="00B846CE" w:rsidRDefault="00B846CE" w:rsidP="00B846CE">
      <w:pPr>
        <w:pStyle w:val="Default"/>
        <w:jc w:val="both"/>
        <w:rPr>
          <w:color w:val="auto"/>
          <w:sz w:val="20"/>
          <w:szCs w:val="20"/>
        </w:rPr>
      </w:pPr>
    </w:p>
    <w:p w14:paraId="4C34AAB9" w14:textId="77777777" w:rsidR="00B846CE" w:rsidRDefault="00B846CE" w:rsidP="00B846CE">
      <w:pPr>
        <w:pStyle w:val="Default"/>
        <w:jc w:val="both"/>
        <w:rPr>
          <w:color w:val="auto"/>
          <w:sz w:val="20"/>
          <w:szCs w:val="20"/>
        </w:rPr>
      </w:pPr>
    </w:p>
    <w:p w14:paraId="1B86544D" w14:textId="77777777" w:rsidR="00B846CE" w:rsidRDefault="00B846CE" w:rsidP="00B846CE">
      <w:pPr>
        <w:pStyle w:val="Default"/>
        <w:jc w:val="both"/>
        <w:rPr>
          <w:color w:val="auto"/>
          <w:sz w:val="20"/>
          <w:szCs w:val="20"/>
        </w:rPr>
      </w:pPr>
    </w:p>
    <w:p w14:paraId="0B5CC054" w14:textId="77777777" w:rsidR="00B846CE" w:rsidRDefault="00B846CE" w:rsidP="00B846CE">
      <w:pPr>
        <w:pStyle w:val="Default"/>
        <w:jc w:val="both"/>
        <w:rPr>
          <w:color w:val="auto"/>
          <w:sz w:val="20"/>
          <w:szCs w:val="20"/>
        </w:rPr>
      </w:pPr>
    </w:p>
    <w:p w14:paraId="004B0C65" w14:textId="77777777" w:rsidR="00B846CE" w:rsidRDefault="00B846CE" w:rsidP="00B846CE">
      <w:pPr>
        <w:pStyle w:val="Default"/>
        <w:jc w:val="both"/>
        <w:rPr>
          <w:color w:val="auto"/>
          <w:sz w:val="20"/>
          <w:szCs w:val="20"/>
        </w:rPr>
      </w:pPr>
    </w:p>
    <w:p w14:paraId="5A2722CE" w14:textId="77777777" w:rsidR="00B846CE" w:rsidRDefault="00B846CE" w:rsidP="00B846CE">
      <w:pPr>
        <w:pStyle w:val="Default"/>
        <w:jc w:val="both"/>
        <w:rPr>
          <w:color w:val="auto"/>
          <w:sz w:val="20"/>
          <w:szCs w:val="20"/>
        </w:rPr>
      </w:pPr>
    </w:p>
    <w:p w14:paraId="2A6F27CF" w14:textId="77777777" w:rsidR="00B846CE" w:rsidRDefault="00B846CE" w:rsidP="00B846CE">
      <w:pPr>
        <w:pStyle w:val="Default"/>
        <w:jc w:val="both"/>
        <w:rPr>
          <w:color w:val="auto"/>
          <w:sz w:val="20"/>
          <w:szCs w:val="20"/>
        </w:rPr>
      </w:pPr>
    </w:p>
    <w:p w14:paraId="0556F271" w14:textId="77777777" w:rsidR="00B846CE" w:rsidRDefault="00B846CE" w:rsidP="00B846CE">
      <w:pPr>
        <w:pStyle w:val="Default"/>
        <w:jc w:val="both"/>
        <w:rPr>
          <w:color w:val="auto"/>
          <w:sz w:val="20"/>
          <w:szCs w:val="20"/>
        </w:rPr>
      </w:pPr>
    </w:p>
    <w:p w14:paraId="739F7C0A" w14:textId="77777777" w:rsidR="00B846CE" w:rsidRDefault="00B846CE" w:rsidP="00B846CE">
      <w:pPr>
        <w:pStyle w:val="Default"/>
        <w:jc w:val="both"/>
        <w:rPr>
          <w:color w:val="auto"/>
          <w:sz w:val="20"/>
          <w:szCs w:val="20"/>
        </w:rPr>
      </w:pPr>
    </w:p>
    <w:p w14:paraId="4866852B" w14:textId="77777777" w:rsidR="00B846CE" w:rsidRDefault="00B846CE" w:rsidP="00B846CE">
      <w:pPr>
        <w:pStyle w:val="Default"/>
        <w:jc w:val="both"/>
        <w:rPr>
          <w:color w:val="auto"/>
          <w:sz w:val="20"/>
          <w:szCs w:val="20"/>
        </w:rPr>
      </w:pPr>
    </w:p>
    <w:p w14:paraId="200F8E13" w14:textId="77777777" w:rsidR="00B846CE" w:rsidRDefault="00B846CE" w:rsidP="00B846CE">
      <w:pPr>
        <w:pStyle w:val="Default"/>
        <w:jc w:val="both"/>
        <w:rPr>
          <w:color w:val="auto"/>
          <w:sz w:val="20"/>
          <w:szCs w:val="20"/>
        </w:rPr>
      </w:pPr>
    </w:p>
    <w:p w14:paraId="0FCA455F" w14:textId="77777777" w:rsidR="00B846CE" w:rsidRDefault="00B846CE" w:rsidP="00B846CE">
      <w:pPr>
        <w:pStyle w:val="Default"/>
        <w:jc w:val="both"/>
        <w:rPr>
          <w:color w:val="auto"/>
          <w:sz w:val="20"/>
          <w:szCs w:val="20"/>
        </w:rPr>
      </w:pPr>
    </w:p>
    <w:p w14:paraId="5DD41883" w14:textId="77777777" w:rsidR="00B846CE" w:rsidRDefault="00B846CE" w:rsidP="00B846CE">
      <w:pPr>
        <w:pStyle w:val="Default"/>
        <w:jc w:val="both"/>
        <w:rPr>
          <w:color w:val="auto"/>
          <w:sz w:val="20"/>
          <w:szCs w:val="20"/>
        </w:rPr>
      </w:pPr>
    </w:p>
    <w:p w14:paraId="2CBD52FA" w14:textId="77777777" w:rsidR="00B846CE" w:rsidRDefault="00B846CE" w:rsidP="00B846CE">
      <w:pPr>
        <w:pStyle w:val="Default"/>
        <w:jc w:val="both"/>
        <w:rPr>
          <w:color w:val="auto"/>
          <w:sz w:val="20"/>
          <w:szCs w:val="20"/>
        </w:rPr>
      </w:pPr>
    </w:p>
    <w:p w14:paraId="7624FE2F" w14:textId="77777777" w:rsidR="00B846CE" w:rsidRDefault="00B846CE" w:rsidP="00B846CE">
      <w:pPr>
        <w:pStyle w:val="Default"/>
        <w:jc w:val="both"/>
        <w:rPr>
          <w:color w:val="auto"/>
          <w:sz w:val="20"/>
          <w:szCs w:val="20"/>
        </w:rPr>
      </w:pPr>
    </w:p>
    <w:p w14:paraId="04384837" w14:textId="77777777" w:rsidR="00B846CE" w:rsidRDefault="00B846CE" w:rsidP="00B846CE">
      <w:pPr>
        <w:pStyle w:val="Default"/>
        <w:jc w:val="both"/>
        <w:rPr>
          <w:color w:val="auto"/>
          <w:sz w:val="20"/>
          <w:szCs w:val="20"/>
        </w:rPr>
      </w:pPr>
    </w:p>
    <w:p w14:paraId="7E371242" w14:textId="77777777" w:rsidR="00B846CE" w:rsidRDefault="00B846CE" w:rsidP="00B846CE">
      <w:pPr>
        <w:pStyle w:val="Default"/>
        <w:jc w:val="both"/>
        <w:rPr>
          <w:color w:val="auto"/>
          <w:sz w:val="20"/>
          <w:szCs w:val="20"/>
        </w:rPr>
      </w:pPr>
    </w:p>
    <w:p w14:paraId="21C47B98" w14:textId="77777777" w:rsidR="00B846CE" w:rsidRDefault="00B846CE" w:rsidP="00B846CE">
      <w:pPr>
        <w:pStyle w:val="Default"/>
        <w:jc w:val="both"/>
        <w:rPr>
          <w:color w:val="auto"/>
          <w:sz w:val="20"/>
          <w:szCs w:val="20"/>
        </w:rPr>
      </w:pPr>
    </w:p>
    <w:p w14:paraId="09C63563" w14:textId="77777777" w:rsidR="00B846CE" w:rsidRDefault="00B846CE" w:rsidP="00B846CE">
      <w:pPr>
        <w:pStyle w:val="Default"/>
        <w:jc w:val="both"/>
        <w:rPr>
          <w:color w:val="auto"/>
          <w:sz w:val="20"/>
          <w:szCs w:val="20"/>
        </w:rPr>
      </w:pPr>
    </w:p>
    <w:p w14:paraId="13FACF2A" w14:textId="7485483B" w:rsidR="00B846CE" w:rsidRDefault="00B846CE" w:rsidP="00B846CE">
      <w:pPr>
        <w:pStyle w:val="Default"/>
        <w:jc w:val="both"/>
        <w:rPr>
          <w:color w:val="auto"/>
          <w:sz w:val="20"/>
          <w:szCs w:val="20"/>
        </w:rPr>
      </w:pPr>
    </w:p>
    <w:p w14:paraId="3830E33D" w14:textId="77777777" w:rsidR="00B537DF" w:rsidRDefault="00B537DF" w:rsidP="00B846CE">
      <w:pPr>
        <w:pStyle w:val="Default"/>
        <w:jc w:val="both"/>
        <w:rPr>
          <w:color w:val="auto"/>
          <w:sz w:val="20"/>
          <w:szCs w:val="20"/>
        </w:rPr>
      </w:pPr>
    </w:p>
    <w:p w14:paraId="17EA3A94" w14:textId="77777777" w:rsidR="00B846CE" w:rsidRPr="00F9325C" w:rsidRDefault="00B846CE" w:rsidP="00B846CE">
      <w:pPr>
        <w:pStyle w:val="Default"/>
        <w:jc w:val="both"/>
        <w:rPr>
          <w:color w:val="auto"/>
          <w:sz w:val="20"/>
          <w:szCs w:val="20"/>
        </w:rPr>
      </w:pPr>
      <w:r w:rsidRPr="00F9325C">
        <w:rPr>
          <w:color w:val="auto"/>
          <w:sz w:val="20"/>
          <w:szCs w:val="20"/>
        </w:rPr>
        <w:t xml:space="preserve">Notes: </w:t>
      </w:r>
      <w:r>
        <w:rPr>
          <w:rFonts w:eastAsia="Times New Roman"/>
          <w:sz w:val="20"/>
          <w:szCs w:val="20"/>
          <w:vertAlign w:val="superscript"/>
        </w:rPr>
        <w:t>*</w:t>
      </w:r>
      <w:r w:rsidRPr="00F9325C">
        <w:rPr>
          <w:color w:val="auto"/>
          <w:sz w:val="20"/>
          <w:szCs w:val="20"/>
        </w:rPr>
        <w:t>Significant at the 10% level, 2</w:t>
      </w:r>
      <w:r>
        <w:rPr>
          <w:color w:val="auto"/>
          <w:sz w:val="20"/>
          <w:szCs w:val="20"/>
        </w:rPr>
        <w:t>−</w:t>
      </w:r>
      <w:r w:rsidRPr="00F9325C">
        <w:rPr>
          <w:color w:val="auto"/>
          <w:sz w:val="20"/>
          <w:szCs w:val="20"/>
        </w:rPr>
        <w:t>tailed test</w:t>
      </w:r>
    </w:p>
    <w:p w14:paraId="0FD5FBB6" w14:textId="77777777" w:rsidR="00B846CE" w:rsidRPr="00F9325C" w:rsidRDefault="00B846CE" w:rsidP="00B846CE">
      <w:pPr>
        <w:pStyle w:val="Default"/>
        <w:jc w:val="both"/>
        <w:rPr>
          <w:color w:val="auto"/>
          <w:sz w:val="20"/>
          <w:szCs w:val="20"/>
        </w:rPr>
      </w:pPr>
      <w:r>
        <w:rPr>
          <w:color w:val="auto"/>
          <w:sz w:val="20"/>
          <w:szCs w:val="20"/>
        </w:rPr>
        <w:t xml:space="preserve">           </w:t>
      </w:r>
      <w:r>
        <w:rPr>
          <w:rFonts w:eastAsia="Times New Roman"/>
          <w:sz w:val="20"/>
          <w:szCs w:val="20"/>
          <w:vertAlign w:val="superscript"/>
        </w:rPr>
        <w:t>**</w:t>
      </w:r>
      <w:r w:rsidRPr="00F9325C">
        <w:rPr>
          <w:color w:val="auto"/>
          <w:sz w:val="20"/>
          <w:szCs w:val="20"/>
        </w:rPr>
        <w:t>Significant at the 5% level, 2</w:t>
      </w:r>
      <w:r>
        <w:rPr>
          <w:color w:val="auto"/>
          <w:sz w:val="20"/>
          <w:szCs w:val="20"/>
        </w:rPr>
        <w:t>−</w:t>
      </w:r>
      <w:r w:rsidRPr="00F9325C">
        <w:rPr>
          <w:color w:val="auto"/>
          <w:sz w:val="20"/>
          <w:szCs w:val="20"/>
        </w:rPr>
        <w:t>tailed test</w:t>
      </w:r>
    </w:p>
    <w:p w14:paraId="1F263495" w14:textId="77777777" w:rsidR="00B846CE" w:rsidRDefault="00B846CE" w:rsidP="00B846CE">
      <w:pPr>
        <w:pStyle w:val="Default"/>
        <w:jc w:val="both"/>
        <w:rPr>
          <w:color w:val="auto"/>
          <w:sz w:val="20"/>
          <w:szCs w:val="20"/>
        </w:rPr>
      </w:pPr>
      <w:r>
        <w:rPr>
          <w:color w:val="auto"/>
          <w:sz w:val="20"/>
          <w:szCs w:val="20"/>
        </w:rPr>
        <w:t xml:space="preserve">           </w:t>
      </w:r>
      <w:r>
        <w:rPr>
          <w:rFonts w:eastAsia="Times New Roman"/>
          <w:sz w:val="20"/>
          <w:szCs w:val="20"/>
          <w:vertAlign w:val="superscript"/>
        </w:rPr>
        <w:t>***</w:t>
      </w:r>
      <w:r w:rsidRPr="00F9325C">
        <w:rPr>
          <w:color w:val="auto"/>
          <w:sz w:val="20"/>
          <w:szCs w:val="20"/>
        </w:rPr>
        <w:t xml:space="preserve">Significant at the </w:t>
      </w:r>
      <w:r w:rsidRPr="000E13FC">
        <w:rPr>
          <w:color w:val="auto"/>
          <w:sz w:val="20"/>
          <w:szCs w:val="20"/>
        </w:rPr>
        <w:t>1% level</w:t>
      </w:r>
      <w:r w:rsidRPr="00F9325C">
        <w:rPr>
          <w:color w:val="auto"/>
          <w:sz w:val="20"/>
          <w:szCs w:val="20"/>
        </w:rPr>
        <w:t>, 2</w:t>
      </w:r>
      <w:r>
        <w:rPr>
          <w:color w:val="auto"/>
          <w:sz w:val="20"/>
          <w:szCs w:val="20"/>
        </w:rPr>
        <w:t>−</w:t>
      </w:r>
      <w:r w:rsidRPr="00F9325C">
        <w:rPr>
          <w:color w:val="auto"/>
          <w:sz w:val="20"/>
          <w:szCs w:val="20"/>
        </w:rPr>
        <w:t>tailed test</w:t>
      </w:r>
    </w:p>
    <w:p w14:paraId="17BC0C34" w14:textId="77777777" w:rsidR="00B846CE" w:rsidRDefault="00B846CE" w:rsidP="00B846CE">
      <w:pPr>
        <w:pStyle w:val="Default"/>
        <w:jc w:val="both"/>
        <w:rPr>
          <w:color w:val="auto"/>
          <w:sz w:val="20"/>
          <w:szCs w:val="20"/>
        </w:rPr>
      </w:pPr>
    </w:p>
    <w:p w14:paraId="242CD2BA" w14:textId="77777777" w:rsidR="00B846CE" w:rsidRPr="00F9325C" w:rsidRDefault="00B846CE" w:rsidP="00B846CE">
      <w:pPr>
        <w:pStyle w:val="Default"/>
        <w:jc w:val="both"/>
        <w:rPr>
          <w:color w:val="auto"/>
          <w:sz w:val="20"/>
          <w:szCs w:val="20"/>
        </w:rPr>
      </w:pPr>
    </w:p>
    <w:p w14:paraId="4E600EA9" w14:textId="561F4EC6" w:rsidR="00424F4B" w:rsidRDefault="00424F4B" w:rsidP="00B846CE">
      <w:pPr>
        <w:pStyle w:val="Caption"/>
        <w:keepNext/>
        <w:spacing w:after="0"/>
        <w:jc w:val="both"/>
        <w:rPr>
          <w:b w:val="0"/>
          <w:bCs w:val="0"/>
          <w:color w:val="auto"/>
          <w:sz w:val="22"/>
          <w:szCs w:val="22"/>
        </w:rPr>
      </w:pPr>
    </w:p>
    <w:p w14:paraId="0A1DD28E" w14:textId="35235625" w:rsidR="00424F4B" w:rsidRDefault="00424F4B" w:rsidP="00424F4B"/>
    <w:p w14:paraId="27ACAB00" w14:textId="2628E582" w:rsidR="00424F4B" w:rsidRDefault="00424F4B" w:rsidP="00424F4B"/>
    <w:p w14:paraId="09F98326" w14:textId="4428F0E4" w:rsidR="00424F4B" w:rsidRDefault="00424F4B" w:rsidP="00424F4B"/>
    <w:p w14:paraId="71AE3B7C" w14:textId="77777777" w:rsidR="00424F4B" w:rsidRPr="00424F4B" w:rsidRDefault="00424F4B" w:rsidP="00424F4B"/>
    <w:p w14:paraId="4136E2F2" w14:textId="77777777" w:rsidR="00E923F6" w:rsidRPr="00EB26A5" w:rsidRDefault="00E923F6" w:rsidP="00E923F6">
      <w:pPr>
        <w:pStyle w:val="Caption"/>
        <w:keepNext/>
        <w:spacing w:after="0"/>
        <w:jc w:val="both"/>
        <w:rPr>
          <w:rFonts w:ascii="Times New Roman" w:hAnsi="Times New Roman" w:cs="Times New Roman"/>
          <w:color w:val="auto"/>
          <w:sz w:val="24"/>
          <w:szCs w:val="24"/>
          <w:u w:val="single"/>
        </w:rPr>
      </w:pPr>
      <w:r w:rsidRPr="00EB26A5">
        <w:rPr>
          <w:rFonts w:ascii="Times New Roman" w:hAnsi="Times New Roman" w:cs="Times New Roman"/>
          <w:color w:val="auto"/>
          <w:sz w:val="24"/>
          <w:szCs w:val="24"/>
          <w:u w:val="single"/>
        </w:rPr>
        <w:t>Table 6</w:t>
      </w:r>
    </w:p>
    <w:p w14:paraId="71AD3AD3" w14:textId="0CD85CC1" w:rsidR="00E923F6" w:rsidRDefault="00E923F6" w:rsidP="00E923F6">
      <w:pPr>
        <w:pStyle w:val="Caption"/>
        <w:keepNext/>
        <w:spacing w:after="0"/>
        <w:ind w:right="-172"/>
        <w:jc w:val="both"/>
        <w:rPr>
          <w:rFonts w:ascii="Times New Roman" w:eastAsia="Times New Roman" w:hAnsi="Times New Roman" w:cs="Times New Roman"/>
          <w:color w:val="auto"/>
          <w:sz w:val="24"/>
          <w:szCs w:val="24"/>
        </w:rPr>
      </w:pPr>
      <w:r w:rsidRPr="00C658FF">
        <w:rPr>
          <w:rFonts w:ascii="Times New Roman" w:eastAsia="Times New Roman" w:hAnsi="Times New Roman" w:cs="Times New Roman"/>
          <w:color w:val="auto"/>
          <w:sz w:val="24"/>
          <w:szCs w:val="24"/>
        </w:rPr>
        <w:t xml:space="preserve">Average Abnormal Returns (AARs) of recommendation upgrades surrounding the release day during the bullish </w:t>
      </w:r>
      <w:r w:rsidR="009D100D" w:rsidRPr="00C658FF">
        <w:rPr>
          <w:rFonts w:ascii="Times New Roman" w:eastAsia="Times New Roman" w:hAnsi="Times New Roman" w:cs="Times New Roman"/>
          <w:color w:val="auto"/>
          <w:sz w:val="24"/>
          <w:szCs w:val="24"/>
        </w:rPr>
        <w:t>(</w:t>
      </w:r>
      <w:r w:rsidR="00B537DF" w:rsidRPr="00C658FF">
        <w:rPr>
          <w:rFonts w:ascii="Times New Roman" w:eastAsia="Times New Roman" w:hAnsi="Times New Roman" w:cs="Times New Roman"/>
          <w:color w:val="auto"/>
          <w:sz w:val="24"/>
          <w:szCs w:val="24"/>
        </w:rPr>
        <w:t>03</w:t>
      </w:r>
      <w:r w:rsidR="009D100D" w:rsidRPr="00C658FF">
        <w:rPr>
          <w:rFonts w:ascii="Times New Roman" w:eastAsia="Times New Roman" w:hAnsi="Times New Roman" w:cs="Times New Roman"/>
          <w:color w:val="auto"/>
          <w:sz w:val="24"/>
          <w:szCs w:val="24"/>
        </w:rPr>
        <w:t>−</w:t>
      </w:r>
      <w:r w:rsidR="00B537DF" w:rsidRPr="00C658FF">
        <w:rPr>
          <w:rFonts w:ascii="Times New Roman" w:eastAsia="Times New Roman" w:hAnsi="Times New Roman" w:cs="Times New Roman"/>
          <w:color w:val="auto"/>
          <w:sz w:val="24"/>
          <w:szCs w:val="24"/>
        </w:rPr>
        <w:t>09</w:t>
      </w:r>
      <w:r w:rsidR="009D100D" w:rsidRPr="00C658FF">
        <w:rPr>
          <w:rFonts w:ascii="Times New Roman" w:eastAsia="Times New Roman" w:hAnsi="Times New Roman" w:cs="Times New Roman"/>
          <w:color w:val="auto"/>
          <w:sz w:val="24"/>
          <w:szCs w:val="24"/>
        </w:rPr>
        <w:t xml:space="preserve">−2009 ~ </w:t>
      </w:r>
      <w:r w:rsidR="00B537DF" w:rsidRPr="00C658FF">
        <w:rPr>
          <w:rFonts w:ascii="Times New Roman" w:eastAsia="Times New Roman" w:hAnsi="Times New Roman" w:cs="Times New Roman"/>
          <w:color w:val="auto"/>
          <w:sz w:val="24"/>
          <w:szCs w:val="24"/>
        </w:rPr>
        <w:t>11</w:t>
      </w:r>
      <w:r w:rsidR="009D100D" w:rsidRPr="00C658FF">
        <w:rPr>
          <w:rFonts w:ascii="Times New Roman" w:eastAsia="Times New Roman" w:hAnsi="Times New Roman" w:cs="Times New Roman"/>
          <w:color w:val="auto"/>
          <w:sz w:val="24"/>
          <w:szCs w:val="24"/>
        </w:rPr>
        <w:t>−</w:t>
      </w:r>
      <w:r w:rsidR="00B537DF" w:rsidRPr="00C658FF">
        <w:rPr>
          <w:rFonts w:ascii="Times New Roman" w:eastAsia="Times New Roman" w:hAnsi="Times New Roman" w:cs="Times New Roman"/>
          <w:color w:val="auto"/>
          <w:sz w:val="24"/>
          <w:szCs w:val="24"/>
        </w:rPr>
        <w:t>08</w:t>
      </w:r>
      <w:r w:rsidR="009D100D" w:rsidRPr="00C658FF">
        <w:rPr>
          <w:rFonts w:ascii="Times New Roman" w:eastAsia="Times New Roman" w:hAnsi="Times New Roman" w:cs="Times New Roman"/>
          <w:color w:val="auto"/>
          <w:sz w:val="24"/>
          <w:szCs w:val="24"/>
        </w:rPr>
        <w:t>−2010) and the bearish (</w:t>
      </w:r>
      <w:r w:rsidR="00B537DF" w:rsidRPr="00C658FF">
        <w:rPr>
          <w:rFonts w:ascii="Times New Roman" w:eastAsia="Times New Roman" w:hAnsi="Times New Roman" w:cs="Times New Roman"/>
          <w:color w:val="auto"/>
          <w:sz w:val="24"/>
          <w:szCs w:val="24"/>
        </w:rPr>
        <w:t>11</w:t>
      </w:r>
      <w:r w:rsidR="009D100D" w:rsidRPr="00C658FF">
        <w:rPr>
          <w:rFonts w:ascii="Times New Roman" w:eastAsia="Times New Roman" w:hAnsi="Times New Roman" w:cs="Times New Roman"/>
          <w:color w:val="auto"/>
          <w:sz w:val="24"/>
          <w:szCs w:val="24"/>
        </w:rPr>
        <w:t>−</w:t>
      </w:r>
      <w:r w:rsidR="00B537DF" w:rsidRPr="00C658FF">
        <w:rPr>
          <w:rFonts w:ascii="Times New Roman" w:eastAsia="Times New Roman" w:hAnsi="Times New Roman" w:cs="Times New Roman"/>
          <w:color w:val="auto"/>
          <w:sz w:val="24"/>
          <w:szCs w:val="24"/>
        </w:rPr>
        <w:t>09</w:t>
      </w:r>
      <w:r w:rsidR="009D100D" w:rsidRPr="00C658FF">
        <w:rPr>
          <w:rFonts w:ascii="Times New Roman" w:eastAsia="Times New Roman" w:hAnsi="Times New Roman" w:cs="Times New Roman"/>
          <w:color w:val="auto"/>
          <w:sz w:val="24"/>
          <w:szCs w:val="24"/>
        </w:rPr>
        <w:t xml:space="preserve">−2010 ~ 01−01−2012) </w:t>
      </w:r>
      <w:r w:rsidRPr="00C658FF">
        <w:rPr>
          <w:rFonts w:ascii="Times New Roman" w:eastAsia="Times New Roman" w:hAnsi="Times New Roman" w:cs="Times New Roman"/>
          <w:color w:val="auto"/>
          <w:sz w:val="24"/>
          <w:szCs w:val="24"/>
        </w:rPr>
        <w:t>phases</w:t>
      </w:r>
      <w:r w:rsidR="00EB26A5">
        <w:rPr>
          <w:rFonts w:ascii="Times New Roman" w:eastAsia="Times New Roman" w:hAnsi="Times New Roman" w:cs="Times New Roman"/>
          <w:color w:val="auto"/>
          <w:sz w:val="24"/>
          <w:szCs w:val="24"/>
        </w:rPr>
        <w:t>.</w:t>
      </w:r>
    </w:p>
    <w:p w14:paraId="7D60389F" w14:textId="77777777" w:rsidR="00EB26A5" w:rsidRPr="00C658FF" w:rsidRDefault="00EB26A5" w:rsidP="00C658FF">
      <w:pPr>
        <w:spacing w:after="0"/>
      </w:pPr>
    </w:p>
    <w:tbl>
      <w:tblPr>
        <w:tblStyle w:val="TableGrid"/>
        <w:tblpPr w:leftFromText="180" w:rightFromText="180" w:vertAnchor="text" w:tblpXSpec="center" w:tblpY="1"/>
        <w:tblOverlap w:val="never"/>
        <w:tblW w:w="945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91"/>
        <w:gridCol w:w="1891"/>
        <w:gridCol w:w="1891"/>
        <w:gridCol w:w="1891"/>
      </w:tblGrid>
      <w:tr w:rsidR="00E923F6" w:rsidRPr="00B94D55" w14:paraId="5185646F" w14:textId="77777777" w:rsidTr="00A87058">
        <w:trPr>
          <w:trHeight w:val="170"/>
        </w:trPr>
        <w:tc>
          <w:tcPr>
            <w:tcW w:w="1890" w:type="dxa"/>
            <w:vMerge w:val="restart"/>
            <w:tcBorders>
              <w:top w:val="single" w:sz="4" w:space="0" w:color="auto"/>
              <w:right w:val="nil"/>
            </w:tcBorders>
            <w:vAlign w:val="center"/>
          </w:tcPr>
          <w:p w14:paraId="1DB6937C" w14:textId="77777777" w:rsidR="00E923F6" w:rsidRDefault="00E923F6" w:rsidP="00A87058">
            <w:pPr>
              <w:jc w:val="center"/>
              <w:rPr>
                <w:rFonts w:ascii="Times New Roman" w:hAnsi="Times New Roman" w:cs="Times New Roman"/>
              </w:rPr>
            </w:pPr>
            <w:r>
              <w:rPr>
                <w:rFonts w:ascii="Times New Roman" w:hAnsi="Times New Roman" w:cs="Times New Roman"/>
              </w:rPr>
              <w:t>Event</w:t>
            </w:r>
          </w:p>
          <w:p w14:paraId="0044C601" w14:textId="77777777" w:rsidR="00E923F6" w:rsidRDefault="00E923F6" w:rsidP="00A87058">
            <w:pPr>
              <w:jc w:val="center"/>
              <w:rPr>
                <w:rFonts w:ascii="Times New Roman" w:hAnsi="Times New Roman" w:cs="Times New Roman"/>
              </w:rPr>
            </w:pPr>
            <w:r>
              <w:rPr>
                <w:rFonts w:ascii="Times New Roman" w:hAnsi="Times New Roman" w:cs="Times New Roman"/>
              </w:rPr>
              <w:t>day</w:t>
            </w:r>
          </w:p>
        </w:tc>
        <w:tc>
          <w:tcPr>
            <w:tcW w:w="3782" w:type="dxa"/>
            <w:gridSpan w:val="2"/>
            <w:tcBorders>
              <w:top w:val="single" w:sz="4" w:space="0" w:color="auto"/>
              <w:left w:val="nil"/>
              <w:bottom w:val="single" w:sz="4" w:space="0" w:color="auto"/>
              <w:right w:val="nil"/>
            </w:tcBorders>
          </w:tcPr>
          <w:p w14:paraId="696CD28D" w14:textId="77777777" w:rsidR="00E923F6" w:rsidRPr="00B94D55" w:rsidRDefault="00E923F6" w:rsidP="00A87058">
            <w:pPr>
              <w:jc w:val="center"/>
              <w:rPr>
                <w:rFonts w:ascii="Times New Roman" w:hAnsi="Times New Roman" w:cs="Times New Roman"/>
              </w:rPr>
            </w:pPr>
            <w:r>
              <w:rPr>
                <w:rFonts w:ascii="Times New Roman" w:hAnsi="Times New Roman" w:cs="Times New Roman"/>
              </w:rPr>
              <w:t>Bullish</w:t>
            </w:r>
          </w:p>
        </w:tc>
        <w:tc>
          <w:tcPr>
            <w:tcW w:w="3782" w:type="dxa"/>
            <w:gridSpan w:val="2"/>
            <w:tcBorders>
              <w:top w:val="single" w:sz="4" w:space="0" w:color="auto"/>
              <w:left w:val="nil"/>
              <w:bottom w:val="single" w:sz="4" w:space="0" w:color="auto"/>
            </w:tcBorders>
          </w:tcPr>
          <w:p w14:paraId="0ED6624A" w14:textId="77777777" w:rsidR="00E923F6" w:rsidRDefault="00E923F6" w:rsidP="00A87058">
            <w:pPr>
              <w:jc w:val="center"/>
              <w:rPr>
                <w:rFonts w:ascii="Times New Roman" w:hAnsi="Times New Roman" w:cs="Times New Roman"/>
              </w:rPr>
            </w:pPr>
            <w:r>
              <w:rPr>
                <w:rFonts w:ascii="Times New Roman" w:hAnsi="Times New Roman" w:cs="Times New Roman"/>
              </w:rPr>
              <w:t>Bearish</w:t>
            </w:r>
          </w:p>
        </w:tc>
      </w:tr>
      <w:tr w:rsidR="00E923F6" w:rsidRPr="00B94D55" w14:paraId="608BBF46" w14:textId="77777777" w:rsidTr="00A87058">
        <w:trPr>
          <w:trHeight w:val="231"/>
        </w:trPr>
        <w:tc>
          <w:tcPr>
            <w:tcW w:w="1890" w:type="dxa"/>
            <w:vMerge/>
            <w:tcBorders>
              <w:right w:val="nil"/>
            </w:tcBorders>
          </w:tcPr>
          <w:p w14:paraId="056ACEF8" w14:textId="77777777" w:rsidR="00E923F6" w:rsidRPr="00B94D55" w:rsidRDefault="00E923F6" w:rsidP="00A87058">
            <w:pPr>
              <w:jc w:val="center"/>
              <w:rPr>
                <w:rFonts w:ascii="Times New Roman" w:hAnsi="Times New Roman" w:cs="Times New Roman"/>
              </w:rPr>
            </w:pPr>
          </w:p>
        </w:tc>
        <w:tc>
          <w:tcPr>
            <w:tcW w:w="1891" w:type="dxa"/>
            <w:tcBorders>
              <w:top w:val="single" w:sz="4" w:space="0" w:color="auto"/>
              <w:left w:val="nil"/>
              <w:bottom w:val="single" w:sz="4" w:space="0" w:color="auto"/>
              <w:right w:val="nil"/>
            </w:tcBorders>
          </w:tcPr>
          <w:p w14:paraId="6D92AEFF" w14:textId="77777777" w:rsidR="00E923F6" w:rsidRPr="00B94D55" w:rsidRDefault="00E923F6" w:rsidP="00A87058">
            <w:pPr>
              <w:jc w:val="center"/>
              <w:rPr>
                <w:rFonts w:ascii="Times New Roman" w:hAnsi="Times New Roman" w:cs="Times New Roman"/>
              </w:rPr>
            </w:pPr>
            <w:r w:rsidRPr="00B94D55">
              <w:rPr>
                <w:rFonts w:ascii="Times New Roman" w:hAnsi="Times New Roman" w:cs="Times New Roman"/>
              </w:rPr>
              <w:t>MM</w:t>
            </w:r>
          </w:p>
        </w:tc>
        <w:tc>
          <w:tcPr>
            <w:tcW w:w="1891" w:type="dxa"/>
            <w:tcBorders>
              <w:top w:val="single" w:sz="4" w:space="0" w:color="auto"/>
              <w:left w:val="nil"/>
              <w:bottom w:val="single" w:sz="4" w:space="0" w:color="auto"/>
              <w:right w:val="nil"/>
            </w:tcBorders>
          </w:tcPr>
          <w:p w14:paraId="2F50619A" w14:textId="77777777" w:rsidR="00E923F6" w:rsidRPr="00B94D55" w:rsidRDefault="00E923F6" w:rsidP="00A87058">
            <w:pPr>
              <w:jc w:val="center"/>
              <w:rPr>
                <w:rFonts w:ascii="Times New Roman" w:hAnsi="Times New Roman" w:cs="Times New Roman"/>
              </w:rPr>
            </w:pPr>
            <w:r w:rsidRPr="00B94D55">
              <w:rPr>
                <w:rFonts w:ascii="Times New Roman" w:hAnsi="Times New Roman" w:cs="Times New Roman"/>
              </w:rPr>
              <w:t>3-Factor</w:t>
            </w:r>
          </w:p>
        </w:tc>
        <w:tc>
          <w:tcPr>
            <w:tcW w:w="1891" w:type="dxa"/>
            <w:tcBorders>
              <w:top w:val="single" w:sz="4" w:space="0" w:color="auto"/>
              <w:left w:val="nil"/>
              <w:bottom w:val="single" w:sz="4" w:space="0" w:color="auto"/>
              <w:right w:val="nil"/>
            </w:tcBorders>
          </w:tcPr>
          <w:p w14:paraId="39BD1940" w14:textId="77777777" w:rsidR="00E923F6" w:rsidRPr="00B94D55" w:rsidRDefault="00E923F6" w:rsidP="00A87058">
            <w:pPr>
              <w:jc w:val="center"/>
              <w:rPr>
                <w:rFonts w:ascii="Times New Roman" w:hAnsi="Times New Roman" w:cs="Times New Roman"/>
              </w:rPr>
            </w:pPr>
            <w:r>
              <w:rPr>
                <w:rFonts w:ascii="Times New Roman" w:hAnsi="Times New Roman" w:cs="Times New Roman"/>
              </w:rPr>
              <w:t>MM</w:t>
            </w:r>
          </w:p>
        </w:tc>
        <w:tc>
          <w:tcPr>
            <w:tcW w:w="1891" w:type="dxa"/>
            <w:tcBorders>
              <w:top w:val="single" w:sz="4" w:space="0" w:color="auto"/>
              <w:left w:val="nil"/>
              <w:bottom w:val="single" w:sz="4" w:space="0" w:color="auto"/>
            </w:tcBorders>
          </w:tcPr>
          <w:p w14:paraId="267E90F5" w14:textId="77777777" w:rsidR="00E923F6" w:rsidRPr="00B94D55" w:rsidRDefault="00E923F6" w:rsidP="00A87058">
            <w:pPr>
              <w:jc w:val="center"/>
              <w:rPr>
                <w:rFonts w:ascii="Times New Roman" w:hAnsi="Times New Roman" w:cs="Times New Roman"/>
              </w:rPr>
            </w:pPr>
            <w:r w:rsidRPr="00B94D55">
              <w:rPr>
                <w:rFonts w:ascii="Times New Roman" w:hAnsi="Times New Roman" w:cs="Times New Roman"/>
              </w:rPr>
              <w:t>3-Factor</w:t>
            </w:r>
          </w:p>
        </w:tc>
      </w:tr>
      <w:tr w:rsidR="00E923F6" w:rsidRPr="00B94D55" w14:paraId="4F5F8858" w14:textId="77777777" w:rsidTr="00A87058">
        <w:trPr>
          <w:trHeight w:val="341"/>
        </w:trPr>
        <w:tc>
          <w:tcPr>
            <w:tcW w:w="1890" w:type="dxa"/>
            <w:vMerge/>
            <w:tcBorders>
              <w:bottom w:val="single" w:sz="4" w:space="0" w:color="auto"/>
              <w:right w:val="nil"/>
            </w:tcBorders>
          </w:tcPr>
          <w:p w14:paraId="6C35CA14" w14:textId="77777777" w:rsidR="00E923F6" w:rsidRPr="00B94D55" w:rsidRDefault="00E923F6" w:rsidP="00A87058">
            <w:pPr>
              <w:jc w:val="center"/>
              <w:rPr>
                <w:rFonts w:ascii="Times New Roman" w:hAnsi="Times New Roman" w:cs="Times New Roman"/>
              </w:rPr>
            </w:pPr>
          </w:p>
        </w:tc>
        <w:tc>
          <w:tcPr>
            <w:tcW w:w="1891" w:type="dxa"/>
            <w:tcBorders>
              <w:top w:val="single" w:sz="4" w:space="0" w:color="auto"/>
              <w:left w:val="nil"/>
              <w:bottom w:val="single" w:sz="4" w:space="0" w:color="auto"/>
              <w:right w:val="nil"/>
            </w:tcBorders>
          </w:tcPr>
          <w:p w14:paraId="66963F73" w14:textId="0E8B027A" w:rsidR="00E923F6" w:rsidRPr="00B94D55" w:rsidRDefault="00E923F6" w:rsidP="00A87058">
            <w:pPr>
              <w:jc w:val="center"/>
              <w:rPr>
                <w:rFonts w:ascii="Times New Roman" w:hAnsi="Times New Roman" w:cs="Times New Roman"/>
              </w:rPr>
            </w:pPr>
            <w:r w:rsidRPr="00B94D55">
              <w:rPr>
                <w:rFonts w:ascii="Times New Roman" w:hAnsi="Times New Roman" w:cs="Times New Roman"/>
              </w:rPr>
              <w:t>Average AR</w:t>
            </w:r>
            <w:r w:rsidR="00A8565D">
              <w:rPr>
                <w:rFonts w:ascii="Times New Roman" w:hAnsi="Times New Roman" w:cs="Times New Roman"/>
              </w:rPr>
              <w:t xml:space="preserve"> (%)</w:t>
            </w:r>
          </w:p>
        </w:tc>
        <w:tc>
          <w:tcPr>
            <w:tcW w:w="1891" w:type="dxa"/>
            <w:tcBorders>
              <w:top w:val="single" w:sz="4" w:space="0" w:color="auto"/>
              <w:left w:val="nil"/>
              <w:bottom w:val="single" w:sz="4" w:space="0" w:color="auto"/>
              <w:right w:val="nil"/>
            </w:tcBorders>
          </w:tcPr>
          <w:p w14:paraId="2D0D050E" w14:textId="195EAF0A" w:rsidR="00E923F6" w:rsidRPr="00B94D55" w:rsidRDefault="00E923F6" w:rsidP="00A87058">
            <w:pPr>
              <w:jc w:val="center"/>
              <w:rPr>
                <w:rFonts w:ascii="Times New Roman" w:hAnsi="Times New Roman" w:cs="Times New Roman"/>
              </w:rPr>
            </w:pPr>
            <w:r w:rsidRPr="00B94D55">
              <w:rPr>
                <w:rFonts w:ascii="Times New Roman" w:hAnsi="Times New Roman" w:cs="Times New Roman"/>
              </w:rPr>
              <w:t>Average AR</w:t>
            </w:r>
            <w:r w:rsidR="00A8565D">
              <w:rPr>
                <w:rFonts w:ascii="Times New Roman" w:hAnsi="Times New Roman" w:cs="Times New Roman"/>
              </w:rPr>
              <w:t xml:space="preserve"> (%)</w:t>
            </w:r>
          </w:p>
        </w:tc>
        <w:tc>
          <w:tcPr>
            <w:tcW w:w="1891" w:type="dxa"/>
            <w:tcBorders>
              <w:top w:val="single" w:sz="4" w:space="0" w:color="auto"/>
              <w:left w:val="nil"/>
              <w:bottom w:val="single" w:sz="4" w:space="0" w:color="auto"/>
              <w:right w:val="nil"/>
            </w:tcBorders>
          </w:tcPr>
          <w:p w14:paraId="6787C19A" w14:textId="6F7B24A6" w:rsidR="00E923F6" w:rsidRPr="00B94D55" w:rsidRDefault="00E923F6" w:rsidP="00A87058">
            <w:pPr>
              <w:jc w:val="center"/>
              <w:rPr>
                <w:rFonts w:ascii="Times New Roman" w:hAnsi="Times New Roman" w:cs="Times New Roman"/>
              </w:rPr>
            </w:pPr>
            <w:r w:rsidRPr="00B94D55">
              <w:rPr>
                <w:rFonts w:ascii="Times New Roman" w:hAnsi="Times New Roman" w:cs="Times New Roman"/>
              </w:rPr>
              <w:t>Average AR</w:t>
            </w:r>
            <w:r w:rsidR="00A8565D">
              <w:rPr>
                <w:rFonts w:ascii="Times New Roman" w:hAnsi="Times New Roman" w:cs="Times New Roman"/>
              </w:rPr>
              <w:t xml:space="preserve"> (%)</w:t>
            </w:r>
          </w:p>
        </w:tc>
        <w:tc>
          <w:tcPr>
            <w:tcW w:w="1891" w:type="dxa"/>
            <w:tcBorders>
              <w:top w:val="single" w:sz="4" w:space="0" w:color="auto"/>
              <w:left w:val="nil"/>
              <w:bottom w:val="single" w:sz="4" w:space="0" w:color="auto"/>
            </w:tcBorders>
          </w:tcPr>
          <w:p w14:paraId="5E1B10C7" w14:textId="6493EEE7" w:rsidR="00E923F6" w:rsidRPr="00B94D55" w:rsidRDefault="00E923F6" w:rsidP="00A87058">
            <w:pPr>
              <w:jc w:val="center"/>
              <w:rPr>
                <w:rFonts w:ascii="Times New Roman" w:eastAsia="Times New Roman" w:hAnsi="Times New Roman" w:cs="Times New Roman"/>
                <w:color w:val="000000"/>
                <w:lang w:eastAsia="en-GB"/>
              </w:rPr>
            </w:pPr>
            <w:r w:rsidRPr="00B94D55">
              <w:rPr>
                <w:rFonts w:ascii="Times New Roman" w:hAnsi="Times New Roman" w:cs="Times New Roman"/>
              </w:rPr>
              <w:t>Average AR</w:t>
            </w:r>
            <w:r w:rsidR="00A8565D">
              <w:rPr>
                <w:rFonts w:ascii="Times New Roman" w:hAnsi="Times New Roman" w:cs="Times New Roman"/>
              </w:rPr>
              <w:t xml:space="preserve"> (%)</w:t>
            </w:r>
          </w:p>
        </w:tc>
      </w:tr>
      <w:tr w:rsidR="00E923F6" w:rsidRPr="000E13FC" w14:paraId="7B2FEB61" w14:textId="77777777" w:rsidTr="00A87058">
        <w:trPr>
          <w:trHeight w:val="363"/>
        </w:trPr>
        <w:tc>
          <w:tcPr>
            <w:tcW w:w="1890" w:type="dxa"/>
          </w:tcPr>
          <w:p w14:paraId="1EFE80F2" w14:textId="77777777" w:rsidR="00E923F6" w:rsidRPr="000E13FC" w:rsidRDefault="00E923F6" w:rsidP="000E13FC">
            <w:pPr>
              <w:jc w:val="center"/>
              <w:rPr>
                <w:rFonts w:ascii="Times New Roman" w:hAnsi="Times New Roman" w:cs="Times New Roman"/>
                <w:sz w:val="20"/>
                <w:szCs w:val="20"/>
              </w:rPr>
            </w:pPr>
            <w:r w:rsidRPr="000E13FC">
              <w:rPr>
                <w:rFonts w:ascii="Times New Roman" w:hAnsi="Times New Roman" w:cs="Times New Roman"/>
                <w:sz w:val="20"/>
                <w:szCs w:val="20"/>
              </w:rPr>
              <w:t>-5</w:t>
            </w:r>
          </w:p>
        </w:tc>
        <w:tc>
          <w:tcPr>
            <w:tcW w:w="1891" w:type="dxa"/>
          </w:tcPr>
          <w:p w14:paraId="24A589C0"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-0.052</w:t>
            </w:r>
          </w:p>
          <w:p w14:paraId="7DA24950"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(-0.703)</w:t>
            </w:r>
          </w:p>
        </w:tc>
        <w:tc>
          <w:tcPr>
            <w:tcW w:w="1891" w:type="dxa"/>
          </w:tcPr>
          <w:p w14:paraId="55E3759A"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-0.044</w:t>
            </w:r>
          </w:p>
          <w:p w14:paraId="12237262"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(-0.332)</w:t>
            </w:r>
          </w:p>
        </w:tc>
        <w:tc>
          <w:tcPr>
            <w:tcW w:w="1891" w:type="dxa"/>
          </w:tcPr>
          <w:p w14:paraId="74E7E07B" w14:textId="77777777" w:rsidR="00E923F6" w:rsidRPr="000E13FC" w:rsidRDefault="00E923F6" w:rsidP="000E13FC">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-0.078</w:t>
            </w:r>
          </w:p>
          <w:p w14:paraId="7E9BC870" w14:textId="77777777" w:rsidR="00E923F6" w:rsidRPr="000E13FC" w:rsidRDefault="00E923F6" w:rsidP="000E13FC">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w:t>
            </w:r>
            <w:r w:rsidRPr="000E13FC">
              <w:rPr>
                <w:rFonts w:ascii="Times New Roman" w:hAnsi="Times New Roman" w:cs="Times New Roman"/>
                <w:color w:val="000000"/>
                <w:sz w:val="20"/>
                <w:szCs w:val="20"/>
              </w:rPr>
              <w:t>-0.835)</w:t>
            </w:r>
          </w:p>
        </w:tc>
        <w:tc>
          <w:tcPr>
            <w:tcW w:w="1891" w:type="dxa"/>
          </w:tcPr>
          <w:p w14:paraId="39657756"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-0.135</w:t>
            </w:r>
          </w:p>
          <w:p w14:paraId="049FE175"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(-1.39)</w:t>
            </w:r>
          </w:p>
          <w:p w14:paraId="0498F65C" w14:textId="77777777" w:rsidR="00E923F6" w:rsidRPr="000E13FC" w:rsidRDefault="00E923F6" w:rsidP="000E13FC">
            <w:pPr>
              <w:jc w:val="center"/>
              <w:rPr>
                <w:rFonts w:ascii="Times New Roman" w:hAnsi="Times New Roman" w:cs="Times New Roman"/>
                <w:color w:val="000000"/>
                <w:sz w:val="20"/>
                <w:szCs w:val="20"/>
              </w:rPr>
            </w:pPr>
          </w:p>
        </w:tc>
      </w:tr>
      <w:tr w:rsidR="00E923F6" w:rsidRPr="000E13FC" w14:paraId="2E74F5CE" w14:textId="77777777" w:rsidTr="00A87058">
        <w:trPr>
          <w:trHeight w:val="243"/>
        </w:trPr>
        <w:tc>
          <w:tcPr>
            <w:tcW w:w="1890" w:type="dxa"/>
          </w:tcPr>
          <w:p w14:paraId="7865DEC6" w14:textId="77777777" w:rsidR="00E923F6" w:rsidRPr="000E13FC" w:rsidRDefault="00E923F6" w:rsidP="000E13FC">
            <w:pPr>
              <w:jc w:val="center"/>
              <w:rPr>
                <w:rFonts w:ascii="Times New Roman" w:hAnsi="Times New Roman" w:cs="Times New Roman"/>
                <w:sz w:val="20"/>
                <w:szCs w:val="20"/>
              </w:rPr>
            </w:pPr>
            <w:r w:rsidRPr="000E13FC">
              <w:rPr>
                <w:rFonts w:ascii="Times New Roman" w:hAnsi="Times New Roman" w:cs="Times New Roman"/>
                <w:sz w:val="20"/>
                <w:szCs w:val="20"/>
              </w:rPr>
              <w:t>-4</w:t>
            </w:r>
          </w:p>
        </w:tc>
        <w:tc>
          <w:tcPr>
            <w:tcW w:w="1891" w:type="dxa"/>
          </w:tcPr>
          <w:p w14:paraId="7720398D" w14:textId="77777777" w:rsidR="00E923F6" w:rsidRPr="000E13FC" w:rsidRDefault="00E923F6" w:rsidP="000E13FC">
            <w:pPr>
              <w:jc w:val="center"/>
              <w:rPr>
                <w:rFonts w:ascii="Times New Roman" w:hAnsi="Times New Roman" w:cs="Times New Roman"/>
                <w:sz w:val="20"/>
                <w:szCs w:val="20"/>
              </w:rPr>
            </w:pPr>
            <w:r w:rsidRPr="000E13FC">
              <w:rPr>
                <w:rFonts w:ascii="Times New Roman" w:hAnsi="Times New Roman" w:cs="Times New Roman"/>
                <w:sz w:val="20"/>
                <w:szCs w:val="20"/>
              </w:rPr>
              <w:t>0.098</w:t>
            </w:r>
          </w:p>
          <w:p w14:paraId="2A4CDE85" w14:textId="77777777" w:rsidR="00E923F6" w:rsidRPr="000E13FC" w:rsidRDefault="00E923F6" w:rsidP="000E13FC">
            <w:pPr>
              <w:jc w:val="center"/>
              <w:rPr>
                <w:rFonts w:ascii="Times New Roman" w:hAnsi="Times New Roman" w:cs="Times New Roman"/>
                <w:sz w:val="20"/>
                <w:szCs w:val="20"/>
              </w:rPr>
            </w:pPr>
            <w:r w:rsidRPr="000E13FC">
              <w:rPr>
                <w:rFonts w:ascii="Times New Roman" w:hAnsi="Times New Roman" w:cs="Times New Roman"/>
                <w:sz w:val="20"/>
                <w:szCs w:val="20"/>
              </w:rPr>
              <w:t>(0.715)</w:t>
            </w:r>
          </w:p>
        </w:tc>
        <w:tc>
          <w:tcPr>
            <w:tcW w:w="1891" w:type="dxa"/>
          </w:tcPr>
          <w:p w14:paraId="62015760"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0.052</w:t>
            </w:r>
          </w:p>
          <w:p w14:paraId="6881ED84"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(0.559)</w:t>
            </w:r>
          </w:p>
        </w:tc>
        <w:tc>
          <w:tcPr>
            <w:tcW w:w="1891" w:type="dxa"/>
          </w:tcPr>
          <w:p w14:paraId="5B81D384" w14:textId="77777777" w:rsidR="00E923F6" w:rsidRPr="000E13FC" w:rsidRDefault="00E923F6" w:rsidP="000E13FC">
            <w:pPr>
              <w:jc w:val="center"/>
              <w:rPr>
                <w:rFonts w:ascii="Times New Roman" w:eastAsia="Times New Roman" w:hAnsi="Times New Roman" w:cs="Times New Roman"/>
                <w:sz w:val="20"/>
                <w:szCs w:val="20"/>
                <w:lang w:eastAsia="en-GB"/>
              </w:rPr>
            </w:pPr>
            <w:r w:rsidRPr="000E13FC">
              <w:rPr>
                <w:rFonts w:ascii="Times New Roman" w:eastAsia="Times New Roman" w:hAnsi="Times New Roman" w:cs="Times New Roman"/>
                <w:sz w:val="20"/>
                <w:szCs w:val="20"/>
                <w:lang w:eastAsia="en-GB"/>
              </w:rPr>
              <w:t>-0.095</w:t>
            </w:r>
          </w:p>
          <w:p w14:paraId="1E9C64BE" w14:textId="77777777" w:rsidR="00E923F6" w:rsidRPr="000E13FC" w:rsidRDefault="00E923F6" w:rsidP="000E13FC">
            <w:pPr>
              <w:jc w:val="center"/>
              <w:rPr>
                <w:rFonts w:ascii="Times New Roman" w:eastAsia="Times New Roman" w:hAnsi="Times New Roman" w:cs="Times New Roman"/>
                <w:sz w:val="20"/>
                <w:szCs w:val="20"/>
                <w:lang w:eastAsia="en-GB"/>
              </w:rPr>
            </w:pPr>
            <w:r w:rsidRPr="000E13FC">
              <w:rPr>
                <w:rFonts w:ascii="Times New Roman" w:eastAsia="Times New Roman" w:hAnsi="Times New Roman" w:cs="Times New Roman"/>
                <w:sz w:val="20"/>
                <w:szCs w:val="20"/>
                <w:lang w:eastAsia="en-GB"/>
              </w:rPr>
              <w:t>(</w:t>
            </w:r>
            <w:r w:rsidRPr="000E13FC">
              <w:rPr>
                <w:rFonts w:ascii="Times New Roman" w:hAnsi="Times New Roman" w:cs="Times New Roman"/>
                <w:sz w:val="20"/>
                <w:szCs w:val="20"/>
              </w:rPr>
              <w:t>-0.913)</w:t>
            </w:r>
          </w:p>
        </w:tc>
        <w:tc>
          <w:tcPr>
            <w:tcW w:w="1891" w:type="dxa"/>
          </w:tcPr>
          <w:p w14:paraId="70D1952D"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-0.116</w:t>
            </w:r>
          </w:p>
          <w:p w14:paraId="3354DC7B"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(-0.899)</w:t>
            </w:r>
          </w:p>
          <w:p w14:paraId="599B1B58" w14:textId="77777777" w:rsidR="00E923F6" w:rsidRPr="000E13FC" w:rsidRDefault="00E923F6" w:rsidP="000E13FC">
            <w:pPr>
              <w:jc w:val="center"/>
              <w:rPr>
                <w:rFonts w:ascii="Times New Roman" w:hAnsi="Times New Roman" w:cs="Times New Roman"/>
                <w:color w:val="000000"/>
                <w:sz w:val="20"/>
                <w:szCs w:val="20"/>
              </w:rPr>
            </w:pPr>
          </w:p>
        </w:tc>
      </w:tr>
      <w:tr w:rsidR="00E923F6" w:rsidRPr="000E13FC" w14:paraId="70590744" w14:textId="77777777" w:rsidTr="00A87058">
        <w:trPr>
          <w:trHeight w:val="233"/>
        </w:trPr>
        <w:tc>
          <w:tcPr>
            <w:tcW w:w="1890" w:type="dxa"/>
          </w:tcPr>
          <w:p w14:paraId="5806BCD2" w14:textId="77777777" w:rsidR="00E923F6" w:rsidRPr="000E13FC" w:rsidRDefault="00E923F6" w:rsidP="000E13FC">
            <w:pPr>
              <w:jc w:val="center"/>
              <w:rPr>
                <w:rFonts w:ascii="Times New Roman" w:hAnsi="Times New Roman" w:cs="Times New Roman"/>
                <w:sz w:val="20"/>
                <w:szCs w:val="20"/>
              </w:rPr>
            </w:pPr>
            <w:r w:rsidRPr="000E13FC">
              <w:rPr>
                <w:rFonts w:ascii="Times New Roman" w:hAnsi="Times New Roman" w:cs="Times New Roman"/>
                <w:sz w:val="20"/>
                <w:szCs w:val="20"/>
              </w:rPr>
              <w:t>-3</w:t>
            </w:r>
          </w:p>
        </w:tc>
        <w:tc>
          <w:tcPr>
            <w:tcW w:w="1891" w:type="dxa"/>
          </w:tcPr>
          <w:p w14:paraId="1586AE17" w14:textId="77777777" w:rsidR="00E923F6" w:rsidRPr="000E13FC" w:rsidRDefault="00E923F6" w:rsidP="000E13FC">
            <w:pPr>
              <w:jc w:val="center"/>
              <w:rPr>
                <w:rFonts w:ascii="Times New Roman" w:hAnsi="Times New Roman" w:cs="Times New Roman"/>
                <w:sz w:val="20"/>
                <w:szCs w:val="20"/>
              </w:rPr>
            </w:pPr>
            <w:r w:rsidRPr="000E13FC">
              <w:rPr>
                <w:rFonts w:ascii="Times New Roman" w:hAnsi="Times New Roman" w:cs="Times New Roman"/>
                <w:sz w:val="20"/>
                <w:szCs w:val="20"/>
              </w:rPr>
              <w:t>-0.135</w:t>
            </w:r>
          </w:p>
          <w:p w14:paraId="6AD16E1D" w14:textId="77777777" w:rsidR="00E923F6" w:rsidRPr="000E13FC" w:rsidRDefault="00E923F6" w:rsidP="000E13FC">
            <w:pPr>
              <w:jc w:val="center"/>
              <w:rPr>
                <w:rFonts w:ascii="Times New Roman" w:hAnsi="Times New Roman" w:cs="Times New Roman"/>
                <w:sz w:val="20"/>
                <w:szCs w:val="20"/>
              </w:rPr>
            </w:pPr>
            <w:r w:rsidRPr="000E13FC">
              <w:rPr>
                <w:rFonts w:ascii="Times New Roman" w:hAnsi="Times New Roman" w:cs="Times New Roman"/>
                <w:sz w:val="20"/>
                <w:szCs w:val="20"/>
              </w:rPr>
              <w:t>(-1.607)</w:t>
            </w:r>
          </w:p>
        </w:tc>
        <w:tc>
          <w:tcPr>
            <w:tcW w:w="1891" w:type="dxa"/>
          </w:tcPr>
          <w:p w14:paraId="7F7A2C7E"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0.022</w:t>
            </w:r>
          </w:p>
          <w:p w14:paraId="0D09D596"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(0.226)</w:t>
            </w:r>
          </w:p>
        </w:tc>
        <w:tc>
          <w:tcPr>
            <w:tcW w:w="1891" w:type="dxa"/>
          </w:tcPr>
          <w:p w14:paraId="4D53A00D" w14:textId="77777777" w:rsidR="00E923F6" w:rsidRPr="000E13FC" w:rsidRDefault="00E923F6" w:rsidP="000E13FC">
            <w:pPr>
              <w:jc w:val="center"/>
              <w:rPr>
                <w:rFonts w:ascii="Times New Roman" w:eastAsia="Times New Roman" w:hAnsi="Times New Roman" w:cs="Times New Roman"/>
                <w:sz w:val="20"/>
                <w:szCs w:val="20"/>
                <w:lang w:eastAsia="en-GB"/>
              </w:rPr>
            </w:pPr>
            <w:r w:rsidRPr="000E13FC">
              <w:rPr>
                <w:rFonts w:ascii="Times New Roman" w:eastAsia="Times New Roman" w:hAnsi="Times New Roman" w:cs="Times New Roman"/>
                <w:sz w:val="20"/>
                <w:szCs w:val="20"/>
                <w:lang w:eastAsia="en-GB"/>
              </w:rPr>
              <w:t>-0.062</w:t>
            </w:r>
          </w:p>
          <w:p w14:paraId="1C2FF448" w14:textId="77777777" w:rsidR="00E923F6" w:rsidRPr="000E13FC" w:rsidRDefault="00E923F6" w:rsidP="000E13FC">
            <w:pPr>
              <w:jc w:val="center"/>
              <w:rPr>
                <w:rFonts w:ascii="Times New Roman" w:eastAsia="Times New Roman" w:hAnsi="Times New Roman" w:cs="Times New Roman"/>
                <w:sz w:val="20"/>
                <w:szCs w:val="20"/>
                <w:lang w:eastAsia="en-GB"/>
              </w:rPr>
            </w:pPr>
            <w:r w:rsidRPr="000E13FC">
              <w:rPr>
                <w:rFonts w:ascii="Times New Roman" w:eastAsia="Times New Roman" w:hAnsi="Times New Roman" w:cs="Times New Roman"/>
                <w:sz w:val="20"/>
                <w:szCs w:val="20"/>
                <w:lang w:eastAsia="en-GB"/>
              </w:rPr>
              <w:t>(</w:t>
            </w:r>
            <w:r w:rsidRPr="000E13FC">
              <w:rPr>
                <w:rFonts w:ascii="Times New Roman" w:hAnsi="Times New Roman" w:cs="Times New Roman"/>
                <w:sz w:val="20"/>
                <w:szCs w:val="20"/>
              </w:rPr>
              <w:t>0.000)</w:t>
            </w:r>
          </w:p>
        </w:tc>
        <w:tc>
          <w:tcPr>
            <w:tcW w:w="1891" w:type="dxa"/>
          </w:tcPr>
          <w:p w14:paraId="76BB34A9"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-0.069</w:t>
            </w:r>
          </w:p>
          <w:p w14:paraId="06E034AE"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(-0.536)</w:t>
            </w:r>
          </w:p>
          <w:p w14:paraId="62519F4C" w14:textId="77777777" w:rsidR="00E923F6" w:rsidRPr="000E13FC" w:rsidRDefault="00E923F6" w:rsidP="000E13FC">
            <w:pPr>
              <w:jc w:val="center"/>
              <w:rPr>
                <w:rFonts w:ascii="Times New Roman" w:hAnsi="Times New Roman" w:cs="Times New Roman"/>
                <w:color w:val="000000"/>
                <w:sz w:val="20"/>
                <w:szCs w:val="20"/>
              </w:rPr>
            </w:pPr>
          </w:p>
        </w:tc>
      </w:tr>
      <w:tr w:rsidR="00E923F6" w:rsidRPr="000E13FC" w14:paraId="07C6E02C" w14:textId="77777777" w:rsidTr="00A87058">
        <w:trPr>
          <w:trHeight w:val="243"/>
        </w:trPr>
        <w:tc>
          <w:tcPr>
            <w:tcW w:w="1890" w:type="dxa"/>
          </w:tcPr>
          <w:p w14:paraId="2278A1AF" w14:textId="77777777" w:rsidR="00E923F6" w:rsidRPr="000E13FC" w:rsidRDefault="00E923F6" w:rsidP="000E13FC">
            <w:pPr>
              <w:jc w:val="center"/>
              <w:rPr>
                <w:rFonts w:ascii="Times New Roman" w:hAnsi="Times New Roman" w:cs="Times New Roman"/>
                <w:sz w:val="20"/>
                <w:szCs w:val="20"/>
              </w:rPr>
            </w:pPr>
            <w:r w:rsidRPr="000E13FC">
              <w:rPr>
                <w:rFonts w:ascii="Times New Roman" w:hAnsi="Times New Roman" w:cs="Times New Roman"/>
                <w:sz w:val="20"/>
                <w:szCs w:val="20"/>
              </w:rPr>
              <w:t>-2</w:t>
            </w:r>
          </w:p>
        </w:tc>
        <w:tc>
          <w:tcPr>
            <w:tcW w:w="1891" w:type="dxa"/>
          </w:tcPr>
          <w:p w14:paraId="08DF724C" w14:textId="77777777" w:rsidR="00E923F6" w:rsidRPr="000E13FC" w:rsidRDefault="00E923F6" w:rsidP="000E13FC">
            <w:pPr>
              <w:jc w:val="center"/>
              <w:rPr>
                <w:rFonts w:ascii="Times New Roman" w:hAnsi="Times New Roman" w:cs="Times New Roman"/>
                <w:sz w:val="20"/>
                <w:szCs w:val="20"/>
              </w:rPr>
            </w:pPr>
            <w:r w:rsidRPr="000E13FC">
              <w:rPr>
                <w:rFonts w:ascii="Times New Roman" w:hAnsi="Times New Roman" w:cs="Times New Roman"/>
                <w:sz w:val="20"/>
                <w:szCs w:val="20"/>
              </w:rPr>
              <w:t>0.033</w:t>
            </w:r>
          </w:p>
          <w:p w14:paraId="7F30782A" w14:textId="77777777" w:rsidR="00E923F6" w:rsidRPr="000E13FC" w:rsidRDefault="00E923F6" w:rsidP="000E13FC">
            <w:pPr>
              <w:jc w:val="center"/>
              <w:rPr>
                <w:rFonts w:ascii="Times New Roman" w:hAnsi="Times New Roman" w:cs="Times New Roman"/>
                <w:sz w:val="20"/>
                <w:szCs w:val="20"/>
              </w:rPr>
            </w:pPr>
            <w:r w:rsidRPr="000E13FC">
              <w:rPr>
                <w:rFonts w:ascii="Times New Roman" w:hAnsi="Times New Roman" w:cs="Times New Roman"/>
                <w:sz w:val="20"/>
                <w:szCs w:val="20"/>
              </w:rPr>
              <w:t>(0.143)</w:t>
            </w:r>
          </w:p>
        </w:tc>
        <w:tc>
          <w:tcPr>
            <w:tcW w:w="1891" w:type="dxa"/>
          </w:tcPr>
          <w:p w14:paraId="017EEA0F"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0.032</w:t>
            </w:r>
          </w:p>
          <w:p w14:paraId="7CE5EC3B"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(0.337)</w:t>
            </w:r>
          </w:p>
        </w:tc>
        <w:tc>
          <w:tcPr>
            <w:tcW w:w="1891" w:type="dxa"/>
          </w:tcPr>
          <w:p w14:paraId="1BA488C6" w14:textId="77777777" w:rsidR="00E923F6" w:rsidRPr="000E13FC" w:rsidRDefault="00E923F6" w:rsidP="000E13FC">
            <w:pPr>
              <w:jc w:val="center"/>
              <w:rPr>
                <w:rFonts w:ascii="Times New Roman" w:eastAsia="Times New Roman" w:hAnsi="Times New Roman" w:cs="Times New Roman"/>
                <w:sz w:val="20"/>
                <w:szCs w:val="20"/>
                <w:lang w:eastAsia="en-GB"/>
              </w:rPr>
            </w:pPr>
            <w:r w:rsidRPr="000E13FC">
              <w:rPr>
                <w:rFonts w:ascii="Times New Roman" w:eastAsia="Times New Roman" w:hAnsi="Times New Roman" w:cs="Times New Roman"/>
                <w:sz w:val="20"/>
                <w:szCs w:val="20"/>
                <w:lang w:eastAsia="en-GB"/>
              </w:rPr>
              <w:t>-0.274</w:t>
            </w:r>
            <w:r w:rsidRPr="000E13FC">
              <w:rPr>
                <w:rFonts w:ascii="Times New Roman" w:hAnsi="Times New Roman" w:cs="Times New Roman"/>
                <w:sz w:val="20"/>
                <w:szCs w:val="20"/>
                <w:vertAlign w:val="superscript"/>
              </w:rPr>
              <w:t>**</w:t>
            </w:r>
          </w:p>
          <w:p w14:paraId="121FE42E" w14:textId="77777777" w:rsidR="00E923F6" w:rsidRPr="000E13FC" w:rsidRDefault="00E923F6" w:rsidP="000E13FC">
            <w:pPr>
              <w:jc w:val="center"/>
              <w:rPr>
                <w:rFonts w:ascii="Times New Roman" w:eastAsia="Times New Roman" w:hAnsi="Times New Roman" w:cs="Times New Roman"/>
                <w:sz w:val="20"/>
                <w:szCs w:val="20"/>
                <w:lang w:eastAsia="en-GB"/>
              </w:rPr>
            </w:pPr>
            <w:r w:rsidRPr="000E13FC">
              <w:rPr>
                <w:rFonts w:ascii="Times New Roman" w:eastAsia="Times New Roman" w:hAnsi="Times New Roman" w:cs="Times New Roman"/>
                <w:sz w:val="20"/>
                <w:szCs w:val="20"/>
                <w:lang w:eastAsia="en-GB"/>
              </w:rPr>
              <w:t>(</w:t>
            </w:r>
            <w:r w:rsidRPr="000E13FC">
              <w:rPr>
                <w:rFonts w:ascii="Times New Roman" w:hAnsi="Times New Roman" w:cs="Times New Roman"/>
                <w:sz w:val="20"/>
                <w:szCs w:val="20"/>
              </w:rPr>
              <w:t>-2.275)</w:t>
            </w:r>
          </w:p>
        </w:tc>
        <w:tc>
          <w:tcPr>
            <w:tcW w:w="1891" w:type="dxa"/>
          </w:tcPr>
          <w:p w14:paraId="6C8180CA"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-0.166</w:t>
            </w:r>
          </w:p>
          <w:p w14:paraId="3F36BB8C" w14:textId="77777777" w:rsidR="00E923F6" w:rsidRPr="000E13FC" w:rsidRDefault="00E923F6" w:rsidP="000E13FC">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(-1.26)</w:t>
            </w:r>
          </w:p>
          <w:p w14:paraId="31C5AE92" w14:textId="77777777" w:rsidR="00E923F6" w:rsidRPr="000E13FC" w:rsidRDefault="00E923F6" w:rsidP="000E13FC">
            <w:pPr>
              <w:jc w:val="center"/>
              <w:rPr>
                <w:rFonts w:ascii="Times New Roman" w:hAnsi="Times New Roman" w:cs="Times New Roman"/>
                <w:color w:val="000000"/>
                <w:sz w:val="20"/>
                <w:szCs w:val="20"/>
              </w:rPr>
            </w:pPr>
          </w:p>
        </w:tc>
      </w:tr>
      <w:tr w:rsidR="00E923F6" w:rsidRPr="000E13FC" w14:paraId="623893CB" w14:textId="77777777" w:rsidTr="00A87058">
        <w:trPr>
          <w:trHeight w:val="243"/>
        </w:trPr>
        <w:tc>
          <w:tcPr>
            <w:tcW w:w="1890" w:type="dxa"/>
          </w:tcPr>
          <w:p w14:paraId="7392B63F"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-1</w:t>
            </w:r>
          </w:p>
        </w:tc>
        <w:tc>
          <w:tcPr>
            <w:tcW w:w="1891" w:type="dxa"/>
          </w:tcPr>
          <w:p w14:paraId="5E668CEA"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0.061</w:t>
            </w:r>
            <w:r w:rsidRPr="000E13FC">
              <w:rPr>
                <w:rFonts w:ascii="Times New Roman" w:hAnsi="Times New Roman" w:cs="Times New Roman"/>
                <w:sz w:val="20"/>
                <w:szCs w:val="20"/>
                <w:vertAlign w:val="superscript"/>
              </w:rPr>
              <w:t>*</w:t>
            </w:r>
          </w:p>
          <w:p w14:paraId="1F38DAEE"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(0.179)</w:t>
            </w:r>
          </w:p>
        </w:tc>
        <w:tc>
          <w:tcPr>
            <w:tcW w:w="1891" w:type="dxa"/>
          </w:tcPr>
          <w:p w14:paraId="6333A1D8"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0.057</w:t>
            </w:r>
          </w:p>
          <w:p w14:paraId="4ED4BCF3"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(0.463)</w:t>
            </w:r>
          </w:p>
        </w:tc>
        <w:tc>
          <w:tcPr>
            <w:tcW w:w="1891" w:type="dxa"/>
          </w:tcPr>
          <w:p w14:paraId="52619C2E" w14:textId="77777777" w:rsidR="00E923F6" w:rsidRPr="000E13FC" w:rsidRDefault="00E923F6" w:rsidP="00A87058">
            <w:pPr>
              <w:jc w:val="center"/>
              <w:rPr>
                <w:rFonts w:ascii="Times New Roman" w:eastAsia="Times New Roman" w:hAnsi="Times New Roman" w:cs="Times New Roman"/>
                <w:sz w:val="20"/>
                <w:szCs w:val="20"/>
                <w:lang w:eastAsia="en-GB"/>
              </w:rPr>
            </w:pPr>
            <w:r w:rsidRPr="000E13FC">
              <w:rPr>
                <w:rFonts w:ascii="Times New Roman" w:eastAsia="Times New Roman" w:hAnsi="Times New Roman" w:cs="Times New Roman"/>
                <w:sz w:val="20"/>
                <w:szCs w:val="20"/>
                <w:lang w:eastAsia="en-GB"/>
              </w:rPr>
              <w:t>0.241</w:t>
            </w:r>
            <w:r w:rsidRPr="000E13FC">
              <w:rPr>
                <w:rFonts w:ascii="Times New Roman" w:hAnsi="Times New Roman" w:cs="Times New Roman"/>
                <w:sz w:val="20"/>
                <w:szCs w:val="20"/>
                <w:vertAlign w:val="superscript"/>
              </w:rPr>
              <w:t>***</w:t>
            </w:r>
          </w:p>
          <w:p w14:paraId="05B16BC1" w14:textId="77777777" w:rsidR="00E923F6" w:rsidRPr="000E13FC" w:rsidRDefault="00E923F6" w:rsidP="00A87058">
            <w:pPr>
              <w:jc w:val="center"/>
              <w:rPr>
                <w:rFonts w:ascii="Times New Roman" w:eastAsia="Times New Roman" w:hAnsi="Times New Roman" w:cs="Times New Roman"/>
                <w:sz w:val="20"/>
                <w:szCs w:val="20"/>
                <w:lang w:eastAsia="en-GB"/>
              </w:rPr>
            </w:pPr>
            <w:r w:rsidRPr="000E13FC">
              <w:rPr>
                <w:rFonts w:ascii="Times New Roman" w:eastAsia="Times New Roman" w:hAnsi="Times New Roman" w:cs="Times New Roman"/>
                <w:sz w:val="20"/>
                <w:szCs w:val="20"/>
                <w:lang w:eastAsia="en-GB"/>
              </w:rPr>
              <w:t>(</w:t>
            </w:r>
            <w:r w:rsidRPr="000E13FC">
              <w:rPr>
                <w:rFonts w:ascii="Times New Roman" w:hAnsi="Times New Roman" w:cs="Times New Roman"/>
                <w:sz w:val="20"/>
                <w:szCs w:val="20"/>
              </w:rPr>
              <w:t>2.762)</w:t>
            </w:r>
          </w:p>
        </w:tc>
        <w:tc>
          <w:tcPr>
            <w:tcW w:w="1891" w:type="dxa"/>
          </w:tcPr>
          <w:p w14:paraId="027F72D4"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0.069</w:t>
            </w:r>
          </w:p>
          <w:p w14:paraId="6E64ECD4"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(0.497)</w:t>
            </w:r>
          </w:p>
          <w:p w14:paraId="30DE7B9A" w14:textId="77777777" w:rsidR="00E923F6" w:rsidRPr="000E13FC" w:rsidRDefault="00E923F6" w:rsidP="00A87058">
            <w:pPr>
              <w:jc w:val="center"/>
              <w:rPr>
                <w:rFonts w:ascii="Times New Roman" w:hAnsi="Times New Roman" w:cs="Times New Roman"/>
                <w:color w:val="000000"/>
                <w:sz w:val="20"/>
                <w:szCs w:val="20"/>
              </w:rPr>
            </w:pPr>
          </w:p>
        </w:tc>
      </w:tr>
      <w:tr w:rsidR="00E923F6" w:rsidRPr="000E13FC" w14:paraId="6D65B954" w14:textId="77777777" w:rsidTr="00A87058">
        <w:trPr>
          <w:trHeight w:val="243"/>
        </w:trPr>
        <w:tc>
          <w:tcPr>
            <w:tcW w:w="1890" w:type="dxa"/>
          </w:tcPr>
          <w:p w14:paraId="2F8AAC36"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0</w:t>
            </w:r>
          </w:p>
        </w:tc>
        <w:tc>
          <w:tcPr>
            <w:tcW w:w="1891" w:type="dxa"/>
          </w:tcPr>
          <w:p w14:paraId="75FD68CF"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0.496</w:t>
            </w:r>
            <w:r w:rsidRPr="000E13FC">
              <w:rPr>
                <w:rFonts w:ascii="Times New Roman" w:hAnsi="Times New Roman" w:cs="Times New Roman"/>
                <w:sz w:val="20"/>
                <w:szCs w:val="20"/>
                <w:vertAlign w:val="superscript"/>
              </w:rPr>
              <w:t>***</w:t>
            </w:r>
          </w:p>
          <w:p w14:paraId="15AABB32"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(5.022)</w:t>
            </w:r>
          </w:p>
        </w:tc>
        <w:tc>
          <w:tcPr>
            <w:tcW w:w="1891" w:type="dxa"/>
          </w:tcPr>
          <w:p w14:paraId="51DC3984" w14:textId="77777777" w:rsidR="00E923F6" w:rsidRPr="000E13FC" w:rsidRDefault="00E923F6" w:rsidP="00A87058">
            <w:pPr>
              <w:jc w:val="center"/>
              <w:rPr>
                <w:rFonts w:ascii="Times New Roman" w:hAnsi="Times New Roman" w:cs="Times New Roman"/>
                <w:color w:val="000000"/>
                <w:sz w:val="20"/>
                <w:szCs w:val="20"/>
                <w:vertAlign w:val="superscript"/>
              </w:rPr>
            </w:pPr>
            <w:r w:rsidRPr="000E13FC">
              <w:rPr>
                <w:rFonts w:ascii="Times New Roman" w:hAnsi="Times New Roman" w:cs="Times New Roman"/>
                <w:color w:val="000000"/>
                <w:sz w:val="20"/>
                <w:szCs w:val="20"/>
              </w:rPr>
              <w:t>0.31</w:t>
            </w:r>
            <w:r w:rsidRPr="000E13FC">
              <w:rPr>
                <w:rFonts w:ascii="Times New Roman" w:hAnsi="Times New Roman" w:cs="Times New Roman"/>
                <w:color w:val="000000"/>
                <w:sz w:val="20"/>
                <w:szCs w:val="20"/>
                <w:vertAlign w:val="superscript"/>
              </w:rPr>
              <w:t>**</w:t>
            </w:r>
          </w:p>
          <w:p w14:paraId="08975A51"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(2.476)</w:t>
            </w:r>
          </w:p>
        </w:tc>
        <w:tc>
          <w:tcPr>
            <w:tcW w:w="1891" w:type="dxa"/>
          </w:tcPr>
          <w:p w14:paraId="31709557" w14:textId="77777777" w:rsidR="00E923F6" w:rsidRPr="000E13FC" w:rsidRDefault="00E923F6" w:rsidP="00A87058">
            <w:pPr>
              <w:jc w:val="center"/>
              <w:rPr>
                <w:rFonts w:ascii="Times New Roman" w:eastAsia="Times New Roman" w:hAnsi="Times New Roman" w:cs="Times New Roman"/>
                <w:sz w:val="20"/>
                <w:szCs w:val="20"/>
                <w:lang w:eastAsia="en-GB"/>
              </w:rPr>
            </w:pPr>
            <w:r w:rsidRPr="000E13FC">
              <w:rPr>
                <w:rFonts w:ascii="Times New Roman" w:eastAsia="Times New Roman" w:hAnsi="Times New Roman" w:cs="Times New Roman"/>
                <w:sz w:val="20"/>
                <w:szCs w:val="20"/>
                <w:lang w:eastAsia="en-GB"/>
              </w:rPr>
              <w:t>0.228</w:t>
            </w:r>
            <w:r w:rsidRPr="000E13FC">
              <w:rPr>
                <w:rFonts w:ascii="Times New Roman" w:hAnsi="Times New Roman" w:cs="Times New Roman"/>
                <w:sz w:val="20"/>
                <w:szCs w:val="20"/>
                <w:vertAlign w:val="superscript"/>
              </w:rPr>
              <w:t>**</w:t>
            </w:r>
          </w:p>
          <w:p w14:paraId="471E021F" w14:textId="77777777" w:rsidR="00E923F6" w:rsidRPr="000E13FC" w:rsidRDefault="00E923F6" w:rsidP="00A87058">
            <w:pPr>
              <w:jc w:val="center"/>
              <w:rPr>
                <w:rFonts w:ascii="Times New Roman" w:eastAsia="Times New Roman" w:hAnsi="Times New Roman" w:cs="Times New Roman"/>
                <w:sz w:val="20"/>
                <w:szCs w:val="20"/>
                <w:lang w:eastAsia="en-GB"/>
              </w:rPr>
            </w:pPr>
            <w:r w:rsidRPr="000E13FC">
              <w:rPr>
                <w:rFonts w:ascii="Times New Roman" w:eastAsia="Times New Roman" w:hAnsi="Times New Roman" w:cs="Times New Roman"/>
                <w:sz w:val="20"/>
                <w:szCs w:val="20"/>
                <w:lang w:eastAsia="en-GB"/>
              </w:rPr>
              <w:t>(</w:t>
            </w:r>
            <w:r w:rsidRPr="000E13FC">
              <w:rPr>
                <w:rFonts w:ascii="Times New Roman" w:hAnsi="Times New Roman" w:cs="Times New Roman"/>
                <w:sz w:val="20"/>
                <w:szCs w:val="20"/>
              </w:rPr>
              <w:t>2.161)</w:t>
            </w:r>
          </w:p>
        </w:tc>
        <w:tc>
          <w:tcPr>
            <w:tcW w:w="1891" w:type="dxa"/>
          </w:tcPr>
          <w:p w14:paraId="65443F18"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0.02</w:t>
            </w:r>
          </w:p>
          <w:p w14:paraId="063561C6"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(0.133)</w:t>
            </w:r>
          </w:p>
          <w:p w14:paraId="48F4AB8A" w14:textId="77777777" w:rsidR="00E923F6" w:rsidRPr="000E13FC" w:rsidRDefault="00E923F6" w:rsidP="00A87058">
            <w:pPr>
              <w:jc w:val="center"/>
              <w:rPr>
                <w:rFonts w:ascii="Times New Roman" w:hAnsi="Times New Roman" w:cs="Times New Roman"/>
                <w:color w:val="000000"/>
                <w:sz w:val="20"/>
                <w:szCs w:val="20"/>
              </w:rPr>
            </w:pPr>
          </w:p>
        </w:tc>
      </w:tr>
      <w:tr w:rsidR="00E923F6" w:rsidRPr="000E13FC" w14:paraId="6ED3F58B" w14:textId="77777777" w:rsidTr="00A87058">
        <w:trPr>
          <w:trHeight w:val="243"/>
        </w:trPr>
        <w:tc>
          <w:tcPr>
            <w:tcW w:w="1890" w:type="dxa"/>
          </w:tcPr>
          <w:p w14:paraId="7283B071"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1</w:t>
            </w:r>
          </w:p>
        </w:tc>
        <w:tc>
          <w:tcPr>
            <w:tcW w:w="1891" w:type="dxa"/>
          </w:tcPr>
          <w:p w14:paraId="4114D2AA"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0.271</w:t>
            </w:r>
            <w:r w:rsidRPr="000E13FC">
              <w:rPr>
                <w:rFonts w:ascii="Times New Roman" w:hAnsi="Times New Roman" w:cs="Times New Roman"/>
                <w:sz w:val="20"/>
                <w:szCs w:val="20"/>
                <w:vertAlign w:val="superscript"/>
              </w:rPr>
              <w:t>**</w:t>
            </w:r>
          </w:p>
          <w:p w14:paraId="56E2A816"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(2.554)</w:t>
            </w:r>
          </w:p>
        </w:tc>
        <w:tc>
          <w:tcPr>
            <w:tcW w:w="1891" w:type="dxa"/>
          </w:tcPr>
          <w:p w14:paraId="50573626" w14:textId="77777777" w:rsidR="00E923F6" w:rsidRPr="000E13FC" w:rsidRDefault="00E923F6" w:rsidP="00A87058">
            <w:pPr>
              <w:jc w:val="center"/>
              <w:rPr>
                <w:rFonts w:ascii="Times New Roman" w:hAnsi="Times New Roman" w:cs="Times New Roman"/>
                <w:color w:val="000000"/>
                <w:sz w:val="20"/>
                <w:szCs w:val="20"/>
                <w:vertAlign w:val="superscript"/>
              </w:rPr>
            </w:pPr>
            <w:r w:rsidRPr="000E13FC">
              <w:rPr>
                <w:rFonts w:ascii="Times New Roman" w:hAnsi="Times New Roman" w:cs="Times New Roman"/>
                <w:color w:val="000000"/>
                <w:sz w:val="20"/>
                <w:szCs w:val="20"/>
              </w:rPr>
              <w:t>0.178</w:t>
            </w:r>
            <w:r w:rsidRPr="000E13FC">
              <w:rPr>
                <w:rFonts w:ascii="Times New Roman" w:hAnsi="Times New Roman" w:cs="Times New Roman"/>
                <w:color w:val="000000"/>
                <w:sz w:val="20"/>
                <w:szCs w:val="20"/>
                <w:vertAlign w:val="superscript"/>
              </w:rPr>
              <w:t>*</w:t>
            </w:r>
          </w:p>
          <w:p w14:paraId="3CC527B2"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(1.673)</w:t>
            </w:r>
          </w:p>
        </w:tc>
        <w:tc>
          <w:tcPr>
            <w:tcW w:w="1891" w:type="dxa"/>
          </w:tcPr>
          <w:p w14:paraId="7290B3F9" w14:textId="77777777" w:rsidR="00E923F6" w:rsidRPr="000E13FC" w:rsidRDefault="00E923F6" w:rsidP="00A87058">
            <w:pPr>
              <w:jc w:val="center"/>
              <w:rPr>
                <w:rFonts w:ascii="Times New Roman" w:eastAsia="Times New Roman" w:hAnsi="Times New Roman" w:cs="Times New Roman"/>
                <w:sz w:val="20"/>
                <w:szCs w:val="20"/>
                <w:lang w:eastAsia="en-GB"/>
              </w:rPr>
            </w:pPr>
            <w:r w:rsidRPr="000E13FC">
              <w:rPr>
                <w:rFonts w:ascii="Times New Roman" w:eastAsia="Times New Roman" w:hAnsi="Times New Roman" w:cs="Times New Roman"/>
                <w:sz w:val="20"/>
                <w:szCs w:val="20"/>
                <w:lang w:eastAsia="en-GB"/>
              </w:rPr>
              <w:t>0.344</w:t>
            </w:r>
            <w:r w:rsidRPr="000E13FC">
              <w:rPr>
                <w:rFonts w:ascii="Times New Roman" w:hAnsi="Times New Roman" w:cs="Times New Roman"/>
                <w:sz w:val="20"/>
                <w:szCs w:val="20"/>
                <w:vertAlign w:val="superscript"/>
              </w:rPr>
              <w:t>***</w:t>
            </w:r>
          </w:p>
          <w:p w14:paraId="34554F45" w14:textId="77777777" w:rsidR="00E923F6" w:rsidRPr="000E13FC" w:rsidRDefault="00E923F6" w:rsidP="00A87058">
            <w:pPr>
              <w:jc w:val="center"/>
              <w:rPr>
                <w:rFonts w:ascii="Times New Roman" w:eastAsia="Times New Roman" w:hAnsi="Times New Roman" w:cs="Times New Roman"/>
                <w:sz w:val="20"/>
                <w:szCs w:val="20"/>
                <w:lang w:eastAsia="en-GB"/>
              </w:rPr>
            </w:pPr>
            <w:r w:rsidRPr="000E13FC">
              <w:rPr>
                <w:rFonts w:ascii="Times New Roman" w:eastAsia="Times New Roman" w:hAnsi="Times New Roman" w:cs="Times New Roman"/>
                <w:sz w:val="20"/>
                <w:szCs w:val="20"/>
                <w:lang w:eastAsia="en-GB"/>
              </w:rPr>
              <w:t>(</w:t>
            </w:r>
            <w:r w:rsidRPr="000E13FC">
              <w:rPr>
                <w:rFonts w:ascii="Times New Roman" w:hAnsi="Times New Roman" w:cs="Times New Roman"/>
                <w:sz w:val="20"/>
                <w:szCs w:val="20"/>
              </w:rPr>
              <w:t>3.460)</w:t>
            </w:r>
          </w:p>
        </w:tc>
        <w:tc>
          <w:tcPr>
            <w:tcW w:w="1891" w:type="dxa"/>
          </w:tcPr>
          <w:p w14:paraId="47CECEA0"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0.175</w:t>
            </w:r>
          </w:p>
          <w:p w14:paraId="63D9B1AE"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(1.093)</w:t>
            </w:r>
          </w:p>
          <w:p w14:paraId="31824D15" w14:textId="77777777" w:rsidR="00E923F6" w:rsidRPr="000E13FC" w:rsidRDefault="00E923F6" w:rsidP="00A87058">
            <w:pPr>
              <w:jc w:val="center"/>
              <w:rPr>
                <w:rFonts w:ascii="Times New Roman" w:hAnsi="Times New Roman" w:cs="Times New Roman"/>
                <w:color w:val="000000"/>
                <w:sz w:val="20"/>
                <w:szCs w:val="20"/>
              </w:rPr>
            </w:pPr>
          </w:p>
        </w:tc>
      </w:tr>
      <w:tr w:rsidR="00E923F6" w:rsidRPr="000E13FC" w14:paraId="1832A52B" w14:textId="77777777" w:rsidTr="00A87058">
        <w:trPr>
          <w:trHeight w:val="243"/>
        </w:trPr>
        <w:tc>
          <w:tcPr>
            <w:tcW w:w="1890" w:type="dxa"/>
          </w:tcPr>
          <w:p w14:paraId="547FCA4F"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2</w:t>
            </w:r>
          </w:p>
        </w:tc>
        <w:tc>
          <w:tcPr>
            <w:tcW w:w="1891" w:type="dxa"/>
          </w:tcPr>
          <w:p w14:paraId="4581196E"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0.012</w:t>
            </w:r>
          </w:p>
          <w:p w14:paraId="04B97DE9"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(0.406)</w:t>
            </w:r>
          </w:p>
        </w:tc>
        <w:tc>
          <w:tcPr>
            <w:tcW w:w="1891" w:type="dxa"/>
          </w:tcPr>
          <w:p w14:paraId="5B200B2A"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0.029</w:t>
            </w:r>
          </w:p>
          <w:p w14:paraId="77593AF2"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(0.353)</w:t>
            </w:r>
          </w:p>
        </w:tc>
        <w:tc>
          <w:tcPr>
            <w:tcW w:w="1891" w:type="dxa"/>
          </w:tcPr>
          <w:p w14:paraId="35375D4F"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0.22</w:t>
            </w:r>
            <w:r w:rsidRPr="000E13FC">
              <w:rPr>
                <w:rFonts w:ascii="Times New Roman" w:hAnsi="Times New Roman" w:cs="Times New Roman"/>
                <w:color w:val="000000"/>
                <w:sz w:val="20"/>
                <w:szCs w:val="20"/>
                <w:vertAlign w:val="superscript"/>
              </w:rPr>
              <w:t>*</w:t>
            </w:r>
          </w:p>
          <w:p w14:paraId="2803823B"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w:t>
            </w:r>
            <w:r w:rsidRPr="000E13FC">
              <w:rPr>
                <w:rFonts w:ascii="Times New Roman" w:hAnsi="Times New Roman" w:cs="Times New Roman"/>
                <w:color w:val="000000"/>
                <w:sz w:val="20"/>
                <w:szCs w:val="20"/>
              </w:rPr>
              <w:t>1.736)</w:t>
            </w:r>
          </w:p>
        </w:tc>
        <w:tc>
          <w:tcPr>
            <w:tcW w:w="1891" w:type="dxa"/>
          </w:tcPr>
          <w:p w14:paraId="29A7E5CE"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0.179</w:t>
            </w:r>
          </w:p>
          <w:p w14:paraId="2927D78B"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(1.398)</w:t>
            </w:r>
          </w:p>
          <w:p w14:paraId="7884C2D0" w14:textId="77777777" w:rsidR="00E923F6" w:rsidRPr="000E13FC" w:rsidRDefault="00E923F6" w:rsidP="00A87058">
            <w:pPr>
              <w:jc w:val="center"/>
              <w:rPr>
                <w:rFonts w:ascii="Times New Roman" w:hAnsi="Times New Roman" w:cs="Times New Roman"/>
                <w:color w:val="000000"/>
                <w:sz w:val="20"/>
                <w:szCs w:val="20"/>
              </w:rPr>
            </w:pPr>
          </w:p>
        </w:tc>
      </w:tr>
      <w:tr w:rsidR="00E923F6" w:rsidRPr="000E13FC" w14:paraId="3499335A" w14:textId="77777777" w:rsidTr="00A87058">
        <w:trPr>
          <w:trHeight w:val="243"/>
        </w:trPr>
        <w:tc>
          <w:tcPr>
            <w:tcW w:w="1890" w:type="dxa"/>
          </w:tcPr>
          <w:p w14:paraId="69F722FB"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3</w:t>
            </w:r>
          </w:p>
        </w:tc>
        <w:tc>
          <w:tcPr>
            <w:tcW w:w="1891" w:type="dxa"/>
          </w:tcPr>
          <w:p w14:paraId="4905F882"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-0.01</w:t>
            </w:r>
          </w:p>
          <w:p w14:paraId="051B80B3"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(-0.021)</w:t>
            </w:r>
          </w:p>
        </w:tc>
        <w:tc>
          <w:tcPr>
            <w:tcW w:w="1891" w:type="dxa"/>
          </w:tcPr>
          <w:p w14:paraId="0B2514F8"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-0.038</w:t>
            </w:r>
          </w:p>
          <w:p w14:paraId="28A21B94"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(-0.368)</w:t>
            </w:r>
          </w:p>
        </w:tc>
        <w:tc>
          <w:tcPr>
            <w:tcW w:w="1891" w:type="dxa"/>
          </w:tcPr>
          <w:p w14:paraId="6E08BA0E"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0.062</w:t>
            </w:r>
            <w:r w:rsidRPr="000E13FC">
              <w:rPr>
                <w:rFonts w:ascii="Times New Roman" w:hAnsi="Times New Roman" w:cs="Times New Roman"/>
                <w:color w:val="000000"/>
                <w:sz w:val="20"/>
                <w:szCs w:val="20"/>
                <w:vertAlign w:val="superscript"/>
              </w:rPr>
              <w:t>*</w:t>
            </w:r>
          </w:p>
          <w:p w14:paraId="5FD69B41"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w:t>
            </w:r>
            <w:r w:rsidRPr="000E13FC">
              <w:rPr>
                <w:rFonts w:ascii="Times New Roman" w:hAnsi="Times New Roman" w:cs="Times New Roman"/>
                <w:color w:val="000000"/>
                <w:sz w:val="20"/>
                <w:szCs w:val="20"/>
              </w:rPr>
              <w:t>1.814)</w:t>
            </w:r>
          </w:p>
        </w:tc>
        <w:tc>
          <w:tcPr>
            <w:tcW w:w="1891" w:type="dxa"/>
          </w:tcPr>
          <w:p w14:paraId="470EE34E"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0.042</w:t>
            </w:r>
          </w:p>
          <w:p w14:paraId="2133073F"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(0.324)</w:t>
            </w:r>
          </w:p>
          <w:p w14:paraId="3DA9C28B" w14:textId="77777777" w:rsidR="00E923F6" w:rsidRPr="000E13FC" w:rsidRDefault="00E923F6" w:rsidP="00A87058">
            <w:pPr>
              <w:jc w:val="center"/>
              <w:rPr>
                <w:rFonts w:ascii="Times New Roman" w:hAnsi="Times New Roman" w:cs="Times New Roman"/>
                <w:color w:val="000000"/>
                <w:sz w:val="20"/>
                <w:szCs w:val="20"/>
              </w:rPr>
            </w:pPr>
          </w:p>
        </w:tc>
      </w:tr>
      <w:tr w:rsidR="00E923F6" w:rsidRPr="000E13FC" w14:paraId="64A9EF33" w14:textId="77777777" w:rsidTr="00A87058">
        <w:trPr>
          <w:trHeight w:val="233"/>
        </w:trPr>
        <w:tc>
          <w:tcPr>
            <w:tcW w:w="1890" w:type="dxa"/>
          </w:tcPr>
          <w:p w14:paraId="7453C9E6"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4</w:t>
            </w:r>
          </w:p>
        </w:tc>
        <w:tc>
          <w:tcPr>
            <w:tcW w:w="1891" w:type="dxa"/>
          </w:tcPr>
          <w:p w14:paraId="4D758453"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-0.049</w:t>
            </w:r>
          </w:p>
          <w:p w14:paraId="30624316"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(-0.024)</w:t>
            </w:r>
          </w:p>
        </w:tc>
        <w:tc>
          <w:tcPr>
            <w:tcW w:w="1891" w:type="dxa"/>
          </w:tcPr>
          <w:p w14:paraId="44B48227"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-0.045</w:t>
            </w:r>
          </w:p>
          <w:p w14:paraId="5BF1DFDE"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(-0.44)</w:t>
            </w:r>
          </w:p>
        </w:tc>
        <w:tc>
          <w:tcPr>
            <w:tcW w:w="1891" w:type="dxa"/>
          </w:tcPr>
          <w:p w14:paraId="69262F59"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0.32</w:t>
            </w:r>
            <w:r w:rsidRPr="000E13FC">
              <w:rPr>
                <w:rFonts w:ascii="Times New Roman" w:hAnsi="Times New Roman" w:cs="Times New Roman"/>
                <w:color w:val="000000"/>
                <w:sz w:val="20"/>
                <w:szCs w:val="20"/>
                <w:vertAlign w:val="superscript"/>
              </w:rPr>
              <w:t>*</w:t>
            </w:r>
          </w:p>
          <w:p w14:paraId="78F35227"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w:t>
            </w:r>
            <w:r w:rsidRPr="000E13FC">
              <w:rPr>
                <w:rFonts w:ascii="Times New Roman" w:hAnsi="Times New Roman" w:cs="Times New Roman"/>
                <w:color w:val="000000"/>
                <w:sz w:val="20"/>
                <w:szCs w:val="20"/>
              </w:rPr>
              <w:t>1.822)</w:t>
            </w:r>
          </w:p>
        </w:tc>
        <w:tc>
          <w:tcPr>
            <w:tcW w:w="1891" w:type="dxa"/>
          </w:tcPr>
          <w:p w14:paraId="29A3A6CB" w14:textId="77777777" w:rsidR="00E923F6" w:rsidRPr="000E13FC" w:rsidRDefault="00E923F6" w:rsidP="00A87058">
            <w:pPr>
              <w:jc w:val="center"/>
              <w:rPr>
                <w:rFonts w:ascii="Times New Roman" w:hAnsi="Times New Roman" w:cs="Times New Roman"/>
                <w:color w:val="000000"/>
                <w:sz w:val="20"/>
                <w:szCs w:val="20"/>
                <w:vertAlign w:val="superscript"/>
              </w:rPr>
            </w:pPr>
            <w:r w:rsidRPr="000E13FC">
              <w:rPr>
                <w:rFonts w:ascii="Times New Roman" w:hAnsi="Times New Roman" w:cs="Times New Roman"/>
                <w:color w:val="000000"/>
                <w:sz w:val="20"/>
                <w:szCs w:val="20"/>
              </w:rPr>
              <w:t>0.324</w:t>
            </w:r>
            <w:r w:rsidRPr="000E13FC">
              <w:rPr>
                <w:rFonts w:ascii="Times New Roman" w:hAnsi="Times New Roman" w:cs="Times New Roman"/>
                <w:color w:val="000000"/>
                <w:sz w:val="20"/>
                <w:szCs w:val="20"/>
                <w:vertAlign w:val="superscript"/>
              </w:rPr>
              <w:t>**</w:t>
            </w:r>
          </w:p>
          <w:p w14:paraId="064280B5"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(2.334)</w:t>
            </w:r>
          </w:p>
          <w:p w14:paraId="405053C1" w14:textId="77777777" w:rsidR="00E923F6" w:rsidRPr="000E13FC" w:rsidRDefault="00E923F6" w:rsidP="00A87058">
            <w:pPr>
              <w:jc w:val="center"/>
              <w:rPr>
                <w:rFonts w:ascii="Times New Roman" w:hAnsi="Times New Roman" w:cs="Times New Roman"/>
                <w:color w:val="000000"/>
                <w:sz w:val="20"/>
                <w:szCs w:val="20"/>
              </w:rPr>
            </w:pPr>
          </w:p>
        </w:tc>
      </w:tr>
      <w:tr w:rsidR="00E923F6" w:rsidRPr="000E13FC" w14:paraId="656FF622" w14:textId="77777777" w:rsidTr="00A87058">
        <w:trPr>
          <w:trHeight w:val="243"/>
        </w:trPr>
        <w:tc>
          <w:tcPr>
            <w:tcW w:w="1890" w:type="dxa"/>
          </w:tcPr>
          <w:p w14:paraId="664A5A6E"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5</w:t>
            </w:r>
          </w:p>
        </w:tc>
        <w:tc>
          <w:tcPr>
            <w:tcW w:w="1891" w:type="dxa"/>
          </w:tcPr>
          <w:p w14:paraId="4D7C252C"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w:t>
            </w:r>
          </w:p>
          <w:p w14:paraId="2EAAE273"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(-0.330)</w:t>
            </w:r>
          </w:p>
        </w:tc>
        <w:tc>
          <w:tcPr>
            <w:tcW w:w="1891" w:type="dxa"/>
          </w:tcPr>
          <w:p w14:paraId="6CBE2AF8"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0.05</w:t>
            </w:r>
          </w:p>
          <w:p w14:paraId="56835A16"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(0.521)</w:t>
            </w:r>
          </w:p>
        </w:tc>
        <w:tc>
          <w:tcPr>
            <w:tcW w:w="1891" w:type="dxa"/>
          </w:tcPr>
          <w:p w14:paraId="0823F0B6"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0.122</w:t>
            </w:r>
          </w:p>
          <w:p w14:paraId="65D62D1D"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w:t>
            </w:r>
            <w:r w:rsidRPr="000E13FC">
              <w:rPr>
                <w:rFonts w:ascii="Times New Roman" w:hAnsi="Times New Roman" w:cs="Times New Roman"/>
                <w:color w:val="000000"/>
                <w:sz w:val="20"/>
                <w:szCs w:val="20"/>
              </w:rPr>
              <w:t>0.469)</w:t>
            </w:r>
          </w:p>
        </w:tc>
        <w:tc>
          <w:tcPr>
            <w:tcW w:w="1891" w:type="dxa"/>
          </w:tcPr>
          <w:p w14:paraId="648D97CF"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0.001</w:t>
            </w:r>
          </w:p>
          <w:p w14:paraId="2705DE15"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(0.01)</w:t>
            </w:r>
          </w:p>
          <w:p w14:paraId="2725851A" w14:textId="77777777" w:rsidR="00E923F6" w:rsidRPr="000E13FC" w:rsidRDefault="00E923F6" w:rsidP="00A87058">
            <w:pPr>
              <w:jc w:val="center"/>
              <w:rPr>
                <w:rFonts w:ascii="Times New Roman" w:hAnsi="Times New Roman" w:cs="Times New Roman"/>
                <w:color w:val="000000"/>
                <w:sz w:val="20"/>
                <w:szCs w:val="20"/>
              </w:rPr>
            </w:pPr>
          </w:p>
        </w:tc>
      </w:tr>
      <w:tr w:rsidR="00E923F6" w:rsidRPr="000E13FC" w14:paraId="19417178" w14:textId="77777777" w:rsidTr="00A87058">
        <w:trPr>
          <w:trHeight w:val="243"/>
        </w:trPr>
        <w:tc>
          <w:tcPr>
            <w:tcW w:w="1890" w:type="dxa"/>
          </w:tcPr>
          <w:p w14:paraId="13425F54"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6</w:t>
            </w:r>
          </w:p>
        </w:tc>
        <w:tc>
          <w:tcPr>
            <w:tcW w:w="1891" w:type="dxa"/>
          </w:tcPr>
          <w:p w14:paraId="744FDF59"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-0.066</w:t>
            </w:r>
          </w:p>
          <w:p w14:paraId="37383E43"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(-0.880)</w:t>
            </w:r>
          </w:p>
        </w:tc>
        <w:tc>
          <w:tcPr>
            <w:tcW w:w="1891" w:type="dxa"/>
          </w:tcPr>
          <w:p w14:paraId="03B95D98"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0.036</w:t>
            </w:r>
          </w:p>
          <w:p w14:paraId="79484E1B"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(0.4)</w:t>
            </w:r>
          </w:p>
        </w:tc>
        <w:tc>
          <w:tcPr>
            <w:tcW w:w="1891" w:type="dxa"/>
          </w:tcPr>
          <w:p w14:paraId="65E9635C"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-0.138</w:t>
            </w:r>
          </w:p>
          <w:p w14:paraId="45959C82"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w:t>
            </w:r>
            <w:r w:rsidRPr="000E13FC">
              <w:rPr>
                <w:rFonts w:ascii="Times New Roman" w:hAnsi="Times New Roman" w:cs="Times New Roman"/>
                <w:color w:val="000000"/>
                <w:sz w:val="20"/>
                <w:szCs w:val="20"/>
              </w:rPr>
              <w:t>-0.997)</w:t>
            </w:r>
          </w:p>
        </w:tc>
        <w:tc>
          <w:tcPr>
            <w:tcW w:w="1891" w:type="dxa"/>
          </w:tcPr>
          <w:p w14:paraId="17A20A22"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-0.163</w:t>
            </w:r>
          </w:p>
          <w:p w14:paraId="3E6B8B33"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(-1.064)</w:t>
            </w:r>
          </w:p>
          <w:p w14:paraId="3EC7FCFE" w14:textId="77777777" w:rsidR="00E923F6" w:rsidRPr="000E13FC" w:rsidRDefault="00E923F6" w:rsidP="00A87058">
            <w:pPr>
              <w:jc w:val="center"/>
              <w:rPr>
                <w:rFonts w:ascii="Times New Roman" w:hAnsi="Times New Roman" w:cs="Times New Roman"/>
                <w:color w:val="000000"/>
                <w:sz w:val="20"/>
                <w:szCs w:val="20"/>
              </w:rPr>
            </w:pPr>
          </w:p>
        </w:tc>
      </w:tr>
      <w:tr w:rsidR="00E923F6" w:rsidRPr="000E13FC" w14:paraId="7E409D97" w14:textId="77777777" w:rsidTr="00A87058">
        <w:trPr>
          <w:trHeight w:val="243"/>
        </w:trPr>
        <w:tc>
          <w:tcPr>
            <w:tcW w:w="1890" w:type="dxa"/>
          </w:tcPr>
          <w:p w14:paraId="7EAAD039"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7</w:t>
            </w:r>
          </w:p>
        </w:tc>
        <w:tc>
          <w:tcPr>
            <w:tcW w:w="1891" w:type="dxa"/>
          </w:tcPr>
          <w:p w14:paraId="7A030D6B"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-0.195</w:t>
            </w:r>
            <w:r w:rsidRPr="000E13FC">
              <w:rPr>
                <w:rFonts w:ascii="Times New Roman" w:hAnsi="Times New Roman" w:cs="Times New Roman"/>
                <w:color w:val="000000"/>
                <w:sz w:val="20"/>
                <w:szCs w:val="20"/>
                <w:vertAlign w:val="superscript"/>
              </w:rPr>
              <w:t>*</w:t>
            </w:r>
          </w:p>
          <w:p w14:paraId="6226C5AB"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(-1.788)</w:t>
            </w:r>
          </w:p>
        </w:tc>
        <w:tc>
          <w:tcPr>
            <w:tcW w:w="1891" w:type="dxa"/>
          </w:tcPr>
          <w:p w14:paraId="047A1E72"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-0.038</w:t>
            </w:r>
          </w:p>
          <w:p w14:paraId="5BEEAF6A"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(-0.392)</w:t>
            </w:r>
          </w:p>
        </w:tc>
        <w:tc>
          <w:tcPr>
            <w:tcW w:w="1891" w:type="dxa"/>
          </w:tcPr>
          <w:p w14:paraId="6ECC5198"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0.033</w:t>
            </w:r>
          </w:p>
          <w:p w14:paraId="2F631720"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w:t>
            </w:r>
            <w:r w:rsidRPr="000E13FC">
              <w:rPr>
                <w:rFonts w:ascii="Times New Roman" w:hAnsi="Times New Roman" w:cs="Times New Roman"/>
                <w:color w:val="000000"/>
                <w:sz w:val="20"/>
                <w:szCs w:val="20"/>
              </w:rPr>
              <w:t>-0.134)</w:t>
            </w:r>
          </w:p>
        </w:tc>
        <w:tc>
          <w:tcPr>
            <w:tcW w:w="1891" w:type="dxa"/>
          </w:tcPr>
          <w:p w14:paraId="077AF77A"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0.009</w:t>
            </w:r>
          </w:p>
          <w:p w14:paraId="1374B66D"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(0.068)</w:t>
            </w:r>
          </w:p>
          <w:p w14:paraId="7F87226D" w14:textId="77777777" w:rsidR="00E923F6" w:rsidRPr="000E13FC" w:rsidRDefault="00E923F6" w:rsidP="00A87058">
            <w:pPr>
              <w:jc w:val="center"/>
              <w:rPr>
                <w:rFonts w:ascii="Times New Roman" w:hAnsi="Times New Roman" w:cs="Times New Roman"/>
                <w:color w:val="000000"/>
                <w:sz w:val="20"/>
                <w:szCs w:val="20"/>
              </w:rPr>
            </w:pPr>
          </w:p>
        </w:tc>
      </w:tr>
      <w:tr w:rsidR="00E923F6" w:rsidRPr="000E13FC" w14:paraId="5DD789A7" w14:textId="77777777" w:rsidTr="00A87058">
        <w:trPr>
          <w:trHeight w:val="243"/>
        </w:trPr>
        <w:tc>
          <w:tcPr>
            <w:tcW w:w="1890" w:type="dxa"/>
          </w:tcPr>
          <w:p w14:paraId="0FEA9C93"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8</w:t>
            </w:r>
          </w:p>
        </w:tc>
        <w:tc>
          <w:tcPr>
            <w:tcW w:w="1891" w:type="dxa"/>
          </w:tcPr>
          <w:p w14:paraId="36856A7A"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0.054</w:t>
            </w:r>
          </w:p>
          <w:p w14:paraId="37529134"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(0.212)</w:t>
            </w:r>
          </w:p>
        </w:tc>
        <w:tc>
          <w:tcPr>
            <w:tcW w:w="1891" w:type="dxa"/>
          </w:tcPr>
          <w:p w14:paraId="75994B48"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0.014</w:t>
            </w:r>
          </w:p>
          <w:p w14:paraId="14EA0FBB"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(0.146)</w:t>
            </w:r>
          </w:p>
        </w:tc>
        <w:tc>
          <w:tcPr>
            <w:tcW w:w="1891" w:type="dxa"/>
          </w:tcPr>
          <w:p w14:paraId="726A3519"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-0.14</w:t>
            </w:r>
          </w:p>
          <w:p w14:paraId="6F83FAD0"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hAnsi="Times New Roman" w:cs="Times New Roman"/>
                <w:color w:val="000000"/>
                <w:sz w:val="20"/>
                <w:szCs w:val="20"/>
              </w:rPr>
              <w:t>(-0.857)</w:t>
            </w:r>
          </w:p>
        </w:tc>
        <w:tc>
          <w:tcPr>
            <w:tcW w:w="1891" w:type="dxa"/>
          </w:tcPr>
          <w:p w14:paraId="3539EBC8"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-0.059</w:t>
            </w:r>
          </w:p>
          <w:p w14:paraId="0A1738FE"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(-0.411)</w:t>
            </w:r>
          </w:p>
          <w:p w14:paraId="37F219E0" w14:textId="77777777" w:rsidR="00E923F6" w:rsidRPr="000E13FC" w:rsidRDefault="00E923F6" w:rsidP="00A87058">
            <w:pPr>
              <w:jc w:val="center"/>
              <w:rPr>
                <w:rFonts w:ascii="Times New Roman" w:hAnsi="Times New Roman" w:cs="Times New Roman"/>
                <w:color w:val="000000"/>
                <w:sz w:val="20"/>
                <w:szCs w:val="20"/>
              </w:rPr>
            </w:pPr>
          </w:p>
        </w:tc>
      </w:tr>
      <w:tr w:rsidR="00E923F6" w:rsidRPr="000E13FC" w14:paraId="6205322D" w14:textId="77777777" w:rsidTr="00A87058">
        <w:trPr>
          <w:trHeight w:val="243"/>
        </w:trPr>
        <w:tc>
          <w:tcPr>
            <w:tcW w:w="1890" w:type="dxa"/>
          </w:tcPr>
          <w:p w14:paraId="30C8BF5C"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9</w:t>
            </w:r>
          </w:p>
        </w:tc>
        <w:tc>
          <w:tcPr>
            <w:tcW w:w="1891" w:type="dxa"/>
          </w:tcPr>
          <w:p w14:paraId="2061F149"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-0.095</w:t>
            </w:r>
          </w:p>
          <w:p w14:paraId="68722E39"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(-0.686)</w:t>
            </w:r>
          </w:p>
        </w:tc>
        <w:tc>
          <w:tcPr>
            <w:tcW w:w="1891" w:type="dxa"/>
          </w:tcPr>
          <w:p w14:paraId="7F641D17"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-0.091</w:t>
            </w:r>
          </w:p>
          <w:p w14:paraId="3EBCFA22"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(-1.016)</w:t>
            </w:r>
          </w:p>
        </w:tc>
        <w:tc>
          <w:tcPr>
            <w:tcW w:w="1891" w:type="dxa"/>
          </w:tcPr>
          <w:p w14:paraId="72D4D113"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0.131</w:t>
            </w:r>
          </w:p>
          <w:p w14:paraId="6965C73A"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w:t>
            </w:r>
            <w:r w:rsidRPr="000E13FC">
              <w:rPr>
                <w:rFonts w:ascii="Times New Roman" w:hAnsi="Times New Roman" w:cs="Times New Roman"/>
                <w:color w:val="000000"/>
                <w:sz w:val="20"/>
                <w:szCs w:val="20"/>
              </w:rPr>
              <w:t>1.578)</w:t>
            </w:r>
          </w:p>
        </w:tc>
        <w:tc>
          <w:tcPr>
            <w:tcW w:w="1891" w:type="dxa"/>
          </w:tcPr>
          <w:p w14:paraId="0098E9B2"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0.05</w:t>
            </w:r>
          </w:p>
          <w:p w14:paraId="0549FB2E"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(0.378)</w:t>
            </w:r>
          </w:p>
          <w:p w14:paraId="0235B8F5" w14:textId="77777777" w:rsidR="00E923F6" w:rsidRPr="000E13FC" w:rsidRDefault="00E923F6" w:rsidP="00A87058">
            <w:pPr>
              <w:jc w:val="center"/>
              <w:rPr>
                <w:rFonts w:ascii="Times New Roman" w:hAnsi="Times New Roman" w:cs="Times New Roman"/>
                <w:color w:val="000000"/>
                <w:sz w:val="20"/>
                <w:szCs w:val="20"/>
              </w:rPr>
            </w:pPr>
          </w:p>
        </w:tc>
      </w:tr>
      <w:tr w:rsidR="00E923F6" w:rsidRPr="000E13FC" w14:paraId="652924FB" w14:textId="77777777" w:rsidTr="00A87058">
        <w:trPr>
          <w:trHeight w:val="70"/>
        </w:trPr>
        <w:tc>
          <w:tcPr>
            <w:tcW w:w="1890" w:type="dxa"/>
          </w:tcPr>
          <w:p w14:paraId="7C62D87E" w14:textId="77777777" w:rsidR="00E923F6" w:rsidRPr="000E13FC" w:rsidRDefault="00E923F6" w:rsidP="00A87058">
            <w:pPr>
              <w:jc w:val="center"/>
              <w:rPr>
                <w:rFonts w:ascii="Times New Roman" w:hAnsi="Times New Roman" w:cs="Times New Roman"/>
                <w:sz w:val="20"/>
                <w:szCs w:val="20"/>
              </w:rPr>
            </w:pPr>
            <w:r w:rsidRPr="000E13FC">
              <w:rPr>
                <w:rFonts w:ascii="Times New Roman" w:hAnsi="Times New Roman" w:cs="Times New Roman"/>
                <w:sz w:val="20"/>
                <w:szCs w:val="20"/>
              </w:rPr>
              <w:t>10</w:t>
            </w:r>
          </w:p>
        </w:tc>
        <w:tc>
          <w:tcPr>
            <w:tcW w:w="1891" w:type="dxa"/>
          </w:tcPr>
          <w:p w14:paraId="7718479E"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0.012</w:t>
            </w:r>
          </w:p>
          <w:p w14:paraId="79805D53"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(0.288)</w:t>
            </w:r>
          </w:p>
        </w:tc>
        <w:tc>
          <w:tcPr>
            <w:tcW w:w="1891" w:type="dxa"/>
          </w:tcPr>
          <w:p w14:paraId="4C892CC4"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0.137</w:t>
            </w:r>
          </w:p>
          <w:p w14:paraId="45873F88"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(1.306)</w:t>
            </w:r>
          </w:p>
        </w:tc>
        <w:tc>
          <w:tcPr>
            <w:tcW w:w="1891" w:type="dxa"/>
          </w:tcPr>
          <w:p w14:paraId="709D268F"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-0.033</w:t>
            </w:r>
          </w:p>
          <w:p w14:paraId="57DD3A34" w14:textId="77777777" w:rsidR="00E923F6" w:rsidRPr="000E13FC" w:rsidRDefault="00E923F6" w:rsidP="00A87058">
            <w:pPr>
              <w:jc w:val="center"/>
              <w:rPr>
                <w:rFonts w:ascii="Times New Roman" w:eastAsia="Times New Roman" w:hAnsi="Times New Roman" w:cs="Times New Roman"/>
                <w:color w:val="000000"/>
                <w:sz w:val="20"/>
                <w:szCs w:val="20"/>
                <w:lang w:eastAsia="en-GB"/>
              </w:rPr>
            </w:pPr>
            <w:r w:rsidRPr="000E13FC">
              <w:rPr>
                <w:rFonts w:ascii="Times New Roman" w:eastAsia="Times New Roman" w:hAnsi="Times New Roman" w:cs="Times New Roman"/>
                <w:color w:val="000000"/>
                <w:sz w:val="20"/>
                <w:szCs w:val="20"/>
                <w:lang w:eastAsia="en-GB"/>
              </w:rPr>
              <w:t>(0.444)</w:t>
            </w:r>
          </w:p>
        </w:tc>
        <w:tc>
          <w:tcPr>
            <w:tcW w:w="1891" w:type="dxa"/>
          </w:tcPr>
          <w:p w14:paraId="5D0EB947"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-0.007</w:t>
            </w:r>
          </w:p>
          <w:p w14:paraId="18E6B136" w14:textId="77777777" w:rsidR="00E923F6" w:rsidRPr="000E13FC" w:rsidRDefault="00E923F6" w:rsidP="00A87058">
            <w:pPr>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(-0.064)</w:t>
            </w:r>
          </w:p>
        </w:tc>
      </w:tr>
    </w:tbl>
    <w:p w14:paraId="767C8C25" w14:textId="61DDC8D9" w:rsidR="00E923F6" w:rsidRDefault="00E923F6" w:rsidP="00E923F6">
      <w:pPr>
        <w:spacing w:after="0"/>
        <w:rPr>
          <w:rFonts w:ascii="Times New Roman" w:hAnsi="Times New Roman" w:cs="Times New Roman"/>
          <w:sz w:val="20"/>
          <w:szCs w:val="20"/>
        </w:rPr>
      </w:pPr>
      <w:r w:rsidRPr="000E13FC">
        <w:rPr>
          <w:rFonts w:ascii="Times New Roman" w:hAnsi="Times New Roman" w:cs="Times New Roman"/>
          <w:sz w:val="20"/>
          <w:szCs w:val="20"/>
        </w:rPr>
        <w:t xml:space="preserve">Notes: t-stats in parentheses </w:t>
      </w:r>
      <w:r w:rsidRPr="000E13FC">
        <w:rPr>
          <w:rFonts w:ascii="Times New Roman" w:hAnsi="Times New Roman" w:cs="Times New Roman"/>
          <w:sz w:val="20"/>
          <w:szCs w:val="20"/>
          <w:vertAlign w:val="superscript"/>
        </w:rPr>
        <w:t>***</w:t>
      </w:r>
      <w:r w:rsidRPr="000E13FC">
        <w:rPr>
          <w:rFonts w:ascii="Times New Roman" w:hAnsi="Times New Roman" w:cs="Times New Roman"/>
          <w:sz w:val="20"/>
          <w:szCs w:val="20"/>
        </w:rPr>
        <w:t xml:space="preserve"> p&lt;0.01, </w:t>
      </w:r>
      <w:r w:rsidRPr="000E13FC">
        <w:rPr>
          <w:rFonts w:ascii="Times New Roman" w:hAnsi="Times New Roman" w:cs="Times New Roman"/>
          <w:sz w:val="20"/>
          <w:szCs w:val="20"/>
          <w:vertAlign w:val="superscript"/>
        </w:rPr>
        <w:t>**</w:t>
      </w:r>
      <w:r w:rsidRPr="000E13FC">
        <w:rPr>
          <w:rFonts w:ascii="Times New Roman" w:hAnsi="Times New Roman" w:cs="Times New Roman"/>
          <w:sz w:val="20"/>
          <w:szCs w:val="20"/>
        </w:rPr>
        <w:t xml:space="preserve"> p&lt;0.05, </w:t>
      </w:r>
      <w:r w:rsidRPr="000E13FC">
        <w:rPr>
          <w:rFonts w:ascii="Times New Roman" w:hAnsi="Times New Roman" w:cs="Times New Roman"/>
          <w:sz w:val="20"/>
          <w:szCs w:val="20"/>
          <w:vertAlign w:val="superscript"/>
        </w:rPr>
        <w:t>*</w:t>
      </w:r>
      <w:r w:rsidRPr="000E13FC">
        <w:rPr>
          <w:rFonts w:ascii="Times New Roman" w:hAnsi="Times New Roman" w:cs="Times New Roman"/>
          <w:sz w:val="20"/>
          <w:szCs w:val="20"/>
        </w:rPr>
        <w:t xml:space="preserve"> p&lt;0.1</w:t>
      </w:r>
    </w:p>
    <w:p w14:paraId="5A0FF823" w14:textId="77777777" w:rsidR="000B3CE3" w:rsidRDefault="000B3CE3" w:rsidP="00E923F6">
      <w:pPr>
        <w:pStyle w:val="Caption"/>
        <w:spacing w:after="0"/>
        <w:ind w:right="-739"/>
        <w:jc w:val="both"/>
        <w:rPr>
          <w:rFonts w:ascii="Times New Roman" w:hAnsi="Times New Roman" w:cs="Times New Roman"/>
          <w:color w:val="auto"/>
          <w:sz w:val="24"/>
          <w:szCs w:val="24"/>
          <w:u w:val="single"/>
        </w:rPr>
      </w:pPr>
    </w:p>
    <w:p w14:paraId="231954EA" w14:textId="5FF5216B" w:rsidR="00E923F6" w:rsidRPr="00C658FF" w:rsidRDefault="00E923F6" w:rsidP="00E923F6">
      <w:pPr>
        <w:pStyle w:val="Caption"/>
        <w:spacing w:after="0"/>
        <w:ind w:right="-739"/>
        <w:jc w:val="both"/>
        <w:rPr>
          <w:rFonts w:ascii="Times New Roman" w:hAnsi="Times New Roman" w:cs="Times New Roman"/>
          <w:color w:val="auto"/>
          <w:sz w:val="24"/>
          <w:szCs w:val="24"/>
          <w:u w:val="single"/>
        </w:rPr>
      </w:pPr>
      <w:r w:rsidRPr="00C658FF">
        <w:rPr>
          <w:rFonts w:ascii="Times New Roman" w:hAnsi="Times New Roman" w:cs="Times New Roman"/>
          <w:color w:val="auto"/>
          <w:sz w:val="24"/>
          <w:szCs w:val="24"/>
          <w:u w:val="single"/>
        </w:rPr>
        <w:t>Table 7</w:t>
      </w:r>
    </w:p>
    <w:p w14:paraId="1DDB5706" w14:textId="1BC63CDE" w:rsidR="00E923F6" w:rsidRPr="00C658FF" w:rsidRDefault="00E923F6" w:rsidP="00E923F6">
      <w:pPr>
        <w:spacing w:after="0" w:line="240" w:lineRule="auto"/>
        <w:ind w:right="-739"/>
        <w:jc w:val="both"/>
        <w:rPr>
          <w:rFonts w:ascii="Times New Roman" w:eastAsia="Times New Roman" w:hAnsi="Times New Roman" w:cs="Times New Roman"/>
          <w:b/>
          <w:sz w:val="24"/>
          <w:szCs w:val="24"/>
        </w:rPr>
      </w:pPr>
      <w:r w:rsidRPr="00C658FF">
        <w:rPr>
          <w:rFonts w:ascii="Times New Roman" w:eastAsia="Times New Roman" w:hAnsi="Times New Roman" w:cs="Times New Roman"/>
          <w:b/>
          <w:sz w:val="24"/>
          <w:szCs w:val="24"/>
        </w:rPr>
        <w:t>Average Abnormal Returns (AARs) of recommendation downgrades surrounding the release day during the bullish (</w:t>
      </w:r>
      <w:r w:rsidR="00B537DF" w:rsidRPr="00C658FF">
        <w:rPr>
          <w:rFonts w:ascii="Times New Roman" w:eastAsia="Times New Roman" w:hAnsi="Times New Roman" w:cs="Times New Roman"/>
          <w:b/>
          <w:sz w:val="24"/>
          <w:szCs w:val="24"/>
        </w:rPr>
        <w:t>03</w:t>
      </w:r>
      <w:r w:rsidRPr="00C658FF">
        <w:rPr>
          <w:rFonts w:ascii="Times New Roman" w:eastAsia="Times New Roman" w:hAnsi="Times New Roman" w:cs="Times New Roman"/>
          <w:b/>
          <w:sz w:val="24"/>
          <w:szCs w:val="24"/>
        </w:rPr>
        <w:t>−</w:t>
      </w:r>
      <w:r w:rsidR="00B537DF" w:rsidRPr="00C658FF">
        <w:rPr>
          <w:rFonts w:ascii="Times New Roman" w:eastAsia="Times New Roman" w:hAnsi="Times New Roman" w:cs="Times New Roman"/>
          <w:b/>
          <w:sz w:val="24"/>
          <w:szCs w:val="24"/>
        </w:rPr>
        <w:t>09</w:t>
      </w:r>
      <w:r w:rsidRPr="00C658FF">
        <w:rPr>
          <w:rFonts w:ascii="Times New Roman" w:eastAsia="Times New Roman" w:hAnsi="Times New Roman" w:cs="Times New Roman"/>
          <w:b/>
          <w:sz w:val="24"/>
          <w:szCs w:val="24"/>
        </w:rPr>
        <w:t xml:space="preserve">−2009 ~ </w:t>
      </w:r>
      <w:r w:rsidR="00B537DF" w:rsidRPr="00C658FF">
        <w:rPr>
          <w:rFonts w:ascii="Times New Roman" w:eastAsia="Times New Roman" w:hAnsi="Times New Roman" w:cs="Times New Roman"/>
          <w:b/>
          <w:sz w:val="24"/>
          <w:szCs w:val="24"/>
        </w:rPr>
        <w:t>11</w:t>
      </w:r>
      <w:r w:rsidRPr="00C658FF">
        <w:rPr>
          <w:rFonts w:ascii="Times New Roman" w:eastAsia="Times New Roman" w:hAnsi="Times New Roman" w:cs="Times New Roman"/>
          <w:b/>
          <w:sz w:val="24"/>
          <w:szCs w:val="24"/>
        </w:rPr>
        <w:t>−</w:t>
      </w:r>
      <w:r w:rsidR="00B537DF" w:rsidRPr="00C658FF">
        <w:rPr>
          <w:rFonts w:ascii="Times New Roman" w:eastAsia="Times New Roman" w:hAnsi="Times New Roman" w:cs="Times New Roman"/>
          <w:b/>
          <w:sz w:val="24"/>
          <w:szCs w:val="24"/>
        </w:rPr>
        <w:t>08</w:t>
      </w:r>
      <w:r w:rsidRPr="00C658FF">
        <w:rPr>
          <w:rFonts w:ascii="Times New Roman" w:eastAsia="Times New Roman" w:hAnsi="Times New Roman" w:cs="Times New Roman"/>
          <w:b/>
          <w:sz w:val="24"/>
          <w:szCs w:val="24"/>
        </w:rPr>
        <w:t>−2010) and the bearish (</w:t>
      </w:r>
      <w:r w:rsidR="00B537DF" w:rsidRPr="00C658FF">
        <w:rPr>
          <w:rFonts w:ascii="Times New Roman" w:eastAsia="Times New Roman" w:hAnsi="Times New Roman" w:cs="Times New Roman"/>
          <w:b/>
          <w:sz w:val="24"/>
          <w:szCs w:val="24"/>
        </w:rPr>
        <w:t>11</w:t>
      </w:r>
      <w:r w:rsidRPr="00C658FF">
        <w:rPr>
          <w:rFonts w:ascii="Times New Roman" w:eastAsia="Times New Roman" w:hAnsi="Times New Roman" w:cs="Times New Roman"/>
          <w:b/>
          <w:sz w:val="24"/>
          <w:szCs w:val="24"/>
        </w:rPr>
        <w:t>−</w:t>
      </w:r>
      <w:r w:rsidR="00B537DF" w:rsidRPr="00C658FF">
        <w:rPr>
          <w:rFonts w:ascii="Times New Roman" w:eastAsia="Times New Roman" w:hAnsi="Times New Roman" w:cs="Times New Roman"/>
          <w:b/>
          <w:sz w:val="24"/>
          <w:szCs w:val="24"/>
        </w:rPr>
        <w:t>09</w:t>
      </w:r>
      <w:r w:rsidRPr="00C658FF">
        <w:rPr>
          <w:rFonts w:ascii="Times New Roman" w:eastAsia="Times New Roman" w:hAnsi="Times New Roman" w:cs="Times New Roman"/>
          <w:b/>
          <w:sz w:val="24"/>
          <w:szCs w:val="24"/>
        </w:rPr>
        <w:t xml:space="preserve">−2010 ~ </w:t>
      </w:r>
      <w:r w:rsidR="009D100D" w:rsidRPr="00C658FF">
        <w:rPr>
          <w:rFonts w:ascii="Times New Roman" w:eastAsia="Times New Roman" w:hAnsi="Times New Roman" w:cs="Times New Roman"/>
          <w:b/>
          <w:sz w:val="24"/>
          <w:szCs w:val="24"/>
        </w:rPr>
        <w:t>01</w:t>
      </w:r>
      <w:r w:rsidRPr="00C658FF">
        <w:rPr>
          <w:rFonts w:ascii="Times New Roman" w:eastAsia="Times New Roman" w:hAnsi="Times New Roman" w:cs="Times New Roman"/>
          <w:b/>
          <w:sz w:val="24"/>
          <w:szCs w:val="24"/>
        </w:rPr>
        <w:t>−</w:t>
      </w:r>
      <w:r w:rsidR="00616AB3" w:rsidRPr="00C658FF">
        <w:rPr>
          <w:rFonts w:ascii="Times New Roman" w:eastAsia="Times New Roman" w:hAnsi="Times New Roman" w:cs="Times New Roman"/>
          <w:b/>
          <w:sz w:val="24"/>
          <w:szCs w:val="24"/>
        </w:rPr>
        <w:t>01</w:t>
      </w:r>
      <w:r w:rsidRPr="00C658FF">
        <w:rPr>
          <w:rFonts w:ascii="Times New Roman" w:eastAsia="Times New Roman" w:hAnsi="Times New Roman" w:cs="Times New Roman"/>
          <w:b/>
          <w:sz w:val="24"/>
          <w:szCs w:val="24"/>
        </w:rPr>
        <w:t>−2012) phases</w:t>
      </w:r>
      <w:r w:rsidR="00EB26A5" w:rsidRPr="00C658FF">
        <w:rPr>
          <w:rFonts w:ascii="Times New Roman" w:eastAsia="Times New Roman" w:hAnsi="Times New Roman" w:cs="Times New Roman"/>
          <w:b/>
          <w:sz w:val="24"/>
          <w:szCs w:val="24"/>
        </w:rPr>
        <w:t>.</w:t>
      </w:r>
    </w:p>
    <w:p w14:paraId="7FA16E09" w14:textId="77777777" w:rsidR="00EB26A5" w:rsidRPr="002C7287" w:rsidRDefault="00EB26A5" w:rsidP="00E923F6">
      <w:pPr>
        <w:spacing w:after="0" w:line="240" w:lineRule="auto"/>
        <w:ind w:right="-739"/>
        <w:jc w:val="both"/>
        <w:rPr>
          <w:rFonts w:ascii="Times New Roman" w:eastAsia="Times New Roman" w:hAnsi="Times New Roman" w:cs="Times New Roman"/>
          <w:b/>
        </w:rPr>
      </w:pPr>
    </w:p>
    <w:tbl>
      <w:tblPr>
        <w:tblStyle w:val="TableGrid"/>
        <w:tblW w:w="9781"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956"/>
        <w:gridCol w:w="1956"/>
        <w:gridCol w:w="1956"/>
        <w:gridCol w:w="1957"/>
      </w:tblGrid>
      <w:tr w:rsidR="00E923F6" w:rsidRPr="00B94D55" w14:paraId="2BD24BF3" w14:textId="77777777" w:rsidTr="00A87058">
        <w:trPr>
          <w:trHeight w:val="242"/>
          <w:jc w:val="center"/>
        </w:trPr>
        <w:tc>
          <w:tcPr>
            <w:tcW w:w="1956" w:type="dxa"/>
            <w:vMerge w:val="restart"/>
            <w:tcBorders>
              <w:top w:val="single" w:sz="4" w:space="0" w:color="auto"/>
              <w:right w:val="nil"/>
            </w:tcBorders>
            <w:vAlign w:val="center"/>
          </w:tcPr>
          <w:p w14:paraId="02A635A2" w14:textId="77777777" w:rsidR="00E923F6" w:rsidRDefault="00E923F6" w:rsidP="00A87058">
            <w:pPr>
              <w:contextualSpacing/>
              <w:jc w:val="center"/>
              <w:rPr>
                <w:rFonts w:ascii="Times New Roman" w:hAnsi="Times New Roman" w:cs="Times New Roman"/>
              </w:rPr>
            </w:pPr>
            <w:r>
              <w:rPr>
                <w:rFonts w:ascii="Times New Roman" w:hAnsi="Times New Roman" w:cs="Times New Roman"/>
              </w:rPr>
              <w:t>Event</w:t>
            </w:r>
          </w:p>
          <w:p w14:paraId="3D644106" w14:textId="77777777" w:rsidR="00E923F6" w:rsidRDefault="00E923F6" w:rsidP="00A87058">
            <w:pPr>
              <w:contextualSpacing/>
              <w:jc w:val="center"/>
              <w:rPr>
                <w:rFonts w:ascii="Times New Roman" w:hAnsi="Times New Roman" w:cs="Times New Roman"/>
              </w:rPr>
            </w:pPr>
            <w:r>
              <w:rPr>
                <w:rFonts w:ascii="Times New Roman" w:hAnsi="Times New Roman" w:cs="Times New Roman"/>
              </w:rPr>
              <w:t>day</w:t>
            </w:r>
          </w:p>
        </w:tc>
        <w:tc>
          <w:tcPr>
            <w:tcW w:w="3912" w:type="dxa"/>
            <w:gridSpan w:val="2"/>
            <w:tcBorders>
              <w:top w:val="single" w:sz="4" w:space="0" w:color="auto"/>
              <w:left w:val="nil"/>
              <w:bottom w:val="single" w:sz="4" w:space="0" w:color="auto"/>
              <w:right w:val="nil"/>
            </w:tcBorders>
          </w:tcPr>
          <w:p w14:paraId="4A1F4D5C" w14:textId="77777777" w:rsidR="00E923F6" w:rsidRPr="00B94D55" w:rsidRDefault="00E923F6" w:rsidP="00A87058">
            <w:pPr>
              <w:contextualSpacing/>
              <w:jc w:val="center"/>
              <w:rPr>
                <w:rFonts w:ascii="Times New Roman" w:hAnsi="Times New Roman" w:cs="Times New Roman"/>
              </w:rPr>
            </w:pPr>
            <w:r>
              <w:rPr>
                <w:rFonts w:ascii="Times New Roman" w:hAnsi="Times New Roman" w:cs="Times New Roman"/>
              </w:rPr>
              <w:t>Bullish</w:t>
            </w:r>
          </w:p>
        </w:tc>
        <w:tc>
          <w:tcPr>
            <w:tcW w:w="3913" w:type="dxa"/>
            <w:gridSpan w:val="2"/>
            <w:tcBorders>
              <w:top w:val="single" w:sz="4" w:space="0" w:color="auto"/>
              <w:left w:val="nil"/>
              <w:bottom w:val="single" w:sz="4" w:space="0" w:color="auto"/>
            </w:tcBorders>
          </w:tcPr>
          <w:p w14:paraId="2DE7AC86" w14:textId="77777777" w:rsidR="00E923F6" w:rsidRPr="00B94D55" w:rsidRDefault="00E923F6" w:rsidP="00A87058">
            <w:pPr>
              <w:contextualSpacing/>
              <w:jc w:val="center"/>
              <w:rPr>
                <w:rFonts w:ascii="Times New Roman" w:hAnsi="Times New Roman" w:cs="Times New Roman"/>
              </w:rPr>
            </w:pPr>
            <w:r>
              <w:rPr>
                <w:rFonts w:ascii="Times New Roman" w:hAnsi="Times New Roman" w:cs="Times New Roman"/>
              </w:rPr>
              <w:t>Bearish</w:t>
            </w:r>
          </w:p>
        </w:tc>
      </w:tr>
      <w:tr w:rsidR="00E923F6" w:rsidRPr="00B94D55" w14:paraId="13F24038" w14:textId="77777777" w:rsidTr="00A87058">
        <w:trPr>
          <w:trHeight w:val="242"/>
          <w:jc w:val="center"/>
        </w:trPr>
        <w:tc>
          <w:tcPr>
            <w:tcW w:w="1956" w:type="dxa"/>
            <w:vMerge/>
            <w:tcBorders>
              <w:right w:val="nil"/>
            </w:tcBorders>
          </w:tcPr>
          <w:p w14:paraId="3DB876C1" w14:textId="77777777" w:rsidR="00E923F6" w:rsidRPr="00B94D55" w:rsidRDefault="00E923F6" w:rsidP="00A87058">
            <w:pPr>
              <w:contextualSpacing/>
              <w:jc w:val="center"/>
              <w:rPr>
                <w:rFonts w:ascii="Times New Roman" w:hAnsi="Times New Roman" w:cs="Times New Roman"/>
              </w:rPr>
            </w:pPr>
          </w:p>
        </w:tc>
        <w:tc>
          <w:tcPr>
            <w:tcW w:w="1956" w:type="dxa"/>
            <w:tcBorders>
              <w:top w:val="single" w:sz="4" w:space="0" w:color="auto"/>
              <w:left w:val="nil"/>
              <w:bottom w:val="single" w:sz="4" w:space="0" w:color="auto"/>
              <w:right w:val="nil"/>
            </w:tcBorders>
          </w:tcPr>
          <w:p w14:paraId="68B09CE8" w14:textId="77777777" w:rsidR="00E923F6" w:rsidRPr="00B94D55" w:rsidRDefault="00E923F6" w:rsidP="00A87058">
            <w:pPr>
              <w:contextualSpacing/>
              <w:jc w:val="center"/>
              <w:rPr>
                <w:rFonts w:ascii="Times New Roman" w:hAnsi="Times New Roman" w:cs="Times New Roman"/>
              </w:rPr>
            </w:pPr>
            <w:r>
              <w:rPr>
                <w:rFonts w:ascii="Times New Roman" w:hAnsi="Times New Roman" w:cs="Times New Roman"/>
              </w:rPr>
              <w:t>MM</w:t>
            </w:r>
          </w:p>
        </w:tc>
        <w:tc>
          <w:tcPr>
            <w:tcW w:w="1956" w:type="dxa"/>
            <w:tcBorders>
              <w:top w:val="single" w:sz="4" w:space="0" w:color="auto"/>
              <w:left w:val="nil"/>
              <w:bottom w:val="single" w:sz="4" w:space="0" w:color="auto"/>
              <w:right w:val="nil"/>
            </w:tcBorders>
          </w:tcPr>
          <w:p w14:paraId="5A806578" w14:textId="77777777" w:rsidR="00E923F6" w:rsidRPr="00B94D55" w:rsidRDefault="00E923F6" w:rsidP="00A87058">
            <w:pPr>
              <w:contextualSpacing/>
              <w:jc w:val="center"/>
              <w:rPr>
                <w:rFonts w:ascii="Times New Roman" w:eastAsia="Times New Roman" w:hAnsi="Times New Roman" w:cs="Times New Roman"/>
                <w:color w:val="000000"/>
                <w:lang w:eastAsia="en-GB"/>
              </w:rPr>
            </w:pPr>
            <w:r w:rsidRPr="00B94D55">
              <w:rPr>
                <w:rFonts w:ascii="Times New Roman" w:hAnsi="Times New Roman" w:cs="Times New Roman"/>
              </w:rPr>
              <w:t>3-Factor</w:t>
            </w:r>
          </w:p>
        </w:tc>
        <w:tc>
          <w:tcPr>
            <w:tcW w:w="1956" w:type="dxa"/>
            <w:tcBorders>
              <w:top w:val="single" w:sz="4" w:space="0" w:color="auto"/>
              <w:left w:val="nil"/>
              <w:bottom w:val="single" w:sz="4" w:space="0" w:color="auto"/>
              <w:right w:val="nil"/>
            </w:tcBorders>
          </w:tcPr>
          <w:p w14:paraId="0AC189BC" w14:textId="77777777" w:rsidR="00E923F6" w:rsidRPr="00B94D55" w:rsidRDefault="00E923F6" w:rsidP="00A87058">
            <w:pPr>
              <w:contextualSpacing/>
              <w:jc w:val="center"/>
              <w:rPr>
                <w:rFonts w:ascii="Times New Roman" w:hAnsi="Times New Roman" w:cs="Times New Roman"/>
              </w:rPr>
            </w:pPr>
            <w:r>
              <w:rPr>
                <w:rFonts w:ascii="Times New Roman" w:hAnsi="Times New Roman" w:cs="Times New Roman"/>
              </w:rPr>
              <w:t>MM</w:t>
            </w:r>
          </w:p>
        </w:tc>
        <w:tc>
          <w:tcPr>
            <w:tcW w:w="1957" w:type="dxa"/>
            <w:tcBorders>
              <w:top w:val="single" w:sz="4" w:space="0" w:color="auto"/>
              <w:left w:val="nil"/>
              <w:bottom w:val="single" w:sz="4" w:space="0" w:color="auto"/>
            </w:tcBorders>
          </w:tcPr>
          <w:p w14:paraId="3DCD9C4E" w14:textId="77777777" w:rsidR="00E923F6" w:rsidRPr="00B94D55" w:rsidRDefault="00E923F6" w:rsidP="00A87058">
            <w:pPr>
              <w:contextualSpacing/>
              <w:jc w:val="center"/>
              <w:rPr>
                <w:rFonts w:ascii="Times New Roman" w:hAnsi="Times New Roman" w:cs="Times New Roman"/>
              </w:rPr>
            </w:pPr>
            <w:r w:rsidRPr="00B94D55">
              <w:rPr>
                <w:rFonts w:ascii="Times New Roman" w:hAnsi="Times New Roman" w:cs="Times New Roman"/>
              </w:rPr>
              <w:t>3-Factor</w:t>
            </w:r>
          </w:p>
        </w:tc>
      </w:tr>
      <w:tr w:rsidR="00E923F6" w:rsidRPr="00B94D55" w14:paraId="58BF5735" w14:textId="77777777" w:rsidTr="00A87058">
        <w:trPr>
          <w:trHeight w:val="357"/>
          <w:jc w:val="center"/>
        </w:trPr>
        <w:tc>
          <w:tcPr>
            <w:tcW w:w="1956" w:type="dxa"/>
            <w:vMerge/>
            <w:tcBorders>
              <w:bottom w:val="single" w:sz="4" w:space="0" w:color="auto"/>
              <w:right w:val="nil"/>
            </w:tcBorders>
          </w:tcPr>
          <w:p w14:paraId="4F965CB0" w14:textId="77777777" w:rsidR="00E923F6" w:rsidRPr="00B94D55" w:rsidRDefault="00E923F6" w:rsidP="00A87058">
            <w:pPr>
              <w:contextualSpacing/>
              <w:jc w:val="center"/>
              <w:rPr>
                <w:rFonts w:ascii="Times New Roman" w:hAnsi="Times New Roman" w:cs="Times New Roman"/>
              </w:rPr>
            </w:pPr>
          </w:p>
        </w:tc>
        <w:tc>
          <w:tcPr>
            <w:tcW w:w="1956" w:type="dxa"/>
            <w:tcBorders>
              <w:top w:val="single" w:sz="4" w:space="0" w:color="auto"/>
              <w:left w:val="nil"/>
              <w:bottom w:val="single" w:sz="4" w:space="0" w:color="auto"/>
              <w:right w:val="nil"/>
            </w:tcBorders>
          </w:tcPr>
          <w:p w14:paraId="566EBC8E" w14:textId="4A85FF46" w:rsidR="00E923F6" w:rsidRPr="00B94D55" w:rsidRDefault="00E923F6" w:rsidP="00A87058">
            <w:pPr>
              <w:contextualSpacing/>
              <w:jc w:val="center"/>
              <w:rPr>
                <w:rFonts w:ascii="Times New Roman" w:hAnsi="Times New Roman" w:cs="Times New Roman"/>
              </w:rPr>
            </w:pPr>
            <w:r w:rsidRPr="00B94D55">
              <w:rPr>
                <w:rFonts w:ascii="Times New Roman" w:hAnsi="Times New Roman" w:cs="Times New Roman"/>
              </w:rPr>
              <w:t>Average AR</w:t>
            </w:r>
            <w:r w:rsidR="00A8565D">
              <w:rPr>
                <w:rFonts w:ascii="Times New Roman" w:hAnsi="Times New Roman" w:cs="Times New Roman"/>
              </w:rPr>
              <w:t xml:space="preserve"> (%)</w:t>
            </w:r>
          </w:p>
        </w:tc>
        <w:tc>
          <w:tcPr>
            <w:tcW w:w="1956" w:type="dxa"/>
            <w:tcBorders>
              <w:top w:val="single" w:sz="4" w:space="0" w:color="auto"/>
              <w:left w:val="nil"/>
              <w:bottom w:val="single" w:sz="4" w:space="0" w:color="auto"/>
              <w:right w:val="nil"/>
            </w:tcBorders>
          </w:tcPr>
          <w:p w14:paraId="71446DA6" w14:textId="1BF3CF3B" w:rsidR="00E923F6" w:rsidRPr="00B94D55" w:rsidRDefault="00E923F6" w:rsidP="00A87058">
            <w:pPr>
              <w:contextualSpacing/>
              <w:jc w:val="center"/>
              <w:rPr>
                <w:rFonts w:ascii="Times New Roman" w:hAnsi="Times New Roman" w:cs="Times New Roman"/>
                <w:highlight w:val="darkGray"/>
              </w:rPr>
            </w:pPr>
            <w:r w:rsidRPr="00B94D55">
              <w:rPr>
                <w:rFonts w:ascii="Times New Roman" w:hAnsi="Times New Roman" w:cs="Times New Roman"/>
              </w:rPr>
              <w:t>Average AR</w:t>
            </w:r>
            <w:r w:rsidR="00A8565D">
              <w:rPr>
                <w:rFonts w:ascii="Times New Roman" w:hAnsi="Times New Roman" w:cs="Times New Roman"/>
              </w:rPr>
              <w:t xml:space="preserve"> (%)</w:t>
            </w:r>
          </w:p>
        </w:tc>
        <w:tc>
          <w:tcPr>
            <w:tcW w:w="1956" w:type="dxa"/>
            <w:tcBorders>
              <w:top w:val="single" w:sz="4" w:space="0" w:color="auto"/>
              <w:left w:val="nil"/>
              <w:bottom w:val="single" w:sz="4" w:space="0" w:color="auto"/>
              <w:right w:val="nil"/>
            </w:tcBorders>
          </w:tcPr>
          <w:p w14:paraId="692F5FE1" w14:textId="0A34E8FF" w:rsidR="00E923F6" w:rsidRPr="00B94D55" w:rsidRDefault="00E923F6" w:rsidP="00A87058">
            <w:pPr>
              <w:contextualSpacing/>
              <w:jc w:val="center"/>
              <w:rPr>
                <w:rFonts w:ascii="Times New Roman" w:hAnsi="Times New Roman" w:cs="Times New Roman"/>
              </w:rPr>
            </w:pPr>
            <w:r w:rsidRPr="00B94D55">
              <w:rPr>
                <w:rFonts w:ascii="Times New Roman" w:hAnsi="Times New Roman" w:cs="Times New Roman"/>
              </w:rPr>
              <w:t>Average AR</w:t>
            </w:r>
            <w:r w:rsidR="00A8565D">
              <w:rPr>
                <w:rFonts w:ascii="Times New Roman" w:hAnsi="Times New Roman" w:cs="Times New Roman"/>
              </w:rPr>
              <w:t xml:space="preserve"> (%)</w:t>
            </w:r>
          </w:p>
        </w:tc>
        <w:tc>
          <w:tcPr>
            <w:tcW w:w="1957" w:type="dxa"/>
            <w:tcBorders>
              <w:top w:val="single" w:sz="4" w:space="0" w:color="auto"/>
              <w:left w:val="nil"/>
              <w:bottom w:val="single" w:sz="4" w:space="0" w:color="auto"/>
            </w:tcBorders>
          </w:tcPr>
          <w:p w14:paraId="597E2E34" w14:textId="38CA756E" w:rsidR="00E923F6" w:rsidRPr="00B94D55" w:rsidRDefault="00E923F6" w:rsidP="00A87058">
            <w:pPr>
              <w:contextualSpacing/>
              <w:jc w:val="center"/>
              <w:rPr>
                <w:rFonts w:ascii="Times New Roman" w:eastAsia="Times New Roman" w:hAnsi="Times New Roman" w:cs="Times New Roman"/>
                <w:color w:val="000000"/>
                <w:lang w:eastAsia="en-GB"/>
              </w:rPr>
            </w:pPr>
            <w:r w:rsidRPr="00B94D55">
              <w:rPr>
                <w:rFonts w:ascii="Times New Roman" w:hAnsi="Times New Roman" w:cs="Times New Roman"/>
              </w:rPr>
              <w:t>Average AR</w:t>
            </w:r>
            <w:r w:rsidR="00A8565D">
              <w:rPr>
                <w:rFonts w:ascii="Times New Roman" w:hAnsi="Times New Roman" w:cs="Times New Roman"/>
              </w:rPr>
              <w:t xml:space="preserve"> (%)</w:t>
            </w:r>
          </w:p>
        </w:tc>
      </w:tr>
      <w:tr w:rsidR="00E923F6" w:rsidRPr="000E13FC" w14:paraId="6F2DAFBE" w14:textId="77777777" w:rsidTr="00A87058">
        <w:trPr>
          <w:trHeight w:val="254"/>
          <w:jc w:val="center"/>
        </w:trPr>
        <w:tc>
          <w:tcPr>
            <w:tcW w:w="1956" w:type="dxa"/>
          </w:tcPr>
          <w:p w14:paraId="3F816FAF"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-5</w:t>
            </w:r>
          </w:p>
        </w:tc>
        <w:tc>
          <w:tcPr>
            <w:tcW w:w="1956" w:type="dxa"/>
          </w:tcPr>
          <w:p w14:paraId="63A667D6"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0.155</w:t>
            </w:r>
            <w:r w:rsidRPr="000E13FC">
              <w:rPr>
                <w:rFonts w:ascii="Times New Roman" w:hAnsi="Times New Roman" w:cs="Times New Roman"/>
                <w:sz w:val="20"/>
                <w:szCs w:val="20"/>
                <w:vertAlign w:val="superscript"/>
              </w:rPr>
              <w:t>*</w:t>
            </w:r>
          </w:p>
          <w:p w14:paraId="01EA5FBA"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(1.883)</w:t>
            </w:r>
          </w:p>
        </w:tc>
        <w:tc>
          <w:tcPr>
            <w:tcW w:w="1956" w:type="dxa"/>
          </w:tcPr>
          <w:p w14:paraId="17671407"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0.078</w:t>
            </w:r>
          </w:p>
          <w:p w14:paraId="6877FF86"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(0.195)</w:t>
            </w:r>
          </w:p>
        </w:tc>
        <w:tc>
          <w:tcPr>
            <w:tcW w:w="1956" w:type="dxa"/>
          </w:tcPr>
          <w:p w14:paraId="5E92A440"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-0.078</w:t>
            </w:r>
          </w:p>
          <w:p w14:paraId="3AB40CA8"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(-1.152)</w:t>
            </w:r>
          </w:p>
        </w:tc>
        <w:tc>
          <w:tcPr>
            <w:tcW w:w="1957" w:type="dxa"/>
            <w:vAlign w:val="bottom"/>
          </w:tcPr>
          <w:p w14:paraId="285667F8"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-0.07</w:t>
            </w:r>
          </w:p>
          <w:p w14:paraId="15DF4DE4"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(-0.761)</w:t>
            </w:r>
          </w:p>
          <w:p w14:paraId="32BBF188"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7516AF42" w14:textId="77777777" w:rsidTr="00A87058">
        <w:trPr>
          <w:trHeight w:val="254"/>
          <w:jc w:val="center"/>
        </w:trPr>
        <w:tc>
          <w:tcPr>
            <w:tcW w:w="1956" w:type="dxa"/>
          </w:tcPr>
          <w:p w14:paraId="46BBF4D9"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-4</w:t>
            </w:r>
          </w:p>
        </w:tc>
        <w:tc>
          <w:tcPr>
            <w:tcW w:w="1956" w:type="dxa"/>
          </w:tcPr>
          <w:p w14:paraId="33AD072B"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-0.075</w:t>
            </w:r>
          </w:p>
          <w:p w14:paraId="0FF8CA66"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(-0.25)</w:t>
            </w:r>
          </w:p>
        </w:tc>
        <w:tc>
          <w:tcPr>
            <w:tcW w:w="1956" w:type="dxa"/>
          </w:tcPr>
          <w:p w14:paraId="5679735C"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0.918</w:t>
            </w:r>
          </w:p>
          <w:p w14:paraId="0C4B7521"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(1.322)</w:t>
            </w:r>
          </w:p>
        </w:tc>
        <w:tc>
          <w:tcPr>
            <w:tcW w:w="1956" w:type="dxa"/>
          </w:tcPr>
          <w:p w14:paraId="45D92B42"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0.153</w:t>
            </w:r>
          </w:p>
          <w:p w14:paraId="375D6CA0"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(1.075)</w:t>
            </w:r>
          </w:p>
        </w:tc>
        <w:tc>
          <w:tcPr>
            <w:tcW w:w="1957" w:type="dxa"/>
            <w:vAlign w:val="bottom"/>
          </w:tcPr>
          <w:p w14:paraId="161D1450"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0.129</w:t>
            </w:r>
          </w:p>
          <w:p w14:paraId="74A100E6"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(1.106)</w:t>
            </w:r>
          </w:p>
          <w:p w14:paraId="5FAC6E77"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436D1072" w14:textId="77777777" w:rsidTr="00A87058">
        <w:trPr>
          <w:trHeight w:val="244"/>
          <w:jc w:val="center"/>
        </w:trPr>
        <w:tc>
          <w:tcPr>
            <w:tcW w:w="1956" w:type="dxa"/>
          </w:tcPr>
          <w:p w14:paraId="024E63A0"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-3</w:t>
            </w:r>
          </w:p>
        </w:tc>
        <w:tc>
          <w:tcPr>
            <w:tcW w:w="1956" w:type="dxa"/>
          </w:tcPr>
          <w:p w14:paraId="1450B34A"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0.019</w:t>
            </w:r>
          </w:p>
          <w:p w14:paraId="76FAE045"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(0.379)</w:t>
            </w:r>
          </w:p>
        </w:tc>
        <w:tc>
          <w:tcPr>
            <w:tcW w:w="1956" w:type="dxa"/>
          </w:tcPr>
          <w:p w14:paraId="117AA55D"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0.276</w:t>
            </w:r>
          </w:p>
          <w:p w14:paraId="2926A2A6"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(0.584)</w:t>
            </w:r>
          </w:p>
        </w:tc>
        <w:tc>
          <w:tcPr>
            <w:tcW w:w="1956" w:type="dxa"/>
          </w:tcPr>
          <w:p w14:paraId="4A3A872E"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0.150</w:t>
            </w:r>
          </w:p>
          <w:p w14:paraId="4260D77D"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(0.894)</w:t>
            </w:r>
          </w:p>
        </w:tc>
        <w:tc>
          <w:tcPr>
            <w:tcW w:w="1957" w:type="dxa"/>
            <w:vAlign w:val="bottom"/>
          </w:tcPr>
          <w:p w14:paraId="18379FD8"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0.147</w:t>
            </w:r>
          </w:p>
          <w:p w14:paraId="28FBD53F"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(1.324)</w:t>
            </w:r>
          </w:p>
          <w:p w14:paraId="60309911"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657C7FAA" w14:textId="77777777" w:rsidTr="00A87058">
        <w:trPr>
          <w:trHeight w:val="254"/>
          <w:jc w:val="center"/>
        </w:trPr>
        <w:tc>
          <w:tcPr>
            <w:tcW w:w="1956" w:type="dxa"/>
          </w:tcPr>
          <w:p w14:paraId="4A1CB523"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-2</w:t>
            </w:r>
          </w:p>
        </w:tc>
        <w:tc>
          <w:tcPr>
            <w:tcW w:w="1956" w:type="dxa"/>
          </w:tcPr>
          <w:p w14:paraId="4A5DE3BE"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-0.084</w:t>
            </w:r>
          </w:p>
          <w:p w14:paraId="0EF6DCAC"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(-0.557)</w:t>
            </w:r>
          </w:p>
        </w:tc>
        <w:tc>
          <w:tcPr>
            <w:tcW w:w="1956" w:type="dxa"/>
          </w:tcPr>
          <w:p w14:paraId="2F7C747F"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-0.048</w:t>
            </w:r>
          </w:p>
          <w:p w14:paraId="548E06F3"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(-0.145)</w:t>
            </w:r>
          </w:p>
        </w:tc>
        <w:tc>
          <w:tcPr>
            <w:tcW w:w="1956" w:type="dxa"/>
          </w:tcPr>
          <w:p w14:paraId="67AD77CF"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0.127</w:t>
            </w:r>
          </w:p>
          <w:p w14:paraId="04DA30BF"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(0.151)</w:t>
            </w:r>
          </w:p>
        </w:tc>
        <w:tc>
          <w:tcPr>
            <w:tcW w:w="1957" w:type="dxa"/>
            <w:vAlign w:val="bottom"/>
          </w:tcPr>
          <w:p w14:paraId="418CBC1F"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-0.001</w:t>
            </w:r>
          </w:p>
          <w:p w14:paraId="4F19B599"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(-0.006)</w:t>
            </w:r>
          </w:p>
          <w:p w14:paraId="28587B3C"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72E66767" w14:textId="77777777" w:rsidTr="00A87058">
        <w:trPr>
          <w:trHeight w:val="254"/>
          <w:jc w:val="center"/>
        </w:trPr>
        <w:tc>
          <w:tcPr>
            <w:tcW w:w="1956" w:type="dxa"/>
          </w:tcPr>
          <w:p w14:paraId="743A98E9"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-1</w:t>
            </w:r>
          </w:p>
        </w:tc>
        <w:tc>
          <w:tcPr>
            <w:tcW w:w="1956" w:type="dxa"/>
          </w:tcPr>
          <w:p w14:paraId="07092207"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-0.115</w:t>
            </w:r>
          </w:p>
          <w:p w14:paraId="046B11EE"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(-0.730)</w:t>
            </w:r>
          </w:p>
        </w:tc>
        <w:tc>
          <w:tcPr>
            <w:tcW w:w="1956" w:type="dxa"/>
          </w:tcPr>
          <w:p w14:paraId="1A9B9175"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-0.486</w:t>
            </w:r>
          </w:p>
          <w:p w14:paraId="5D27FF9B"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(-1.449)</w:t>
            </w:r>
          </w:p>
        </w:tc>
        <w:tc>
          <w:tcPr>
            <w:tcW w:w="1956" w:type="dxa"/>
          </w:tcPr>
          <w:p w14:paraId="6285CFCC"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0.134</w:t>
            </w:r>
          </w:p>
          <w:p w14:paraId="4281B3EE"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(1.446)</w:t>
            </w:r>
          </w:p>
        </w:tc>
        <w:tc>
          <w:tcPr>
            <w:tcW w:w="1957" w:type="dxa"/>
            <w:vAlign w:val="bottom"/>
          </w:tcPr>
          <w:p w14:paraId="04E07DBE"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0.037</w:t>
            </w:r>
          </w:p>
          <w:p w14:paraId="3344920E"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(0.353)</w:t>
            </w:r>
          </w:p>
          <w:p w14:paraId="68A3E71E"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1D2DCEE4" w14:textId="77777777" w:rsidTr="00A87058">
        <w:trPr>
          <w:trHeight w:val="254"/>
          <w:jc w:val="center"/>
        </w:trPr>
        <w:tc>
          <w:tcPr>
            <w:tcW w:w="1956" w:type="dxa"/>
          </w:tcPr>
          <w:p w14:paraId="0C19BDC7"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0</w:t>
            </w:r>
          </w:p>
        </w:tc>
        <w:tc>
          <w:tcPr>
            <w:tcW w:w="1956" w:type="dxa"/>
          </w:tcPr>
          <w:p w14:paraId="52922960"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-0.372</w:t>
            </w:r>
            <w:r w:rsidRPr="000E13FC">
              <w:rPr>
                <w:rFonts w:ascii="Times New Roman" w:hAnsi="Times New Roman" w:cs="Times New Roman"/>
                <w:color w:val="000000"/>
                <w:sz w:val="20"/>
                <w:szCs w:val="20"/>
                <w:vertAlign w:val="superscript"/>
              </w:rPr>
              <w:t>***</w:t>
            </w:r>
          </w:p>
          <w:p w14:paraId="4C4A168D"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(-3.500)</w:t>
            </w:r>
          </w:p>
        </w:tc>
        <w:tc>
          <w:tcPr>
            <w:tcW w:w="1956" w:type="dxa"/>
          </w:tcPr>
          <w:p w14:paraId="514FEE6C"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0.303</w:t>
            </w:r>
          </w:p>
          <w:p w14:paraId="027A7EDA"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(1.448)</w:t>
            </w:r>
          </w:p>
        </w:tc>
        <w:tc>
          <w:tcPr>
            <w:tcW w:w="1956" w:type="dxa"/>
          </w:tcPr>
          <w:p w14:paraId="30612DF7"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-0.824</w:t>
            </w:r>
            <w:r w:rsidRPr="000E13FC">
              <w:rPr>
                <w:rFonts w:ascii="Times New Roman" w:hAnsi="Times New Roman" w:cs="Times New Roman"/>
                <w:color w:val="000000"/>
                <w:sz w:val="20"/>
                <w:szCs w:val="20"/>
                <w:vertAlign w:val="superscript"/>
              </w:rPr>
              <w:t>***</w:t>
            </w:r>
          </w:p>
          <w:p w14:paraId="1B2D1C20"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(-9.303)</w:t>
            </w:r>
          </w:p>
        </w:tc>
        <w:tc>
          <w:tcPr>
            <w:tcW w:w="1957" w:type="dxa"/>
            <w:vAlign w:val="bottom"/>
          </w:tcPr>
          <w:p w14:paraId="2C9CB55E" w14:textId="77777777" w:rsidR="00E923F6" w:rsidRPr="000E13FC" w:rsidRDefault="00E923F6" w:rsidP="00A87058">
            <w:pPr>
              <w:contextualSpacing/>
              <w:jc w:val="center"/>
              <w:rPr>
                <w:rFonts w:ascii="Times New Roman" w:hAnsi="Times New Roman" w:cs="Times New Roman"/>
                <w:color w:val="000000"/>
                <w:sz w:val="20"/>
                <w:szCs w:val="20"/>
                <w:vertAlign w:val="superscript"/>
              </w:rPr>
            </w:pPr>
            <w:r w:rsidRPr="000E13FC">
              <w:rPr>
                <w:rFonts w:ascii="Times New Roman" w:hAnsi="Times New Roman" w:cs="Times New Roman"/>
                <w:color w:val="000000"/>
                <w:sz w:val="20"/>
                <w:szCs w:val="20"/>
              </w:rPr>
              <w:t>-0.553</w:t>
            </w:r>
            <w:r w:rsidRPr="000E13FC">
              <w:rPr>
                <w:rFonts w:ascii="Times New Roman" w:hAnsi="Times New Roman" w:cs="Times New Roman"/>
                <w:color w:val="000000"/>
                <w:sz w:val="20"/>
                <w:szCs w:val="20"/>
                <w:vertAlign w:val="superscript"/>
              </w:rPr>
              <w:t>***</w:t>
            </w:r>
          </w:p>
          <w:p w14:paraId="12E6A467"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(-3.327)</w:t>
            </w:r>
          </w:p>
          <w:p w14:paraId="353DC14F"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66F58B05" w14:textId="77777777" w:rsidTr="00A87058">
        <w:trPr>
          <w:trHeight w:val="254"/>
          <w:jc w:val="center"/>
        </w:trPr>
        <w:tc>
          <w:tcPr>
            <w:tcW w:w="1956" w:type="dxa"/>
          </w:tcPr>
          <w:p w14:paraId="0166B67B"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1</w:t>
            </w:r>
          </w:p>
        </w:tc>
        <w:tc>
          <w:tcPr>
            <w:tcW w:w="1956" w:type="dxa"/>
          </w:tcPr>
          <w:p w14:paraId="5C734242"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-0.334</w:t>
            </w:r>
            <w:r w:rsidRPr="000E13FC">
              <w:rPr>
                <w:rFonts w:ascii="Times New Roman" w:hAnsi="Times New Roman" w:cs="Times New Roman"/>
                <w:color w:val="000000"/>
                <w:sz w:val="20"/>
                <w:szCs w:val="20"/>
                <w:vertAlign w:val="superscript"/>
              </w:rPr>
              <w:t>***</w:t>
            </w:r>
          </w:p>
          <w:p w14:paraId="4CC1B2F2"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(-2.902)</w:t>
            </w:r>
          </w:p>
        </w:tc>
        <w:tc>
          <w:tcPr>
            <w:tcW w:w="1956" w:type="dxa"/>
          </w:tcPr>
          <w:p w14:paraId="3DFAD278"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-0.326</w:t>
            </w:r>
          </w:p>
          <w:p w14:paraId="5A69164A"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(-0.77)</w:t>
            </w:r>
          </w:p>
        </w:tc>
        <w:tc>
          <w:tcPr>
            <w:tcW w:w="1956" w:type="dxa"/>
          </w:tcPr>
          <w:p w14:paraId="0C8906C7"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-0.408</w:t>
            </w:r>
            <w:r w:rsidRPr="000E13FC">
              <w:rPr>
                <w:rFonts w:ascii="Times New Roman" w:hAnsi="Times New Roman" w:cs="Times New Roman"/>
                <w:color w:val="000000"/>
                <w:sz w:val="20"/>
                <w:szCs w:val="20"/>
                <w:vertAlign w:val="superscript"/>
              </w:rPr>
              <w:t>***</w:t>
            </w:r>
          </w:p>
          <w:p w14:paraId="7FD5B75D"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(-5.468)</w:t>
            </w:r>
          </w:p>
        </w:tc>
        <w:tc>
          <w:tcPr>
            <w:tcW w:w="1957" w:type="dxa"/>
            <w:vAlign w:val="bottom"/>
          </w:tcPr>
          <w:p w14:paraId="44E85808" w14:textId="77777777" w:rsidR="00E923F6" w:rsidRPr="000E13FC" w:rsidRDefault="00E923F6" w:rsidP="00A87058">
            <w:pPr>
              <w:contextualSpacing/>
              <w:jc w:val="center"/>
              <w:rPr>
                <w:rFonts w:ascii="Times New Roman" w:hAnsi="Times New Roman" w:cs="Times New Roman"/>
                <w:color w:val="000000"/>
                <w:sz w:val="20"/>
                <w:szCs w:val="20"/>
                <w:vertAlign w:val="superscript"/>
              </w:rPr>
            </w:pPr>
            <w:r w:rsidRPr="000E13FC">
              <w:rPr>
                <w:rFonts w:ascii="Times New Roman" w:hAnsi="Times New Roman" w:cs="Times New Roman"/>
                <w:color w:val="000000"/>
                <w:sz w:val="20"/>
                <w:szCs w:val="20"/>
              </w:rPr>
              <w:t>-0.399</w:t>
            </w:r>
            <w:r w:rsidRPr="000E13FC">
              <w:rPr>
                <w:rFonts w:ascii="Times New Roman" w:hAnsi="Times New Roman" w:cs="Times New Roman"/>
                <w:color w:val="000000"/>
                <w:sz w:val="20"/>
                <w:szCs w:val="20"/>
                <w:vertAlign w:val="superscript"/>
              </w:rPr>
              <w:t>***</w:t>
            </w:r>
          </w:p>
          <w:p w14:paraId="2085FE74"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(-2.961)</w:t>
            </w:r>
          </w:p>
          <w:p w14:paraId="4F7F6FEC"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735BE14C" w14:textId="77777777" w:rsidTr="00A87058">
        <w:trPr>
          <w:trHeight w:val="449"/>
          <w:jc w:val="center"/>
        </w:trPr>
        <w:tc>
          <w:tcPr>
            <w:tcW w:w="1956" w:type="dxa"/>
          </w:tcPr>
          <w:p w14:paraId="74E33A4C"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2</w:t>
            </w:r>
          </w:p>
        </w:tc>
        <w:tc>
          <w:tcPr>
            <w:tcW w:w="1956" w:type="dxa"/>
          </w:tcPr>
          <w:p w14:paraId="4C405CA3"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-0.289</w:t>
            </w:r>
            <w:r w:rsidRPr="000E13FC">
              <w:rPr>
                <w:rFonts w:ascii="Times New Roman" w:hAnsi="Times New Roman" w:cs="Times New Roman"/>
                <w:color w:val="000000"/>
                <w:sz w:val="20"/>
                <w:szCs w:val="20"/>
                <w:vertAlign w:val="superscript"/>
              </w:rPr>
              <w:t>**</w:t>
            </w:r>
          </w:p>
          <w:p w14:paraId="5C2EA9C3"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(-2.453)</w:t>
            </w:r>
          </w:p>
        </w:tc>
        <w:tc>
          <w:tcPr>
            <w:tcW w:w="1956" w:type="dxa"/>
          </w:tcPr>
          <w:p w14:paraId="053381CC"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-0.724</w:t>
            </w:r>
          </w:p>
          <w:p w14:paraId="24072E6D"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(-1.845)</w:t>
            </w:r>
          </w:p>
        </w:tc>
        <w:tc>
          <w:tcPr>
            <w:tcW w:w="1956" w:type="dxa"/>
          </w:tcPr>
          <w:p w14:paraId="428CD1BB"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-0.247</w:t>
            </w:r>
            <w:r w:rsidRPr="000E13FC">
              <w:rPr>
                <w:rFonts w:ascii="Times New Roman" w:hAnsi="Times New Roman" w:cs="Times New Roman"/>
                <w:color w:val="000000"/>
                <w:sz w:val="20"/>
                <w:szCs w:val="20"/>
                <w:vertAlign w:val="superscript"/>
              </w:rPr>
              <w:t>***</w:t>
            </w:r>
          </w:p>
          <w:p w14:paraId="2F56CD60"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(-3.062)</w:t>
            </w:r>
          </w:p>
        </w:tc>
        <w:tc>
          <w:tcPr>
            <w:tcW w:w="1957" w:type="dxa"/>
            <w:vAlign w:val="bottom"/>
          </w:tcPr>
          <w:p w14:paraId="30119891" w14:textId="77777777" w:rsidR="00E923F6" w:rsidRPr="000E13FC" w:rsidRDefault="00E923F6" w:rsidP="00A87058">
            <w:pPr>
              <w:contextualSpacing/>
              <w:jc w:val="center"/>
              <w:rPr>
                <w:rFonts w:ascii="Times New Roman" w:hAnsi="Times New Roman" w:cs="Times New Roman"/>
                <w:color w:val="000000"/>
                <w:sz w:val="20"/>
                <w:szCs w:val="20"/>
                <w:vertAlign w:val="superscript"/>
              </w:rPr>
            </w:pPr>
            <w:r w:rsidRPr="000E13FC">
              <w:rPr>
                <w:rFonts w:ascii="Times New Roman" w:hAnsi="Times New Roman" w:cs="Times New Roman"/>
                <w:color w:val="000000"/>
                <w:sz w:val="20"/>
                <w:szCs w:val="20"/>
              </w:rPr>
              <w:t>-0.258</w:t>
            </w:r>
            <w:r w:rsidRPr="000E13FC">
              <w:rPr>
                <w:rFonts w:ascii="Times New Roman" w:hAnsi="Times New Roman" w:cs="Times New Roman"/>
                <w:color w:val="000000"/>
                <w:sz w:val="20"/>
                <w:szCs w:val="20"/>
                <w:vertAlign w:val="superscript"/>
              </w:rPr>
              <w:t>*</w:t>
            </w:r>
          </w:p>
          <w:p w14:paraId="2E16D176"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(-1.972)</w:t>
            </w:r>
          </w:p>
          <w:p w14:paraId="3C6E6D17"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6E015E2F" w14:textId="77777777" w:rsidTr="00A87058">
        <w:trPr>
          <w:trHeight w:val="254"/>
          <w:jc w:val="center"/>
        </w:trPr>
        <w:tc>
          <w:tcPr>
            <w:tcW w:w="1956" w:type="dxa"/>
          </w:tcPr>
          <w:p w14:paraId="26DF0790"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3</w:t>
            </w:r>
          </w:p>
        </w:tc>
        <w:tc>
          <w:tcPr>
            <w:tcW w:w="1956" w:type="dxa"/>
          </w:tcPr>
          <w:p w14:paraId="5531E8F7"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0.001</w:t>
            </w:r>
          </w:p>
          <w:p w14:paraId="76C33AC5"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(0.192)</w:t>
            </w:r>
          </w:p>
        </w:tc>
        <w:tc>
          <w:tcPr>
            <w:tcW w:w="1956" w:type="dxa"/>
          </w:tcPr>
          <w:p w14:paraId="3AB29F1D"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0.191</w:t>
            </w:r>
          </w:p>
          <w:p w14:paraId="718EE5A3"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(0.455)</w:t>
            </w:r>
          </w:p>
        </w:tc>
        <w:tc>
          <w:tcPr>
            <w:tcW w:w="1956" w:type="dxa"/>
          </w:tcPr>
          <w:p w14:paraId="120C90B5"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-0.069</w:t>
            </w:r>
            <w:r w:rsidRPr="000E13FC">
              <w:rPr>
                <w:rFonts w:ascii="Times New Roman" w:hAnsi="Times New Roman" w:cs="Times New Roman"/>
                <w:color w:val="000000"/>
                <w:sz w:val="20"/>
                <w:szCs w:val="20"/>
                <w:vertAlign w:val="superscript"/>
              </w:rPr>
              <w:t>*</w:t>
            </w:r>
          </w:p>
          <w:p w14:paraId="07183837"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(-1.771)</w:t>
            </w:r>
          </w:p>
        </w:tc>
        <w:tc>
          <w:tcPr>
            <w:tcW w:w="1957" w:type="dxa"/>
            <w:vAlign w:val="bottom"/>
          </w:tcPr>
          <w:p w14:paraId="47313BE5"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-0.095</w:t>
            </w:r>
          </w:p>
          <w:p w14:paraId="46D39695"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(-0.749)</w:t>
            </w:r>
          </w:p>
          <w:p w14:paraId="3E44BC87"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79CA0D6E" w14:textId="77777777" w:rsidTr="00A87058">
        <w:trPr>
          <w:trHeight w:val="244"/>
          <w:jc w:val="center"/>
        </w:trPr>
        <w:tc>
          <w:tcPr>
            <w:tcW w:w="1956" w:type="dxa"/>
          </w:tcPr>
          <w:p w14:paraId="4587146E"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4</w:t>
            </w:r>
          </w:p>
        </w:tc>
        <w:tc>
          <w:tcPr>
            <w:tcW w:w="1956" w:type="dxa"/>
          </w:tcPr>
          <w:p w14:paraId="6A279467"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-0.182</w:t>
            </w:r>
            <w:r w:rsidRPr="000E13FC">
              <w:rPr>
                <w:rFonts w:ascii="Times New Roman" w:hAnsi="Times New Roman" w:cs="Times New Roman"/>
                <w:color w:val="000000"/>
                <w:sz w:val="20"/>
                <w:szCs w:val="20"/>
                <w:vertAlign w:val="superscript"/>
              </w:rPr>
              <w:t>*</w:t>
            </w:r>
          </w:p>
          <w:p w14:paraId="0B752876"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(-1.749)</w:t>
            </w:r>
          </w:p>
        </w:tc>
        <w:tc>
          <w:tcPr>
            <w:tcW w:w="1956" w:type="dxa"/>
          </w:tcPr>
          <w:p w14:paraId="289DDFB4"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0.369</w:t>
            </w:r>
          </w:p>
          <w:p w14:paraId="4B9BD601"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(1.032)</w:t>
            </w:r>
          </w:p>
        </w:tc>
        <w:tc>
          <w:tcPr>
            <w:tcW w:w="1956" w:type="dxa"/>
          </w:tcPr>
          <w:p w14:paraId="346DC77F"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0.124</w:t>
            </w:r>
          </w:p>
          <w:p w14:paraId="728B1286"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(0.827)</w:t>
            </w:r>
          </w:p>
        </w:tc>
        <w:tc>
          <w:tcPr>
            <w:tcW w:w="1957" w:type="dxa"/>
            <w:vAlign w:val="bottom"/>
          </w:tcPr>
          <w:p w14:paraId="5C529225"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0.091</w:t>
            </w:r>
          </w:p>
          <w:p w14:paraId="66BD6BD5"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(0.723)</w:t>
            </w:r>
          </w:p>
          <w:p w14:paraId="0BDEB4C8"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6AA16930" w14:textId="77777777" w:rsidTr="00A87058">
        <w:trPr>
          <w:trHeight w:val="254"/>
          <w:jc w:val="center"/>
        </w:trPr>
        <w:tc>
          <w:tcPr>
            <w:tcW w:w="1956" w:type="dxa"/>
          </w:tcPr>
          <w:p w14:paraId="57723EAE"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5</w:t>
            </w:r>
          </w:p>
        </w:tc>
        <w:tc>
          <w:tcPr>
            <w:tcW w:w="1956" w:type="dxa"/>
          </w:tcPr>
          <w:p w14:paraId="54DB6DA7"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-0.011</w:t>
            </w:r>
          </w:p>
          <w:p w14:paraId="010A94B6"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(-0.418)</w:t>
            </w:r>
          </w:p>
        </w:tc>
        <w:tc>
          <w:tcPr>
            <w:tcW w:w="1956" w:type="dxa"/>
          </w:tcPr>
          <w:p w14:paraId="0DF7B2F5"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0.902</w:t>
            </w:r>
          </w:p>
          <w:p w14:paraId="72991441"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(1.223)</w:t>
            </w:r>
          </w:p>
        </w:tc>
        <w:tc>
          <w:tcPr>
            <w:tcW w:w="1956" w:type="dxa"/>
          </w:tcPr>
          <w:p w14:paraId="75AAF03E"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0.149</w:t>
            </w:r>
          </w:p>
          <w:p w14:paraId="39CF6F0A"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(1.572)</w:t>
            </w:r>
          </w:p>
        </w:tc>
        <w:tc>
          <w:tcPr>
            <w:tcW w:w="1957" w:type="dxa"/>
            <w:vAlign w:val="bottom"/>
          </w:tcPr>
          <w:p w14:paraId="65E3977D"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0.05</w:t>
            </w:r>
          </w:p>
          <w:p w14:paraId="673793D7"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(0.482)</w:t>
            </w:r>
          </w:p>
          <w:p w14:paraId="5A2F7B7E"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602D8CFE" w14:textId="77777777" w:rsidTr="00A87058">
        <w:trPr>
          <w:trHeight w:val="254"/>
          <w:jc w:val="center"/>
        </w:trPr>
        <w:tc>
          <w:tcPr>
            <w:tcW w:w="1956" w:type="dxa"/>
          </w:tcPr>
          <w:p w14:paraId="4D4D3D2A"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6</w:t>
            </w:r>
          </w:p>
        </w:tc>
        <w:tc>
          <w:tcPr>
            <w:tcW w:w="1956" w:type="dxa"/>
          </w:tcPr>
          <w:p w14:paraId="27304F39"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-0.047</w:t>
            </w:r>
          </w:p>
          <w:p w14:paraId="035C04D1"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(0.244)</w:t>
            </w:r>
          </w:p>
        </w:tc>
        <w:tc>
          <w:tcPr>
            <w:tcW w:w="1956" w:type="dxa"/>
          </w:tcPr>
          <w:p w14:paraId="7C3187DC"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-0.245</w:t>
            </w:r>
          </w:p>
          <w:p w14:paraId="1335FD22"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(-0.516)</w:t>
            </w:r>
          </w:p>
        </w:tc>
        <w:tc>
          <w:tcPr>
            <w:tcW w:w="1956" w:type="dxa"/>
          </w:tcPr>
          <w:p w14:paraId="193CBEB8"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-0.166</w:t>
            </w:r>
            <w:r w:rsidRPr="000E13FC">
              <w:rPr>
                <w:rFonts w:ascii="Times New Roman" w:hAnsi="Times New Roman" w:cs="Times New Roman"/>
                <w:sz w:val="20"/>
                <w:szCs w:val="20"/>
                <w:vertAlign w:val="superscript"/>
              </w:rPr>
              <w:t>**</w:t>
            </w:r>
          </w:p>
          <w:p w14:paraId="4A6D699E"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(-2.479)</w:t>
            </w:r>
          </w:p>
        </w:tc>
        <w:tc>
          <w:tcPr>
            <w:tcW w:w="1957" w:type="dxa"/>
            <w:vAlign w:val="bottom"/>
          </w:tcPr>
          <w:p w14:paraId="6279A4E5"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-0.164</w:t>
            </w:r>
          </w:p>
          <w:p w14:paraId="6FB7BE81"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(-1.494)</w:t>
            </w:r>
          </w:p>
          <w:p w14:paraId="7714487B"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0FA0B64B" w14:textId="77777777" w:rsidTr="00A87058">
        <w:trPr>
          <w:trHeight w:val="254"/>
          <w:jc w:val="center"/>
        </w:trPr>
        <w:tc>
          <w:tcPr>
            <w:tcW w:w="1956" w:type="dxa"/>
          </w:tcPr>
          <w:p w14:paraId="4E86E548"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7</w:t>
            </w:r>
          </w:p>
        </w:tc>
        <w:tc>
          <w:tcPr>
            <w:tcW w:w="1956" w:type="dxa"/>
          </w:tcPr>
          <w:p w14:paraId="2816E269"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0.123</w:t>
            </w:r>
          </w:p>
          <w:p w14:paraId="10F8952A"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(0.842)</w:t>
            </w:r>
          </w:p>
        </w:tc>
        <w:tc>
          <w:tcPr>
            <w:tcW w:w="1956" w:type="dxa"/>
          </w:tcPr>
          <w:p w14:paraId="2B7F1685"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-0.831</w:t>
            </w:r>
          </w:p>
          <w:p w14:paraId="458FB0E0"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(-1.86)</w:t>
            </w:r>
          </w:p>
        </w:tc>
        <w:tc>
          <w:tcPr>
            <w:tcW w:w="1956" w:type="dxa"/>
          </w:tcPr>
          <w:p w14:paraId="348162EF"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-0.267</w:t>
            </w:r>
            <w:r w:rsidRPr="000E13FC">
              <w:rPr>
                <w:rFonts w:ascii="Times New Roman" w:hAnsi="Times New Roman" w:cs="Times New Roman"/>
                <w:sz w:val="20"/>
                <w:szCs w:val="20"/>
                <w:vertAlign w:val="superscript"/>
              </w:rPr>
              <w:t>*</w:t>
            </w:r>
          </w:p>
          <w:p w14:paraId="62BD3154"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(-1.963)</w:t>
            </w:r>
          </w:p>
        </w:tc>
        <w:tc>
          <w:tcPr>
            <w:tcW w:w="1957" w:type="dxa"/>
            <w:vAlign w:val="bottom"/>
          </w:tcPr>
          <w:p w14:paraId="0F1A60CD" w14:textId="77777777" w:rsidR="00E923F6" w:rsidRPr="000E13FC" w:rsidRDefault="00E923F6" w:rsidP="00A87058">
            <w:pPr>
              <w:contextualSpacing/>
              <w:jc w:val="center"/>
              <w:rPr>
                <w:rFonts w:ascii="Times New Roman" w:hAnsi="Times New Roman" w:cs="Times New Roman"/>
                <w:color w:val="000000"/>
                <w:sz w:val="20"/>
                <w:szCs w:val="20"/>
                <w:vertAlign w:val="superscript"/>
              </w:rPr>
            </w:pPr>
            <w:r w:rsidRPr="000E13FC">
              <w:rPr>
                <w:rFonts w:ascii="Times New Roman" w:hAnsi="Times New Roman" w:cs="Times New Roman"/>
                <w:color w:val="000000"/>
                <w:sz w:val="20"/>
                <w:szCs w:val="20"/>
              </w:rPr>
              <w:t>-0.224</w:t>
            </w:r>
            <w:r w:rsidRPr="000E13FC">
              <w:rPr>
                <w:rFonts w:ascii="Times New Roman" w:hAnsi="Times New Roman" w:cs="Times New Roman"/>
                <w:color w:val="000000"/>
                <w:sz w:val="20"/>
                <w:szCs w:val="20"/>
                <w:vertAlign w:val="superscript"/>
              </w:rPr>
              <w:t>*</w:t>
            </w:r>
          </w:p>
          <w:p w14:paraId="02004090"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(-1.893)</w:t>
            </w:r>
          </w:p>
          <w:p w14:paraId="5EB98E9B"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1DD03572" w14:textId="77777777" w:rsidTr="00A87058">
        <w:trPr>
          <w:trHeight w:val="254"/>
          <w:jc w:val="center"/>
        </w:trPr>
        <w:tc>
          <w:tcPr>
            <w:tcW w:w="1956" w:type="dxa"/>
          </w:tcPr>
          <w:p w14:paraId="237E0788"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8</w:t>
            </w:r>
          </w:p>
        </w:tc>
        <w:tc>
          <w:tcPr>
            <w:tcW w:w="1956" w:type="dxa"/>
          </w:tcPr>
          <w:p w14:paraId="34F3AD4C"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-0.322</w:t>
            </w:r>
            <w:r w:rsidRPr="000E13FC">
              <w:rPr>
                <w:rFonts w:ascii="Times New Roman" w:hAnsi="Times New Roman" w:cs="Times New Roman"/>
                <w:sz w:val="20"/>
                <w:szCs w:val="20"/>
                <w:vertAlign w:val="superscript"/>
              </w:rPr>
              <w:t>**</w:t>
            </w:r>
          </w:p>
          <w:p w14:paraId="034BFBA1"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(-2.599)</w:t>
            </w:r>
          </w:p>
        </w:tc>
        <w:tc>
          <w:tcPr>
            <w:tcW w:w="1956" w:type="dxa"/>
          </w:tcPr>
          <w:p w14:paraId="1500F9C0" w14:textId="77777777" w:rsidR="00E923F6" w:rsidRPr="000E13FC" w:rsidRDefault="00E923F6" w:rsidP="00A87058">
            <w:pPr>
              <w:contextualSpacing/>
              <w:jc w:val="center"/>
              <w:rPr>
                <w:rFonts w:ascii="Times New Roman" w:hAnsi="Times New Roman" w:cs="Times New Roman"/>
                <w:color w:val="000000"/>
                <w:sz w:val="20"/>
                <w:szCs w:val="20"/>
                <w:vertAlign w:val="superscript"/>
              </w:rPr>
            </w:pPr>
            <w:r w:rsidRPr="000E13FC">
              <w:rPr>
                <w:rFonts w:ascii="Times New Roman" w:hAnsi="Times New Roman" w:cs="Times New Roman"/>
                <w:color w:val="000000"/>
                <w:sz w:val="20"/>
                <w:szCs w:val="20"/>
              </w:rPr>
              <w:t>-0.439</w:t>
            </w:r>
            <w:r w:rsidRPr="000E13FC">
              <w:rPr>
                <w:rFonts w:ascii="Times New Roman" w:hAnsi="Times New Roman" w:cs="Times New Roman"/>
                <w:color w:val="000000"/>
                <w:sz w:val="20"/>
                <w:szCs w:val="20"/>
                <w:vertAlign w:val="superscript"/>
              </w:rPr>
              <w:t>**</w:t>
            </w:r>
          </w:p>
          <w:p w14:paraId="6179FF4F"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(-2.882)</w:t>
            </w:r>
          </w:p>
        </w:tc>
        <w:tc>
          <w:tcPr>
            <w:tcW w:w="1956" w:type="dxa"/>
          </w:tcPr>
          <w:p w14:paraId="20447243"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-0.372</w:t>
            </w:r>
            <w:r w:rsidRPr="000E13FC">
              <w:rPr>
                <w:rFonts w:ascii="Times New Roman" w:hAnsi="Times New Roman" w:cs="Times New Roman"/>
                <w:sz w:val="20"/>
                <w:szCs w:val="20"/>
                <w:vertAlign w:val="superscript"/>
              </w:rPr>
              <w:t>***</w:t>
            </w:r>
          </w:p>
          <w:p w14:paraId="7CE031C7"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(-2.824)</w:t>
            </w:r>
          </w:p>
        </w:tc>
        <w:tc>
          <w:tcPr>
            <w:tcW w:w="1957" w:type="dxa"/>
            <w:vAlign w:val="bottom"/>
          </w:tcPr>
          <w:p w14:paraId="3FE29D66" w14:textId="77777777" w:rsidR="00E923F6" w:rsidRPr="000E13FC" w:rsidRDefault="00E923F6" w:rsidP="00A87058">
            <w:pPr>
              <w:contextualSpacing/>
              <w:jc w:val="center"/>
              <w:rPr>
                <w:rFonts w:ascii="Times New Roman" w:hAnsi="Times New Roman" w:cs="Times New Roman"/>
                <w:color w:val="000000"/>
                <w:sz w:val="20"/>
                <w:szCs w:val="20"/>
                <w:vertAlign w:val="superscript"/>
              </w:rPr>
            </w:pPr>
            <w:r w:rsidRPr="000E13FC">
              <w:rPr>
                <w:rFonts w:ascii="Times New Roman" w:hAnsi="Times New Roman" w:cs="Times New Roman"/>
                <w:color w:val="000000"/>
                <w:sz w:val="20"/>
                <w:szCs w:val="20"/>
              </w:rPr>
              <w:t>-0.266</w:t>
            </w:r>
            <w:r w:rsidRPr="000E13FC">
              <w:rPr>
                <w:rFonts w:ascii="Times New Roman" w:hAnsi="Times New Roman" w:cs="Times New Roman"/>
                <w:color w:val="000000"/>
                <w:sz w:val="20"/>
                <w:szCs w:val="20"/>
                <w:vertAlign w:val="superscript"/>
              </w:rPr>
              <w:t>**</w:t>
            </w:r>
          </w:p>
          <w:p w14:paraId="73BD2080"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(-2.04)</w:t>
            </w:r>
          </w:p>
          <w:p w14:paraId="3994D586"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0E48593A" w14:textId="77777777" w:rsidTr="00A87058">
        <w:trPr>
          <w:trHeight w:val="254"/>
          <w:jc w:val="center"/>
        </w:trPr>
        <w:tc>
          <w:tcPr>
            <w:tcW w:w="1956" w:type="dxa"/>
          </w:tcPr>
          <w:p w14:paraId="579F1FFE"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9</w:t>
            </w:r>
          </w:p>
        </w:tc>
        <w:tc>
          <w:tcPr>
            <w:tcW w:w="1956" w:type="dxa"/>
          </w:tcPr>
          <w:p w14:paraId="0E9B3B5A"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-0.203</w:t>
            </w:r>
          </w:p>
          <w:p w14:paraId="7440AAA2"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(-1.480)</w:t>
            </w:r>
          </w:p>
        </w:tc>
        <w:tc>
          <w:tcPr>
            <w:tcW w:w="1956" w:type="dxa"/>
          </w:tcPr>
          <w:p w14:paraId="6FDEF8DE"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-0.166</w:t>
            </w:r>
          </w:p>
          <w:p w14:paraId="57FE4BC4"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(-0.335)</w:t>
            </w:r>
          </w:p>
        </w:tc>
        <w:tc>
          <w:tcPr>
            <w:tcW w:w="1956" w:type="dxa"/>
          </w:tcPr>
          <w:p w14:paraId="51AD866D"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0.098</w:t>
            </w:r>
          </w:p>
          <w:p w14:paraId="090AF6D7"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(1.260)</w:t>
            </w:r>
          </w:p>
        </w:tc>
        <w:tc>
          <w:tcPr>
            <w:tcW w:w="1957" w:type="dxa"/>
            <w:vAlign w:val="bottom"/>
          </w:tcPr>
          <w:p w14:paraId="04AC5786"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0.118</w:t>
            </w:r>
          </w:p>
          <w:p w14:paraId="62A652BF"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(1.062)</w:t>
            </w:r>
          </w:p>
          <w:p w14:paraId="21C14387" w14:textId="77777777" w:rsidR="00E923F6" w:rsidRPr="000E13FC" w:rsidRDefault="00E923F6" w:rsidP="00A87058">
            <w:pPr>
              <w:contextualSpacing/>
              <w:jc w:val="center"/>
              <w:rPr>
                <w:rFonts w:ascii="Times New Roman" w:hAnsi="Times New Roman" w:cs="Times New Roman"/>
                <w:color w:val="000000"/>
                <w:sz w:val="20"/>
                <w:szCs w:val="20"/>
              </w:rPr>
            </w:pPr>
          </w:p>
        </w:tc>
      </w:tr>
      <w:tr w:rsidR="00E923F6" w:rsidRPr="000E13FC" w14:paraId="02CA03D2" w14:textId="77777777" w:rsidTr="00A87058">
        <w:trPr>
          <w:trHeight w:val="254"/>
          <w:jc w:val="center"/>
        </w:trPr>
        <w:tc>
          <w:tcPr>
            <w:tcW w:w="1956" w:type="dxa"/>
          </w:tcPr>
          <w:p w14:paraId="0893CEFB" w14:textId="77777777" w:rsidR="00E923F6" w:rsidRPr="000E13FC" w:rsidRDefault="00E923F6" w:rsidP="00A87058">
            <w:pPr>
              <w:contextualSpacing/>
              <w:jc w:val="center"/>
              <w:rPr>
                <w:rFonts w:ascii="Times New Roman" w:hAnsi="Times New Roman" w:cs="Times New Roman"/>
                <w:sz w:val="20"/>
                <w:szCs w:val="20"/>
              </w:rPr>
            </w:pPr>
            <w:r w:rsidRPr="000E13FC">
              <w:rPr>
                <w:rFonts w:ascii="Times New Roman" w:hAnsi="Times New Roman" w:cs="Times New Roman"/>
                <w:sz w:val="20"/>
                <w:szCs w:val="20"/>
              </w:rPr>
              <w:t>10</w:t>
            </w:r>
          </w:p>
        </w:tc>
        <w:tc>
          <w:tcPr>
            <w:tcW w:w="1956" w:type="dxa"/>
          </w:tcPr>
          <w:p w14:paraId="29781C8C"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-0.025</w:t>
            </w:r>
          </w:p>
          <w:p w14:paraId="7FEBE486"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(0.052)</w:t>
            </w:r>
          </w:p>
        </w:tc>
        <w:tc>
          <w:tcPr>
            <w:tcW w:w="1956" w:type="dxa"/>
          </w:tcPr>
          <w:p w14:paraId="17AAD554" w14:textId="77777777" w:rsidR="00E923F6" w:rsidRPr="000E13FC" w:rsidRDefault="00E923F6" w:rsidP="00A87058">
            <w:pPr>
              <w:contextualSpacing/>
              <w:jc w:val="center"/>
              <w:rPr>
                <w:rFonts w:ascii="Times New Roman" w:hAnsi="Times New Roman" w:cs="Times New Roman"/>
                <w:color w:val="000000"/>
                <w:sz w:val="20"/>
                <w:szCs w:val="20"/>
                <w:vertAlign w:val="superscript"/>
              </w:rPr>
            </w:pPr>
            <w:r w:rsidRPr="000E13FC">
              <w:rPr>
                <w:rFonts w:ascii="Times New Roman" w:hAnsi="Times New Roman" w:cs="Times New Roman"/>
                <w:color w:val="000000"/>
                <w:sz w:val="20"/>
                <w:szCs w:val="20"/>
              </w:rPr>
              <w:t>-0.799</w:t>
            </w:r>
            <w:r w:rsidRPr="000E13FC">
              <w:rPr>
                <w:rFonts w:ascii="Times New Roman" w:hAnsi="Times New Roman" w:cs="Times New Roman"/>
                <w:color w:val="000000"/>
                <w:sz w:val="20"/>
                <w:szCs w:val="20"/>
                <w:vertAlign w:val="superscript"/>
              </w:rPr>
              <w:t>**</w:t>
            </w:r>
          </w:p>
          <w:p w14:paraId="0FC6B9AE"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(-2.828)</w:t>
            </w:r>
          </w:p>
        </w:tc>
        <w:tc>
          <w:tcPr>
            <w:tcW w:w="1956" w:type="dxa"/>
          </w:tcPr>
          <w:p w14:paraId="55CE0A99"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0.083</w:t>
            </w:r>
          </w:p>
          <w:p w14:paraId="5C7966DF"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(1.226)</w:t>
            </w:r>
          </w:p>
        </w:tc>
        <w:tc>
          <w:tcPr>
            <w:tcW w:w="1957" w:type="dxa"/>
            <w:vAlign w:val="bottom"/>
          </w:tcPr>
          <w:p w14:paraId="386C6A4E"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-0.019</w:t>
            </w:r>
          </w:p>
          <w:p w14:paraId="3236FE64" w14:textId="77777777" w:rsidR="00E923F6" w:rsidRPr="000E13FC" w:rsidRDefault="00E923F6" w:rsidP="00A87058">
            <w:pPr>
              <w:contextualSpacing/>
              <w:jc w:val="center"/>
              <w:rPr>
                <w:rFonts w:ascii="Times New Roman" w:hAnsi="Times New Roman" w:cs="Times New Roman"/>
                <w:color w:val="000000"/>
                <w:sz w:val="20"/>
                <w:szCs w:val="20"/>
              </w:rPr>
            </w:pPr>
            <w:r w:rsidRPr="000E13FC">
              <w:rPr>
                <w:rFonts w:ascii="Times New Roman" w:hAnsi="Times New Roman" w:cs="Times New Roman"/>
                <w:color w:val="000000"/>
                <w:sz w:val="20"/>
                <w:szCs w:val="20"/>
              </w:rPr>
              <w:t>(-0.164)</w:t>
            </w:r>
          </w:p>
        </w:tc>
      </w:tr>
    </w:tbl>
    <w:p w14:paraId="1B013954" w14:textId="77777777" w:rsidR="00E923F6" w:rsidRPr="000E13FC" w:rsidRDefault="00E923F6" w:rsidP="00E923F6">
      <w:pPr>
        <w:spacing w:after="0"/>
        <w:rPr>
          <w:sz w:val="20"/>
          <w:szCs w:val="20"/>
        </w:rPr>
      </w:pPr>
      <w:r w:rsidRPr="000E13FC">
        <w:rPr>
          <w:rFonts w:ascii="Times New Roman" w:hAnsi="Times New Roman" w:cs="Times New Roman"/>
          <w:sz w:val="20"/>
          <w:szCs w:val="20"/>
        </w:rPr>
        <w:t xml:space="preserve">Notes: t-stats in parentheses </w:t>
      </w:r>
      <w:r w:rsidRPr="000E13FC">
        <w:rPr>
          <w:rFonts w:ascii="Times New Roman" w:hAnsi="Times New Roman" w:cs="Times New Roman"/>
          <w:sz w:val="20"/>
          <w:szCs w:val="20"/>
          <w:vertAlign w:val="superscript"/>
        </w:rPr>
        <w:t>***</w:t>
      </w:r>
      <w:r w:rsidRPr="000E13FC">
        <w:rPr>
          <w:rFonts w:ascii="Times New Roman" w:hAnsi="Times New Roman" w:cs="Times New Roman"/>
          <w:sz w:val="20"/>
          <w:szCs w:val="20"/>
        </w:rPr>
        <w:t xml:space="preserve"> p&lt;0.01, </w:t>
      </w:r>
      <w:r w:rsidRPr="000E13FC">
        <w:rPr>
          <w:rFonts w:ascii="Times New Roman" w:hAnsi="Times New Roman" w:cs="Times New Roman"/>
          <w:sz w:val="20"/>
          <w:szCs w:val="20"/>
          <w:vertAlign w:val="superscript"/>
        </w:rPr>
        <w:t>**</w:t>
      </w:r>
      <w:r w:rsidRPr="000E13FC">
        <w:rPr>
          <w:rFonts w:ascii="Times New Roman" w:hAnsi="Times New Roman" w:cs="Times New Roman"/>
          <w:sz w:val="20"/>
          <w:szCs w:val="20"/>
        </w:rPr>
        <w:t xml:space="preserve"> p&lt;0.05, </w:t>
      </w:r>
      <w:r w:rsidRPr="000E13FC">
        <w:rPr>
          <w:rFonts w:ascii="Times New Roman" w:hAnsi="Times New Roman" w:cs="Times New Roman"/>
          <w:sz w:val="20"/>
          <w:szCs w:val="20"/>
          <w:vertAlign w:val="superscript"/>
        </w:rPr>
        <w:t>*</w:t>
      </w:r>
      <w:r w:rsidRPr="000E13FC">
        <w:rPr>
          <w:rFonts w:ascii="Times New Roman" w:hAnsi="Times New Roman" w:cs="Times New Roman"/>
          <w:sz w:val="20"/>
          <w:szCs w:val="20"/>
        </w:rPr>
        <w:t xml:space="preserve"> p&lt;0.1</w:t>
      </w:r>
    </w:p>
    <w:p w14:paraId="12F0AF7D" w14:textId="77777777" w:rsidR="000B3CE3" w:rsidRDefault="000B3CE3" w:rsidP="00826159">
      <w:pPr>
        <w:spacing w:after="0" w:line="240" w:lineRule="auto"/>
        <w:jc w:val="both"/>
        <w:rPr>
          <w:rFonts w:ascii="Times New Roman" w:hAnsi="Times New Roman" w:cs="Times New Roman"/>
          <w:b/>
          <w:sz w:val="24"/>
          <w:szCs w:val="24"/>
          <w:u w:val="single"/>
        </w:rPr>
      </w:pPr>
    </w:p>
    <w:p w14:paraId="75C352E5" w14:textId="77777777" w:rsidR="000B3CE3" w:rsidRDefault="000B3CE3" w:rsidP="00826159">
      <w:pPr>
        <w:spacing w:after="0" w:line="240" w:lineRule="auto"/>
        <w:jc w:val="both"/>
        <w:rPr>
          <w:rFonts w:ascii="Times New Roman" w:hAnsi="Times New Roman" w:cs="Times New Roman"/>
          <w:b/>
          <w:sz w:val="24"/>
          <w:szCs w:val="24"/>
          <w:u w:val="single"/>
        </w:rPr>
      </w:pPr>
    </w:p>
    <w:p w14:paraId="057EAB08" w14:textId="06B5567B" w:rsidR="00826159" w:rsidRPr="00D64795" w:rsidRDefault="00826159" w:rsidP="00826159">
      <w:pPr>
        <w:spacing w:after="0" w:line="240" w:lineRule="auto"/>
        <w:jc w:val="both"/>
        <w:rPr>
          <w:rFonts w:ascii="Times New Roman" w:hAnsi="Times New Roman" w:cs="Times New Roman"/>
          <w:b/>
          <w:sz w:val="24"/>
          <w:szCs w:val="24"/>
          <w:u w:val="single"/>
        </w:rPr>
      </w:pPr>
      <w:r w:rsidRPr="00D64795">
        <w:rPr>
          <w:rFonts w:ascii="Times New Roman" w:hAnsi="Times New Roman" w:cs="Times New Roman"/>
          <w:b/>
          <w:sz w:val="24"/>
          <w:szCs w:val="24"/>
          <w:u w:val="single"/>
        </w:rPr>
        <w:t xml:space="preserve">Table </w:t>
      </w:r>
      <w:r>
        <w:rPr>
          <w:rFonts w:ascii="Times New Roman" w:hAnsi="Times New Roman" w:cs="Times New Roman"/>
          <w:b/>
          <w:sz w:val="24"/>
          <w:szCs w:val="24"/>
          <w:u w:val="single"/>
        </w:rPr>
        <w:t>8</w:t>
      </w:r>
    </w:p>
    <w:p w14:paraId="6773F56C" w14:textId="77777777" w:rsidR="00826159" w:rsidRDefault="00826159" w:rsidP="00826159">
      <w:pPr>
        <w:spacing w:after="0" w:line="240" w:lineRule="auto"/>
        <w:contextualSpacing/>
        <w:jc w:val="both"/>
        <w:rPr>
          <w:rFonts w:ascii="Times New Roman" w:hAnsi="Times New Roman" w:cs="Times New Roman"/>
          <w:b/>
          <w:sz w:val="24"/>
          <w:szCs w:val="24"/>
        </w:rPr>
      </w:pPr>
      <w:r w:rsidRPr="00D64795">
        <w:rPr>
          <w:rFonts w:ascii="Times New Roman" w:hAnsi="Times New Roman" w:cs="Times New Roman"/>
          <w:b/>
          <w:sz w:val="24"/>
          <w:szCs w:val="24"/>
        </w:rPr>
        <w:t xml:space="preserve">Results from </w:t>
      </w:r>
      <w:r>
        <w:rPr>
          <w:rFonts w:ascii="Times New Roman" w:hAnsi="Times New Roman" w:cs="Times New Roman"/>
          <w:b/>
          <w:sz w:val="24"/>
          <w:szCs w:val="24"/>
        </w:rPr>
        <w:t>the effects</w:t>
      </w:r>
      <w:r w:rsidRPr="00D64795">
        <w:rPr>
          <w:rFonts w:ascii="Times New Roman" w:hAnsi="Times New Roman" w:cs="Times New Roman"/>
          <w:b/>
          <w:sz w:val="24"/>
          <w:szCs w:val="24"/>
        </w:rPr>
        <w:t xml:space="preserve"> of analyst recommendation on a given stock </w:t>
      </w:r>
      <w:r>
        <w:rPr>
          <w:rFonts w:ascii="Times New Roman" w:hAnsi="Times New Roman" w:cs="Times New Roman"/>
          <w:b/>
          <w:sz w:val="24"/>
          <w:szCs w:val="24"/>
        </w:rPr>
        <w:t xml:space="preserve">return </w:t>
      </w:r>
      <w:r w:rsidRPr="00D64795">
        <w:rPr>
          <w:rFonts w:ascii="Times New Roman" w:hAnsi="Times New Roman" w:cs="Times New Roman"/>
          <w:b/>
          <w:sz w:val="24"/>
          <w:szCs w:val="24"/>
        </w:rPr>
        <w:t xml:space="preserve">conditioned on the </w:t>
      </w:r>
      <w:r>
        <w:rPr>
          <w:rFonts w:ascii="Times New Roman" w:hAnsi="Times New Roman" w:cs="Times New Roman"/>
          <w:b/>
          <w:sz w:val="24"/>
          <w:szCs w:val="24"/>
        </w:rPr>
        <w:t>quarterly</w:t>
      </w:r>
      <w:r w:rsidRPr="00D64795">
        <w:rPr>
          <w:rFonts w:ascii="Times New Roman" w:hAnsi="Times New Roman" w:cs="Times New Roman"/>
          <w:b/>
          <w:sz w:val="24"/>
          <w:szCs w:val="24"/>
        </w:rPr>
        <w:t xml:space="preserve"> investor sentiment</w:t>
      </w:r>
      <w:r>
        <w:rPr>
          <w:rFonts w:ascii="Times New Roman" w:hAnsi="Times New Roman" w:cs="Times New Roman"/>
          <w:b/>
          <w:sz w:val="24"/>
          <w:szCs w:val="24"/>
        </w:rPr>
        <w:t>.</w:t>
      </w:r>
    </w:p>
    <w:p w14:paraId="669B0DD1" w14:textId="77777777" w:rsidR="00826159" w:rsidRDefault="00826159" w:rsidP="00826159">
      <w:pPr>
        <w:spacing w:after="0" w:line="240" w:lineRule="auto"/>
        <w:contextualSpacing/>
        <w:jc w:val="both"/>
        <w:rPr>
          <w:rFonts w:ascii="Times New Roman" w:hAnsi="Times New Roman" w:cs="Times New Roman"/>
          <w:b/>
          <w:sz w:val="24"/>
          <w:szCs w:val="24"/>
        </w:rPr>
      </w:pPr>
    </w:p>
    <w:p w14:paraId="656E061B" w14:textId="77777777" w:rsidR="00826159" w:rsidRDefault="00826159" w:rsidP="008261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table </w:t>
      </w:r>
      <w:r w:rsidRPr="00FD48D0">
        <w:rPr>
          <w:rFonts w:ascii="Times New Roman" w:hAnsi="Times New Roman" w:cs="Times New Roman"/>
          <w:sz w:val="24"/>
          <w:szCs w:val="24"/>
        </w:rPr>
        <w:t>shows the effects of investor sentiment (</w:t>
      </w:r>
      <w:proofErr w:type="spellStart"/>
      <w:r w:rsidRPr="00A53BCD">
        <w:rPr>
          <w:rFonts w:ascii="Times New Roman" w:hAnsi="Times New Roman" w:cs="Times New Roman"/>
          <w:i/>
          <w:sz w:val="24"/>
          <w:szCs w:val="24"/>
        </w:rPr>
        <w:t>sen</w:t>
      </w:r>
      <w:proofErr w:type="spellEnd"/>
      <w:r w:rsidRPr="00FD48D0">
        <w:rPr>
          <w:rFonts w:ascii="Times New Roman" w:hAnsi="Times New Roman" w:cs="Times New Roman"/>
          <w:sz w:val="24"/>
          <w:szCs w:val="24"/>
        </w:rPr>
        <w:t>), analyst recommendations (</w:t>
      </w:r>
      <w:r w:rsidRPr="00A53BCD">
        <w:rPr>
          <w:rFonts w:ascii="Times New Roman" w:hAnsi="Times New Roman" w:cs="Times New Roman"/>
          <w:i/>
          <w:sz w:val="24"/>
          <w:szCs w:val="24"/>
        </w:rPr>
        <w:t>rec</w:t>
      </w:r>
      <w:r w:rsidRPr="00FD48D0">
        <w:rPr>
          <w:rFonts w:ascii="Times New Roman" w:hAnsi="Times New Roman" w:cs="Times New Roman"/>
          <w:sz w:val="24"/>
          <w:szCs w:val="24"/>
        </w:rPr>
        <w:t>), and the corresponding average stock returns (</w:t>
      </w:r>
      <w:r w:rsidRPr="00A53BCD">
        <w:rPr>
          <w:rFonts w:ascii="Times New Roman" w:hAnsi="Times New Roman" w:cs="Times New Roman"/>
          <w:i/>
          <w:sz w:val="24"/>
          <w:szCs w:val="24"/>
        </w:rPr>
        <w:t>r</w:t>
      </w:r>
      <w:r w:rsidRPr="00FD48D0">
        <w:rPr>
          <w:rFonts w:ascii="Times New Roman" w:hAnsi="Times New Roman" w:cs="Times New Roman"/>
          <w:sz w:val="24"/>
          <w:szCs w:val="24"/>
        </w:rPr>
        <w:t xml:space="preserve">) on a quarterly basis. We also show the expected probability of the joint effect between </w:t>
      </w:r>
      <w:r w:rsidRPr="00A53BCD">
        <w:rPr>
          <w:rFonts w:ascii="Times New Roman" w:hAnsi="Times New Roman" w:cs="Times New Roman"/>
          <w:i/>
          <w:sz w:val="24"/>
          <w:szCs w:val="24"/>
        </w:rPr>
        <w:t>rec</w:t>
      </w:r>
      <w:r w:rsidRPr="00FD48D0">
        <w:rPr>
          <w:rFonts w:ascii="Times New Roman" w:hAnsi="Times New Roman" w:cs="Times New Roman"/>
          <w:sz w:val="24"/>
          <w:szCs w:val="24"/>
        </w:rPr>
        <w:t xml:space="preserve"> and </w:t>
      </w:r>
      <w:proofErr w:type="spellStart"/>
      <w:r w:rsidRPr="00A53BCD">
        <w:rPr>
          <w:rFonts w:ascii="Times New Roman" w:hAnsi="Times New Roman" w:cs="Times New Roman"/>
          <w:i/>
          <w:sz w:val="24"/>
          <w:szCs w:val="24"/>
        </w:rPr>
        <w:t>sen</w:t>
      </w:r>
      <w:proofErr w:type="spellEnd"/>
      <w:r w:rsidRPr="00FD48D0">
        <w:rPr>
          <w:rFonts w:ascii="Times New Roman" w:hAnsi="Times New Roman" w:cs="Times New Roman"/>
          <w:sz w:val="24"/>
          <w:szCs w:val="24"/>
        </w:rPr>
        <w:t xml:space="preserve"> </w:t>
      </w:r>
      <m:oMath>
        <m:r>
          <w:rPr>
            <w:rFonts w:ascii="Cambria Math" w:hAnsi="Cambria Math" w:cs="Times New Roman"/>
            <w:sz w:val="24"/>
            <w:szCs w:val="24"/>
          </w:rPr>
          <m:t>E[P</m:t>
        </m:r>
        <m:d>
          <m:dPr>
            <m:ctrlPr>
              <w:rPr>
                <w:rFonts w:ascii="Cambria Math" w:hAnsi="Cambria Math" w:cs="Times New Roman"/>
                <w:i/>
                <w:sz w:val="24"/>
                <w:szCs w:val="24"/>
              </w:rPr>
            </m:ctrlPr>
          </m:dPr>
          <m:e>
            <m:r>
              <w:rPr>
                <w:rFonts w:ascii="Cambria Math" w:hAnsi="Cambria Math" w:cs="Times New Roman"/>
                <w:sz w:val="24"/>
                <w:szCs w:val="24"/>
              </w:rPr>
              <m:t>rec</m:t>
            </m:r>
            <m:r>
              <m:rPr>
                <m:sty m:val="p"/>
              </m:rPr>
              <w:rPr>
                <w:rFonts w:ascii="Cambria Math" w:hAnsi="Cambria Math" w:cs="Times New Roman"/>
                <w:sz w:val="24"/>
                <w:szCs w:val="24"/>
              </w:rPr>
              <m:t>|</m:t>
            </m:r>
            <m:r>
              <w:rPr>
                <w:rFonts w:ascii="Cambria Math" w:hAnsi="Cambria Math" w:cs="Times New Roman"/>
                <w:sz w:val="24"/>
                <w:szCs w:val="24"/>
              </w:rPr>
              <m:t>sen</m:t>
            </m:r>
            <m:ctrlPr>
              <w:rPr>
                <w:rFonts w:ascii="Cambria Math" w:hAnsi="Cambria Math" w:cs="Times New Roman"/>
                <w:sz w:val="24"/>
                <w:szCs w:val="24"/>
              </w:rPr>
            </m:ctrlPr>
          </m:e>
        </m:d>
        <m:r>
          <m:rPr>
            <m:sty m:val="p"/>
          </m:rPr>
          <w:rPr>
            <w:rFonts w:ascii="Cambria Math" w:hAnsi="Cambria Math" w:cs="Times New Roman"/>
            <w:sz w:val="24"/>
            <w:szCs w:val="24"/>
          </w:rPr>
          <m:t>]</m:t>
        </m:r>
      </m:oMath>
      <w:r w:rsidRPr="00FD48D0">
        <w:rPr>
          <w:rFonts w:ascii="Times New Roman" w:hAnsi="Times New Roman" w:cs="Times New Roman"/>
          <w:sz w:val="24"/>
          <w:szCs w:val="24"/>
        </w:rPr>
        <w:t xml:space="preserve"> and the resulting effect on the average stock return </w:t>
      </w:r>
      <w:r w:rsidRPr="00A53BCD">
        <w:rPr>
          <w:rFonts w:ascii="Times New Roman" w:hAnsi="Times New Roman" w:cs="Times New Roman"/>
          <w:i/>
          <w:sz w:val="24"/>
          <w:szCs w:val="24"/>
        </w:rPr>
        <w:t>r</w:t>
      </w:r>
      <w:r w:rsidRPr="00FD48D0">
        <w:rPr>
          <w:rFonts w:ascii="Times New Roman" w:hAnsi="Times New Roman" w:cs="Times New Roman"/>
          <w:sz w:val="24"/>
          <w:szCs w:val="24"/>
        </w:rPr>
        <w:t xml:space="preserve"> </w:t>
      </w:r>
      <w:r>
        <w:rPr>
          <w:rFonts w:ascii="Times New Roman" w:hAnsi="Times New Roman" w:cs="Times New Roman"/>
          <w:sz w:val="24"/>
          <w:szCs w:val="24"/>
        </w:rPr>
        <w:t>from our</w:t>
      </w:r>
      <w:r w:rsidRPr="00FD48D0">
        <w:rPr>
          <w:rFonts w:ascii="Times New Roman" w:hAnsi="Times New Roman" w:cs="Times New Roman"/>
          <w:sz w:val="24"/>
          <w:szCs w:val="24"/>
        </w:rPr>
        <w:t xml:space="preserve"> </w:t>
      </w:r>
      <w:r>
        <w:rPr>
          <w:rFonts w:ascii="Times New Roman" w:hAnsi="Times New Roman" w:cs="Times New Roman"/>
          <w:sz w:val="24"/>
          <w:szCs w:val="24"/>
        </w:rPr>
        <w:t xml:space="preserve">expected value </w:t>
      </w:r>
      <m:oMath>
        <m:r>
          <w:rPr>
            <w:rFonts w:ascii="Cambria Math" w:hAnsi="Cambria Math" w:cs="Times New Roman"/>
            <w:sz w:val="24"/>
            <w:szCs w:val="24"/>
          </w:rPr>
          <m:t>r</m:t>
        </m:r>
        <m:r>
          <w:rPr>
            <w:rFonts w:ascii="Cambria Math" w:hAnsi="Cambria Math" w:cs="Times New Roman" w:hint="eastAsia"/>
            <w:sz w:val="24"/>
            <w:szCs w:val="24"/>
          </w:rPr>
          <m:t>×</m:t>
        </m:r>
        <m:r>
          <w:rPr>
            <w:rFonts w:ascii="Cambria Math" w:hAnsi="Cambria Math" w:cs="Times New Roman"/>
            <w:sz w:val="24"/>
            <w:szCs w:val="24"/>
          </w:rPr>
          <m:t>E[P</m:t>
        </m:r>
        <m:d>
          <m:dPr>
            <m:ctrlPr>
              <w:rPr>
                <w:rFonts w:ascii="Cambria Math" w:hAnsi="Cambria Math" w:cs="Times New Roman"/>
                <w:i/>
                <w:sz w:val="24"/>
                <w:szCs w:val="24"/>
              </w:rPr>
            </m:ctrlPr>
          </m:dPr>
          <m:e>
            <m:r>
              <w:rPr>
                <w:rFonts w:ascii="Cambria Math" w:hAnsi="Cambria Math" w:cs="Times New Roman"/>
                <w:sz w:val="24"/>
                <w:szCs w:val="24"/>
              </w:rPr>
              <m:t>rec</m:t>
            </m:r>
            <m:r>
              <m:rPr>
                <m:sty m:val="p"/>
              </m:rPr>
              <w:rPr>
                <w:rFonts w:ascii="Cambria Math" w:hAnsi="Cambria Math" w:cs="Times New Roman"/>
                <w:sz w:val="24"/>
                <w:szCs w:val="24"/>
              </w:rPr>
              <m:t>|</m:t>
            </m:r>
            <m:r>
              <w:rPr>
                <w:rFonts w:ascii="Cambria Math" w:hAnsi="Cambria Math" w:cs="Times New Roman"/>
                <w:sz w:val="24"/>
                <w:szCs w:val="24"/>
              </w:rPr>
              <m:t>sen</m:t>
            </m:r>
            <m:ctrlPr>
              <w:rPr>
                <w:rFonts w:ascii="Cambria Math" w:hAnsi="Cambria Math" w:cs="Times New Roman"/>
                <w:sz w:val="24"/>
                <w:szCs w:val="24"/>
              </w:rPr>
            </m:ctrlPr>
          </m:e>
        </m:d>
        <m:r>
          <w:rPr>
            <w:rFonts w:ascii="Cambria Math" w:hAnsi="Cambria Math" w:cs="Times New Roman"/>
            <w:sz w:val="24"/>
            <w:szCs w:val="24"/>
          </w:rPr>
          <m:t>]</m:t>
        </m:r>
      </m:oMath>
      <w:r w:rsidRPr="00FD48D0">
        <w:rPr>
          <w:rFonts w:ascii="Times New Roman" w:hAnsi="Times New Roman" w:cs="Times New Roman"/>
          <w:sz w:val="24"/>
          <w:szCs w:val="24"/>
        </w:rPr>
        <w:t>. We show this including and excluding look-ahead bias in Panel A and B, respectively.</w:t>
      </w:r>
      <w:r w:rsidRPr="004B1363">
        <w:rPr>
          <w:rFonts w:ascii="Times New Roman" w:hAnsi="Times New Roman" w:cs="Times New Roman"/>
          <w:sz w:val="24"/>
          <w:szCs w:val="24"/>
        </w:rPr>
        <w:t xml:space="preserve"> </w:t>
      </w:r>
      <w:r>
        <w:rPr>
          <w:rFonts w:ascii="Times New Roman" w:hAnsi="Times New Roman" w:cs="Times New Roman"/>
          <w:sz w:val="24"/>
          <w:szCs w:val="24"/>
        </w:rPr>
        <w:t>In Panel C,  we use the W</w:t>
      </w:r>
      <w:r w:rsidRPr="004B1363">
        <w:rPr>
          <w:rFonts w:ascii="Times New Roman" w:hAnsi="Times New Roman" w:cs="Times New Roman"/>
          <w:sz w:val="24"/>
          <w:szCs w:val="24"/>
        </w:rPr>
        <w:t>elch</w:t>
      </w:r>
      <w:r>
        <w:rPr>
          <w:rFonts w:ascii="Times New Roman" w:hAnsi="Times New Roman" w:cs="Times New Roman"/>
          <w:sz w:val="24"/>
          <w:szCs w:val="24"/>
        </w:rPr>
        <w:t>’s</w:t>
      </w:r>
      <w:r w:rsidRPr="004B1363">
        <w:rPr>
          <w:rFonts w:ascii="Times New Roman" w:hAnsi="Times New Roman" w:cs="Times New Roman"/>
          <w:sz w:val="24"/>
          <w:szCs w:val="24"/>
        </w:rPr>
        <w:t xml:space="preserve"> </w:t>
      </w:r>
      <w:r>
        <w:rPr>
          <w:rFonts w:ascii="Times New Roman" w:hAnsi="Times New Roman" w:cs="Times New Roman"/>
          <w:sz w:val="24"/>
          <w:szCs w:val="24"/>
        </w:rPr>
        <w:t>t</w:t>
      </w:r>
      <w:r w:rsidRPr="004B1363">
        <w:rPr>
          <w:rFonts w:ascii="Times New Roman" w:hAnsi="Times New Roman" w:cs="Times New Roman"/>
          <w:sz w:val="24"/>
          <w:szCs w:val="24"/>
        </w:rPr>
        <w:t xml:space="preserve">wo </w:t>
      </w:r>
      <w:r>
        <w:rPr>
          <w:rFonts w:ascii="Times New Roman" w:hAnsi="Times New Roman" w:cs="Times New Roman"/>
          <w:sz w:val="24"/>
          <w:szCs w:val="24"/>
        </w:rPr>
        <w:t>s</w:t>
      </w:r>
      <w:r w:rsidRPr="004B1363">
        <w:rPr>
          <w:rFonts w:ascii="Times New Roman" w:hAnsi="Times New Roman" w:cs="Times New Roman"/>
          <w:sz w:val="24"/>
          <w:szCs w:val="24"/>
        </w:rPr>
        <w:t xml:space="preserve">ample </w:t>
      </w:r>
      <w:r w:rsidRPr="00AF1692">
        <w:rPr>
          <w:rFonts w:ascii="Times New Roman" w:hAnsi="Times New Roman" w:cs="Times New Roman"/>
          <w:i/>
          <w:iCs/>
          <w:sz w:val="24"/>
          <w:szCs w:val="24"/>
        </w:rPr>
        <w:t>t</w:t>
      </w:r>
      <w:r w:rsidRPr="004B1363">
        <w:rPr>
          <w:rFonts w:ascii="Times New Roman" w:hAnsi="Times New Roman" w:cs="Times New Roman"/>
          <w:sz w:val="24"/>
          <w:szCs w:val="24"/>
        </w:rPr>
        <w:t>-test</w:t>
      </w:r>
      <w:r>
        <w:rPr>
          <w:rFonts w:ascii="Times New Roman" w:hAnsi="Times New Roman" w:cs="Times New Roman"/>
          <w:sz w:val="24"/>
          <w:szCs w:val="24"/>
        </w:rPr>
        <w:t xml:space="preserve"> to show how the average </w:t>
      </w:r>
      <m:oMath>
        <m:r>
          <w:rPr>
            <w:rFonts w:ascii="Cambria Math" w:hAnsi="Cambria Math" w:cs="Times New Roman"/>
            <w:sz w:val="24"/>
            <w:szCs w:val="24"/>
          </w:rPr>
          <m:t>E[P</m:t>
        </m:r>
        <m:d>
          <m:dPr>
            <m:ctrlPr>
              <w:rPr>
                <w:rFonts w:ascii="Cambria Math" w:hAnsi="Cambria Math" w:cs="Times New Roman"/>
                <w:i/>
                <w:sz w:val="24"/>
                <w:szCs w:val="24"/>
              </w:rPr>
            </m:ctrlPr>
          </m:dPr>
          <m:e>
            <m:r>
              <w:rPr>
                <w:rFonts w:ascii="Cambria Math" w:hAnsi="Cambria Math" w:cs="Times New Roman"/>
                <w:sz w:val="24"/>
                <w:szCs w:val="24"/>
              </w:rPr>
              <m:t>rec</m:t>
            </m:r>
            <m:r>
              <m:rPr>
                <m:sty m:val="p"/>
              </m:rPr>
              <w:rPr>
                <w:rFonts w:ascii="Cambria Math" w:hAnsi="Cambria Math" w:cs="Times New Roman"/>
                <w:sz w:val="24"/>
                <w:szCs w:val="24"/>
              </w:rPr>
              <m:t>|</m:t>
            </m:r>
            <m:r>
              <w:rPr>
                <w:rFonts w:ascii="Cambria Math" w:hAnsi="Cambria Math" w:cs="Times New Roman"/>
                <w:sz w:val="24"/>
                <w:szCs w:val="24"/>
              </w:rPr>
              <m:t>sen</m:t>
            </m:r>
            <m:ctrlPr>
              <w:rPr>
                <w:rFonts w:ascii="Cambria Math" w:hAnsi="Cambria Math" w:cs="Times New Roman"/>
                <w:sz w:val="24"/>
                <w:szCs w:val="24"/>
              </w:rPr>
            </m:ctrlPr>
          </m:e>
        </m:d>
        <m:r>
          <m:rPr>
            <m:sty m:val="p"/>
          </m:rPr>
          <w:rPr>
            <w:rFonts w:ascii="Cambria Math" w:hAnsi="Cambria Math" w:cs="Times New Roman"/>
            <w:sz w:val="24"/>
            <w:szCs w:val="24"/>
          </w:rPr>
          <m:t>]</m:t>
        </m:r>
      </m:oMath>
      <w:r w:rsidRPr="00A53BCD">
        <w:rPr>
          <w:rFonts w:ascii="Times New Roman" w:hAnsi="Times New Roman" w:cs="Times New Roman"/>
          <w:sz w:val="24"/>
          <w:szCs w:val="24"/>
        </w:rPr>
        <w:t xml:space="preserve"> </w:t>
      </w:r>
      <w:r>
        <w:rPr>
          <w:rFonts w:ascii="Times New Roman" w:hAnsi="Times New Roman" w:cs="Times New Roman"/>
          <w:sz w:val="24"/>
          <w:szCs w:val="24"/>
        </w:rPr>
        <w:t xml:space="preserve"> or </w:t>
      </w:r>
      <m:oMath>
        <m:r>
          <m:rPr>
            <m:sty m:val="p"/>
          </m:rPr>
          <w:rPr>
            <w:rFonts w:ascii="Cambria Math" w:hAnsi="Cambria Math" w:cs="Times New Roman"/>
            <w:sz w:val="24"/>
            <w:szCs w:val="24"/>
          </w:rPr>
          <w:br/>
        </m:r>
        <m:r>
          <w:rPr>
            <w:rFonts w:ascii="Cambria Math" w:hAnsi="Cambria Math" w:cs="Times New Roman"/>
            <w:sz w:val="24"/>
            <w:szCs w:val="24"/>
          </w:rPr>
          <m:t>r</m:t>
        </m:r>
        <m:r>
          <w:rPr>
            <w:rFonts w:ascii="Cambria Math" w:hAnsi="Cambria Math" w:cs="Times New Roman" w:hint="eastAsia"/>
            <w:sz w:val="24"/>
            <w:szCs w:val="24"/>
          </w:rPr>
          <m:t>×</m:t>
        </m:r>
        <m:r>
          <w:rPr>
            <w:rFonts w:ascii="Cambria Math" w:hAnsi="Cambria Math" w:cs="Times New Roman"/>
            <w:sz w:val="24"/>
            <w:szCs w:val="24"/>
          </w:rPr>
          <m:t>E[P</m:t>
        </m:r>
        <m:d>
          <m:dPr>
            <m:ctrlPr>
              <w:rPr>
                <w:rFonts w:ascii="Cambria Math" w:hAnsi="Cambria Math" w:cs="Times New Roman"/>
                <w:i/>
                <w:sz w:val="24"/>
                <w:szCs w:val="24"/>
              </w:rPr>
            </m:ctrlPr>
          </m:dPr>
          <m:e>
            <m:r>
              <w:rPr>
                <w:rFonts w:ascii="Cambria Math" w:hAnsi="Cambria Math" w:cs="Times New Roman"/>
                <w:sz w:val="24"/>
                <w:szCs w:val="24"/>
              </w:rPr>
              <m:t>rec</m:t>
            </m:r>
            <m:r>
              <m:rPr>
                <m:sty m:val="p"/>
              </m:rPr>
              <w:rPr>
                <w:rFonts w:ascii="Cambria Math" w:hAnsi="Cambria Math" w:cs="Times New Roman"/>
                <w:sz w:val="24"/>
                <w:szCs w:val="24"/>
              </w:rPr>
              <m:t>|</m:t>
            </m:r>
            <m:r>
              <w:rPr>
                <w:rFonts w:ascii="Cambria Math" w:hAnsi="Cambria Math" w:cs="Times New Roman"/>
                <w:sz w:val="24"/>
                <w:szCs w:val="24"/>
              </w:rPr>
              <m:t>sen</m:t>
            </m:r>
            <m:ctrlPr>
              <w:rPr>
                <w:rFonts w:ascii="Cambria Math" w:hAnsi="Cambria Math" w:cs="Times New Roman"/>
                <w:sz w:val="24"/>
                <w:szCs w:val="24"/>
              </w:rPr>
            </m:ctrlPr>
          </m:e>
        </m:d>
        <m:r>
          <w:rPr>
            <w:rFonts w:ascii="Cambria Math" w:hAnsi="Cambria Math" w:cs="Times New Roman"/>
            <w:sz w:val="24"/>
            <w:szCs w:val="24"/>
          </w:rPr>
          <m:t>]</m:t>
        </m:r>
      </m:oMath>
      <w:r w:rsidRPr="00A53BCD">
        <w:rPr>
          <w:rFonts w:ascii="Times New Roman" w:hAnsi="Times New Roman" w:cs="Times New Roman"/>
          <w:sz w:val="24"/>
          <w:szCs w:val="24"/>
        </w:rPr>
        <w:t xml:space="preserve"> </w:t>
      </w:r>
      <w:r>
        <w:rPr>
          <w:rFonts w:ascii="Times New Roman" w:hAnsi="Times New Roman" w:cs="Times New Roman"/>
          <w:sz w:val="24"/>
          <w:szCs w:val="24"/>
        </w:rPr>
        <w:t xml:space="preserve">becomes significantly different between positive and negative sentiments, and with and without look-ahead bias. We express the positive (negative) sentiment including and excluding look-ahead bias as </w:t>
      </w:r>
      <w:proofErr w:type="spellStart"/>
      <w:r>
        <w:rPr>
          <w:rFonts w:ascii="Times New Roman" w:hAnsi="Times New Roman" w:cs="Times New Roman"/>
          <w:sz w:val="24"/>
          <w:szCs w:val="24"/>
        </w:rPr>
        <w:t>Positive</w:t>
      </w:r>
      <w:r>
        <w:rPr>
          <w:rFonts w:ascii="Times New Roman" w:hAnsi="Times New Roman" w:cs="Times New Roman"/>
          <w:sz w:val="24"/>
          <w:szCs w:val="24"/>
          <w:vertAlign w:val="superscript"/>
        </w:rPr>
        <w:t>bias</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Negative</w:t>
      </w:r>
      <w:r>
        <w:rPr>
          <w:rFonts w:ascii="Times New Roman" w:hAnsi="Times New Roman" w:cs="Times New Roman"/>
          <w:sz w:val="24"/>
          <w:szCs w:val="24"/>
          <w:vertAlign w:val="superscript"/>
        </w:rPr>
        <w:t>bias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Positive</w:t>
      </w:r>
      <w:r>
        <w:rPr>
          <w:rFonts w:ascii="Times New Roman" w:hAnsi="Times New Roman" w:cs="Times New Roman"/>
          <w:sz w:val="24"/>
          <w:szCs w:val="24"/>
          <w:vertAlign w:val="superscript"/>
        </w:rPr>
        <w:t>no</w:t>
      </w:r>
      <w:proofErr w:type="spellEnd"/>
      <w:r>
        <w:rPr>
          <w:rFonts w:ascii="Times New Roman" w:hAnsi="Times New Roman" w:cs="Times New Roman"/>
          <w:sz w:val="24"/>
          <w:szCs w:val="24"/>
          <w:vertAlign w:val="superscript"/>
        </w:rPr>
        <w:t xml:space="preserve"> bias</w:t>
      </w:r>
      <w:r>
        <w:rPr>
          <w:rFonts w:ascii="Times New Roman" w:hAnsi="Times New Roman" w:cs="Times New Roman"/>
          <w:sz w:val="24"/>
          <w:szCs w:val="24"/>
        </w:rPr>
        <w:t>(</w:t>
      </w:r>
      <w:proofErr w:type="spellStart"/>
      <w:r>
        <w:rPr>
          <w:rFonts w:ascii="Times New Roman" w:hAnsi="Times New Roman" w:cs="Times New Roman"/>
          <w:sz w:val="24"/>
          <w:szCs w:val="24"/>
        </w:rPr>
        <w:t>Negative</w:t>
      </w:r>
      <w:r>
        <w:rPr>
          <w:rFonts w:ascii="Times New Roman" w:hAnsi="Times New Roman" w:cs="Times New Roman"/>
          <w:sz w:val="24"/>
          <w:szCs w:val="24"/>
          <w:vertAlign w:val="superscript"/>
        </w:rPr>
        <w:t>no</w:t>
      </w:r>
      <w:proofErr w:type="spellEnd"/>
      <w:r>
        <w:rPr>
          <w:rFonts w:ascii="Times New Roman" w:hAnsi="Times New Roman" w:cs="Times New Roman"/>
          <w:sz w:val="24"/>
          <w:szCs w:val="24"/>
          <w:vertAlign w:val="superscript"/>
        </w:rPr>
        <w:t xml:space="preserve"> bias</w:t>
      </w:r>
      <w:r>
        <w:rPr>
          <w:rFonts w:ascii="Times New Roman" w:hAnsi="Times New Roman" w:cs="Times New Roman"/>
          <w:sz w:val="24"/>
          <w:szCs w:val="24"/>
        </w:rPr>
        <w:t xml:space="preserve">), respectively. </w:t>
      </w:r>
      <w:r w:rsidRPr="005A7A3A">
        <w:rPr>
          <w:rFonts w:ascii="Times New Roman" w:hAnsi="Times New Roman" w:cs="Times New Roman"/>
          <w:sz w:val="24"/>
          <w:szCs w:val="24"/>
        </w:rPr>
        <w:t>The Cohen’s d provides the effect size that, as a rule of thumb,</w:t>
      </w:r>
      <w:r>
        <w:rPr>
          <w:rFonts w:ascii="Times New Roman" w:hAnsi="Times New Roman" w:cs="Times New Roman"/>
          <w:sz w:val="24"/>
          <w:szCs w:val="24"/>
        </w:rPr>
        <w:t xml:space="preserve"> </w:t>
      </w:r>
      <w:r w:rsidRPr="005A7A3A">
        <w:rPr>
          <w:rFonts w:ascii="Times New Roman" w:hAnsi="Times New Roman" w:cs="Times New Roman"/>
          <w:sz w:val="24"/>
          <w:szCs w:val="24"/>
        </w:rPr>
        <w:t xml:space="preserve">if the absolute value is greater than </w:t>
      </w:r>
      <w:r>
        <w:rPr>
          <w:rFonts w:ascii="Times New Roman" w:hAnsi="Times New Roman" w:cs="Times New Roman"/>
          <w:sz w:val="24"/>
          <w:szCs w:val="24"/>
        </w:rPr>
        <w:t xml:space="preserve">0.8 and closer to </w:t>
      </w:r>
      <w:r w:rsidRPr="005A7A3A">
        <w:rPr>
          <w:rFonts w:ascii="Times New Roman" w:hAnsi="Times New Roman" w:cs="Times New Roman"/>
          <w:sz w:val="24"/>
          <w:szCs w:val="24"/>
        </w:rPr>
        <w:t xml:space="preserve">2, the corresponding </w:t>
      </w:r>
      <w:r>
        <w:rPr>
          <w:rFonts w:ascii="Times New Roman" w:hAnsi="Times New Roman" w:cs="Times New Roman"/>
          <w:sz w:val="24"/>
          <w:szCs w:val="24"/>
        </w:rPr>
        <w:t xml:space="preserve">Welch’s </w:t>
      </w:r>
      <w:r w:rsidRPr="00AF1692">
        <w:rPr>
          <w:rFonts w:ascii="Times New Roman" w:hAnsi="Times New Roman" w:cs="Times New Roman"/>
          <w:i/>
          <w:iCs/>
          <w:sz w:val="24"/>
          <w:szCs w:val="24"/>
        </w:rPr>
        <w:t>t</w:t>
      </w:r>
      <w:r w:rsidRPr="005A7A3A">
        <w:rPr>
          <w:rFonts w:ascii="Times New Roman" w:hAnsi="Times New Roman" w:cs="Times New Roman"/>
          <w:sz w:val="24"/>
          <w:szCs w:val="24"/>
        </w:rPr>
        <w:t>-test result between two sample groups is valid although the sample size is</w:t>
      </w:r>
      <w:r>
        <w:rPr>
          <w:rFonts w:ascii="Times New Roman" w:hAnsi="Times New Roman" w:cs="Times New Roman"/>
          <w:sz w:val="24"/>
          <w:szCs w:val="24"/>
        </w:rPr>
        <w:t xml:space="preserve"> </w:t>
      </w:r>
      <w:r w:rsidRPr="005A7A3A">
        <w:rPr>
          <w:rFonts w:ascii="Times New Roman" w:hAnsi="Times New Roman" w:cs="Times New Roman"/>
          <w:sz w:val="24"/>
          <w:szCs w:val="24"/>
        </w:rPr>
        <w:t>small.</w:t>
      </w:r>
      <w:r>
        <w:rPr>
          <w:rFonts w:ascii="Times New Roman" w:hAnsi="Times New Roman" w:cs="Times New Roman"/>
          <w:sz w:val="24"/>
          <w:szCs w:val="24"/>
        </w:rPr>
        <w:t xml:space="preserve"> Panel D shows the descriptions of the variables used in this table. </w:t>
      </w:r>
      <w:r w:rsidRPr="00EF2FB4">
        <w:rPr>
          <w:rFonts w:ascii="Times New Roman" w:hAnsi="Times New Roman" w:cs="Times New Roman"/>
          <w:color w:val="000000"/>
          <w:sz w:val="24"/>
          <w:szCs w:val="24"/>
          <w:vertAlign w:val="superscript"/>
        </w:rPr>
        <w:t xml:space="preserve">* </w:t>
      </w:r>
      <w:r w:rsidRPr="00EF2FB4">
        <w:rPr>
          <w:rFonts w:ascii="Times New Roman" w:hAnsi="Times New Roman" w:cs="Times New Roman"/>
          <w:sz w:val="24"/>
          <w:szCs w:val="24"/>
        </w:rPr>
        <w:t xml:space="preserve">stands for significance at the 10% level, </w:t>
      </w:r>
      <w:r w:rsidRPr="00EF2FB4">
        <w:rPr>
          <w:rFonts w:ascii="Times New Roman" w:hAnsi="Times New Roman" w:cs="Times New Roman"/>
          <w:color w:val="000000"/>
          <w:sz w:val="24"/>
          <w:szCs w:val="24"/>
          <w:vertAlign w:val="superscript"/>
        </w:rPr>
        <w:t xml:space="preserve">** </w:t>
      </w:r>
      <w:r w:rsidRPr="00EF2FB4">
        <w:rPr>
          <w:rFonts w:ascii="Times New Roman" w:hAnsi="Times New Roman" w:cs="Times New Roman"/>
          <w:sz w:val="24"/>
          <w:szCs w:val="24"/>
        </w:rPr>
        <w:t xml:space="preserve">at the 5% level and </w:t>
      </w:r>
      <w:r w:rsidRPr="00EF2FB4">
        <w:rPr>
          <w:rFonts w:ascii="Times New Roman" w:hAnsi="Times New Roman" w:cs="Times New Roman"/>
          <w:color w:val="000000"/>
          <w:sz w:val="24"/>
          <w:szCs w:val="24"/>
          <w:vertAlign w:val="superscript"/>
        </w:rPr>
        <w:t xml:space="preserve">*** </w:t>
      </w:r>
      <w:r w:rsidRPr="00EF2FB4">
        <w:rPr>
          <w:rFonts w:ascii="Times New Roman" w:hAnsi="Times New Roman" w:cs="Times New Roman"/>
          <w:sz w:val="24"/>
          <w:szCs w:val="24"/>
        </w:rPr>
        <w:t>represents at the 1% level.</w:t>
      </w:r>
    </w:p>
    <w:p w14:paraId="48ED2B53" w14:textId="77777777" w:rsidR="00826159" w:rsidRPr="00A53BCD" w:rsidRDefault="00826159" w:rsidP="00826159">
      <w:pPr>
        <w:spacing w:after="0" w:line="240" w:lineRule="auto"/>
        <w:contextualSpacing/>
        <w:jc w:val="both"/>
        <w:rPr>
          <w:rFonts w:ascii="Times New Roman" w:hAnsi="Times New Roman" w:cs="Times New Roman"/>
          <w:sz w:val="24"/>
          <w:szCs w:val="24"/>
        </w:rPr>
      </w:pPr>
    </w:p>
    <w:p w14:paraId="1312FBD4" w14:textId="77777777" w:rsidR="00826159" w:rsidRDefault="00826159" w:rsidP="00826159">
      <w:pPr>
        <w:spacing w:after="0" w:line="240" w:lineRule="auto"/>
        <w:jc w:val="both"/>
        <w:rPr>
          <w:rFonts w:ascii="Times New Roman" w:hAnsi="Times New Roman" w:cs="Times New Roman"/>
          <w:b/>
          <w:sz w:val="24"/>
          <w:szCs w:val="24"/>
        </w:rPr>
      </w:pPr>
    </w:p>
    <w:tbl>
      <w:tblPr>
        <w:tblStyle w:val="TableGrid"/>
        <w:tblW w:w="8820" w:type="dxa"/>
        <w:tblInd w:w="-34" w:type="dxa"/>
        <w:tblBorders>
          <w:insideH w:val="none" w:sz="0" w:space="0" w:color="auto"/>
        </w:tblBorders>
        <w:tblLayout w:type="fixed"/>
        <w:tblLook w:val="04A0" w:firstRow="1" w:lastRow="0" w:firstColumn="1" w:lastColumn="0" w:noHBand="0" w:noVBand="1"/>
      </w:tblPr>
      <w:tblGrid>
        <w:gridCol w:w="1294"/>
        <w:gridCol w:w="2538"/>
        <w:gridCol w:w="2340"/>
        <w:gridCol w:w="2648"/>
      </w:tblGrid>
      <w:tr w:rsidR="00826159" w:rsidRPr="00996F0B" w14:paraId="55CC0444" w14:textId="77777777" w:rsidTr="00943E2E">
        <w:trPr>
          <w:trHeight w:val="259"/>
        </w:trPr>
        <w:tc>
          <w:tcPr>
            <w:tcW w:w="8820" w:type="dxa"/>
            <w:gridSpan w:val="4"/>
            <w:tcBorders>
              <w:top w:val="single" w:sz="4" w:space="0" w:color="auto"/>
              <w:left w:val="nil"/>
              <w:bottom w:val="nil"/>
              <w:right w:val="nil"/>
            </w:tcBorders>
            <w:vAlign w:val="center"/>
          </w:tcPr>
          <w:p w14:paraId="5A53A41E" w14:textId="77777777" w:rsidR="00826159" w:rsidRPr="00A53BCD" w:rsidRDefault="00826159" w:rsidP="00943E2E">
            <w:pPr>
              <w:jc w:val="both"/>
              <w:rPr>
                <w:rFonts w:ascii="Times New Roman" w:hAnsi="Times New Roman" w:cs="Times New Roman"/>
                <w:sz w:val="24"/>
                <w:szCs w:val="24"/>
              </w:rPr>
            </w:pPr>
            <w:r w:rsidRPr="00A53BCD">
              <w:rPr>
                <w:rFonts w:ascii="Times New Roman" w:hAnsi="Times New Roman" w:cs="Times New Roman"/>
                <w:sz w:val="24"/>
                <w:szCs w:val="24"/>
              </w:rPr>
              <w:t>Panel A. Effects of current quarter’s investor sentiment, analyst recommendation and average stock return</w:t>
            </w:r>
            <w:r>
              <w:rPr>
                <w:rFonts w:ascii="Times New Roman" w:hAnsi="Times New Roman" w:cs="Times New Roman"/>
                <w:sz w:val="24"/>
                <w:szCs w:val="24"/>
              </w:rPr>
              <w:t xml:space="preserve"> </w:t>
            </w:r>
            <w:r w:rsidRPr="00A53BCD">
              <w:rPr>
                <w:rFonts w:ascii="Times New Roman" w:hAnsi="Times New Roman" w:cs="Times New Roman"/>
                <w:sz w:val="24"/>
                <w:szCs w:val="24"/>
              </w:rPr>
              <w:t>(including look−ahead bias)</w:t>
            </w:r>
          </w:p>
        </w:tc>
      </w:tr>
      <w:tr w:rsidR="00826159" w:rsidRPr="00996F0B" w14:paraId="3FE4FC9A" w14:textId="77777777" w:rsidTr="00943E2E">
        <w:trPr>
          <w:trHeight w:val="478"/>
        </w:trPr>
        <w:tc>
          <w:tcPr>
            <w:tcW w:w="1294" w:type="dxa"/>
            <w:tcBorders>
              <w:top w:val="nil"/>
              <w:left w:val="nil"/>
              <w:bottom w:val="single" w:sz="4" w:space="0" w:color="auto"/>
              <w:right w:val="nil"/>
            </w:tcBorders>
            <w:vAlign w:val="center"/>
          </w:tcPr>
          <w:p w14:paraId="0ECC77BA" w14:textId="77777777" w:rsidR="00826159" w:rsidRPr="00A53BCD" w:rsidRDefault="00D74C0C" w:rsidP="00943E2E">
            <w:pP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sen</m:t>
                  </m:r>
                </m:e>
                <m:sub>
                  <m:r>
                    <w:rPr>
                      <w:rFonts w:ascii="Cambria Math" w:hAnsi="Cambria Math" w:cs="Times New Roman"/>
                      <w:sz w:val="24"/>
                      <w:szCs w:val="24"/>
                    </w:rPr>
                    <m:t>t</m:t>
                  </m:r>
                </m:sub>
              </m:sSub>
            </m:oMath>
            <w:r w:rsidR="00826159" w:rsidRPr="00A53BCD">
              <w:rPr>
                <w:rFonts w:ascii="Times New Roman" w:hAnsi="Times New Roman" w:cs="Times New Roman"/>
                <w:sz w:val="24"/>
                <w:szCs w:val="24"/>
              </w:rPr>
              <w:t xml:space="preserve"> </w:t>
            </w:r>
          </w:p>
        </w:tc>
        <w:tc>
          <w:tcPr>
            <w:tcW w:w="2538" w:type="dxa"/>
            <w:tcBorders>
              <w:top w:val="nil"/>
              <w:left w:val="nil"/>
              <w:bottom w:val="single" w:sz="4" w:space="0" w:color="auto"/>
              <w:right w:val="nil"/>
            </w:tcBorders>
            <w:vAlign w:val="center"/>
          </w:tcPr>
          <w:p w14:paraId="5519D7F0" w14:textId="77777777" w:rsidR="00826159" w:rsidRPr="00A53BCD" w:rsidRDefault="00D74C0C" w:rsidP="00943E2E">
            <w:pP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t</m:t>
                  </m:r>
                </m:sub>
              </m:sSub>
            </m:oMath>
            <w:r w:rsidR="00826159" w:rsidRPr="00A53BCD">
              <w:rPr>
                <w:rFonts w:ascii="Times New Roman" w:hAnsi="Times New Roman" w:cs="Times New Roman"/>
                <w:sz w:val="24"/>
                <w:szCs w:val="24"/>
              </w:rPr>
              <w:t xml:space="preserve"> </w:t>
            </w:r>
          </w:p>
        </w:tc>
        <w:tc>
          <w:tcPr>
            <w:tcW w:w="2340" w:type="dxa"/>
            <w:tcBorders>
              <w:top w:val="nil"/>
              <w:left w:val="nil"/>
              <w:bottom w:val="single" w:sz="4" w:space="0" w:color="auto"/>
              <w:right w:val="nil"/>
            </w:tcBorders>
            <w:vAlign w:val="center"/>
          </w:tcPr>
          <w:p w14:paraId="5B7DE2F5" w14:textId="77777777" w:rsidR="00826159" w:rsidRPr="00A53BCD" w:rsidDel="00087392" w:rsidRDefault="00826159" w:rsidP="00943E2E">
            <w:pPr>
              <w:contextualSpacing/>
              <w:jc w:val="center"/>
              <w:rPr>
                <w:rFonts w:ascii="Times New Roman" w:hAnsi="Times New Roman" w:cs="Times New Roman"/>
                <w:sz w:val="24"/>
                <w:szCs w:val="24"/>
              </w:rPr>
            </w:pPr>
            <m:oMath>
              <m:r>
                <w:rPr>
                  <w:rFonts w:ascii="Cambria Math" w:hAnsi="Cambria Math" w:cs="Times New Roman"/>
                  <w:sz w:val="24"/>
                  <w:szCs w:val="24"/>
                </w:rPr>
                <m:t>E[P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sen</m:t>
                      </m:r>
                    </m:e>
                    <m:sub>
                      <m:r>
                        <w:rPr>
                          <w:rFonts w:ascii="Cambria Math" w:hAnsi="Cambria Math" w:cs="Times New Roman"/>
                          <w:sz w:val="24"/>
                          <w:szCs w:val="24"/>
                        </w:rPr>
                        <m:t>t</m:t>
                      </m:r>
                    </m:sub>
                  </m:sSub>
                  <m:ctrlPr>
                    <w:rPr>
                      <w:rFonts w:ascii="Cambria Math" w:hAnsi="Cambria Math" w:cs="Times New Roman"/>
                      <w:sz w:val="24"/>
                      <w:szCs w:val="24"/>
                    </w:rPr>
                  </m:ctrlPr>
                </m:e>
              </m:d>
              <m:r>
                <m:rPr>
                  <m:sty m:val="p"/>
                </m:rPr>
                <w:rPr>
                  <w:rFonts w:ascii="Cambria Math" w:hAnsi="Cambria Math" w:cs="Times New Roman"/>
                  <w:sz w:val="24"/>
                  <w:szCs w:val="24"/>
                </w:rPr>
                <m:t>]</m:t>
              </m:r>
            </m:oMath>
            <w:r w:rsidRPr="00A53BCD">
              <w:rPr>
                <w:rFonts w:ascii="Times New Roman" w:hAnsi="Times New Roman" w:cs="Times New Roman"/>
                <w:sz w:val="24"/>
                <w:szCs w:val="24"/>
              </w:rPr>
              <w:t xml:space="preserve">                      </w:t>
            </w:r>
          </w:p>
        </w:tc>
        <w:tc>
          <w:tcPr>
            <w:tcW w:w="2648" w:type="dxa"/>
            <w:tcBorders>
              <w:top w:val="nil"/>
              <w:left w:val="nil"/>
              <w:bottom w:val="single" w:sz="4" w:space="0" w:color="auto"/>
              <w:right w:val="nil"/>
            </w:tcBorders>
            <w:vAlign w:val="center"/>
          </w:tcPr>
          <w:p w14:paraId="0778C9DE" w14:textId="77777777" w:rsidR="00826159" w:rsidRPr="00A53BCD" w:rsidRDefault="00D74C0C" w:rsidP="00943E2E">
            <w:pPr>
              <w:contextualSpacing/>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hint="eastAsia"/>
                    <w:sz w:val="24"/>
                    <w:szCs w:val="24"/>
                  </w:rPr>
                  <m:t>×</m:t>
                </m:r>
                <m:r>
                  <w:rPr>
                    <w:rFonts w:ascii="Cambria Math" w:hAnsi="Cambria Math" w:cs="Times New Roman"/>
                    <w:sz w:val="24"/>
                    <w:szCs w:val="24"/>
                  </w:rPr>
                  <m:t>E[P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sen</m:t>
                        </m:r>
                      </m:e>
                      <m:sub>
                        <m:r>
                          <w:rPr>
                            <w:rFonts w:ascii="Cambria Math" w:hAnsi="Cambria Math" w:cs="Times New Roman"/>
                            <w:sz w:val="24"/>
                            <w:szCs w:val="24"/>
                          </w:rPr>
                          <m:t>t</m:t>
                        </m:r>
                      </m:sub>
                    </m:sSub>
                    <m:ctrlPr>
                      <w:rPr>
                        <w:rFonts w:ascii="Cambria Math" w:hAnsi="Cambria Math" w:cs="Times New Roman"/>
                        <w:sz w:val="24"/>
                        <w:szCs w:val="24"/>
                      </w:rPr>
                    </m:ctrlPr>
                  </m:e>
                </m:d>
                <m:r>
                  <w:rPr>
                    <w:rFonts w:ascii="Cambria Math" w:hAnsi="Cambria Math" w:cs="Times New Roman"/>
                    <w:sz w:val="24"/>
                    <w:szCs w:val="24"/>
                  </w:rPr>
                  <m:t>]</m:t>
                </m:r>
              </m:oMath>
            </m:oMathPara>
          </w:p>
        </w:tc>
      </w:tr>
      <w:tr w:rsidR="00826159" w:rsidRPr="00996F0B" w14:paraId="6EC07374" w14:textId="77777777" w:rsidTr="00943E2E">
        <w:trPr>
          <w:trHeight w:val="20"/>
        </w:trPr>
        <w:tc>
          <w:tcPr>
            <w:tcW w:w="1294" w:type="dxa"/>
            <w:vMerge w:val="restart"/>
            <w:tcBorders>
              <w:top w:val="single" w:sz="4" w:space="0" w:color="auto"/>
              <w:left w:val="nil"/>
              <w:bottom w:val="single" w:sz="4" w:space="0" w:color="auto"/>
              <w:right w:val="nil"/>
            </w:tcBorders>
            <w:vAlign w:val="center"/>
          </w:tcPr>
          <w:p w14:paraId="4EBB6734" w14:textId="77777777" w:rsidR="00826159" w:rsidRDefault="00826159" w:rsidP="00943E2E">
            <w:pPr>
              <w:contextualSpacing/>
              <w:jc w:val="both"/>
              <w:rPr>
                <w:rFonts w:ascii="Times New Roman" w:hAnsi="Times New Roman" w:cs="Times New Roman"/>
                <w:sz w:val="24"/>
                <w:szCs w:val="24"/>
              </w:rPr>
            </w:pPr>
          </w:p>
          <w:p w14:paraId="067305C5" w14:textId="77777777" w:rsidR="00826159" w:rsidRDefault="00826159" w:rsidP="00943E2E">
            <w:pPr>
              <w:contextualSpacing/>
              <w:jc w:val="both"/>
              <w:rPr>
                <w:rFonts w:ascii="Times New Roman" w:hAnsi="Times New Roman" w:cs="Times New Roman"/>
                <w:sz w:val="24"/>
                <w:szCs w:val="24"/>
              </w:rPr>
            </w:pPr>
          </w:p>
          <w:p w14:paraId="05B0FBCF" w14:textId="77777777" w:rsidR="00826159" w:rsidRDefault="00826159" w:rsidP="00943E2E">
            <w:pPr>
              <w:contextualSpacing/>
              <w:jc w:val="both"/>
              <w:rPr>
                <w:rFonts w:ascii="Times New Roman" w:hAnsi="Times New Roman" w:cs="Times New Roman"/>
                <w:sz w:val="24"/>
                <w:szCs w:val="24"/>
              </w:rPr>
            </w:pPr>
          </w:p>
          <w:p w14:paraId="71B8F23D" w14:textId="77777777" w:rsidR="00826159" w:rsidRDefault="00826159" w:rsidP="00943E2E">
            <w:pPr>
              <w:contextualSpacing/>
              <w:jc w:val="both"/>
              <w:rPr>
                <w:rFonts w:ascii="Times New Roman" w:hAnsi="Times New Roman" w:cs="Times New Roman"/>
                <w:sz w:val="24"/>
                <w:szCs w:val="24"/>
              </w:rPr>
            </w:pPr>
          </w:p>
          <w:p w14:paraId="5F31F748" w14:textId="77777777" w:rsidR="00826159" w:rsidRPr="00A53BCD" w:rsidRDefault="00826159" w:rsidP="00943E2E">
            <w:pPr>
              <w:contextualSpacing/>
              <w:jc w:val="both"/>
              <w:rPr>
                <w:rFonts w:ascii="Times New Roman" w:hAnsi="Times New Roman" w:cs="Times New Roman"/>
                <w:sz w:val="24"/>
                <w:szCs w:val="24"/>
              </w:rPr>
            </w:pPr>
            <w:r w:rsidRPr="00A53BCD">
              <w:rPr>
                <w:rFonts w:ascii="Times New Roman" w:hAnsi="Times New Roman" w:cs="Times New Roman"/>
                <w:sz w:val="24"/>
                <w:szCs w:val="24"/>
              </w:rPr>
              <w:t>Positive</w:t>
            </w:r>
          </w:p>
          <w:p w14:paraId="1AE87F5E" w14:textId="77777777" w:rsidR="00826159" w:rsidRDefault="00826159" w:rsidP="00943E2E">
            <w:pPr>
              <w:contextualSpacing/>
              <w:jc w:val="both"/>
              <w:rPr>
                <w:rFonts w:ascii="Times New Roman" w:hAnsi="Times New Roman" w:cs="Times New Roman"/>
                <w:sz w:val="24"/>
                <w:szCs w:val="24"/>
              </w:rPr>
            </w:pPr>
          </w:p>
          <w:p w14:paraId="646AF670" w14:textId="77777777" w:rsidR="00826159" w:rsidRDefault="00826159" w:rsidP="00943E2E">
            <w:pPr>
              <w:contextualSpacing/>
              <w:jc w:val="both"/>
              <w:rPr>
                <w:rFonts w:ascii="Times New Roman" w:hAnsi="Times New Roman" w:cs="Times New Roman"/>
                <w:sz w:val="24"/>
                <w:szCs w:val="24"/>
              </w:rPr>
            </w:pPr>
          </w:p>
          <w:p w14:paraId="767D16DA" w14:textId="77777777" w:rsidR="00826159" w:rsidRDefault="00826159" w:rsidP="00943E2E">
            <w:pPr>
              <w:contextualSpacing/>
              <w:jc w:val="both"/>
              <w:rPr>
                <w:rFonts w:ascii="Times New Roman" w:hAnsi="Times New Roman" w:cs="Times New Roman"/>
                <w:sz w:val="24"/>
                <w:szCs w:val="24"/>
              </w:rPr>
            </w:pPr>
          </w:p>
          <w:p w14:paraId="37E2A62D" w14:textId="77777777" w:rsidR="00826159" w:rsidRDefault="00826159" w:rsidP="00943E2E">
            <w:pPr>
              <w:contextualSpacing/>
              <w:jc w:val="both"/>
              <w:rPr>
                <w:rFonts w:ascii="Times New Roman" w:hAnsi="Times New Roman" w:cs="Times New Roman"/>
                <w:sz w:val="24"/>
                <w:szCs w:val="24"/>
              </w:rPr>
            </w:pPr>
          </w:p>
          <w:p w14:paraId="0D0DE54A"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nil"/>
              <w:right w:val="nil"/>
            </w:tcBorders>
            <w:vAlign w:val="center"/>
          </w:tcPr>
          <w:p w14:paraId="692212A9" w14:textId="77777777" w:rsidR="00826159" w:rsidRPr="00A53BCD" w:rsidRDefault="00826159" w:rsidP="00943E2E">
            <w:pPr>
              <w:jc w:val="both"/>
              <w:rPr>
                <w:rFonts w:ascii="Times New Roman" w:hAnsi="Times New Roman" w:cs="Times New Roman"/>
                <w:sz w:val="24"/>
                <w:szCs w:val="24"/>
              </w:rPr>
            </w:pPr>
            <w:r w:rsidRPr="00A53BCD">
              <w:rPr>
                <w:rFonts w:ascii="Times New Roman" w:hAnsi="Times New Roman" w:cs="Times New Roman"/>
                <w:color w:val="000000"/>
                <w:sz w:val="24"/>
                <w:szCs w:val="24"/>
              </w:rPr>
              <w:t>Upgrade</w:t>
            </w:r>
          </w:p>
        </w:tc>
        <w:tc>
          <w:tcPr>
            <w:tcW w:w="2340" w:type="dxa"/>
            <w:tcBorders>
              <w:top w:val="single" w:sz="4" w:space="0" w:color="auto"/>
              <w:left w:val="nil"/>
              <w:bottom w:val="nil"/>
              <w:right w:val="nil"/>
            </w:tcBorders>
            <w:vAlign w:val="center"/>
          </w:tcPr>
          <w:p w14:paraId="5B32C1DF"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37.160%</w:t>
            </w:r>
          </w:p>
        </w:tc>
        <w:tc>
          <w:tcPr>
            <w:tcW w:w="2648" w:type="dxa"/>
            <w:tcBorders>
              <w:top w:val="single" w:sz="4" w:space="0" w:color="auto"/>
              <w:left w:val="nil"/>
              <w:bottom w:val="nil"/>
              <w:right w:val="nil"/>
            </w:tcBorders>
            <w:vAlign w:val="center"/>
          </w:tcPr>
          <w:p w14:paraId="4544781B"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0.061%</w:t>
            </w:r>
          </w:p>
        </w:tc>
      </w:tr>
      <w:tr w:rsidR="00826159" w:rsidRPr="00996F0B" w14:paraId="5EEF44E3" w14:textId="77777777" w:rsidTr="00943E2E">
        <w:trPr>
          <w:trHeight w:val="259"/>
        </w:trPr>
        <w:tc>
          <w:tcPr>
            <w:tcW w:w="1294" w:type="dxa"/>
            <w:vMerge/>
            <w:tcBorders>
              <w:top w:val="nil"/>
              <w:left w:val="nil"/>
              <w:bottom w:val="single" w:sz="4" w:space="0" w:color="auto"/>
              <w:right w:val="nil"/>
            </w:tcBorders>
            <w:vAlign w:val="center"/>
          </w:tcPr>
          <w:p w14:paraId="681A2C90"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nil"/>
              <w:right w:val="nil"/>
            </w:tcBorders>
            <w:vAlign w:val="center"/>
          </w:tcPr>
          <w:p w14:paraId="4F2C813B" w14:textId="77777777" w:rsidR="00826159" w:rsidRPr="00A53BCD" w:rsidRDefault="00826159" w:rsidP="00943E2E">
            <w:pPr>
              <w:jc w:val="both"/>
              <w:rPr>
                <w:rFonts w:ascii="Times New Roman" w:hAnsi="Times New Roman" w:cs="Times New Roman"/>
                <w:sz w:val="24"/>
                <w:szCs w:val="24"/>
              </w:rPr>
            </w:pPr>
            <w:r>
              <w:rPr>
                <w:rFonts w:ascii="Times New Roman" w:hAnsi="Times New Roman" w:cs="Times New Roman"/>
                <w:color w:val="000000"/>
                <w:sz w:val="24"/>
                <w:szCs w:val="24"/>
              </w:rPr>
              <w:t xml:space="preserve">Neutral </w:t>
            </w:r>
            <w:r w:rsidRPr="008E64B8">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Upgrade</w:t>
            </w:r>
          </w:p>
        </w:tc>
        <w:tc>
          <w:tcPr>
            <w:tcW w:w="2340" w:type="dxa"/>
            <w:tcBorders>
              <w:top w:val="nil"/>
              <w:left w:val="nil"/>
              <w:bottom w:val="nil"/>
              <w:right w:val="nil"/>
            </w:tcBorders>
            <w:vAlign w:val="center"/>
          </w:tcPr>
          <w:p w14:paraId="79668401"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10.192%</w:t>
            </w:r>
          </w:p>
        </w:tc>
        <w:tc>
          <w:tcPr>
            <w:tcW w:w="2648" w:type="dxa"/>
            <w:tcBorders>
              <w:top w:val="nil"/>
              <w:left w:val="nil"/>
              <w:bottom w:val="nil"/>
              <w:right w:val="nil"/>
            </w:tcBorders>
            <w:vAlign w:val="center"/>
          </w:tcPr>
          <w:p w14:paraId="6CE316D1"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0.019%</w:t>
            </w:r>
          </w:p>
        </w:tc>
      </w:tr>
      <w:tr w:rsidR="00826159" w:rsidRPr="00996F0B" w14:paraId="71E502F5" w14:textId="77777777" w:rsidTr="00943E2E">
        <w:trPr>
          <w:trHeight w:val="259"/>
        </w:trPr>
        <w:tc>
          <w:tcPr>
            <w:tcW w:w="1294" w:type="dxa"/>
            <w:vMerge/>
            <w:tcBorders>
              <w:top w:val="nil"/>
              <w:left w:val="nil"/>
              <w:bottom w:val="single" w:sz="4" w:space="0" w:color="auto"/>
              <w:right w:val="nil"/>
            </w:tcBorders>
            <w:vAlign w:val="center"/>
          </w:tcPr>
          <w:p w14:paraId="1C32A723"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single" w:sz="4" w:space="0" w:color="auto"/>
              <w:right w:val="nil"/>
            </w:tcBorders>
            <w:vAlign w:val="center"/>
          </w:tcPr>
          <w:p w14:paraId="5E42A80E" w14:textId="77777777" w:rsidR="00826159" w:rsidRPr="00A53BCD" w:rsidRDefault="00826159" w:rsidP="00943E2E">
            <w:pPr>
              <w:jc w:val="both"/>
              <w:rPr>
                <w:rFonts w:ascii="Times New Roman" w:hAnsi="Times New Roman" w:cs="Times New Roman"/>
                <w:sz w:val="24"/>
                <w:szCs w:val="24"/>
              </w:rPr>
            </w:pPr>
            <w:r w:rsidRPr="00A53BCD">
              <w:rPr>
                <w:rFonts w:ascii="Times New Roman" w:hAnsi="Times New Roman" w:cs="Times New Roman"/>
                <w:color w:val="000000"/>
                <w:sz w:val="24"/>
                <w:szCs w:val="24"/>
              </w:rPr>
              <w:t>Downgrade</w:t>
            </w:r>
            <w:r>
              <w:rPr>
                <w:rFonts w:ascii="Times New Roman" w:hAnsi="Times New Roman" w:cs="Times New Roman"/>
                <w:color w:val="000000"/>
                <w:sz w:val="24"/>
                <w:szCs w:val="24"/>
              </w:rPr>
              <w:t xml:space="preserve"> </w:t>
            </w:r>
            <w:r w:rsidRPr="00F56A44">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w:t>
            </w:r>
            <w:r w:rsidRPr="00A53BCD">
              <w:rPr>
                <w:rFonts w:ascii="Times New Roman" w:hAnsi="Times New Roman" w:cs="Times New Roman"/>
                <w:color w:val="000000"/>
                <w:sz w:val="24"/>
                <w:szCs w:val="24"/>
              </w:rPr>
              <w:t>Upgrade</w:t>
            </w:r>
          </w:p>
        </w:tc>
        <w:tc>
          <w:tcPr>
            <w:tcW w:w="2340" w:type="dxa"/>
            <w:tcBorders>
              <w:top w:val="nil"/>
              <w:left w:val="nil"/>
              <w:bottom w:val="single" w:sz="4" w:space="0" w:color="auto"/>
              <w:right w:val="nil"/>
            </w:tcBorders>
            <w:vAlign w:val="center"/>
          </w:tcPr>
          <w:p w14:paraId="3E35FFB9"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12.493%</w:t>
            </w:r>
          </w:p>
        </w:tc>
        <w:tc>
          <w:tcPr>
            <w:tcW w:w="2648" w:type="dxa"/>
            <w:tcBorders>
              <w:top w:val="nil"/>
              <w:left w:val="nil"/>
              <w:bottom w:val="single" w:sz="4" w:space="0" w:color="auto"/>
              <w:right w:val="nil"/>
            </w:tcBorders>
            <w:vAlign w:val="center"/>
          </w:tcPr>
          <w:p w14:paraId="38A01F7E"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0.021%</w:t>
            </w:r>
          </w:p>
        </w:tc>
      </w:tr>
      <w:tr w:rsidR="00826159" w:rsidRPr="00996F0B" w14:paraId="3A7E8AF8" w14:textId="77777777" w:rsidTr="00943E2E">
        <w:trPr>
          <w:trHeight w:val="259"/>
        </w:trPr>
        <w:tc>
          <w:tcPr>
            <w:tcW w:w="1294" w:type="dxa"/>
            <w:vMerge/>
            <w:tcBorders>
              <w:top w:val="nil"/>
              <w:left w:val="nil"/>
              <w:bottom w:val="single" w:sz="4" w:space="0" w:color="auto"/>
              <w:right w:val="nil"/>
            </w:tcBorders>
            <w:vAlign w:val="center"/>
          </w:tcPr>
          <w:p w14:paraId="79AF5734"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single" w:sz="4" w:space="0" w:color="auto"/>
              <w:right w:val="nil"/>
            </w:tcBorders>
            <w:vAlign w:val="center"/>
          </w:tcPr>
          <w:p w14:paraId="56B15CCD" w14:textId="77777777" w:rsidR="00826159" w:rsidRPr="00A53BCD" w:rsidRDefault="00826159" w:rsidP="00943E2E">
            <w:pPr>
              <w:jc w:val="both"/>
              <w:rPr>
                <w:rFonts w:ascii="Times New Roman" w:hAnsi="Times New Roman" w:cs="Times New Roman"/>
                <w:sz w:val="24"/>
                <w:szCs w:val="24"/>
              </w:rPr>
            </w:pPr>
            <w:r w:rsidRPr="004F0763">
              <w:rPr>
                <w:rFonts w:ascii="Times New Roman" w:hAnsi="Times New Roman" w:cs="Times New Roman"/>
                <w:b/>
                <w:bCs/>
                <w:color w:val="000000"/>
                <w:sz w:val="24"/>
                <w:szCs w:val="24"/>
              </w:rPr>
              <w:t>Average</w:t>
            </w:r>
          </w:p>
        </w:tc>
        <w:tc>
          <w:tcPr>
            <w:tcW w:w="2340" w:type="dxa"/>
            <w:tcBorders>
              <w:top w:val="single" w:sz="4" w:space="0" w:color="auto"/>
              <w:left w:val="nil"/>
              <w:bottom w:val="single" w:sz="4" w:space="0" w:color="auto"/>
              <w:right w:val="nil"/>
            </w:tcBorders>
            <w:vAlign w:val="center"/>
          </w:tcPr>
          <w:p w14:paraId="6D420880" w14:textId="77777777" w:rsidR="00826159" w:rsidRPr="005B01A1" w:rsidRDefault="00826159" w:rsidP="00943E2E">
            <w:pPr>
              <w:jc w:val="center"/>
              <w:rPr>
                <w:rFonts w:ascii="Times New Roman" w:hAnsi="Times New Roman" w:cs="Times New Roman"/>
                <w:color w:val="000000"/>
                <w:sz w:val="24"/>
                <w:szCs w:val="24"/>
              </w:rPr>
            </w:pPr>
            <w:r w:rsidRPr="003273B5">
              <w:rPr>
                <w:rFonts w:ascii="Times New Roman" w:hAnsi="Times New Roman" w:cs="Times New Roman"/>
                <w:color w:val="000000"/>
                <w:sz w:val="24"/>
                <w:szCs w:val="24"/>
              </w:rPr>
              <w:t>19.948%</w:t>
            </w:r>
          </w:p>
        </w:tc>
        <w:tc>
          <w:tcPr>
            <w:tcW w:w="2648" w:type="dxa"/>
            <w:tcBorders>
              <w:top w:val="single" w:sz="4" w:space="0" w:color="auto"/>
              <w:left w:val="nil"/>
              <w:bottom w:val="single" w:sz="4" w:space="0" w:color="auto"/>
              <w:right w:val="nil"/>
            </w:tcBorders>
            <w:vAlign w:val="center"/>
          </w:tcPr>
          <w:p w14:paraId="194D0326" w14:textId="77777777" w:rsidR="00826159" w:rsidRPr="005B01A1" w:rsidRDefault="00826159" w:rsidP="00943E2E">
            <w:pPr>
              <w:jc w:val="center"/>
              <w:rPr>
                <w:rFonts w:ascii="Times New Roman" w:hAnsi="Times New Roman" w:cs="Times New Roman"/>
                <w:color w:val="000000"/>
                <w:sz w:val="24"/>
                <w:szCs w:val="24"/>
              </w:rPr>
            </w:pPr>
            <w:r w:rsidRPr="003273B5">
              <w:rPr>
                <w:rFonts w:ascii="Times New Roman" w:hAnsi="Times New Roman" w:cs="Times New Roman"/>
                <w:color w:val="000000"/>
                <w:sz w:val="24"/>
                <w:szCs w:val="24"/>
              </w:rPr>
              <w:t>0.034%</w:t>
            </w:r>
          </w:p>
        </w:tc>
      </w:tr>
      <w:tr w:rsidR="00826159" w:rsidRPr="00996F0B" w14:paraId="16F51D53" w14:textId="77777777" w:rsidTr="00943E2E">
        <w:trPr>
          <w:trHeight w:val="259"/>
        </w:trPr>
        <w:tc>
          <w:tcPr>
            <w:tcW w:w="1294" w:type="dxa"/>
            <w:vMerge/>
            <w:tcBorders>
              <w:top w:val="nil"/>
              <w:left w:val="nil"/>
              <w:bottom w:val="single" w:sz="4" w:space="0" w:color="auto"/>
              <w:right w:val="nil"/>
            </w:tcBorders>
            <w:vAlign w:val="center"/>
          </w:tcPr>
          <w:p w14:paraId="23A60E7B"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nil"/>
              <w:right w:val="nil"/>
            </w:tcBorders>
            <w:vAlign w:val="center"/>
          </w:tcPr>
          <w:p w14:paraId="34865BFA" w14:textId="77777777" w:rsidR="00826159" w:rsidRDefault="00826159" w:rsidP="00943E2E">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40" w:type="dxa"/>
            <w:tcBorders>
              <w:top w:val="single" w:sz="4" w:space="0" w:color="auto"/>
              <w:left w:val="nil"/>
              <w:bottom w:val="nil"/>
              <w:right w:val="nil"/>
            </w:tcBorders>
            <w:vAlign w:val="center"/>
          </w:tcPr>
          <w:p w14:paraId="218350C0"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28.822%</w:t>
            </w:r>
          </w:p>
        </w:tc>
        <w:tc>
          <w:tcPr>
            <w:tcW w:w="2648" w:type="dxa"/>
            <w:tcBorders>
              <w:top w:val="single" w:sz="4" w:space="0" w:color="auto"/>
              <w:left w:val="nil"/>
              <w:bottom w:val="nil"/>
              <w:right w:val="nil"/>
            </w:tcBorders>
            <w:vAlign w:val="center"/>
          </w:tcPr>
          <w:p w14:paraId="45BDA1CD"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0.046%</w:t>
            </w:r>
          </w:p>
        </w:tc>
      </w:tr>
      <w:tr w:rsidR="00826159" w:rsidRPr="00996F0B" w14:paraId="308CC193" w14:textId="77777777" w:rsidTr="00943E2E">
        <w:trPr>
          <w:trHeight w:val="259"/>
        </w:trPr>
        <w:tc>
          <w:tcPr>
            <w:tcW w:w="1294" w:type="dxa"/>
            <w:vMerge/>
            <w:tcBorders>
              <w:top w:val="nil"/>
              <w:left w:val="nil"/>
              <w:bottom w:val="single" w:sz="4" w:space="0" w:color="auto"/>
              <w:right w:val="nil"/>
            </w:tcBorders>
            <w:vAlign w:val="center"/>
          </w:tcPr>
          <w:p w14:paraId="5472C98D" w14:textId="77777777" w:rsidR="00826159" w:rsidRPr="00A53BCD" w:rsidRDefault="00826159" w:rsidP="00943E2E">
            <w:pPr>
              <w:contextualSpacing/>
              <w:jc w:val="both"/>
              <w:rPr>
                <w:rFonts w:ascii="Times New Roman" w:hAnsi="Times New Roman" w:cs="Times New Roman"/>
                <w:sz w:val="24"/>
                <w:szCs w:val="24"/>
              </w:rPr>
            </w:pPr>
            <w:bookmarkStart w:id="3" w:name="_Hlk38017650"/>
          </w:p>
        </w:tc>
        <w:tc>
          <w:tcPr>
            <w:tcW w:w="2538" w:type="dxa"/>
            <w:tcBorders>
              <w:top w:val="nil"/>
              <w:left w:val="nil"/>
              <w:bottom w:val="nil"/>
              <w:right w:val="nil"/>
            </w:tcBorders>
            <w:vAlign w:val="center"/>
          </w:tcPr>
          <w:p w14:paraId="52AAFC3D" w14:textId="77777777" w:rsidR="00826159" w:rsidRPr="00A53BCD" w:rsidRDefault="00826159" w:rsidP="00943E2E">
            <w:pPr>
              <w:jc w:val="both"/>
              <w:rPr>
                <w:rFonts w:ascii="Times New Roman" w:hAnsi="Times New Roman" w:cs="Times New Roman"/>
                <w:sz w:val="24"/>
                <w:szCs w:val="24"/>
              </w:rPr>
            </w:pPr>
            <w:r w:rsidRPr="00BE5AB5">
              <w:rPr>
                <w:rFonts w:ascii="Times New Roman" w:hAnsi="Times New Roman" w:cs="Times New Roman"/>
                <w:color w:val="000000"/>
                <w:sz w:val="24"/>
                <w:szCs w:val="24"/>
              </w:rPr>
              <w:t xml:space="preserve">Downgrade </w:t>
            </w:r>
            <w:r w:rsidRPr="008E64B8">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w:t>
            </w:r>
            <w:r w:rsidRPr="00BE5AB5">
              <w:rPr>
                <w:rFonts w:ascii="Times New Roman" w:hAnsi="Times New Roman" w:cs="Times New Roman"/>
                <w:color w:val="000000"/>
                <w:sz w:val="24"/>
                <w:szCs w:val="24"/>
              </w:rPr>
              <w:t>Neutral</w:t>
            </w:r>
            <w:r w:rsidRPr="00A53BCD">
              <w:rPr>
                <w:rFonts w:ascii="Times New Roman" w:hAnsi="Times New Roman" w:cs="Times New Roman"/>
                <w:color w:val="000000"/>
                <w:sz w:val="24"/>
                <w:szCs w:val="24"/>
              </w:rPr>
              <w:t xml:space="preserve"> </w:t>
            </w:r>
          </w:p>
        </w:tc>
        <w:tc>
          <w:tcPr>
            <w:tcW w:w="2340" w:type="dxa"/>
            <w:tcBorders>
              <w:top w:val="nil"/>
              <w:left w:val="nil"/>
              <w:bottom w:val="nil"/>
              <w:right w:val="nil"/>
            </w:tcBorders>
            <w:vAlign w:val="center"/>
          </w:tcPr>
          <w:p w14:paraId="049B9E15"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10.545%</w:t>
            </w:r>
          </w:p>
        </w:tc>
        <w:tc>
          <w:tcPr>
            <w:tcW w:w="2648" w:type="dxa"/>
            <w:tcBorders>
              <w:top w:val="nil"/>
              <w:left w:val="nil"/>
              <w:bottom w:val="nil"/>
              <w:right w:val="nil"/>
            </w:tcBorders>
            <w:vAlign w:val="center"/>
          </w:tcPr>
          <w:p w14:paraId="610C5103"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0.022%</w:t>
            </w:r>
          </w:p>
        </w:tc>
      </w:tr>
      <w:tr w:rsidR="00826159" w:rsidRPr="00996F0B" w14:paraId="4EB186DF" w14:textId="77777777" w:rsidTr="00943E2E">
        <w:trPr>
          <w:trHeight w:val="259"/>
        </w:trPr>
        <w:tc>
          <w:tcPr>
            <w:tcW w:w="1294" w:type="dxa"/>
            <w:vMerge/>
            <w:tcBorders>
              <w:top w:val="nil"/>
              <w:left w:val="nil"/>
              <w:bottom w:val="single" w:sz="4" w:space="0" w:color="auto"/>
              <w:right w:val="nil"/>
            </w:tcBorders>
            <w:vAlign w:val="center"/>
          </w:tcPr>
          <w:p w14:paraId="22EAE3F2" w14:textId="77777777" w:rsidR="00826159" w:rsidRPr="00996F0B" w:rsidRDefault="00826159" w:rsidP="00943E2E">
            <w:pPr>
              <w:contextualSpacing/>
              <w:jc w:val="both"/>
              <w:rPr>
                <w:rFonts w:ascii="Times New Roman" w:hAnsi="Times New Roman" w:cs="Times New Roman"/>
                <w:sz w:val="24"/>
                <w:szCs w:val="24"/>
              </w:rPr>
            </w:pPr>
            <w:bookmarkStart w:id="4" w:name="_Hlk38017586"/>
            <w:bookmarkEnd w:id="3"/>
          </w:p>
        </w:tc>
        <w:tc>
          <w:tcPr>
            <w:tcW w:w="2538" w:type="dxa"/>
            <w:tcBorders>
              <w:top w:val="nil"/>
              <w:left w:val="nil"/>
              <w:bottom w:val="single" w:sz="4" w:space="0" w:color="auto"/>
              <w:right w:val="nil"/>
            </w:tcBorders>
            <w:vAlign w:val="center"/>
          </w:tcPr>
          <w:p w14:paraId="28376F97" w14:textId="77777777" w:rsidR="00826159" w:rsidRPr="00F56A44" w:rsidRDefault="00826159" w:rsidP="00943E2E">
            <w:pPr>
              <w:jc w:val="both"/>
              <w:rPr>
                <w:rFonts w:ascii="Times New Roman" w:hAnsi="Times New Roman" w:cs="Times New Roman"/>
                <w:sz w:val="24"/>
                <w:szCs w:val="24"/>
              </w:rPr>
            </w:pPr>
            <w:r>
              <w:rPr>
                <w:rFonts w:ascii="Times New Roman" w:hAnsi="Times New Roman" w:cs="Times New Roman"/>
                <w:color w:val="000000"/>
                <w:sz w:val="24"/>
                <w:szCs w:val="24"/>
              </w:rPr>
              <w:t xml:space="preserve">Upgrade </w:t>
            </w:r>
            <w:r w:rsidRPr="003F52A5">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Neutral</w:t>
            </w:r>
          </w:p>
        </w:tc>
        <w:tc>
          <w:tcPr>
            <w:tcW w:w="2340" w:type="dxa"/>
            <w:tcBorders>
              <w:top w:val="nil"/>
              <w:left w:val="nil"/>
              <w:bottom w:val="single" w:sz="4" w:space="0" w:color="auto"/>
              <w:right w:val="nil"/>
            </w:tcBorders>
            <w:vAlign w:val="center"/>
          </w:tcPr>
          <w:p w14:paraId="71C0C1EE"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12.862%</w:t>
            </w:r>
          </w:p>
        </w:tc>
        <w:tc>
          <w:tcPr>
            <w:tcW w:w="2648" w:type="dxa"/>
            <w:tcBorders>
              <w:top w:val="nil"/>
              <w:left w:val="nil"/>
              <w:bottom w:val="single" w:sz="4" w:space="0" w:color="auto"/>
              <w:right w:val="nil"/>
            </w:tcBorders>
            <w:vAlign w:val="center"/>
          </w:tcPr>
          <w:p w14:paraId="0ADCABA5"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0.018%</w:t>
            </w:r>
          </w:p>
        </w:tc>
      </w:tr>
      <w:bookmarkEnd w:id="4"/>
      <w:tr w:rsidR="00826159" w:rsidRPr="00996F0B" w14:paraId="490430FD" w14:textId="77777777" w:rsidTr="00943E2E">
        <w:trPr>
          <w:trHeight w:val="259"/>
        </w:trPr>
        <w:tc>
          <w:tcPr>
            <w:tcW w:w="1294" w:type="dxa"/>
            <w:vMerge/>
            <w:tcBorders>
              <w:top w:val="nil"/>
              <w:left w:val="nil"/>
              <w:bottom w:val="single" w:sz="4" w:space="0" w:color="auto"/>
              <w:right w:val="nil"/>
            </w:tcBorders>
            <w:vAlign w:val="center"/>
          </w:tcPr>
          <w:p w14:paraId="0B90001E"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single" w:sz="4" w:space="0" w:color="auto"/>
              <w:right w:val="nil"/>
            </w:tcBorders>
            <w:vAlign w:val="center"/>
          </w:tcPr>
          <w:p w14:paraId="2E612FFA" w14:textId="77777777" w:rsidR="00826159" w:rsidRPr="00F56A44" w:rsidRDefault="00826159" w:rsidP="00943E2E">
            <w:pPr>
              <w:jc w:val="both"/>
              <w:rPr>
                <w:rFonts w:ascii="Times New Roman" w:hAnsi="Times New Roman" w:cs="Times New Roman"/>
                <w:sz w:val="24"/>
                <w:szCs w:val="24"/>
              </w:rPr>
            </w:pPr>
            <w:r w:rsidRPr="004F0763">
              <w:rPr>
                <w:rFonts w:ascii="Times New Roman" w:hAnsi="Times New Roman" w:cs="Times New Roman"/>
                <w:b/>
                <w:bCs/>
                <w:color w:val="000000"/>
                <w:sz w:val="24"/>
                <w:szCs w:val="24"/>
              </w:rPr>
              <w:t>Average</w:t>
            </w:r>
          </w:p>
        </w:tc>
        <w:tc>
          <w:tcPr>
            <w:tcW w:w="2340" w:type="dxa"/>
            <w:tcBorders>
              <w:top w:val="single" w:sz="4" w:space="0" w:color="auto"/>
              <w:left w:val="nil"/>
              <w:bottom w:val="single" w:sz="4" w:space="0" w:color="auto"/>
              <w:right w:val="nil"/>
            </w:tcBorders>
            <w:vAlign w:val="center"/>
          </w:tcPr>
          <w:p w14:paraId="617A62AF" w14:textId="77777777" w:rsidR="00826159" w:rsidRPr="005B01A1" w:rsidRDefault="00826159" w:rsidP="00943E2E">
            <w:pPr>
              <w:jc w:val="center"/>
              <w:rPr>
                <w:rFonts w:ascii="Times New Roman" w:hAnsi="Times New Roman" w:cs="Times New Roman"/>
                <w:color w:val="000000"/>
                <w:sz w:val="24"/>
                <w:szCs w:val="24"/>
              </w:rPr>
            </w:pPr>
            <w:r w:rsidRPr="003273B5">
              <w:rPr>
                <w:rFonts w:ascii="Times New Roman" w:hAnsi="Times New Roman" w:cs="Times New Roman"/>
                <w:color w:val="000000"/>
                <w:sz w:val="24"/>
                <w:szCs w:val="24"/>
              </w:rPr>
              <w:t>17.410%</w:t>
            </w:r>
          </w:p>
        </w:tc>
        <w:tc>
          <w:tcPr>
            <w:tcW w:w="2648" w:type="dxa"/>
            <w:tcBorders>
              <w:top w:val="single" w:sz="4" w:space="0" w:color="auto"/>
              <w:left w:val="nil"/>
              <w:bottom w:val="single" w:sz="4" w:space="0" w:color="auto"/>
              <w:right w:val="nil"/>
            </w:tcBorders>
            <w:vAlign w:val="center"/>
          </w:tcPr>
          <w:p w14:paraId="2F28BDC0" w14:textId="77777777" w:rsidR="00826159" w:rsidRPr="005B01A1" w:rsidRDefault="00826159" w:rsidP="00943E2E">
            <w:pPr>
              <w:jc w:val="center"/>
              <w:rPr>
                <w:rFonts w:ascii="Times New Roman" w:hAnsi="Times New Roman" w:cs="Times New Roman"/>
                <w:color w:val="000000"/>
                <w:sz w:val="24"/>
                <w:szCs w:val="24"/>
              </w:rPr>
            </w:pPr>
            <w:r w:rsidRPr="003273B5">
              <w:rPr>
                <w:rFonts w:ascii="Times New Roman" w:hAnsi="Times New Roman" w:cs="Times New Roman"/>
                <w:color w:val="000000"/>
                <w:sz w:val="24"/>
                <w:szCs w:val="24"/>
              </w:rPr>
              <w:t>0.029%</w:t>
            </w:r>
          </w:p>
        </w:tc>
      </w:tr>
      <w:tr w:rsidR="00826159" w:rsidRPr="00996F0B" w14:paraId="336FB945" w14:textId="77777777" w:rsidTr="00943E2E">
        <w:trPr>
          <w:trHeight w:val="259"/>
        </w:trPr>
        <w:tc>
          <w:tcPr>
            <w:tcW w:w="1294" w:type="dxa"/>
            <w:vMerge/>
            <w:tcBorders>
              <w:top w:val="nil"/>
              <w:left w:val="nil"/>
              <w:bottom w:val="single" w:sz="4" w:space="0" w:color="auto"/>
              <w:right w:val="nil"/>
            </w:tcBorders>
            <w:vAlign w:val="center"/>
          </w:tcPr>
          <w:p w14:paraId="40D82344"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nil"/>
              <w:right w:val="nil"/>
            </w:tcBorders>
            <w:vAlign w:val="center"/>
          </w:tcPr>
          <w:p w14:paraId="3ECDBAE0" w14:textId="77777777" w:rsidR="00826159" w:rsidRPr="00BE5AB5" w:rsidRDefault="00826159" w:rsidP="00943E2E">
            <w:pPr>
              <w:jc w:val="both"/>
              <w:rPr>
                <w:rFonts w:ascii="Times New Roman" w:hAnsi="Times New Roman" w:cs="Times New Roman"/>
                <w:color w:val="000000"/>
                <w:sz w:val="24"/>
                <w:szCs w:val="24"/>
              </w:rPr>
            </w:pPr>
            <w:r w:rsidRPr="00A53BCD">
              <w:rPr>
                <w:rFonts w:ascii="Times New Roman" w:hAnsi="Times New Roman" w:cs="Times New Roman"/>
                <w:color w:val="000000"/>
                <w:sz w:val="24"/>
                <w:szCs w:val="24"/>
              </w:rPr>
              <w:t>Downgrade</w:t>
            </w:r>
          </w:p>
        </w:tc>
        <w:tc>
          <w:tcPr>
            <w:tcW w:w="2340" w:type="dxa"/>
            <w:tcBorders>
              <w:top w:val="single" w:sz="4" w:space="0" w:color="auto"/>
              <w:left w:val="nil"/>
              <w:bottom w:val="nil"/>
              <w:right w:val="nil"/>
            </w:tcBorders>
            <w:vAlign w:val="center"/>
          </w:tcPr>
          <w:p w14:paraId="7586EEAD"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34.017%</w:t>
            </w:r>
          </w:p>
        </w:tc>
        <w:tc>
          <w:tcPr>
            <w:tcW w:w="2648" w:type="dxa"/>
            <w:tcBorders>
              <w:top w:val="single" w:sz="4" w:space="0" w:color="auto"/>
              <w:left w:val="nil"/>
              <w:bottom w:val="nil"/>
              <w:right w:val="nil"/>
            </w:tcBorders>
            <w:vAlign w:val="center"/>
          </w:tcPr>
          <w:p w14:paraId="547F51BE"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0.058%</w:t>
            </w:r>
          </w:p>
        </w:tc>
      </w:tr>
      <w:tr w:rsidR="00826159" w:rsidRPr="00996F0B" w14:paraId="2EC5E0D7" w14:textId="77777777" w:rsidTr="00943E2E">
        <w:trPr>
          <w:trHeight w:val="259"/>
        </w:trPr>
        <w:tc>
          <w:tcPr>
            <w:tcW w:w="1294" w:type="dxa"/>
            <w:vMerge/>
            <w:tcBorders>
              <w:top w:val="nil"/>
              <w:left w:val="nil"/>
              <w:bottom w:val="single" w:sz="4" w:space="0" w:color="auto"/>
              <w:right w:val="nil"/>
            </w:tcBorders>
            <w:vAlign w:val="center"/>
          </w:tcPr>
          <w:p w14:paraId="60235E56"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nil"/>
              <w:left w:val="nil"/>
              <w:bottom w:val="nil"/>
              <w:right w:val="nil"/>
            </w:tcBorders>
            <w:vAlign w:val="center"/>
          </w:tcPr>
          <w:p w14:paraId="47E6F404" w14:textId="77777777" w:rsidR="00826159" w:rsidRPr="00F56A44" w:rsidRDefault="00826159" w:rsidP="00943E2E">
            <w:pPr>
              <w:jc w:val="both"/>
              <w:rPr>
                <w:rFonts w:ascii="Times New Roman" w:hAnsi="Times New Roman" w:cs="Times New Roman"/>
                <w:sz w:val="24"/>
                <w:szCs w:val="24"/>
              </w:rPr>
            </w:pPr>
            <w:r w:rsidRPr="00BE5AB5">
              <w:rPr>
                <w:rFonts w:ascii="Times New Roman" w:hAnsi="Times New Roman" w:cs="Times New Roman"/>
                <w:color w:val="000000"/>
                <w:sz w:val="24"/>
                <w:szCs w:val="24"/>
              </w:rPr>
              <w:t xml:space="preserve">Neutral </w:t>
            </w:r>
            <w:r w:rsidRPr="003F52A5">
              <w:rPr>
                <w:rFonts w:ascii="Times New Roman" w:hAnsi="Times New Roman" w:cs="Times New Roman"/>
                <w:color w:val="000000"/>
                <w:sz w:val="24"/>
                <w:szCs w:val="24"/>
              </w:rPr>
              <w:sym w:font="Wingdings" w:char="F0E0"/>
            </w:r>
            <w:r w:rsidRPr="00BE5AB5">
              <w:rPr>
                <w:rFonts w:ascii="Times New Roman" w:hAnsi="Times New Roman" w:cs="Times New Roman"/>
                <w:color w:val="000000"/>
                <w:sz w:val="24"/>
                <w:szCs w:val="24"/>
              </w:rPr>
              <w:t xml:space="preserve"> Downgrade</w:t>
            </w:r>
          </w:p>
        </w:tc>
        <w:tc>
          <w:tcPr>
            <w:tcW w:w="2340" w:type="dxa"/>
            <w:tcBorders>
              <w:top w:val="nil"/>
              <w:left w:val="nil"/>
              <w:bottom w:val="nil"/>
              <w:right w:val="nil"/>
            </w:tcBorders>
            <w:vAlign w:val="center"/>
          </w:tcPr>
          <w:p w14:paraId="022C1114"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2.335%</w:t>
            </w:r>
          </w:p>
        </w:tc>
        <w:tc>
          <w:tcPr>
            <w:tcW w:w="2648" w:type="dxa"/>
            <w:tcBorders>
              <w:top w:val="nil"/>
              <w:left w:val="nil"/>
              <w:bottom w:val="nil"/>
              <w:right w:val="nil"/>
            </w:tcBorders>
            <w:vAlign w:val="center"/>
          </w:tcPr>
          <w:p w14:paraId="6F97D4A6"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0.005%</w:t>
            </w:r>
          </w:p>
        </w:tc>
      </w:tr>
      <w:tr w:rsidR="00826159" w:rsidRPr="00996F0B" w14:paraId="6EAC4897" w14:textId="77777777" w:rsidTr="00943E2E">
        <w:trPr>
          <w:trHeight w:val="259"/>
        </w:trPr>
        <w:tc>
          <w:tcPr>
            <w:tcW w:w="1294" w:type="dxa"/>
            <w:vMerge/>
            <w:tcBorders>
              <w:top w:val="nil"/>
              <w:left w:val="nil"/>
              <w:bottom w:val="single" w:sz="4" w:space="0" w:color="auto"/>
              <w:right w:val="nil"/>
            </w:tcBorders>
            <w:vAlign w:val="center"/>
          </w:tcPr>
          <w:p w14:paraId="784F5E4F"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nil"/>
              <w:left w:val="nil"/>
              <w:bottom w:val="single" w:sz="4" w:space="0" w:color="auto"/>
              <w:right w:val="nil"/>
            </w:tcBorders>
            <w:vAlign w:val="center"/>
          </w:tcPr>
          <w:p w14:paraId="17E20479" w14:textId="77777777" w:rsidR="00826159" w:rsidRPr="00A53BCD" w:rsidRDefault="00826159" w:rsidP="00943E2E">
            <w:pPr>
              <w:jc w:val="both"/>
              <w:rPr>
                <w:rFonts w:ascii="Times New Roman" w:hAnsi="Times New Roman" w:cs="Times New Roman"/>
                <w:color w:val="000000"/>
                <w:sz w:val="24"/>
                <w:szCs w:val="24"/>
              </w:rPr>
            </w:pPr>
            <w:r w:rsidRPr="00A53BCD">
              <w:rPr>
                <w:rFonts w:ascii="Times New Roman" w:hAnsi="Times New Roman" w:cs="Times New Roman"/>
                <w:color w:val="000000"/>
                <w:sz w:val="24"/>
                <w:szCs w:val="24"/>
              </w:rPr>
              <w:t xml:space="preserve">Upgrade </w:t>
            </w:r>
            <w:r w:rsidRPr="008E64B8">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w:t>
            </w:r>
            <w:r w:rsidRPr="00A53BCD">
              <w:rPr>
                <w:rFonts w:ascii="Times New Roman" w:hAnsi="Times New Roman" w:cs="Times New Roman"/>
                <w:color w:val="000000"/>
                <w:sz w:val="24"/>
                <w:szCs w:val="24"/>
              </w:rPr>
              <w:t>Downgrade</w:t>
            </w:r>
          </w:p>
        </w:tc>
        <w:tc>
          <w:tcPr>
            <w:tcW w:w="2340" w:type="dxa"/>
            <w:tcBorders>
              <w:top w:val="nil"/>
              <w:left w:val="nil"/>
              <w:bottom w:val="single" w:sz="4" w:space="0" w:color="auto"/>
              <w:right w:val="nil"/>
            </w:tcBorders>
            <w:vAlign w:val="center"/>
          </w:tcPr>
          <w:p w14:paraId="54D24E87"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1.654%</w:t>
            </w:r>
          </w:p>
        </w:tc>
        <w:tc>
          <w:tcPr>
            <w:tcW w:w="2648" w:type="dxa"/>
            <w:tcBorders>
              <w:top w:val="nil"/>
              <w:left w:val="nil"/>
              <w:bottom w:val="single" w:sz="4" w:space="0" w:color="auto"/>
              <w:right w:val="nil"/>
            </w:tcBorders>
            <w:vAlign w:val="center"/>
          </w:tcPr>
          <w:p w14:paraId="231B7034"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0.004%</w:t>
            </w:r>
          </w:p>
        </w:tc>
      </w:tr>
      <w:tr w:rsidR="00826159" w:rsidRPr="00996F0B" w14:paraId="22836349" w14:textId="77777777" w:rsidTr="00943E2E">
        <w:trPr>
          <w:trHeight w:val="259"/>
        </w:trPr>
        <w:tc>
          <w:tcPr>
            <w:tcW w:w="1294" w:type="dxa"/>
            <w:vMerge/>
            <w:tcBorders>
              <w:top w:val="nil"/>
              <w:left w:val="nil"/>
              <w:bottom w:val="single" w:sz="4" w:space="0" w:color="auto"/>
              <w:right w:val="nil"/>
            </w:tcBorders>
            <w:vAlign w:val="center"/>
          </w:tcPr>
          <w:p w14:paraId="6269B08E"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single" w:sz="4" w:space="0" w:color="auto"/>
              <w:right w:val="nil"/>
            </w:tcBorders>
            <w:vAlign w:val="center"/>
          </w:tcPr>
          <w:p w14:paraId="0BA7206A" w14:textId="77777777" w:rsidR="00826159" w:rsidRPr="00F56A44" w:rsidRDefault="00826159" w:rsidP="00943E2E">
            <w:pPr>
              <w:jc w:val="both"/>
              <w:rPr>
                <w:rFonts w:ascii="Times New Roman" w:hAnsi="Times New Roman" w:cs="Times New Roman"/>
                <w:sz w:val="24"/>
                <w:szCs w:val="24"/>
              </w:rPr>
            </w:pPr>
            <w:r w:rsidRPr="004F0763">
              <w:rPr>
                <w:rFonts w:ascii="Times New Roman" w:hAnsi="Times New Roman" w:cs="Times New Roman"/>
                <w:b/>
                <w:bCs/>
                <w:color w:val="000000"/>
                <w:sz w:val="24"/>
                <w:szCs w:val="24"/>
              </w:rPr>
              <w:t>Average</w:t>
            </w:r>
          </w:p>
        </w:tc>
        <w:tc>
          <w:tcPr>
            <w:tcW w:w="2340" w:type="dxa"/>
            <w:tcBorders>
              <w:top w:val="single" w:sz="4" w:space="0" w:color="auto"/>
              <w:left w:val="nil"/>
              <w:bottom w:val="single" w:sz="4" w:space="0" w:color="auto"/>
              <w:right w:val="nil"/>
            </w:tcBorders>
            <w:vAlign w:val="center"/>
          </w:tcPr>
          <w:p w14:paraId="25933A68" w14:textId="77777777" w:rsidR="00826159" w:rsidRPr="005B01A1" w:rsidRDefault="00826159" w:rsidP="00943E2E">
            <w:pPr>
              <w:jc w:val="center"/>
              <w:rPr>
                <w:rFonts w:ascii="Times New Roman" w:hAnsi="Times New Roman" w:cs="Times New Roman"/>
                <w:color w:val="000000"/>
                <w:sz w:val="24"/>
                <w:szCs w:val="24"/>
              </w:rPr>
            </w:pPr>
            <w:r w:rsidRPr="003273B5">
              <w:rPr>
                <w:rFonts w:ascii="Times New Roman" w:hAnsi="Times New Roman" w:cs="Times New Roman"/>
                <w:color w:val="000000"/>
                <w:sz w:val="24"/>
                <w:szCs w:val="24"/>
              </w:rPr>
              <w:t>12.669%</w:t>
            </w:r>
          </w:p>
        </w:tc>
        <w:tc>
          <w:tcPr>
            <w:tcW w:w="2648" w:type="dxa"/>
            <w:tcBorders>
              <w:top w:val="single" w:sz="4" w:space="0" w:color="auto"/>
              <w:left w:val="nil"/>
              <w:bottom w:val="single" w:sz="4" w:space="0" w:color="auto"/>
              <w:right w:val="nil"/>
            </w:tcBorders>
            <w:vAlign w:val="center"/>
          </w:tcPr>
          <w:p w14:paraId="1C346E97" w14:textId="77777777" w:rsidR="00826159" w:rsidRPr="005B01A1" w:rsidRDefault="00826159" w:rsidP="00943E2E">
            <w:pPr>
              <w:jc w:val="center"/>
              <w:rPr>
                <w:rFonts w:ascii="Times New Roman" w:hAnsi="Times New Roman" w:cs="Times New Roman"/>
                <w:color w:val="000000"/>
                <w:sz w:val="24"/>
                <w:szCs w:val="24"/>
              </w:rPr>
            </w:pPr>
            <w:r w:rsidRPr="003273B5">
              <w:rPr>
                <w:rFonts w:ascii="Times New Roman" w:hAnsi="Times New Roman" w:cs="Times New Roman"/>
                <w:color w:val="000000"/>
                <w:sz w:val="24"/>
                <w:szCs w:val="24"/>
              </w:rPr>
              <w:t>0.022%</w:t>
            </w:r>
          </w:p>
        </w:tc>
      </w:tr>
      <w:tr w:rsidR="00826159" w:rsidRPr="00996F0B" w14:paraId="034C196A" w14:textId="77777777" w:rsidTr="00943E2E">
        <w:trPr>
          <w:trHeight w:val="20"/>
        </w:trPr>
        <w:tc>
          <w:tcPr>
            <w:tcW w:w="1294" w:type="dxa"/>
            <w:vMerge w:val="restart"/>
            <w:tcBorders>
              <w:top w:val="nil"/>
              <w:left w:val="nil"/>
              <w:bottom w:val="single" w:sz="4" w:space="0" w:color="auto"/>
              <w:right w:val="nil"/>
            </w:tcBorders>
            <w:vAlign w:val="center"/>
          </w:tcPr>
          <w:p w14:paraId="2584A57D" w14:textId="77777777" w:rsidR="00826159" w:rsidRPr="00996F0B" w:rsidRDefault="00826159" w:rsidP="00943E2E">
            <w:pPr>
              <w:contextualSpacing/>
              <w:jc w:val="both"/>
              <w:rPr>
                <w:rFonts w:ascii="Times New Roman" w:hAnsi="Times New Roman" w:cs="Times New Roman"/>
                <w:sz w:val="24"/>
                <w:szCs w:val="24"/>
              </w:rPr>
            </w:pPr>
            <w:r w:rsidRPr="00A53BCD">
              <w:rPr>
                <w:rFonts w:ascii="Times New Roman" w:hAnsi="Times New Roman" w:cs="Times New Roman"/>
                <w:sz w:val="24"/>
                <w:szCs w:val="24"/>
              </w:rPr>
              <w:t>Negative</w:t>
            </w:r>
          </w:p>
        </w:tc>
        <w:tc>
          <w:tcPr>
            <w:tcW w:w="2538" w:type="dxa"/>
            <w:tcBorders>
              <w:top w:val="single" w:sz="4" w:space="0" w:color="auto"/>
              <w:left w:val="nil"/>
              <w:bottom w:val="nil"/>
              <w:right w:val="nil"/>
            </w:tcBorders>
            <w:vAlign w:val="center"/>
          </w:tcPr>
          <w:p w14:paraId="6CCD6833" w14:textId="77777777" w:rsidR="00826159" w:rsidRPr="004F0763" w:rsidRDefault="00826159" w:rsidP="00943E2E">
            <w:pPr>
              <w:jc w:val="both"/>
              <w:rPr>
                <w:rFonts w:ascii="Times New Roman" w:hAnsi="Times New Roman" w:cs="Times New Roman"/>
                <w:b/>
                <w:bCs/>
                <w:color w:val="000000"/>
                <w:sz w:val="24"/>
                <w:szCs w:val="24"/>
              </w:rPr>
            </w:pPr>
            <w:r w:rsidRPr="00A53BCD">
              <w:rPr>
                <w:rFonts w:ascii="Times New Roman" w:hAnsi="Times New Roman" w:cs="Times New Roman"/>
                <w:color w:val="000000"/>
                <w:sz w:val="24"/>
                <w:szCs w:val="24"/>
              </w:rPr>
              <w:t>Upgrade</w:t>
            </w:r>
          </w:p>
        </w:tc>
        <w:tc>
          <w:tcPr>
            <w:tcW w:w="2340" w:type="dxa"/>
            <w:tcBorders>
              <w:top w:val="single" w:sz="4" w:space="0" w:color="auto"/>
              <w:left w:val="nil"/>
              <w:bottom w:val="nil"/>
              <w:right w:val="nil"/>
            </w:tcBorders>
            <w:vAlign w:val="center"/>
          </w:tcPr>
          <w:p w14:paraId="1F236AC9" w14:textId="77777777" w:rsidR="00826159" w:rsidRPr="003273B5"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35.995%</w:t>
            </w:r>
          </w:p>
        </w:tc>
        <w:tc>
          <w:tcPr>
            <w:tcW w:w="2648" w:type="dxa"/>
            <w:tcBorders>
              <w:top w:val="single" w:sz="4" w:space="0" w:color="auto"/>
              <w:left w:val="nil"/>
              <w:bottom w:val="nil"/>
              <w:right w:val="nil"/>
            </w:tcBorders>
            <w:vAlign w:val="center"/>
          </w:tcPr>
          <w:p w14:paraId="2CC4570B" w14:textId="77777777" w:rsidR="00826159" w:rsidRPr="003273B5"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0.004%</w:t>
            </w:r>
          </w:p>
        </w:tc>
      </w:tr>
      <w:tr w:rsidR="00826159" w:rsidRPr="00996F0B" w14:paraId="40D3FA55" w14:textId="77777777" w:rsidTr="00943E2E">
        <w:trPr>
          <w:trHeight w:val="259"/>
        </w:trPr>
        <w:tc>
          <w:tcPr>
            <w:tcW w:w="1294" w:type="dxa"/>
            <w:vMerge/>
            <w:tcBorders>
              <w:top w:val="nil"/>
              <w:left w:val="nil"/>
              <w:bottom w:val="single" w:sz="4" w:space="0" w:color="auto"/>
              <w:right w:val="nil"/>
            </w:tcBorders>
            <w:vAlign w:val="center"/>
          </w:tcPr>
          <w:p w14:paraId="1977B7E0"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nil"/>
              <w:right w:val="nil"/>
            </w:tcBorders>
            <w:vAlign w:val="center"/>
          </w:tcPr>
          <w:p w14:paraId="20D5C0FB" w14:textId="77777777" w:rsidR="00826159" w:rsidRPr="00A53BCD" w:rsidRDefault="00826159" w:rsidP="00943E2E">
            <w:pPr>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Neutral </w:t>
            </w:r>
            <w:r w:rsidRPr="008E64B8">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Upgrade</w:t>
            </w:r>
          </w:p>
        </w:tc>
        <w:tc>
          <w:tcPr>
            <w:tcW w:w="2340" w:type="dxa"/>
            <w:tcBorders>
              <w:top w:val="nil"/>
              <w:left w:val="nil"/>
              <w:bottom w:val="nil"/>
              <w:right w:val="nil"/>
            </w:tcBorders>
            <w:vAlign w:val="center"/>
          </w:tcPr>
          <w:p w14:paraId="435914EE"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11.392%</w:t>
            </w:r>
          </w:p>
        </w:tc>
        <w:tc>
          <w:tcPr>
            <w:tcW w:w="2648" w:type="dxa"/>
            <w:tcBorders>
              <w:top w:val="nil"/>
              <w:left w:val="nil"/>
              <w:bottom w:val="nil"/>
              <w:right w:val="nil"/>
            </w:tcBorders>
            <w:vAlign w:val="center"/>
          </w:tcPr>
          <w:p w14:paraId="4B84CDB2"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0.002%</w:t>
            </w:r>
          </w:p>
        </w:tc>
      </w:tr>
      <w:tr w:rsidR="00826159" w:rsidRPr="00996F0B" w14:paraId="78603308" w14:textId="77777777" w:rsidTr="00943E2E">
        <w:trPr>
          <w:trHeight w:val="259"/>
        </w:trPr>
        <w:tc>
          <w:tcPr>
            <w:tcW w:w="1294" w:type="dxa"/>
            <w:vMerge/>
            <w:tcBorders>
              <w:top w:val="nil"/>
              <w:left w:val="nil"/>
              <w:bottom w:val="single" w:sz="4" w:space="0" w:color="auto"/>
              <w:right w:val="nil"/>
            </w:tcBorders>
            <w:vAlign w:val="center"/>
          </w:tcPr>
          <w:p w14:paraId="1F377276"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single" w:sz="4" w:space="0" w:color="auto"/>
              <w:right w:val="nil"/>
            </w:tcBorders>
            <w:vAlign w:val="center"/>
          </w:tcPr>
          <w:p w14:paraId="2D2EDBB4" w14:textId="77777777" w:rsidR="00826159" w:rsidRPr="00A53BCD" w:rsidRDefault="00826159" w:rsidP="00943E2E">
            <w:pPr>
              <w:contextualSpacing/>
              <w:jc w:val="both"/>
              <w:rPr>
                <w:rFonts w:ascii="Times New Roman" w:hAnsi="Times New Roman" w:cs="Times New Roman"/>
                <w:sz w:val="24"/>
                <w:szCs w:val="24"/>
              </w:rPr>
            </w:pPr>
            <w:r w:rsidRPr="00A53BCD">
              <w:rPr>
                <w:rFonts w:ascii="Times New Roman" w:hAnsi="Times New Roman" w:cs="Times New Roman"/>
                <w:color w:val="000000"/>
                <w:sz w:val="24"/>
                <w:szCs w:val="24"/>
              </w:rPr>
              <w:t>Downgrade</w:t>
            </w:r>
            <w:r>
              <w:rPr>
                <w:rFonts w:ascii="Times New Roman" w:hAnsi="Times New Roman" w:cs="Times New Roman"/>
                <w:color w:val="000000"/>
                <w:sz w:val="24"/>
                <w:szCs w:val="24"/>
              </w:rPr>
              <w:t xml:space="preserve"> </w:t>
            </w:r>
            <w:r w:rsidRPr="00F56A44">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w:t>
            </w:r>
            <w:r w:rsidRPr="00A53BCD">
              <w:rPr>
                <w:rFonts w:ascii="Times New Roman" w:hAnsi="Times New Roman" w:cs="Times New Roman"/>
                <w:color w:val="000000"/>
                <w:sz w:val="24"/>
                <w:szCs w:val="24"/>
              </w:rPr>
              <w:t>Upgrade</w:t>
            </w:r>
          </w:p>
        </w:tc>
        <w:tc>
          <w:tcPr>
            <w:tcW w:w="2340" w:type="dxa"/>
            <w:tcBorders>
              <w:top w:val="nil"/>
              <w:left w:val="nil"/>
              <w:bottom w:val="single" w:sz="4" w:space="0" w:color="auto"/>
              <w:right w:val="nil"/>
            </w:tcBorders>
            <w:vAlign w:val="center"/>
          </w:tcPr>
          <w:p w14:paraId="79AF6320"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12.449%</w:t>
            </w:r>
          </w:p>
        </w:tc>
        <w:tc>
          <w:tcPr>
            <w:tcW w:w="2648" w:type="dxa"/>
            <w:tcBorders>
              <w:top w:val="nil"/>
              <w:left w:val="nil"/>
              <w:bottom w:val="single" w:sz="4" w:space="0" w:color="auto"/>
              <w:right w:val="nil"/>
            </w:tcBorders>
            <w:vAlign w:val="center"/>
          </w:tcPr>
          <w:p w14:paraId="587AC18D"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0.004%</w:t>
            </w:r>
          </w:p>
        </w:tc>
      </w:tr>
      <w:tr w:rsidR="00826159" w:rsidRPr="00996F0B" w14:paraId="2144B29E" w14:textId="77777777" w:rsidTr="00943E2E">
        <w:trPr>
          <w:trHeight w:val="259"/>
        </w:trPr>
        <w:tc>
          <w:tcPr>
            <w:tcW w:w="1294" w:type="dxa"/>
            <w:vMerge/>
            <w:tcBorders>
              <w:top w:val="nil"/>
              <w:left w:val="nil"/>
              <w:bottom w:val="single" w:sz="4" w:space="0" w:color="auto"/>
              <w:right w:val="nil"/>
            </w:tcBorders>
            <w:vAlign w:val="center"/>
          </w:tcPr>
          <w:p w14:paraId="1D92C0EE"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single" w:sz="4" w:space="0" w:color="auto"/>
              <w:right w:val="nil"/>
            </w:tcBorders>
            <w:vAlign w:val="center"/>
          </w:tcPr>
          <w:p w14:paraId="22002A3A" w14:textId="77777777" w:rsidR="00826159" w:rsidRPr="00A53BCD" w:rsidRDefault="00826159" w:rsidP="00943E2E">
            <w:pPr>
              <w:contextualSpacing/>
              <w:jc w:val="both"/>
              <w:rPr>
                <w:rFonts w:ascii="Times New Roman" w:hAnsi="Times New Roman" w:cs="Times New Roman"/>
                <w:color w:val="000000"/>
                <w:sz w:val="24"/>
                <w:szCs w:val="24"/>
              </w:rPr>
            </w:pPr>
            <w:r w:rsidRPr="004F0763">
              <w:rPr>
                <w:rFonts w:ascii="Times New Roman" w:hAnsi="Times New Roman" w:cs="Times New Roman"/>
                <w:b/>
                <w:bCs/>
                <w:color w:val="000000"/>
                <w:sz w:val="24"/>
                <w:szCs w:val="24"/>
              </w:rPr>
              <w:t>Average</w:t>
            </w:r>
          </w:p>
        </w:tc>
        <w:tc>
          <w:tcPr>
            <w:tcW w:w="2340" w:type="dxa"/>
            <w:tcBorders>
              <w:top w:val="single" w:sz="4" w:space="0" w:color="auto"/>
              <w:left w:val="nil"/>
              <w:bottom w:val="single" w:sz="4" w:space="0" w:color="auto"/>
              <w:right w:val="nil"/>
            </w:tcBorders>
            <w:vAlign w:val="center"/>
          </w:tcPr>
          <w:p w14:paraId="7B60BCA6" w14:textId="77777777" w:rsidR="00826159" w:rsidRPr="005B01A1" w:rsidRDefault="00826159" w:rsidP="00943E2E">
            <w:pPr>
              <w:jc w:val="center"/>
              <w:rPr>
                <w:rFonts w:ascii="Times New Roman" w:hAnsi="Times New Roman" w:cs="Times New Roman"/>
                <w:color w:val="000000"/>
                <w:sz w:val="24"/>
                <w:szCs w:val="24"/>
              </w:rPr>
            </w:pPr>
            <w:r w:rsidRPr="003273B5">
              <w:rPr>
                <w:rFonts w:ascii="Times New Roman" w:hAnsi="Times New Roman" w:cs="Times New Roman"/>
                <w:color w:val="000000"/>
                <w:sz w:val="24"/>
                <w:szCs w:val="24"/>
              </w:rPr>
              <w:t>19.945%</w:t>
            </w:r>
          </w:p>
        </w:tc>
        <w:tc>
          <w:tcPr>
            <w:tcW w:w="2648" w:type="dxa"/>
            <w:tcBorders>
              <w:top w:val="single" w:sz="4" w:space="0" w:color="auto"/>
              <w:left w:val="nil"/>
              <w:bottom w:val="single" w:sz="4" w:space="0" w:color="auto"/>
              <w:right w:val="nil"/>
            </w:tcBorders>
            <w:vAlign w:val="center"/>
          </w:tcPr>
          <w:p w14:paraId="49321461" w14:textId="77777777" w:rsidR="00826159" w:rsidRPr="005B01A1" w:rsidRDefault="00826159" w:rsidP="00943E2E">
            <w:pPr>
              <w:jc w:val="center"/>
              <w:rPr>
                <w:rFonts w:ascii="Times New Roman" w:hAnsi="Times New Roman" w:cs="Times New Roman"/>
                <w:color w:val="000000"/>
                <w:sz w:val="24"/>
                <w:szCs w:val="24"/>
              </w:rPr>
            </w:pPr>
            <w:r w:rsidRPr="003273B5">
              <w:rPr>
                <w:rFonts w:ascii="Times New Roman" w:hAnsi="Times New Roman" w:cs="Times New Roman"/>
                <w:color w:val="000000"/>
                <w:sz w:val="24"/>
                <w:szCs w:val="24"/>
              </w:rPr>
              <w:t>0.003%</w:t>
            </w:r>
          </w:p>
        </w:tc>
      </w:tr>
      <w:tr w:rsidR="00826159" w:rsidRPr="00996F0B" w14:paraId="45B9921D" w14:textId="77777777" w:rsidTr="00943E2E">
        <w:trPr>
          <w:trHeight w:val="273"/>
        </w:trPr>
        <w:tc>
          <w:tcPr>
            <w:tcW w:w="1294" w:type="dxa"/>
            <w:vMerge/>
            <w:tcBorders>
              <w:top w:val="nil"/>
              <w:left w:val="nil"/>
              <w:bottom w:val="single" w:sz="4" w:space="0" w:color="auto"/>
              <w:right w:val="nil"/>
            </w:tcBorders>
            <w:vAlign w:val="center"/>
          </w:tcPr>
          <w:p w14:paraId="63852805"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nil"/>
              <w:right w:val="nil"/>
            </w:tcBorders>
            <w:vAlign w:val="center"/>
          </w:tcPr>
          <w:p w14:paraId="065D32BE" w14:textId="77777777" w:rsidR="00826159" w:rsidRPr="00A53BCD" w:rsidRDefault="00826159" w:rsidP="00943E2E">
            <w:pPr>
              <w:contextualSpacing/>
              <w:jc w:val="both"/>
              <w:rPr>
                <w:rFonts w:ascii="Times New Roman" w:hAnsi="Times New Roman" w:cs="Times New Roman"/>
                <w:sz w:val="24"/>
                <w:szCs w:val="24"/>
              </w:rPr>
            </w:pPr>
            <w:r>
              <w:rPr>
                <w:rFonts w:ascii="Times New Roman" w:hAnsi="Times New Roman" w:cs="Times New Roman"/>
                <w:color w:val="000000"/>
                <w:sz w:val="24"/>
                <w:szCs w:val="24"/>
              </w:rPr>
              <w:t>Neutral</w:t>
            </w:r>
          </w:p>
        </w:tc>
        <w:tc>
          <w:tcPr>
            <w:tcW w:w="2340" w:type="dxa"/>
            <w:tcBorders>
              <w:top w:val="single" w:sz="4" w:space="0" w:color="auto"/>
              <w:left w:val="nil"/>
              <w:bottom w:val="nil"/>
              <w:right w:val="nil"/>
            </w:tcBorders>
            <w:vAlign w:val="center"/>
          </w:tcPr>
          <w:p w14:paraId="40705E38"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28.330%</w:t>
            </w:r>
          </w:p>
        </w:tc>
        <w:tc>
          <w:tcPr>
            <w:tcW w:w="2648" w:type="dxa"/>
            <w:tcBorders>
              <w:top w:val="single" w:sz="4" w:space="0" w:color="auto"/>
              <w:left w:val="nil"/>
              <w:bottom w:val="nil"/>
              <w:right w:val="nil"/>
            </w:tcBorders>
            <w:vAlign w:val="center"/>
          </w:tcPr>
          <w:p w14:paraId="31DB50DA"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0.007%</w:t>
            </w:r>
          </w:p>
        </w:tc>
      </w:tr>
      <w:tr w:rsidR="00826159" w:rsidRPr="00996F0B" w14:paraId="1DB42CEB" w14:textId="77777777" w:rsidTr="00943E2E">
        <w:trPr>
          <w:trHeight w:val="273"/>
        </w:trPr>
        <w:tc>
          <w:tcPr>
            <w:tcW w:w="1294" w:type="dxa"/>
            <w:vMerge/>
            <w:tcBorders>
              <w:top w:val="nil"/>
              <w:left w:val="nil"/>
              <w:bottom w:val="single" w:sz="4" w:space="0" w:color="auto"/>
              <w:right w:val="nil"/>
            </w:tcBorders>
            <w:vAlign w:val="center"/>
          </w:tcPr>
          <w:p w14:paraId="7B2730FB"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nil"/>
              <w:right w:val="nil"/>
            </w:tcBorders>
            <w:vAlign w:val="center"/>
          </w:tcPr>
          <w:p w14:paraId="298F1435" w14:textId="77777777" w:rsidR="00826159" w:rsidRPr="00A53BCD" w:rsidRDefault="00826159" w:rsidP="00943E2E">
            <w:pPr>
              <w:contextualSpacing/>
              <w:jc w:val="both"/>
              <w:rPr>
                <w:rFonts w:ascii="Times New Roman" w:hAnsi="Times New Roman" w:cs="Times New Roman"/>
                <w:sz w:val="24"/>
                <w:szCs w:val="24"/>
              </w:rPr>
            </w:pPr>
            <w:r w:rsidRPr="00BE5AB5">
              <w:rPr>
                <w:rFonts w:ascii="Times New Roman" w:hAnsi="Times New Roman" w:cs="Times New Roman"/>
                <w:color w:val="000000"/>
                <w:sz w:val="24"/>
                <w:szCs w:val="24"/>
              </w:rPr>
              <w:t xml:space="preserve">Downgrade </w:t>
            </w:r>
            <w:r w:rsidRPr="008E64B8">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w:t>
            </w:r>
            <w:r w:rsidRPr="00BE5AB5">
              <w:rPr>
                <w:rFonts w:ascii="Times New Roman" w:hAnsi="Times New Roman" w:cs="Times New Roman"/>
                <w:color w:val="000000"/>
                <w:sz w:val="24"/>
                <w:szCs w:val="24"/>
              </w:rPr>
              <w:t>Neutral</w:t>
            </w:r>
          </w:p>
        </w:tc>
        <w:tc>
          <w:tcPr>
            <w:tcW w:w="2340" w:type="dxa"/>
            <w:tcBorders>
              <w:top w:val="nil"/>
              <w:left w:val="nil"/>
              <w:bottom w:val="nil"/>
              <w:right w:val="nil"/>
            </w:tcBorders>
            <w:vAlign w:val="center"/>
          </w:tcPr>
          <w:p w14:paraId="7106F504"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11.100%</w:t>
            </w:r>
          </w:p>
        </w:tc>
        <w:tc>
          <w:tcPr>
            <w:tcW w:w="2648" w:type="dxa"/>
            <w:tcBorders>
              <w:top w:val="nil"/>
              <w:left w:val="nil"/>
              <w:bottom w:val="nil"/>
              <w:right w:val="nil"/>
            </w:tcBorders>
            <w:vAlign w:val="center"/>
          </w:tcPr>
          <w:p w14:paraId="32F28A66"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0.002%</w:t>
            </w:r>
          </w:p>
        </w:tc>
      </w:tr>
      <w:tr w:rsidR="00826159" w:rsidRPr="00996F0B" w14:paraId="38AA46F3" w14:textId="77777777" w:rsidTr="00943E2E">
        <w:trPr>
          <w:trHeight w:val="273"/>
        </w:trPr>
        <w:tc>
          <w:tcPr>
            <w:tcW w:w="1294" w:type="dxa"/>
            <w:vMerge/>
            <w:tcBorders>
              <w:top w:val="nil"/>
              <w:left w:val="nil"/>
              <w:bottom w:val="single" w:sz="4" w:space="0" w:color="auto"/>
              <w:right w:val="nil"/>
            </w:tcBorders>
            <w:vAlign w:val="center"/>
          </w:tcPr>
          <w:p w14:paraId="242C0040"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single" w:sz="4" w:space="0" w:color="auto"/>
              <w:right w:val="nil"/>
            </w:tcBorders>
            <w:vAlign w:val="center"/>
          </w:tcPr>
          <w:p w14:paraId="471258AA" w14:textId="77777777" w:rsidR="00826159" w:rsidRPr="00A53BCD" w:rsidRDefault="00826159" w:rsidP="00943E2E">
            <w:pPr>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Upgrade </w:t>
            </w:r>
            <w:r w:rsidRPr="003F52A5">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Neutral</w:t>
            </w:r>
          </w:p>
        </w:tc>
        <w:tc>
          <w:tcPr>
            <w:tcW w:w="2340" w:type="dxa"/>
            <w:tcBorders>
              <w:top w:val="nil"/>
              <w:left w:val="nil"/>
              <w:bottom w:val="single" w:sz="4" w:space="0" w:color="auto"/>
              <w:right w:val="nil"/>
            </w:tcBorders>
            <w:vAlign w:val="center"/>
          </w:tcPr>
          <w:p w14:paraId="25E03B31"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11.169%</w:t>
            </w:r>
          </w:p>
        </w:tc>
        <w:tc>
          <w:tcPr>
            <w:tcW w:w="2648" w:type="dxa"/>
            <w:tcBorders>
              <w:top w:val="nil"/>
              <w:left w:val="nil"/>
              <w:bottom w:val="single" w:sz="4" w:space="0" w:color="auto"/>
              <w:right w:val="nil"/>
            </w:tcBorders>
            <w:vAlign w:val="center"/>
          </w:tcPr>
          <w:p w14:paraId="264B7A94"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0.004%</w:t>
            </w:r>
          </w:p>
        </w:tc>
      </w:tr>
      <w:tr w:rsidR="00826159" w:rsidRPr="00996F0B" w14:paraId="43C1A9F2" w14:textId="77777777" w:rsidTr="00943E2E">
        <w:trPr>
          <w:trHeight w:val="273"/>
        </w:trPr>
        <w:tc>
          <w:tcPr>
            <w:tcW w:w="1294" w:type="dxa"/>
            <w:vMerge/>
            <w:tcBorders>
              <w:top w:val="nil"/>
              <w:left w:val="nil"/>
              <w:bottom w:val="single" w:sz="4" w:space="0" w:color="auto"/>
              <w:right w:val="nil"/>
            </w:tcBorders>
            <w:vAlign w:val="center"/>
          </w:tcPr>
          <w:p w14:paraId="7770A12E"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single" w:sz="4" w:space="0" w:color="auto"/>
              <w:right w:val="nil"/>
            </w:tcBorders>
            <w:vAlign w:val="center"/>
          </w:tcPr>
          <w:p w14:paraId="36E457CC" w14:textId="77777777" w:rsidR="00826159" w:rsidRPr="00BE5AB5" w:rsidRDefault="00826159" w:rsidP="00943E2E">
            <w:pPr>
              <w:contextualSpacing/>
              <w:jc w:val="both"/>
              <w:rPr>
                <w:rFonts w:ascii="Times New Roman" w:hAnsi="Times New Roman" w:cs="Times New Roman"/>
                <w:color w:val="000000"/>
                <w:sz w:val="24"/>
                <w:szCs w:val="24"/>
              </w:rPr>
            </w:pPr>
            <w:r w:rsidRPr="004F0763">
              <w:rPr>
                <w:rFonts w:ascii="Times New Roman" w:hAnsi="Times New Roman" w:cs="Times New Roman"/>
                <w:b/>
                <w:bCs/>
                <w:color w:val="000000"/>
                <w:sz w:val="24"/>
                <w:szCs w:val="24"/>
              </w:rPr>
              <w:t>Average</w:t>
            </w:r>
          </w:p>
        </w:tc>
        <w:tc>
          <w:tcPr>
            <w:tcW w:w="2340" w:type="dxa"/>
            <w:tcBorders>
              <w:top w:val="single" w:sz="4" w:space="0" w:color="auto"/>
              <w:left w:val="nil"/>
              <w:bottom w:val="single" w:sz="4" w:space="0" w:color="auto"/>
              <w:right w:val="nil"/>
            </w:tcBorders>
            <w:vAlign w:val="center"/>
          </w:tcPr>
          <w:p w14:paraId="71091123" w14:textId="77777777" w:rsidR="00826159" w:rsidRPr="005B01A1" w:rsidRDefault="00826159" w:rsidP="00943E2E">
            <w:pPr>
              <w:jc w:val="center"/>
              <w:rPr>
                <w:rFonts w:ascii="Times New Roman" w:hAnsi="Times New Roman" w:cs="Times New Roman"/>
                <w:color w:val="000000"/>
                <w:sz w:val="24"/>
                <w:szCs w:val="24"/>
              </w:rPr>
            </w:pPr>
            <w:r w:rsidRPr="003273B5">
              <w:rPr>
                <w:rFonts w:ascii="Times New Roman" w:hAnsi="Times New Roman" w:cs="Times New Roman"/>
                <w:color w:val="000000"/>
                <w:sz w:val="24"/>
                <w:szCs w:val="24"/>
              </w:rPr>
              <w:t>16.866%</w:t>
            </w:r>
          </w:p>
        </w:tc>
        <w:tc>
          <w:tcPr>
            <w:tcW w:w="2648" w:type="dxa"/>
            <w:tcBorders>
              <w:top w:val="single" w:sz="4" w:space="0" w:color="auto"/>
              <w:left w:val="nil"/>
              <w:bottom w:val="single" w:sz="4" w:space="0" w:color="auto"/>
              <w:right w:val="nil"/>
            </w:tcBorders>
            <w:vAlign w:val="center"/>
          </w:tcPr>
          <w:p w14:paraId="03E3585D" w14:textId="77777777" w:rsidR="00826159" w:rsidRPr="005B01A1" w:rsidRDefault="00826159" w:rsidP="00943E2E">
            <w:pPr>
              <w:jc w:val="center"/>
              <w:rPr>
                <w:rFonts w:ascii="Times New Roman" w:hAnsi="Times New Roman" w:cs="Times New Roman"/>
                <w:color w:val="000000"/>
                <w:sz w:val="24"/>
                <w:szCs w:val="24"/>
              </w:rPr>
            </w:pPr>
            <w:r w:rsidRPr="003273B5">
              <w:rPr>
                <w:rFonts w:ascii="Times New Roman" w:hAnsi="Times New Roman" w:cs="Times New Roman"/>
                <w:color w:val="000000"/>
                <w:sz w:val="24"/>
                <w:szCs w:val="24"/>
              </w:rPr>
              <w:t>0.004%</w:t>
            </w:r>
          </w:p>
        </w:tc>
      </w:tr>
      <w:tr w:rsidR="00826159" w:rsidRPr="00996F0B" w14:paraId="2CB98996" w14:textId="77777777" w:rsidTr="00943E2E">
        <w:trPr>
          <w:trHeight w:val="273"/>
        </w:trPr>
        <w:tc>
          <w:tcPr>
            <w:tcW w:w="1294" w:type="dxa"/>
            <w:vMerge/>
            <w:tcBorders>
              <w:top w:val="nil"/>
              <w:left w:val="nil"/>
              <w:bottom w:val="single" w:sz="4" w:space="0" w:color="auto"/>
              <w:right w:val="nil"/>
            </w:tcBorders>
            <w:vAlign w:val="center"/>
          </w:tcPr>
          <w:p w14:paraId="77A191A9"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nil"/>
              <w:right w:val="nil"/>
            </w:tcBorders>
            <w:vAlign w:val="center"/>
          </w:tcPr>
          <w:p w14:paraId="0C5DFE0E" w14:textId="77777777" w:rsidR="00826159" w:rsidRPr="00F56A44" w:rsidRDefault="00826159" w:rsidP="00943E2E">
            <w:pPr>
              <w:contextualSpacing/>
              <w:jc w:val="both"/>
              <w:rPr>
                <w:rFonts w:ascii="Times New Roman" w:hAnsi="Times New Roman" w:cs="Times New Roman"/>
                <w:sz w:val="24"/>
                <w:szCs w:val="24"/>
              </w:rPr>
            </w:pPr>
            <w:r w:rsidRPr="00A53BCD">
              <w:rPr>
                <w:rFonts w:ascii="Times New Roman" w:hAnsi="Times New Roman" w:cs="Times New Roman"/>
                <w:color w:val="000000"/>
                <w:sz w:val="24"/>
                <w:szCs w:val="24"/>
              </w:rPr>
              <w:t>Downgrade</w:t>
            </w:r>
          </w:p>
        </w:tc>
        <w:tc>
          <w:tcPr>
            <w:tcW w:w="2340" w:type="dxa"/>
            <w:tcBorders>
              <w:top w:val="single" w:sz="4" w:space="0" w:color="auto"/>
              <w:left w:val="nil"/>
              <w:bottom w:val="nil"/>
              <w:right w:val="nil"/>
            </w:tcBorders>
            <w:vAlign w:val="center"/>
          </w:tcPr>
          <w:p w14:paraId="0CE803BB"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35.675%</w:t>
            </w:r>
          </w:p>
        </w:tc>
        <w:tc>
          <w:tcPr>
            <w:tcW w:w="2648" w:type="dxa"/>
            <w:tcBorders>
              <w:top w:val="single" w:sz="4" w:space="0" w:color="auto"/>
              <w:left w:val="nil"/>
              <w:bottom w:val="nil"/>
              <w:right w:val="nil"/>
            </w:tcBorders>
            <w:vAlign w:val="center"/>
          </w:tcPr>
          <w:p w14:paraId="3BE3C997"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0.007%</w:t>
            </w:r>
          </w:p>
        </w:tc>
      </w:tr>
      <w:tr w:rsidR="00826159" w:rsidRPr="00996F0B" w14:paraId="50947B72" w14:textId="77777777" w:rsidTr="00943E2E">
        <w:trPr>
          <w:trHeight w:val="273"/>
        </w:trPr>
        <w:tc>
          <w:tcPr>
            <w:tcW w:w="1294" w:type="dxa"/>
            <w:vMerge/>
            <w:tcBorders>
              <w:top w:val="nil"/>
              <w:left w:val="nil"/>
              <w:bottom w:val="single" w:sz="4" w:space="0" w:color="auto"/>
              <w:right w:val="nil"/>
            </w:tcBorders>
            <w:vAlign w:val="center"/>
          </w:tcPr>
          <w:p w14:paraId="64E01043"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nil"/>
              <w:left w:val="nil"/>
              <w:bottom w:val="nil"/>
              <w:right w:val="nil"/>
            </w:tcBorders>
            <w:vAlign w:val="center"/>
          </w:tcPr>
          <w:p w14:paraId="02DCD334" w14:textId="77777777" w:rsidR="00826159" w:rsidRPr="00F56A44" w:rsidRDefault="00826159" w:rsidP="00943E2E">
            <w:pPr>
              <w:contextualSpacing/>
              <w:jc w:val="both"/>
              <w:rPr>
                <w:rFonts w:ascii="Times New Roman" w:hAnsi="Times New Roman" w:cs="Times New Roman"/>
                <w:sz w:val="24"/>
                <w:szCs w:val="24"/>
              </w:rPr>
            </w:pPr>
            <w:r w:rsidRPr="00BE5AB5">
              <w:rPr>
                <w:rFonts w:ascii="Times New Roman" w:hAnsi="Times New Roman" w:cs="Times New Roman"/>
                <w:color w:val="000000"/>
                <w:sz w:val="24"/>
                <w:szCs w:val="24"/>
              </w:rPr>
              <w:t xml:space="preserve">Neutral </w:t>
            </w:r>
            <w:r w:rsidRPr="003F52A5">
              <w:rPr>
                <w:rFonts w:ascii="Times New Roman" w:hAnsi="Times New Roman" w:cs="Times New Roman"/>
                <w:color w:val="000000"/>
                <w:sz w:val="24"/>
                <w:szCs w:val="24"/>
              </w:rPr>
              <w:sym w:font="Wingdings" w:char="F0E0"/>
            </w:r>
            <w:r w:rsidRPr="00BE5AB5">
              <w:rPr>
                <w:rFonts w:ascii="Times New Roman" w:hAnsi="Times New Roman" w:cs="Times New Roman"/>
                <w:color w:val="000000"/>
                <w:sz w:val="24"/>
                <w:szCs w:val="24"/>
              </w:rPr>
              <w:t xml:space="preserve"> Downgrade</w:t>
            </w:r>
          </w:p>
        </w:tc>
        <w:tc>
          <w:tcPr>
            <w:tcW w:w="2340" w:type="dxa"/>
            <w:tcBorders>
              <w:top w:val="nil"/>
              <w:left w:val="nil"/>
              <w:bottom w:val="nil"/>
              <w:right w:val="nil"/>
            </w:tcBorders>
            <w:vAlign w:val="center"/>
          </w:tcPr>
          <w:p w14:paraId="6C9F24D7"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1.321%</w:t>
            </w:r>
          </w:p>
        </w:tc>
        <w:tc>
          <w:tcPr>
            <w:tcW w:w="2648" w:type="dxa"/>
            <w:tcBorders>
              <w:top w:val="nil"/>
              <w:left w:val="nil"/>
              <w:bottom w:val="nil"/>
              <w:right w:val="nil"/>
            </w:tcBorders>
            <w:vAlign w:val="center"/>
          </w:tcPr>
          <w:p w14:paraId="305539BB"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-0.001%</w:t>
            </w:r>
          </w:p>
        </w:tc>
      </w:tr>
      <w:tr w:rsidR="00826159" w:rsidRPr="00996F0B" w14:paraId="50012BD3" w14:textId="77777777" w:rsidTr="00943E2E">
        <w:trPr>
          <w:trHeight w:val="273"/>
        </w:trPr>
        <w:tc>
          <w:tcPr>
            <w:tcW w:w="1294" w:type="dxa"/>
            <w:vMerge/>
            <w:tcBorders>
              <w:top w:val="nil"/>
              <w:left w:val="nil"/>
              <w:bottom w:val="single" w:sz="4" w:space="0" w:color="auto"/>
              <w:right w:val="nil"/>
            </w:tcBorders>
            <w:vAlign w:val="center"/>
          </w:tcPr>
          <w:p w14:paraId="6B50AD50"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nil"/>
              <w:left w:val="nil"/>
              <w:bottom w:val="single" w:sz="4" w:space="0" w:color="auto"/>
              <w:right w:val="nil"/>
            </w:tcBorders>
            <w:vAlign w:val="center"/>
          </w:tcPr>
          <w:p w14:paraId="1115BB4B" w14:textId="77777777" w:rsidR="00826159" w:rsidRPr="00F56A44" w:rsidRDefault="00826159" w:rsidP="00943E2E">
            <w:pPr>
              <w:contextualSpacing/>
              <w:jc w:val="both"/>
              <w:rPr>
                <w:rFonts w:ascii="Times New Roman" w:hAnsi="Times New Roman" w:cs="Times New Roman"/>
                <w:sz w:val="24"/>
                <w:szCs w:val="24"/>
              </w:rPr>
            </w:pPr>
            <w:r w:rsidRPr="00A53BCD">
              <w:rPr>
                <w:rFonts w:ascii="Times New Roman" w:hAnsi="Times New Roman" w:cs="Times New Roman"/>
                <w:color w:val="000000"/>
                <w:sz w:val="24"/>
                <w:szCs w:val="24"/>
              </w:rPr>
              <w:t xml:space="preserve">Upgrade </w:t>
            </w:r>
            <w:r w:rsidRPr="008E64B8">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w:t>
            </w:r>
            <w:r w:rsidRPr="00A53BCD">
              <w:rPr>
                <w:rFonts w:ascii="Times New Roman" w:hAnsi="Times New Roman" w:cs="Times New Roman"/>
                <w:color w:val="000000"/>
                <w:sz w:val="24"/>
                <w:szCs w:val="24"/>
              </w:rPr>
              <w:t>Downgrade</w:t>
            </w:r>
          </w:p>
        </w:tc>
        <w:tc>
          <w:tcPr>
            <w:tcW w:w="2340" w:type="dxa"/>
            <w:tcBorders>
              <w:top w:val="nil"/>
              <w:left w:val="nil"/>
              <w:bottom w:val="single" w:sz="4" w:space="0" w:color="auto"/>
              <w:right w:val="nil"/>
            </w:tcBorders>
            <w:vAlign w:val="center"/>
          </w:tcPr>
          <w:p w14:paraId="09BEEF03"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0.646%</w:t>
            </w:r>
          </w:p>
        </w:tc>
        <w:tc>
          <w:tcPr>
            <w:tcW w:w="2648" w:type="dxa"/>
            <w:tcBorders>
              <w:top w:val="nil"/>
              <w:left w:val="nil"/>
              <w:bottom w:val="single" w:sz="4" w:space="0" w:color="auto"/>
              <w:right w:val="nil"/>
            </w:tcBorders>
            <w:vAlign w:val="center"/>
          </w:tcPr>
          <w:p w14:paraId="7CE3F37E"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0.001%</w:t>
            </w:r>
          </w:p>
        </w:tc>
      </w:tr>
      <w:tr w:rsidR="00826159" w:rsidRPr="00996F0B" w14:paraId="62414243" w14:textId="77777777" w:rsidTr="00943E2E">
        <w:trPr>
          <w:trHeight w:val="273"/>
        </w:trPr>
        <w:tc>
          <w:tcPr>
            <w:tcW w:w="1294" w:type="dxa"/>
            <w:vMerge/>
            <w:tcBorders>
              <w:top w:val="nil"/>
              <w:left w:val="nil"/>
              <w:bottom w:val="single" w:sz="4" w:space="0" w:color="auto"/>
              <w:right w:val="nil"/>
            </w:tcBorders>
            <w:vAlign w:val="center"/>
          </w:tcPr>
          <w:p w14:paraId="57FB0BA7"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single" w:sz="4" w:space="0" w:color="auto"/>
              <w:right w:val="nil"/>
            </w:tcBorders>
            <w:vAlign w:val="center"/>
          </w:tcPr>
          <w:p w14:paraId="54FAE2E1" w14:textId="77777777" w:rsidR="00826159" w:rsidRPr="00F56A44" w:rsidRDefault="00826159" w:rsidP="00943E2E">
            <w:pPr>
              <w:contextualSpacing/>
              <w:jc w:val="both"/>
              <w:rPr>
                <w:rFonts w:ascii="Times New Roman" w:hAnsi="Times New Roman" w:cs="Times New Roman"/>
                <w:sz w:val="24"/>
                <w:szCs w:val="24"/>
              </w:rPr>
            </w:pPr>
            <w:r w:rsidRPr="004D5393">
              <w:rPr>
                <w:rFonts w:ascii="Times New Roman" w:hAnsi="Times New Roman" w:cs="Times New Roman"/>
                <w:b/>
                <w:bCs/>
                <w:color w:val="000000"/>
                <w:sz w:val="24"/>
                <w:szCs w:val="24"/>
              </w:rPr>
              <w:t>Average</w:t>
            </w:r>
          </w:p>
        </w:tc>
        <w:tc>
          <w:tcPr>
            <w:tcW w:w="2340" w:type="dxa"/>
            <w:tcBorders>
              <w:top w:val="single" w:sz="4" w:space="0" w:color="auto"/>
              <w:left w:val="nil"/>
              <w:bottom w:val="single" w:sz="4" w:space="0" w:color="auto"/>
              <w:right w:val="nil"/>
            </w:tcBorders>
            <w:vAlign w:val="center"/>
          </w:tcPr>
          <w:p w14:paraId="37DEAA14" w14:textId="77777777" w:rsidR="00826159" w:rsidRPr="005B01A1" w:rsidRDefault="00826159" w:rsidP="00943E2E">
            <w:pPr>
              <w:jc w:val="center"/>
              <w:rPr>
                <w:rFonts w:ascii="Times New Roman" w:hAnsi="Times New Roman" w:cs="Times New Roman"/>
                <w:color w:val="000000"/>
                <w:sz w:val="24"/>
                <w:szCs w:val="24"/>
              </w:rPr>
            </w:pPr>
            <w:r w:rsidRPr="003273B5">
              <w:rPr>
                <w:rFonts w:ascii="Times New Roman" w:hAnsi="Times New Roman" w:cs="Times New Roman"/>
                <w:color w:val="000000"/>
                <w:sz w:val="24"/>
                <w:szCs w:val="24"/>
              </w:rPr>
              <w:t>12.547%</w:t>
            </w:r>
          </w:p>
        </w:tc>
        <w:tc>
          <w:tcPr>
            <w:tcW w:w="2648" w:type="dxa"/>
            <w:tcBorders>
              <w:top w:val="single" w:sz="4" w:space="0" w:color="auto"/>
              <w:left w:val="nil"/>
              <w:bottom w:val="single" w:sz="4" w:space="0" w:color="auto"/>
              <w:right w:val="nil"/>
            </w:tcBorders>
            <w:vAlign w:val="center"/>
          </w:tcPr>
          <w:p w14:paraId="742FA105" w14:textId="77777777" w:rsidR="00826159" w:rsidRPr="005B01A1" w:rsidRDefault="00826159" w:rsidP="00943E2E">
            <w:pPr>
              <w:jc w:val="center"/>
              <w:rPr>
                <w:rFonts w:ascii="Times New Roman" w:hAnsi="Times New Roman" w:cs="Times New Roman"/>
                <w:color w:val="000000"/>
                <w:sz w:val="24"/>
                <w:szCs w:val="24"/>
              </w:rPr>
            </w:pPr>
            <w:r w:rsidRPr="003273B5">
              <w:rPr>
                <w:rFonts w:ascii="Times New Roman" w:hAnsi="Times New Roman" w:cs="Times New Roman"/>
                <w:color w:val="000000"/>
                <w:sz w:val="24"/>
                <w:szCs w:val="24"/>
              </w:rPr>
              <w:t>0.002%</w:t>
            </w:r>
          </w:p>
        </w:tc>
      </w:tr>
      <w:tr w:rsidR="00826159" w:rsidRPr="00996F0B" w14:paraId="4D912153" w14:textId="77777777" w:rsidTr="00943E2E">
        <w:trPr>
          <w:trHeight w:val="259"/>
        </w:trPr>
        <w:tc>
          <w:tcPr>
            <w:tcW w:w="8820" w:type="dxa"/>
            <w:gridSpan w:val="4"/>
            <w:tcBorders>
              <w:top w:val="single" w:sz="4" w:space="0" w:color="auto"/>
              <w:left w:val="nil"/>
              <w:bottom w:val="nil"/>
              <w:right w:val="nil"/>
            </w:tcBorders>
            <w:vAlign w:val="center"/>
          </w:tcPr>
          <w:p w14:paraId="058B56E4" w14:textId="77777777" w:rsidR="00826159" w:rsidRPr="00A53BCD" w:rsidRDefault="00826159" w:rsidP="00943E2E">
            <w:pPr>
              <w:jc w:val="both"/>
              <w:rPr>
                <w:rFonts w:ascii="Times New Roman" w:hAnsi="Times New Roman" w:cs="Times New Roman"/>
                <w:sz w:val="24"/>
                <w:szCs w:val="24"/>
              </w:rPr>
            </w:pPr>
            <w:r w:rsidRPr="00A53BCD">
              <w:rPr>
                <w:rFonts w:ascii="Times New Roman" w:hAnsi="Times New Roman" w:cs="Times New Roman"/>
                <w:sz w:val="24"/>
                <w:szCs w:val="24"/>
              </w:rPr>
              <w:lastRenderedPageBreak/>
              <w:t>Panel B. Effects of last quarter’s investor sentiment, analyst recommendation and average stock return (excluding look−ahead bias)</w:t>
            </w:r>
          </w:p>
        </w:tc>
      </w:tr>
      <w:tr w:rsidR="00826159" w:rsidRPr="00996F0B" w14:paraId="3B43F3F3" w14:textId="77777777" w:rsidTr="00943E2E">
        <w:trPr>
          <w:trHeight w:val="478"/>
        </w:trPr>
        <w:tc>
          <w:tcPr>
            <w:tcW w:w="1294" w:type="dxa"/>
            <w:tcBorders>
              <w:top w:val="nil"/>
              <w:left w:val="nil"/>
              <w:bottom w:val="single" w:sz="4" w:space="0" w:color="auto"/>
              <w:right w:val="nil"/>
            </w:tcBorders>
            <w:vAlign w:val="center"/>
          </w:tcPr>
          <w:p w14:paraId="53B84558" w14:textId="77777777" w:rsidR="00826159" w:rsidRPr="00A53BCD" w:rsidRDefault="00D74C0C" w:rsidP="00943E2E">
            <w:pP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sen</m:t>
                  </m:r>
                </m:e>
                <m:sub>
                  <m:r>
                    <w:rPr>
                      <w:rFonts w:ascii="Cambria Math" w:hAnsi="Cambria Math" w:cs="Times New Roman"/>
                      <w:sz w:val="24"/>
                      <w:szCs w:val="24"/>
                    </w:rPr>
                    <m:t>t-1</m:t>
                  </m:r>
                </m:sub>
              </m:sSub>
            </m:oMath>
            <w:r w:rsidR="00826159" w:rsidRPr="00A53BCD">
              <w:rPr>
                <w:rFonts w:ascii="Times New Roman" w:hAnsi="Times New Roman" w:cs="Times New Roman"/>
                <w:sz w:val="24"/>
                <w:szCs w:val="24"/>
              </w:rPr>
              <w:t xml:space="preserve"> </w:t>
            </w:r>
          </w:p>
        </w:tc>
        <w:tc>
          <w:tcPr>
            <w:tcW w:w="2538" w:type="dxa"/>
            <w:tcBorders>
              <w:top w:val="nil"/>
              <w:left w:val="nil"/>
              <w:bottom w:val="single" w:sz="4" w:space="0" w:color="auto"/>
              <w:right w:val="nil"/>
            </w:tcBorders>
            <w:vAlign w:val="center"/>
          </w:tcPr>
          <w:p w14:paraId="5F4912CA" w14:textId="77777777" w:rsidR="00826159" w:rsidRPr="00A53BCD" w:rsidRDefault="00D74C0C" w:rsidP="00943E2E">
            <w:pP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t</m:t>
                  </m:r>
                </m:sub>
              </m:sSub>
            </m:oMath>
            <w:r w:rsidR="00826159" w:rsidRPr="00A53BCD">
              <w:rPr>
                <w:rFonts w:ascii="Times New Roman" w:hAnsi="Times New Roman" w:cs="Times New Roman"/>
                <w:sz w:val="24"/>
                <w:szCs w:val="24"/>
              </w:rPr>
              <w:t xml:space="preserve"> </w:t>
            </w:r>
          </w:p>
        </w:tc>
        <w:tc>
          <w:tcPr>
            <w:tcW w:w="2340" w:type="dxa"/>
            <w:tcBorders>
              <w:top w:val="nil"/>
              <w:left w:val="nil"/>
              <w:bottom w:val="single" w:sz="4" w:space="0" w:color="auto"/>
              <w:right w:val="nil"/>
            </w:tcBorders>
            <w:vAlign w:val="center"/>
          </w:tcPr>
          <w:p w14:paraId="1162B6B6" w14:textId="77777777" w:rsidR="00826159" w:rsidRPr="00A53BCD" w:rsidDel="00087392" w:rsidRDefault="00826159" w:rsidP="00943E2E">
            <w:pPr>
              <w:contextualSpacing/>
              <w:jc w:val="center"/>
              <w:rPr>
                <w:rFonts w:ascii="Times New Roman" w:hAnsi="Times New Roman" w:cs="Times New Roman"/>
                <w:sz w:val="24"/>
                <w:szCs w:val="24"/>
              </w:rPr>
            </w:pPr>
            <m:oMath>
              <m:r>
                <w:rPr>
                  <w:rFonts w:ascii="Cambria Math" w:hAnsi="Cambria Math" w:cs="Times New Roman"/>
                  <w:sz w:val="24"/>
                  <w:szCs w:val="24"/>
                </w:rPr>
                <m:t>E[P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sen</m:t>
                      </m:r>
                    </m:e>
                    <m:sub>
                      <m:r>
                        <w:rPr>
                          <w:rFonts w:ascii="Cambria Math" w:hAnsi="Cambria Math" w:cs="Times New Roman"/>
                          <w:sz w:val="24"/>
                          <w:szCs w:val="24"/>
                        </w:rPr>
                        <m:t>t-1</m:t>
                      </m:r>
                    </m:sub>
                  </m:sSub>
                  <m:ctrlPr>
                    <w:rPr>
                      <w:rFonts w:ascii="Cambria Math" w:hAnsi="Cambria Math" w:cs="Times New Roman"/>
                      <w:sz w:val="24"/>
                      <w:szCs w:val="24"/>
                    </w:rPr>
                  </m:ctrlPr>
                </m:e>
              </m:d>
              <m:r>
                <m:rPr>
                  <m:sty m:val="p"/>
                </m:rPr>
                <w:rPr>
                  <w:rFonts w:ascii="Cambria Math" w:hAnsi="Cambria Math" w:cs="Times New Roman"/>
                  <w:sz w:val="24"/>
                  <w:szCs w:val="24"/>
                </w:rPr>
                <m:t>]</m:t>
              </m:r>
            </m:oMath>
            <w:r w:rsidRPr="00A53BCD">
              <w:rPr>
                <w:rFonts w:ascii="Times New Roman" w:hAnsi="Times New Roman" w:cs="Times New Roman"/>
                <w:sz w:val="24"/>
                <w:szCs w:val="24"/>
              </w:rPr>
              <w:t xml:space="preserve">                      </w:t>
            </w:r>
          </w:p>
        </w:tc>
        <w:tc>
          <w:tcPr>
            <w:tcW w:w="2648" w:type="dxa"/>
            <w:tcBorders>
              <w:top w:val="nil"/>
              <w:left w:val="nil"/>
              <w:bottom w:val="single" w:sz="4" w:space="0" w:color="auto"/>
              <w:right w:val="nil"/>
            </w:tcBorders>
            <w:vAlign w:val="center"/>
          </w:tcPr>
          <w:p w14:paraId="13082A1A" w14:textId="77777777" w:rsidR="00826159" w:rsidRPr="00A53BCD" w:rsidRDefault="00D74C0C" w:rsidP="00943E2E">
            <w:pPr>
              <w:contextualSpacing/>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hint="eastAsia"/>
                    <w:sz w:val="24"/>
                    <w:szCs w:val="24"/>
                  </w:rPr>
                  <m:t>×</m:t>
                </m:r>
                <m:r>
                  <w:rPr>
                    <w:rFonts w:ascii="Cambria Math" w:hAnsi="Cambria Math" w:cs="Times New Roman"/>
                    <w:sz w:val="24"/>
                    <w:szCs w:val="24"/>
                  </w:rPr>
                  <m:t>E[P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sen</m:t>
                        </m:r>
                      </m:e>
                      <m:sub>
                        <m:r>
                          <w:rPr>
                            <w:rFonts w:ascii="Cambria Math" w:hAnsi="Cambria Math" w:cs="Times New Roman"/>
                            <w:sz w:val="24"/>
                            <w:szCs w:val="24"/>
                          </w:rPr>
                          <m:t>t-1</m:t>
                        </m:r>
                      </m:sub>
                    </m:sSub>
                    <m:ctrlPr>
                      <w:rPr>
                        <w:rFonts w:ascii="Cambria Math" w:hAnsi="Cambria Math" w:cs="Times New Roman"/>
                        <w:sz w:val="24"/>
                        <w:szCs w:val="24"/>
                      </w:rPr>
                    </m:ctrlPr>
                  </m:e>
                </m:d>
                <m:r>
                  <w:rPr>
                    <w:rFonts w:ascii="Cambria Math" w:hAnsi="Cambria Math" w:cs="Times New Roman"/>
                    <w:sz w:val="24"/>
                    <w:szCs w:val="24"/>
                  </w:rPr>
                  <m:t>]</m:t>
                </m:r>
              </m:oMath>
            </m:oMathPara>
          </w:p>
        </w:tc>
      </w:tr>
      <w:tr w:rsidR="00826159" w:rsidRPr="00996F0B" w14:paraId="43783286" w14:textId="77777777" w:rsidTr="00943E2E">
        <w:trPr>
          <w:trHeight w:val="20"/>
        </w:trPr>
        <w:tc>
          <w:tcPr>
            <w:tcW w:w="1294" w:type="dxa"/>
            <w:vMerge w:val="restart"/>
            <w:tcBorders>
              <w:top w:val="single" w:sz="4" w:space="0" w:color="auto"/>
              <w:left w:val="nil"/>
              <w:bottom w:val="single" w:sz="4" w:space="0" w:color="auto"/>
              <w:right w:val="nil"/>
            </w:tcBorders>
            <w:vAlign w:val="center"/>
          </w:tcPr>
          <w:p w14:paraId="38F27636" w14:textId="77777777" w:rsidR="00826159" w:rsidRDefault="00826159" w:rsidP="00943E2E">
            <w:pPr>
              <w:contextualSpacing/>
              <w:jc w:val="both"/>
              <w:rPr>
                <w:rFonts w:ascii="Times New Roman" w:hAnsi="Times New Roman" w:cs="Times New Roman"/>
                <w:sz w:val="24"/>
                <w:szCs w:val="24"/>
              </w:rPr>
            </w:pPr>
          </w:p>
          <w:p w14:paraId="48ADD3A7" w14:textId="77777777" w:rsidR="00826159" w:rsidRDefault="00826159" w:rsidP="00943E2E">
            <w:pPr>
              <w:contextualSpacing/>
              <w:jc w:val="both"/>
              <w:rPr>
                <w:rFonts w:ascii="Times New Roman" w:hAnsi="Times New Roman" w:cs="Times New Roman"/>
                <w:sz w:val="24"/>
                <w:szCs w:val="24"/>
              </w:rPr>
            </w:pPr>
          </w:p>
          <w:p w14:paraId="4F9D85EF" w14:textId="77777777" w:rsidR="00826159" w:rsidRDefault="00826159" w:rsidP="00943E2E">
            <w:pPr>
              <w:contextualSpacing/>
              <w:jc w:val="both"/>
              <w:rPr>
                <w:rFonts w:ascii="Times New Roman" w:hAnsi="Times New Roman" w:cs="Times New Roman"/>
                <w:sz w:val="24"/>
                <w:szCs w:val="24"/>
              </w:rPr>
            </w:pPr>
          </w:p>
          <w:p w14:paraId="6927FA9D" w14:textId="77777777" w:rsidR="00826159" w:rsidRDefault="00826159" w:rsidP="00943E2E">
            <w:pPr>
              <w:contextualSpacing/>
              <w:jc w:val="both"/>
              <w:rPr>
                <w:rFonts w:ascii="Times New Roman" w:hAnsi="Times New Roman" w:cs="Times New Roman"/>
                <w:sz w:val="24"/>
                <w:szCs w:val="24"/>
              </w:rPr>
            </w:pPr>
          </w:p>
          <w:p w14:paraId="3DC63C3E" w14:textId="77777777" w:rsidR="00826159" w:rsidRPr="00A53BCD" w:rsidRDefault="00826159" w:rsidP="00943E2E">
            <w:pPr>
              <w:contextualSpacing/>
              <w:jc w:val="both"/>
              <w:rPr>
                <w:rFonts w:ascii="Times New Roman" w:hAnsi="Times New Roman" w:cs="Times New Roman"/>
                <w:sz w:val="24"/>
                <w:szCs w:val="24"/>
              </w:rPr>
            </w:pPr>
            <w:r w:rsidRPr="00A53BCD">
              <w:rPr>
                <w:rFonts w:ascii="Times New Roman" w:hAnsi="Times New Roman" w:cs="Times New Roman"/>
                <w:sz w:val="24"/>
                <w:szCs w:val="24"/>
              </w:rPr>
              <w:t>Positive</w:t>
            </w:r>
          </w:p>
          <w:p w14:paraId="7901DCE1" w14:textId="77777777" w:rsidR="00826159" w:rsidRDefault="00826159" w:rsidP="00943E2E">
            <w:pPr>
              <w:contextualSpacing/>
              <w:jc w:val="both"/>
              <w:rPr>
                <w:rFonts w:ascii="Times New Roman" w:hAnsi="Times New Roman" w:cs="Times New Roman"/>
                <w:sz w:val="24"/>
                <w:szCs w:val="24"/>
              </w:rPr>
            </w:pPr>
          </w:p>
          <w:p w14:paraId="57839315" w14:textId="77777777" w:rsidR="00826159" w:rsidRDefault="00826159" w:rsidP="00943E2E">
            <w:pPr>
              <w:contextualSpacing/>
              <w:jc w:val="both"/>
              <w:rPr>
                <w:rFonts w:ascii="Times New Roman" w:hAnsi="Times New Roman" w:cs="Times New Roman"/>
                <w:sz w:val="24"/>
                <w:szCs w:val="24"/>
              </w:rPr>
            </w:pPr>
          </w:p>
          <w:p w14:paraId="6DAE6378" w14:textId="77777777" w:rsidR="00826159" w:rsidRDefault="00826159" w:rsidP="00943E2E">
            <w:pPr>
              <w:contextualSpacing/>
              <w:jc w:val="both"/>
              <w:rPr>
                <w:rFonts w:ascii="Times New Roman" w:hAnsi="Times New Roman" w:cs="Times New Roman"/>
                <w:sz w:val="24"/>
                <w:szCs w:val="24"/>
              </w:rPr>
            </w:pPr>
          </w:p>
          <w:p w14:paraId="562AE070" w14:textId="77777777" w:rsidR="00826159" w:rsidRDefault="00826159" w:rsidP="00943E2E">
            <w:pPr>
              <w:contextualSpacing/>
              <w:jc w:val="both"/>
              <w:rPr>
                <w:rFonts w:ascii="Times New Roman" w:hAnsi="Times New Roman" w:cs="Times New Roman"/>
                <w:sz w:val="24"/>
                <w:szCs w:val="24"/>
              </w:rPr>
            </w:pPr>
          </w:p>
          <w:p w14:paraId="45F10D9E"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nil"/>
              <w:right w:val="nil"/>
            </w:tcBorders>
            <w:vAlign w:val="center"/>
          </w:tcPr>
          <w:p w14:paraId="4BA43393" w14:textId="77777777" w:rsidR="00826159" w:rsidRPr="00A53BCD" w:rsidRDefault="00826159" w:rsidP="00943E2E">
            <w:pPr>
              <w:jc w:val="both"/>
              <w:rPr>
                <w:rFonts w:ascii="Times New Roman" w:hAnsi="Times New Roman" w:cs="Times New Roman"/>
                <w:sz w:val="24"/>
                <w:szCs w:val="24"/>
              </w:rPr>
            </w:pPr>
            <w:r w:rsidRPr="00A53BCD">
              <w:rPr>
                <w:rFonts w:ascii="Times New Roman" w:hAnsi="Times New Roman" w:cs="Times New Roman"/>
                <w:color w:val="000000"/>
                <w:sz w:val="24"/>
                <w:szCs w:val="24"/>
              </w:rPr>
              <w:t>Upgrade</w:t>
            </w:r>
          </w:p>
        </w:tc>
        <w:tc>
          <w:tcPr>
            <w:tcW w:w="2340" w:type="dxa"/>
            <w:tcBorders>
              <w:top w:val="single" w:sz="4" w:space="0" w:color="auto"/>
              <w:left w:val="nil"/>
              <w:bottom w:val="nil"/>
              <w:right w:val="nil"/>
            </w:tcBorders>
          </w:tcPr>
          <w:p w14:paraId="755B6BAF"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38.455%</w:t>
            </w:r>
          </w:p>
        </w:tc>
        <w:tc>
          <w:tcPr>
            <w:tcW w:w="2648" w:type="dxa"/>
            <w:tcBorders>
              <w:top w:val="single" w:sz="4" w:space="0" w:color="auto"/>
              <w:left w:val="nil"/>
              <w:bottom w:val="nil"/>
              <w:right w:val="nil"/>
            </w:tcBorders>
          </w:tcPr>
          <w:p w14:paraId="4F3F1E3F"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0.062%</w:t>
            </w:r>
          </w:p>
        </w:tc>
      </w:tr>
      <w:tr w:rsidR="00826159" w:rsidRPr="00996F0B" w14:paraId="27B258D9" w14:textId="77777777" w:rsidTr="00943E2E">
        <w:trPr>
          <w:trHeight w:val="259"/>
        </w:trPr>
        <w:tc>
          <w:tcPr>
            <w:tcW w:w="1294" w:type="dxa"/>
            <w:vMerge/>
            <w:tcBorders>
              <w:top w:val="nil"/>
              <w:left w:val="nil"/>
              <w:bottom w:val="single" w:sz="4" w:space="0" w:color="auto"/>
              <w:right w:val="nil"/>
            </w:tcBorders>
            <w:vAlign w:val="center"/>
          </w:tcPr>
          <w:p w14:paraId="75371E23"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nil"/>
              <w:right w:val="nil"/>
            </w:tcBorders>
            <w:vAlign w:val="center"/>
          </w:tcPr>
          <w:p w14:paraId="5E8C0E4A" w14:textId="77777777" w:rsidR="00826159" w:rsidRPr="00A53BCD" w:rsidRDefault="00826159" w:rsidP="00943E2E">
            <w:pPr>
              <w:jc w:val="both"/>
              <w:rPr>
                <w:rFonts w:ascii="Times New Roman" w:hAnsi="Times New Roman" w:cs="Times New Roman"/>
                <w:sz w:val="24"/>
                <w:szCs w:val="24"/>
              </w:rPr>
            </w:pPr>
            <w:r>
              <w:rPr>
                <w:rFonts w:ascii="Times New Roman" w:hAnsi="Times New Roman" w:cs="Times New Roman"/>
                <w:color w:val="000000"/>
                <w:sz w:val="24"/>
                <w:szCs w:val="24"/>
              </w:rPr>
              <w:t xml:space="preserve">Neutral </w:t>
            </w:r>
            <w:r w:rsidRPr="008E64B8">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Upgrade</w:t>
            </w:r>
          </w:p>
        </w:tc>
        <w:tc>
          <w:tcPr>
            <w:tcW w:w="2340" w:type="dxa"/>
            <w:tcBorders>
              <w:top w:val="nil"/>
              <w:left w:val="nil"/>
              <w:bottom w:val="nil"/>
              <w:right w:val="nil"/>
            </w:tcBorders>
          </w:tcPr>
          <w:p w14:paraId="3E0D042D"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12.601%</w:t>
            </w:r>
          </w:p>
        </w:tc>
        <w:tc>
          <w:tcPr>
            <w:tcW w:w="2648" w:type="dxa"/>
            <w:tcBorders>
              <w:top w:val="nil"/>
              <w:left w:val="nil"/>
              <w:bottom w:val="nil"/>
              <w:right w:val="nil"/>
            </w:tcBorders>
          </w:tcPr>
          <w:p w14:paraId="1465FD47"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0.021%</w:t>
            </w:r>
          </w:p>
        </w:tc>
      </w:tr>
      <w:tr w:rsidR="00826159" w:rsidRPr="00996F0B" w14:paraId="7D8B02A8" w14:textId="77777777" w:rsidTr="00943E2E">
        <w:trPr>
          <w:trHeight w:val="259"/>
        </w:trPr>
        <w:tc>
          <w:tcPr>
            <w:tcW w:w="1294" w:type="dxa"/>
            <w:vMerge/>
            <w:tcBorders>
              <w:top w:val="nil"/>
              <w:left w:val="nil"/>
              <w:bottom w:val="single" w:sz="4" w:space="0" w:color="auto"/>
              <w:right w:val="nil"/>
            </w:tcBorders>
            <w:vAlign w:val="center"/>
          </w:tcPr>
          <w:p w14:paraId="00073E53"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single" w:sz="4" w:space="0" w:color="auto"/>
              <w:right w:val="nil"/>
            </w:tcBorders>
            <w:vAlign w:val="center"/>
          </w:tcPr>
          <w:p w14:paraId="30EEA030" w14:textId="77777777" w:rsidR="00826159" w:rsidRPr="00A53BCD" w:rsidRDefault="00826159" w:rsidP="00943E2E">
            <w:pPr>
              <w:jc w:val="both"/>
              <w:rPr>
                <w:rFonts w:ascii="Times New Roman" w:hAnsi="Times New Roman" w:cs="Times New Roman"/>
                <w:sz w:val="24"/>
                <w:szCs w:val="24"/>
              </w:rPr>
            </w:pPr>
            <w:r w:rsidRPr="00A53BCD">
              <w:rPr>
                <w:rFonts w:ascii="Times New Roman" w:hAnsi="Times New Roman" w:cs="Times New Roman"/>
                <w:color w:val="000000"/>
                <w:sz w:val="24"/>
                <w:szCs w:val="24"/>
              </w:rPr>
              <w:t>Downgrade</w:t>
            </w:r>
            <w:r>
              <w:rPr>
                <w:rFonts w:ascii="Times New Roman" w:hAnsi="Times New Roman" w:cs="Times New Roman"/>
                <w:color w:val="000000"/>
                <w:sz w:val="24"/>
                <w:szCs w:val="24"/>
              </w:rPr>
              <w:t xml:space="preserve"> </w:t>
            </w:r>
            <w:r w:rsidRPr="00F56A44">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w:t>
            </w:r>
            <w:r w:rsidRPr="00A53BCD">
              <w:rPr>
                <w:rFonts w:ascii="Times New Roman" w:hAnsi="Times New Roman" w:cs="Times New Roman"/>
                <w:color w:val="000000"/>
                <w:sz w:val="24"/>
                <w:szCs w:val="24"/>
              </w:rPr>
              <w:t>Upgrade</w:t>
            </w:r>
          </w:p>
        </w:tc>
        <w:tc>
          <w:tcPr>
            <w:tcW w:w="2340" w:type="dxa"/>
            <w:tcBorders>
              <w:top w:val="nil"/>
              <w:left w:val="nil"/>
              <w:bottom w:val="single" w:sz="4" w:space="0" w:color="auto"/>
              <w:right w:val="nil"/>
            </w:tcBorders>
          </w:tcPr>
          <w:p w14:paraId="4D842775"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12.248%</w:t>
            </w:r>
          </w:p>
        </w:tc>
        <w:tc>
          <w:tcPr>
            <w:tcW w:w="2648" w:type="dxa"/>
            <w:tcBorders>
              <w:top w:val="nil"/>
              <w:left w:val="nil"/>
              <w:bottom w:val="single" w:sz="4" w:space="0" w:color="auto"/>
              <w:right w:val="nil"/>
            </w:tcBorders>
          </w:tcPr>
          <w:p w14:paraId="61EA88B2"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0.021%</w:t>
            </w:r>
          </w:p>
        </w:tc>
      </w:tr>
      <w:tr w:rsidR="00826159" w:rsidRPr="00996F0B" w14:paraId="11901C8B" w14:textId="77777777" w:rsidTr="00943E2E">
        <w:trPr>
          <w:trHeight w:val="259"/>
        </w:trPr>
        <w:tc>
          <w:tcPr>
            <w:tcW w:w="1294" w:type="dxa"/>
            <w:vMerge/>
            <w:tcBorders>
              <w:top w:val="nil"/>
              <w:left w:val="nil"/>
              <w:bottom w:val="single" w:sz="4" w:space="0" w:color="auto"/>
              <w:right w:val="nil"/>
            </w:tcBorders>
            <w:vAlign w:val="center"/>
          </w:tcPr>
          <w:p w14:paraId="58F1D9BF"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single" w:sz="4" w:space="0" w:color="auto"/>
              <w:right w:val="nil"/>
            </w:tcBorders>
            <w:vAlign w:val="center"/>
          </w:tcPr>
          <w:p w14:paraId="513B51D2" w14:textId="77777777" w:rsidR="00826159" w:rsidRPr="00A53BCD" w:rsidRDefault="00826159" w:rsidP="00943E2E">
            <w:pPr>
              <w:jc w:val="both"/>
              <w:rPr>
                <w:rFonts w:ascii="Times New Roman" w:hAnsi="Times New Roman" w:cs="Times New Roman"/>
                <w:sz w:val="24"/>
                <w:szCs w:val="24"/>
              </w:rPr>
            </w:pPr>
            <w:r w:rsidRPr="004F0763">
              <w:rPr>
                <w:rFonts w:ascii="Times New Roman" w:hAnsi="Times New Roman" w:cs="Times New Roman"/>
                <w:b/>
                <w:bCs/>
                <w:color w:val="000000"/>
                <w:sz w:val="24"/>
                <w:szCs w:val="24"/>
              </w:rPr>
              <w:t>Average</w:t>
            </w:r>
          </w:p>
        </w:tc>
        <w:tc>
          <w:tcPr>
            <w:tcW w:w="2340" w:type="dxa"/>
            <w:tcBorders>
              <w:top w:val="single" w:sz="4" w:space="0" w:color="auto"/>
              <w:left w:val="nil"/>
              <w:bottom w:val="single" w:sz="4" w:space="0" w:color="auto"/>
              <w:right w:val="nil"/>
            </w:tcBorders>
            <w:vAlign w:val="center"/>
          </w:tcPr>
          <w:p w14:paraId="6BBED288" w14:textId="77777777" w:rsidR="00826159" w:rsidRPr="005B01A1" w:rsidRDefault="00826159" w:rsidP="00943E2E">
            <w:pPr>
              <w:jc w:val="center"/>
              <w:rPr>
                <w:rFonts w:ascii="Times New Roman" w:hAnsi="Times New Roman" w:cs="Times New Roman"/>
                <w:color w:val="000000"/>
                <w:sz w:val="24"/>
                <w:szCs w:val="24"/>
              </w:rPr>
            </w:pPr>
            <w:r w:rsidRPr="0081364B">
              <w:rPr>
                <w:rFonts w:ascii="Times New Roman" w:hAnsi="Times New Roman" w:cs="Times New Roman"/>
                <w:color w:val="000000"/>
                <w:sz w:val="24"/>
                <w:szCs w:val="24"/>
              </w:rPr>
              <w:t>21.101%</w:t>
            </w:r>
          </w:p>
        </w:tc>
        <w:tc>
          <w:tcPr>
            <w:tcW w:w="2648" w:type="dxa"/>
            <w:tcBorders>
              <w:top w:val="single" w:sz="4" w:space="0" w:color="auto"/>
              <w:left w:val="nil"/>
              <w:bottom w:val="single" w:sz="4" w:space="0" w:color="auto"/>
              <w:right w:val="nil"/>
            </w:tcBorders>
            <w:vAlign w:val="center"/>
          </w:tcPr>
          <w:p w14:paraId="129FA52B" w14:textId="77777777" w:rsidR="00826159" w:rsidRPr="005B01A1" w:rsidRDefault="00826159" w:rsidP="00943E2E">
            <w:pPr>
              <w:jc w:val="center"/>
              <w:rPr>
                <w:rFonts w:ascii="Times New Roman" w:hAnsi="Times New Roman" w:cs="Times New Roman"/>
                <w:color w:val="000000"/>
                <w:sz w:val="24"/>
                <w:szCs w:val="24"/>
              </w:rPr>
            </w:pPr>
            <w:r w:rsidRPr="0081364B">
              <w:rPr>
                <w:rFonts w:ascii="Times New Roman" w:hAnsi="Times New Roman" w:cs="Times New Roman"/>
                <w:color w:val="000000"/>
                <w:sz w:val="24"/>
                <w:szCs w:val="24"/>
              </w:rPr>
              <w:t>0.035%</w:t>
            </w:r>
          </w:p>
        </w:tc>
      </w:tr>
      <w:tr w:rsidR="00826159" w:rsidRPr="00996F0B" w14:paraId="2053401B" w14:textId="77777777" w:rsidTr="00943E2E">
        <w:trPr>
          <w:trHeight w:val="259"/>
        </w:trPr>
        <w:tc>
          <w:tcPr>
            <w:tcW w:w="1294" w:type="dxa"/>
            <w:vMerge/>
            <w:tcBorders>
              <w:top w:val="nil"/>
              <w:left w:val="nil"/>
              <w:bottom w:val="single" w:sz="4" w:space="0" w:color="auto"/>
              <w:right w:val="nil"/>
            </w:tcBorders>
            <w:vAlign w:val="center"/>
          </w:tcPr>
          <w:p w14:paraId="60A3C3A1"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nil"/>
              <w:right w:val="nil"/>
            </w:tcBorders>
            <w:vAlign w:val="center"/>
          </w:tcPr>
          <w:p w14:paraId="0594EE1B" w14:textId="77777777" w:rsidR="00826159" w:rsidRDefault="00826159" w:rsidP="00943E2E">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40" w:type="dxa"/>
            <w:tcBorders>
              <w:top w:val="single" w:sz="4" w:space="0" w:color="auto"/>
              <w:left w:val="nil"/>
              <w:bottom w:val="nil"/>
              <w:right w:val="nil"/>
            </w:tcBorders>
          </w:tcPr>
          <w:p w14:paraId="3D7F2387"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27.415%</w:t>
            </w:r>
          </w:p>
        </w:tc>
        <w:tc>
          <w:tcPr>
            <w:tcW w:w="2648" w:type="dxa"/>
            <w:tcBorders>
              <w:top w:val="single" w:sz="4" w:space="0" w:color="auto"/>
              <w:left w:val="nil"/>
              <w:bottom w:val="nil"/>
              <w:right w:val="nil"/>
            </w:tcBorders>
          </w:tcPr>
          <w:p w14:paraId="5182C1D7"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0.048%</w:t>
            </w:r>
          </w:p>
        </w:tc>
      </w:tr>
      <w:tr w:rsidR="00826159" w:rsidRPr="00996F0B" w14:paraId="7ECDFC9D" w14:textId="77777777" w:rsidTr="00943E2E">
        <w:trPr>
          <w:trHeight w:val="259"/>
        </w:trPr>
        <w:tc>
          <w:tcPr>
            <w:tcW w:w="1294" w:type="dxa"/>
            <w:vMerge/>
            <w:tcBorders>
              <w:top w:val="nil"/>
              <w:left w:val="nil"/>
              <w:bottom w:val="single" w:sz="4" w:space="0" w:color="auto"/>
              <w:right w:val="nil"/>
            </w:tcBorders>
            <w:vAlign w:val="center"/>
          </w:tcPr>
          <w:p w14:paraId="34CF0DF9"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nil"/>
              <w:right w:val="nil"/>
            </w:tcBorders>
            <w:vAlign w:val="center"/>
          </w:tcPr>
          <w:p w14:paraId="0657CBD9" w14:textId="77777777" w:rsidR="00826159" w:rsidRPr="00A53BCD" w:rsidRDefault="00826159" w:rsidP="00943E2E">
            <w:pPr>
              <w:jc w:val="both"/>
              <w:rPr>
                <w:rFonts w:ascii="Times New Roman" w:hAnsi="Times New Roman" w:cs="Times New Roman"/>
                <w:sz w:val="24"/>
                <w:szCs w:val="24"/>
              </w:rPr>
            </w:pPr>
            <w:r w:rsidRPr="00BE5AB5">
              <w:rPr>
                <w:rFonts w:ascii="Times New Roman" w:hAnsi="Times New Roman" w:cs="Times New Roman"/>
                <w:color w:val="000000"/>
                <w:sz w:val="24"/>
                <w:szCs w:val="24"/>
              </w:rPr>
              <w:t xml:space="preserve">Downgrade </w:t>
            </w:r>
            <w:r w:rsidRPr="008E64B8">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w:t>
            </w:r>
            <w:r w:rsidRPr="00BE5AB5">
              <w:rPr>
                <w:rFonts w:ascii="Times New Roman" w:hAnsi="Times New Roman" w:cs="Times New Roman"/>
                <w:color w:val="000000"/>
                <w:sz w:val="24"/>
                <w:szCs w:val="24"/>
              </w:rPr>
              <w:t>Neutral</w:t>
            </w:r>
            <w:r w:rsidRPr="00A53BCD">
              <w:rPr>
                <w:rFonts w:ascii="Times New Roman" w:hAnsi="Times New Roman" w:cs="Times New Roman"/>
                <w:color w:val="000000"/>
                <w:sz w:val="24"/>
                <w:szCs w:val="24"/>
              </w:rPr>
              <w:t xml:space="preserve"> </w:t>
            </w:r>
          </w:p>
        </w:tc>
        <w:tc>
          <w:tcPr>
            <w:tcW w:w="2340" w:type="dxa"/>
            <w:tcBorders>
              <w:top w:val="nil"/>
              <w:left w:val="nil"/>
              <w:bottom w:val="nil"/>
              <w:right w:val="nil"/>
            </w:tcBorders>
          </w:tcPr>
          <w:p w14:paraId="7133F4C2"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11.273%</w:t>
            </w:r>
          </w:p>
        </w:tc>
        <w:tc>
          <w:tcPr>
            <w:tcW w:w="2648" w:type="dxa"/>
            <w:tcBorders>
              <w:top w:val="nil"/>
              <w:left w:val="nil"/>
              <w:bottom w:val="nil"/>
              <w:right w:val="nil"/>
            </w:tcBorders>
          </w:tcPr>
          <w:p w14:paraId="7141A7C4"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0.020%</w:t>
            </w:r>
          </w:p>
        </w:tc>
      </w:tr>
      <w:tr w:rsidR="00826159" w:rsidRPr="00996F0B" w14:paraId="0CDD0813" w14:textId="77777777" w:rsidTr="00943E2E">
        <w:trPr>
          <w:trHeight w:val="259"/>
        </w:trPr>
        <w:tc>
          <w:tcPr>
            <w:tcW w:w="1294" w:type="dxa"/>
            <w:vMerge/>
            <w:tcBorders>
              <w:top w:val="nil"/>
              <w:left w:val="nil"/>
              <w:bottom w:val="single" w:sz="4" w:space="0" w:color="auto"/>
              <w:right w:val="nil"/>
            </w:tcBorders>
            <w:vAlign w:val="center"/>
          </w:tcPr>
          <w:p w14:paraId="3F612153"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nil"/>
              <w:left w:val="nil"/>
              <w:bottom w:val="single" w:sz="4" w:space="0" w:color="auto"/>
              <w:right w:val="nil"/>
            </w:tcBorders>
            <w:vAlign w:val="center"/>
          </w:tcPr>
          <w:p w14:paraId="0C484499" w14:textId="77777777" w:rsidR="00826159" w:rsidRPr="00F56A44" w:rsidRDefault="00826159" w:rsidP="00943E2E">
            <w:pPr>
              <w:jc w:val="both"/>
              <w:rPr>
                <w:rFonts w:ascii="Times New Roman" w:hAnsi="Times New Roman" w:cs="Times New Roman"/>
                <w:sz w:val="24"/>
                <w:szCs w:val="24"/>
              </w:rPr>
            </w:pPr>
            <w:r>
              <w:rPr>
                <w:rFonts w:ascii="Times New Roman" w:hAnsi="Times New Roman" w:cs="Times New Roman"/>
                <w:color w:val="000000"/>
                <w:sz w:val="24"/>
                <w:szCs w:val="24"/>
              </w:rPr>
              <w:t xml:space="preserve">Upgrade </w:t>
            </w:r>
            <w:r w:rsidRPr="003F52A5">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Neutral</w:t>
            </w:r>
          </w:p>
        </w:tc>
        <w:tc>
          <w:tcPr>
            <w:tcW w:w="2340" w:type="dxa"/>
            <w:tcBorders>
              <w:top w:val="nil"/>
              <w:left w:val="nil"/>
              <w:bottom w:val="single" w:sz="4" w:space="0" w:color="auto"/>
              <w:right w:val="nil"/>
            </w:tcBorders>
          </w:tcPr>
          <w:p w14:paraId="4B7C5415"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14.127%</w:t>
            </w:r>
          </w:p>
        </w:tc>
        <w:tc>
          <w:tcPr>
            <w:tcW w:w="2648" w:type="dxa"/>
            <w:tcBorders>
              <w:top w:val="nil"/>
              <w:left w:val="nil"/>
              <w:bottom w:val="single" w:sz="4" w:space="0" w:color="auto"/>
              <w:right w:val="nil"/>
            </w:tcBorders>
          </w:tcPr>
          <w:p w14:paraId="7BB293CD"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0.021%</w:t>
            </w:r>
          </w:p>
        </w:tc>
      </w:tr>
      <w:tr w:rsidR="00826159" w:rsidRPr="00996F0B" w14:paraId="081717B8" w14:textId="77777777" w:rsidTr="00943E2E">
        <w:trPr>
          <w:trHeight w:val="259"/>
        </w:trPr>
        <w:tc>
          <w:tcPr>
            <w:tcW w:w="1294" w:type="dxa"/>
            <w:vMerge/>
            <w:tcBorders>
              <w:top w:val="nil"/>
              <w:left w:val="nil"/>
              <w:bottom w:val="single" w:sz="4" w:space="0" w:color="auto"/>
              <w:right w:val="nil"/>
            </w:tcBorders>
            <w:vAlign w:val="center"/>
          </w:tcPr>
          <w:p w14:paraId="168B8A43"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single" w:sz="4" w:space="0" w:color="auto"/>
              <w:right w:val="nil"/>
            </w:tcBorders>
            <w:vAlign w:val="center"/>
          </w:tcPr>
          <w:p w14:paraId="0243D927" w14:textId="77777777" w:rsidR="00826159" w:rsidRPr="00F56A44" w:rsidRDefault="00826159" w:rsidP="00943E2E">
            <w:pPr>
              <w:jc w:val="both"/>
              <w:rPr>
                <w:rFonts w:ascii="Times New Roman" w:hAnsi="Times New Roman" w:cs="Times New Roman"/>
                <w:sz w:val="24"/>
                <w:szCs w:val="24"/>
              </w:rPr>
            </w:pPr>
            <w:r w:rsidRPr="004F0763">
              <w:rPr>
                <w:rFonts w:ascii="Times New Roman" w:hAnsi="Times New Roman" w:cs="Times New Roman"/>
                <w:b/>
                <w:bCs/>
                <w:color w:val="000000"/>
                <w:sz w:val="24"/>
                <w:szCs w:val="24"/>
              </w:rPr>
              <w:t>Average</w:t>
            </w:r>
          </w:p>
        </w:tc>
        <w:tc>
          <w:tcPr>
            <w:tcW w:w="2340" w:type="dxa"/>
            <w:tcBorders>
              <w:top w:val="single" w:sz="4" w:space="0" w:color="auto"/>
              <w:left w:val="nil"/>
              <w:bottom w:val="single" w:sz="4" w:space="0" w:color="auto"/>
              <w:right w:val="nil"/>
            </w:tcBorders>
            <w:vAlign w:val="center"/>
          </w:tcPr>
          <w:p w14:paraId="7FEE521B" w14:textId="77777777" w:rsidR="00826159" w:rsidRPr="005B01A1" w:rsidRDefault="00826159" w:rsidP="00943E2E">
            <w:pPr>
              <w:jc w:val="center"/>
              <w:rPr>
                <w:rFonts w:ascii="Times New Roman" w:hAnsi="Times New Roman" w:cs="Times New Roman"/>
                <w:color w:val="000000"/>
                <w:sz w:val="24"/>
                <w:szCs w:val="24"/>
              </w:rPr>
            </w:pPr>
            <w:r w:rsidRPr="0081364B">
              <w:rPr>
                <w:rFonts w:ascii="Times New Roman" w:hAnsi="Times New Roman" w:cs="Times New Roman"/>
                <w:color w:val="000000"/>
                <w:sz w:val="24"/>
                <w:szCs w:val="24"/>
              </w:rPr>
              <w:t>17.605%</w:t>
            </w:r>
          </w:p>
        </w:tc>
        <w:tc>
          <w:tcPr>
            <w:tcW w:w="2648" w:type="dxa"/>
            <w:tcBorders>
              <w:top w:val="single" w:sz="4" w:space="0" w:color="auto"/>
              <w:left w:val="nil"/>
              <w:bottom w:val="single" w:sz="4" w:space="0" w:color="auto"/>
              <w:right w:val="nil"/>
            </w:tcBorders>
            <w:vAlign w:val="center"/>
          </w:tcPr>
          <w:p w14:paraId="74D0C4B4" w14:textId="77777777" w:rsidR="00826159" w:rsidRPr="005B01A1" w:rsidRDefault="00826159" w:rsidP="00943E2E">
            <w:pPr>
              <w:jc w:val="center"/>
              <w:rPr>
                <w:rFonts w:ascii="Times New Roman" w:hAnsi="Times New Roman" w:cs="Times New Roman"/>
                <w:color w:val="000000"/>
                <w:sz w:val="24"/>
                <w:szCs w:val="24"/>
              </w:rPr>
            </w:pPr>
            <w:r w:rsidRPr="0081364B">
              <w:rPr>
                <w:rFonts w:ascii="Times New Roman" w:hAnsi="Times New Roman" w:cs="Times New Roman"/>
                <w:color w:val="000000"/>
                <w:sz w:val="24"/>
                <w:szCs w:val="24"/>
              </w:rPr>
              <w:t>0.030%</w:t>
            </w:r>
          </w:p>
        </w:tc>
      </w:tr>
      <w:tr w:rsidR="00826159" w:rsidRPr="00996F0B" w14:paraId="442630BB" w14:textId="77777777" w:rsidTr="00943E2E">
        <w:trPr>
          <w:trHeight w:val="259"/>
        </w:trPr>
        <w:tc>
          <w:tcPr>
            <w:tcW w:w="1294" w:type="dxa"/>
            <w:vMerge/>
            <w:tcBorders>
              <w:top w:val="nil"/>
              <w:left w:val="nil"/>
              <w:bottom w:val="single" w:sz="4" w:space="0" w:color="auto"/>
              <w:right w:val="nil"/>
            </w:tcBorders>
            <w:vAlign w:val="center"/>
          </w:tcPr>
          <w:p w14:paraId="78F597BA"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nil"/>
              <w:right w:val="nil"/>
            </w:tcBorders>
            <w:vAlign w:val="center"/>
          </w:tcPr>
          <w:p w14:paraId="00CAA905" w14:textId="77777777" w:rsidR="00826159" w:rsidRPr="00BE5AB5" w:rsidRDefault="00826159" w:rsidP="00943E2E">
            <w:pPr>
              <w:jc w:val="both"/>
              <w:rPr>
                <w:rFonts w:ascii="Times New Roman" w:hAnsi="Times New Roman" w:cs="Times New Roman"/>
                <w:color w:val="000000"/>
                <w:sz w:val="24"/>
                <w:szCs w:val="24"/>
              </w:rPr>
            </w:pPr>
            <w:r w:rsidRPr="00A53BCD">
              <w:rPr>
                <w:rFonts w:ascii="Times New Roman" w:hAnsi="Times New Roman" w:cs="Times New Roman"/>
                <w:color w:val="000000"/>
                <w:sz w:val="24"/>
                <w:szCs w:val="24"/>
              </w:rPr>
              <w:t>Downgrade</w:t>
            </w:r>
          </w:p>
        </w:tc>
        <w:tc>
          <w:tcPr>
            <w:tcW w:w="2340" w:type="dxa"/>
            <w:tcBorders>
              <w:top w:val="single" w:sz="4" w:space="0" w:color="auto"/>
              <w:left w:val="nil"/>
              <w:bottom w:val="nil"/>
              <w:right w:val="nil"/>
            </w:tcBorders>
          </w:tcPr>
          <w:p w14:paraId="79C2CE66"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34.130%</w:t>
            </w:r>
          </w:p>
        </w:tc>
        <w:tc>
          <w:tcPr>
            <w:tcW w:w="2648" w:type="dxa"/>
            <w:tcBorders>
              <w:top w:val="single" w:sz="4" w:space="0" w:color="auto"/>
              <w:left w:val="nil"/>
              <w:bottom w:val="nil"/>
              <w:right w:val="nil"/>
            </w:tcBorders>
          </w:tcPr>
          <w:p w14:paraId="417517FE"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0.067%</w:t>
            </w:r>
          </w:p>
        </w:tc>
      </w:tr>
      <w:tr w:rsidR="00826159" w:rsidRPr="00996F0B" w14:paraId="799A264C" w14:textId="77777777" w:rsidTr="00943E2E">
        <w:trPr>
          <w:trHeight w:val="259"/>
        </w:trPr>
        <w:tc>
          <w:tcPr>
            <w:tcW w:w="1294" w:type="dxa"/>
            <w:vMerge/>
            <w:tcBorders>
              <w:top w:val="nil"/>
              <w:left w:val="nil"/>
              <w:bottom w:val="single" w:sz="4" w:space="0" w:color="auto"/>
              <w:right w:val="nil"/>
            </w:tcBorders>
            <w:vAlign w:val="center"/>
          </w:tcPr>
          <w:p w14:paraId="08285E63"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nil"/>
              <w:left w:val="nil"/>
              <w:bottom w:val="nil"/>
              <w:right w:val="nil"/>
            </w:tcBorders>
            <w:vAlign w:val="center"/>
          </w:tcPr>
          <w:p w14:paraId="0FB9B763" w14:textId="77777777" w:rsidR="00826159" w:rsidRPr="00F56A44" w:rsidRDefault="00826159" w:rsidP="00943E2E">
            <w:pPr>
              <w:jc w:val="both"/>
              <w:rPr>
                <w:rFonts w:ascii="Times New Roman" w:hAnsi="Times New Roman" w:cs="Times New Roman"/>
                <w:sz w:val="24"/>
                <w:szCs w:val="24"/>
              </w:rPr>
            </w:pPr>
            <w:r w:rsidRPr="00BE5AB5">
              <w:rPr>
                <w:rFonts w:ascii="Times New Roman" w:hAnsi="Times New Roman" w:cs="Times New Roman"/>
                <w:color w:val="000000"/>
                <w:sz w:val="24"/>
                <w:szCs w:val="24"/>
              </w:rPr>
              <w:t xml:space="preserve">Neutral </w:t>
            </w:r>
            <w:r w:rsidRPr="003F52A5">
              <w:rPr>
                <w:rFonts w:ascii="Times New Roman" w:hAnsi="Times New Roman" w:cs="Times New Roman"/>
                <w:color w:val="000000"/>
                <w:sz w:val="24"/>
                <w:szCs w:val="24"/>
              </w:rPr>
              <w:sym w:font="Wingdings" w:char="F0E0"/>
            </w:r>
            <w:r w:rsidRPr="00BE5AB5">
              <w:rPr>
                <w:rFonts w:ascii="Times New Roman" w:hAnsi="Times New Roman" w:cs="Times New Roman"/>
                <w:color w:val="000000"/>
                <w:sz w:val="24"/>
                <w:szCs w:val="24"/>
              </w:rPr>
              <w:t xml:space="preserve"> Downgrade</w:t>
            </w:r>
          </w:p>
        </w:tc>
        <w:tc>
          <w:tcPr>
            <w:tcW w:w="2340" w:type="dxa"/>
            <w:tcBorders>
              <w:top w:val="nil"/>
              <w:left w:val="nil"/>
              <w:bottom w:val="nil"/>
              <w:right w:val="nil"/>
            </w:tcBorders>
          </w:tcPr>
          <w:p w14:paraId="62BD0603"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1.912%</w:t>
            </w:r>
          </w:p>
        </w:tc>
        <w:tc>
          <w:tcPr>
            <w:tcW w:w="2648" w:type="dxa"/>
            <w:tcBorders>
              <w:top w:val="nil"/>
              <w:left w:val="nil"/>
              <w:bottom w:val="nil"/>
              <w:right w:val="nil"/>
            </w:tcBorders>
          </w:tcPr>
          <w:p w14:paraId="089C9203"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0.004%</w:t>
            </w:r>
          </w:p>
        </w:tc>
      </w:tr>
      <w:tr w:rsidR="00826159" w:rsidRPr="00996F0B" w14:paraId="44E5E943" w14:textId="77777777" w:rsidTr="00943E2E">
        <w:trPr>
          <w:trHeight w:val="259"/>
        </w:trPr>
        <w:tc>
          <w:tcPr>
            <w:tcW w:w="1294" w:type="dxa"/>
            <w:vMerge/>
            <w:tcBorders>
              <w:top w:val="nil"/>
              <w:left w:val="nil"/>
              <w:bottom w:val="single" w:sz="4" w:space="0" w:color="auto"/>
              <w:right w:val="nil"/>
            </w:tcBorders>
            <w:vAlign w:val="center"/>
          </w:tcPr>
          <w:p w14:paraId="29BC2E11"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nil"/>
              <w:left w:val="nil"/>
              <w:bottom w:val="single" w:sz="4" w:space="0" w:color="auto"/>
              <w:right w:val="nil"/>
            </w:tcBorders>
            <w:vAlign w:val="center"/>
          </w:tcPr>
          <w:p w14:paraId="334010C7" w14:textId="77777777" w:rsidR="00826159" w:rsidRPr="00A53BCD" w:rsidRDefault="00826159" w:rsidP="00943E2E">
            <w:pPr>
              <w:jc w:val="both"/>
              <w:rPr>
                <w:rFonts w:ascii="Times New Roman" w:hAnsi="Times New Roman" w:cs="Times New Roman"/>
                <w:color w:val="000000"/>
                <w:sz w:val="24"/>
                <w:szCs w:val="24"/>
              </w:rPr>
            </w:pPr>
            <w:r w:rsidRPr="00A53BCD">
              <w:rPr>
                <w:rFonts w:ascii="Times New Roman" w:hAnsi="Times New Roman" w:cs="Times New Roman"/>
                <w:color w:val="000000"/>
                <w:sz w:val="24"/>
                <w:szCs w:val="24"/>
              </w:rPr>
              <w:t xml:space="preserve">Upgrade </w:t>
            </w:r>
            <w:r w:rsidRPr="008E64B8">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w:t>
            </w:r>
            <w:r w:rsidRPr="00A53BCD">
              <w:rPr>
                <w:rFonts w:ascii="Times New Roman" w:hAnsi="Times New Roman" w:cs="Times New Roman"/>
                <w:color w:val="000000"/>
                <w:sz w:val="24"/>
                <w:szCs w:val="24"/>
              </w:rPr>
              <w:t>Downgrade</w:t>
            </w:r>
          </w:p>
        </w:tc>
        <w:tc>
          <w:tcPr>
            <w:tcW w:w="2340" w:type="dxa"/>
            <w:tcBorders>
              <w:top w:val="nil"/>
              <w:left w:val="nil"/>
              <w:bottom w:val="single" w:sz="4" w:space="0" w:color="auto"/>
              <w:right w:val="nil"/>
            </w:tcBorders>
          </w:tcPr>
          <w:p w14:paraId="3BD06A86"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1.377%</w:t>
            </w:r>
          </w:p>
        </w:tc>
        <w:tc>
          <w:tcPr>
            <w:tcW w:w="2648" w:type="dxa"/>
            <w:tcBorders>
              <w:top w:val="nil"/>
              <w:left w:val="nil"/>
              <w:bottom w:val="single" w:sz="4" w:space="0" w:color="auto"/>
              <w:right w:val="nil"/>
            </w:tcBorders>
          </w:tcPr>
          <w:p w14:paraId="4593746A"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0.003%</w:t>
            </w:r>
          </w:p>
        </w:tc>
      </w:tr>
      <w:tr w:rsidR="00826159" w:rsidRPr="00996F0B" w14:paraId="33F51D44" w14:textId="77777777" w:rsidTr="00943E2E">
        <w:trPr>
          <w:trHeight w:val="259"/>
        </w:trPr>
        <w:tc>
          <w:tcPr>
            <w:tcW w:w="1294" w:type="dxa"/>
            <w:vMerge/>
            <w:tcBorders>
              <w:top w:val="nil"/>
              <w:left w:val="nil"/>
              <w:bottom w:val="single" w:sz="4" w:space="0" w:color="auto"/>
              <w:right w:val="nil"/>
            </w:tcBorders>
            <w:vAlign w:val="center"/>
          </w:tcPr>
          <w:p w14:paraId="4332989D"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single" w:sz="4" w:space="0" w:color="auto"/>
              <w:right w:val="nil"/>
            </w:tcBorders>
            <w:vAlign w:val="center"/>
          </w:tcPr>
          <w:p w14:paraId="0715A0BF" w14:textId="77777777" w:rsidR="00826159" w:rsidRPr="00F56A44" w:rsidRDefault="00826159" w:rsidP="00943E2E">
            <w:pPr>
              <w:jc w:val="both"/>
              <w:rPr>
                <w:rFonts w:ascii="Times New Roman" w:hAnsi="Times New Roman" w:cs="Times New Roman"/>
                <w:sz w:val="24"/>
                <w:szCs w:val="24"/>
              </w:rPr>
            </w:pPr>
            <w:r w:rsidRPr="004F0763">
              <w:rPr>
                <w:rFonts w:ascii="Times New Roman" w:hAnsi="Times New Roman" w:cs="Times New Roman"/>
                <w:b/>
                <w:bCs/>
                <w:color w:val="000000"/>
                <w:sz w:val="24"/>
                <w:szCs w:val="24"/>
              </w:rPr>
              <w:t>Average</w:t>
            </w:r>
          </w:p>
        </w:tc>
        <w:tc>
          <w:tcPr>
            <w:tcW w:w="2340" w:type="dxa"/>
            <w:tcBorders>
              <w:top w:val="single" w:sz="4" w:space="0" w:color="auto"/>
              <w:left w:val="nil"/>
              <w:bottom w:val="single" w:sz="4" w:space="0" w:color="auto"/>
              <w:right w:val="nil"/>
            </w:tcBorders>
            <w:vAlign w:val="center"/>
          </w:tcPr>
          <w:p w14:paraId="63C46D77" w14:textId="77777777" w:rsidR="00826159" w:rsidRPr="005B01A1" w:rsidRDefault="00826159" w:rsidP="00943E2E">
            <w:pPr>
              <w:jc w:val="center"/>
              <w:rPr>
                <w:rFonts w:ascii="Times New Roman" w:hAnsi="Times New Roman" w:cs="Times New Roman"/>
                <w:color w:val="000000"/>
                <w:sz w:val="24"/>
                <w:szCs w:val="24"/>
              </w:rPr>
            </w:pPr>
            <w:r w:rsidRPr="0081364B">
              <w:rPr>
                <w:rFonts w:ascii="Times New Roman" w:hAnsi="Times New Roman" w:cs="Times New Roman"/>
                <w:color w:val="000000"/>
                <w:sz w:val="24"/>
                <w:szCs w:val="24"/>
              </w:rPr>
              <w:t>12.473%</w:t>
            </w:r>
          </w:p>
        </w:tc>
        <w:tc>
          <w:tcPr>
            <w:tcW w:w="2648" w:type="dxa"/>
            <w:tcBorders>
              <w:top w:val="single" w:sz="4" w:space="0" w:color="auto"/>
              <w:left w:val="nil"/>
              <w:bottom w:val="single" w:sz="4" w:space="0" w:color="auto"/>
              <w:right w:val="nil"/>
            </w:tcBorders>
            <w:vAlign w:val="center"/>
          </w:tcPr>
          <w:p w14:paraId="01A86346" w14:textId="77777777" w:rsidR="00826159" w:rsidRPr="005B01A1" w:rsidRDefault="00826159" w:rsidP="00943E2E">
            <w:pPr>
              <w:jc w:val="center"/>
              <w:rPr>
                <w:rFonts w:ascii="Times New Roman" w:hAnsi="Times New Roman" w:cs="Times New Roman"/>
                <w:color w:val="000000"/>
                <w:sz w:val="24"/>
                <w:szCs w:val="24"/>
              </w:rPr>
            </w:pPr>
            <w:r w:rsidRPr="0081364B">
              <w:rPr>
                <w:rFonts w:ascii="Times New Roman" w:hAnsi="Times New Roman" w:cs="Times New Roman"/>
                <w:color w:val="000000"/>
                <w:sz w:val="24"/>
                <w:szCs w:val="24"/>
              </w:rPr>
              <w:t>0.025%</w:t>
            </w:r>
          </w:p>
        </w:tc>
      </w:tr>
      <w:tr w:rsidR="00826159" w:rsidRPr="00996F0B" w14:paraId="50FC7624" w14:textId="77777777" w:rsidTr="00943E2E">
        <w:trPr>
          <w:trHeight w:val="20"/>
        </w:trPr>
        <w:tc>
          <w:tcPr>
            <w:tcW w:w="1294" w:type="dxa"/>
            <w:vMerge w:val="restart"/>
            <w:tcBorders>
              <w:top w:val="nil"/>
              <w:left w:val="nil"/>
              <w:bottom w:val="single" w:sz="4" w:space="0" w:color="auto"/>
              <w:right w:val="nil"/>
            </w:tcBorders>
            <w:vAlign w:val="center"/>
          </w:tcPr>
          <w:p w14:paraId="5D709351" w14:textId="77777777" w:rsidR="00826159" w:rsidRPr="00996F0B" w:rsidRDefault="00826159" w:rsidP="00943E2E">
            <w:pPr>
              <w:contextualSpacing/>
              <w:jc w:val="both"/>
              <w:rPr>
                <w:rFonts w:ascii="Times New Roman" w:hAnsi="Times New Roman" w:cs="Times New Roman"/>
                <w:sz w:val="24"/>
                <w:szCs w:val="24"/>
              </w:rPr>
            </w:pPr>
            <w:r w:rsidRPr="00A53BCD">
              <w:rPr>
                <w:rFonts w:ascii="Times New Roman" w:hAnsi="Times New Roman" w:cs="Times New Roman"/>
                <w:sz w:val="24"/>
                <w:szCs w:val="24"/>
              </w:rPr>
              <w:t>Negative</w:t>
            </w:r>
          </w:p>
        </w:tc>
        <w:tc>
          <w:tcPr>
            <w:tcW w:w="2538" w:type="dxa"/>
            <w:tcBorders>
              <w:top w:val="single" w:sz="4" w:space="0" w:color="auto"/>
              <w:left w:val="nil"/>
              <w:bottom w:val="nil"/>
              <w:right w:val="nil"/>
            </w:tcBorders>
            <w:vAlign w:val="center"/>
          </w:tcPr>
          <w:p w14:paraId="42D0790F" w14:textId="77777777" w:rsidR="00826159" w:rsidRPr="004F0763" w:rsidRDefault="00826159" w:rsidP="00943E2E">
            <w:pPr>
              <w:jc w:val="both"/>
              <w:rPr>
                <w:rFonts w:ascii="Times New Roman" w:hAnsi="Times New Roman" w:cs="Times New Roman"/>
                <w:b/>
                <w:bCs/>
                <w:color w:val="000000"/>
                <w:sz w:val="24"/>
                <w:szCs w:val="24"/>
              </w:rPr>
            </w:pPr>
            <w:r w:rsidRPr="00A53BCD">
              <w:rPr>
                <w:rFonts w:ascii="Times New Roman" w:hAnsi="Times New Roman" w:cs="Times New Roman"/>
                <w:color w:val="000000"/>
                <w:sz w:val="24"/>
                <w:szCs w:val="24"/>
              </w:rPr>
              <w:t>Upgrade</w:t>
            </w:r>
          </w:p>
        </w:tc>
        <w:tc>
          <w:tcPr>
            <w:tcW w:w="2340" w:type="dxa"/>
            <w:tcBorders>
              <w:top w:val="single" w:sz="4" w:space="0" w:color="auto"/>
              <w:left w:val="nil"/>
              <w:bottom w:val="nil"/>
              <w:right w:val="nil"/>
            </w:tcBorders>
          </w:tcPr>
          <w:p w14:paraId="52C10286" w14:textId="77777777" w:rsidR="00826159" w:rsidRPr="0081364B"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34.819%</w:t>
            </w:r>
          </w:p>
        </w:tc>
        <w:tc>
          <w:tcPr>
            <w:tcW w:w="2648" w:type="dxa"/>
            <w:tcBorders>
              <w:top w:val="single" w:sz="4" w:space="0" w:color="auto"/>
              <w:left w:val="nil"/>
              <w:bottom w:val="nil"/>
              <w:right w:val="nil"/>
            </w:tcBorders>
          </w:tcPr>
          <w:p w14:paraId="518AB2DC" w14:textId="77777777" w:rsidR="00826159" w:rsidRPr="0081364B"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-0.013%</w:t>
            </w:r>
          </w:p>
        </w:tc>
      </w:tr>
      <w:tr w:rsidR="00826159" w:rsidRPr="00996F0B" w14:paraId="2FBA09B8" w14:textId="77777777" w:rsidTr="00943E2E">
        <w:trPr>
          <w:trHeight w:val="259"/>
        </w:trPr>
        <w:tc>
          <w:tcPr>
            <w:tcW w:w="1294" w:type="dxa"/>
            <w:vMerge/>
            <w:tcBorders>
              <w:top w:val="nil"/>
              <w:left w:val="nil"/>
              <w:bottom w:val="single" w:sz="4" w:space="0" w:color="auto"/>
              <w:right w:val="nil"/>
            </w:tcBorders>
            <w:vAlign w:val="center"/>
          </w:tcPr>
          <w:p w14:paraId="004D2337"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nil"/>
              <w:right w:val="nil"/>
            </w:tcBorders>
            <w:vAlign w:val="center"/>
          </w:tcPr>
          <w:p w14:paraId="2A4CAA2E" w14:textId="77777777" w:rsidR="00826159" w:rsidRPr="00A53BCD" w:rsidRDefault="00826159" w:rsidP="00943E2E">
            <w:pPr>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Neutral </w:t>
            </w:r>
            <w:r w:rsidRPr="008E64B8">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Upgrade</w:t>
            </w:r>
          </w:p>
        </w:tc>
        <w:tc>
          <w:tcPr>
            <w:tcW w:w="2340" w:type="dxa"/>
            <w:tcBorders>
              <w:top w:val="nil"/>
              <w:left w:val="nil"/>
              <w:bottom w:val="nil"/>
              <w:right w:val="nil"/>
            </w:tcBorders>
          </w:tcPr>
          <w:p w14:paraId="5A297F34"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9.485%</w:t>
            </w:r>
          </w:p>
        </w:tc>
        <w:tc>
          <w:tcPr>
            <w:tcW w:w="2648" w:type="dxa"/>
            <w:tcBorders>
              <w:top w:val="nil"/>
              <w:left w:val="nil"/>
              <w:bottom w:val="nil"/>
              <w:right w:val="nil"/>
            </w:tcBorders>
          </w:tcPr>
          <w:p w14:paraId="0501C39D"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-0.001%</w:t>
            </w:r>
          </w:p>
        </w:tc>
      </w:tr>
      <w:tr w:rsidR="00826159" w:rsidRPr="00996F0B" w14:paraId="71F93C79" w14:textId="77777777" w:rsidTr="00943E2E">
        <w:trPr>
          <w:trHeight w:val="259"/>
        </w:trPr>
        <w:tc>
          <w:tcPr>
            <w:tcW w:w="1294" w:type="dxa"/>
            <w:vMerge/>
            <w:tcBorders>
              <w:top w:val="nil"/>
              <w:left w:val="nil"/>
              <w:bottom w:val="single" w:sz="4" w:space="0" w:color="auto"/>
              <w:right w:val="nil"/>
            </w:tcBorders>
            <w:vAlign w:val="center"/>
          </w:tcPr>
          <w:p w14:paraId="0F13ADB7"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single" w:sz="4" w:space="0" w:color="auto"/>
              <w:right w:val="nil"/>
            </w:tcBorders>
            <w:vAlign w:val="center"/>
          </w:tcPr>
          <w:p w14:paraId="00FBFF1B" w14:textId="77777777" w:rsidR="00826159" w:rsidRPr="00A53BCD" w:rsidRDefault="00826159" w:rsidP="00943E2E">
            <w:pPr>
              <w:contextualSpacing/>
              <w:jc w:val="both"/>
              <w:rPr>
                <w:rFonts w:ascii="Times New Roman" w:hAnsi="Times New Roman" w:cs="Times New Roman"/>
                <w:sz w:val="24"/>
                <w:szCs w:val="24"/>
              </w:rPr>
            </w:pPr>
            <w:r w:rsidRPr="00BE5AB5">
              <w:rPr>
                <w:rFonts w:ascii="Times New Roman" w:hAnsi="Times New Roman" w:cs="Times New Roman"/>
                <w:color w:val="000000"/>
                <w:sz w:val="24"/>
                <w:szCs w:val="24"/>
              </w:rPr>
              <w:t>Downgrade</w:t>
            </w:r>
            <w:r>
              <w:rPr>
                <w:rFonts w:ascii="Times New Roman" w:hAnsi="Times New Roman" w:cs="Times New Roman"/>
                <w:color w:val="000000"/>
                <w:sz w:val="24"/>
                <w:szCs w:val="24"/>
              </w:rPr>
              <w:t xml:space="preserve"> </w:t>
            </w:r>
            <w:r w:rsidRPr="00F56A44">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w:t>
            </w:r>
            <w:r w:rsidRPr="00BE5AB5">
              <w:rPr>
                <w:rFonts w:ascii="Times New Roman" w:hAnsi="Times New Roman" w:cs="Times New Roman"/>
                <w:color w:val="000000"/>
                <w:sz w:val="24"/>
                <w:szCs w:val="24"/>
              </w:rPr>
              <w:t>Upgrade</w:t>
            </w:r>
          </w:p>
        </w:tc>
        <w:tc>
          <w:tcPr>
            <w:tcW w:w="2340" w:type="dxa"/>
            <w:tcBorders>
              <w:top w:val="nil"/>
              <w:left w:val="nil"/>
              <w:bottom w:val="single" w:sz="4" w:space="0" w:color="auto"/>
              <w:right w:val="nil"/>
            </w:tcBorders>
          </w:tcPr>
          <w:p w14:paraId="5E765612"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12.649%</w:t>
            </w:r>
          </w:p>
        </w:tc>
        <w:tc>
          <w:tcPr>
            <w:tcW w:w="2648" w:type="dxa"/>
            <w:tcBorders>
              <w:top w:val="nil"/>
              <w:left w:val="nil"/>
              <w:bottom w:val="single" w:sz="4" w:space="0" w:color="auto"/>
              <w:right w:val="nil"/>
            </w:tcBorders>
          </w:tcPr>
          <w:p w14:paraId="7CD0D145"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-0.001%</w:t>
            </w:r>
          </w:p>
        </w:tc>
      </w:tr>
      <w:tr w:rsidR="00826159" w:rsidRPr="00996F0B" w14:paraId="7D429A65" w14:textId="77777777" w:rsidTr="00943E2E">
        <w:trPr>
          <w:trHeight w:val="259"/>
        </w:trPr>
        <w:tc>
          <w:tcPr>
            <w:tcW w:w="1294" w:type="dxa"/>
            <w:vMerge/>
            <w:tcBorders>
              <w:top w:val="nil"/>
              <w:left w:val="nil"/>
              <w:bottom w:val="single" w:sz="4" w:space="0" w:color="auto"/>
              <w:right w:val="nil"/>
            </w:tcBorders>
            <w:vAlign w:val="center"/>
          </w:tcPr>
          <w:p w14:paraId="0191EA44"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single" w:sz="4" w:space="0" w:color="auto"/>
              <w:right w:val="nil"/>
            </w:tcBorders>
            <w:vAlign w:val="center"/>
          </w:tcPr>
          <w:p w14:paraId="55D4F35E" w14:textId="77777777" w:rsidR="00826159" w:rsidRPr="00A53BCD" w:rsidRDefault="00826159" w:rsidP="00943E2E">
            <w:pPr>
              <w:contextualSpacing/>
              <w:jc w:val="both"/>
              <w:rPr>
                <w:rFonts w:ascii="Times New Roman" w:hAnsi="Times New Roman" w:cs="Times New Roman"/>
                <w:color w:val="000000"/>
                <w:sz w:val="24"/>
                <w:szCs w:val="24"/>
              </w:rPr>
            </w:pPr>
            <w:r w:rsidRPr="004F0763">
              <w:rPr>
                <w:rFonts w:ascii="Times New Roman" w:hAnsi="Times New Roman" w:cs="Times New Roman"/>
                <w:b/>
                <w:bCs/>
                <w:color w:val="000000"/>
                <w:sz w:val="24"/>
                <w:szCs w:val="24"/>
              </w:rPr>
              <w:t>Average</w:t>
            </w:r>
          </w:p>
        </w:tc>
        <w:tc>
          <w:tcPr>
            <w:tcW w:w="2340" w:type="dxa"/>
            <w:tcBorders>
              <w:top w:val="single" w:sz="4" w:space="0" w:color="auto"/>
              <w:left w:val="nil"/>
              <w:bottom w:val="single" w:sz="4" w:space="0" w:color="auto"/>
              <w:right w:val="nil"/>
            </w:tcBorders>
            <w:vAlign w:val="center"/>
          </w:tcPr>
          <w:p w14:paraId="65892D9F" w14:textId="77777777" w:rsidR="00826159" w:rsidRPr="005B01A1" w:rsidRDefault="00826159" w:rsidP="00943E2E">
            <w:pPr>
              <w:jc w:val="center"/>
              <w:rPr>
                <w:rFonts w:ascii="Times New Roman" w:hAnsi="Times New Roman" w:cs="Times New Roman"/>
                <w:color w:val="000000"/>
                <w:sz w:val="24"/>
                <w:szCs w:val="24"/>
              </w:rPr>
            </w:pPr>
            <w:r w:rsidRPr="0081364B">
              <w:rPr>
                <w:rFonts w:ascii="Times New Roman" w:hAnsi="Times New Roman" w:cs="Times New Roman"/>
                <w:color w:val="000000"/>
                <w:sz w:val="24"/>
                <w:szCs w:val="24"/>
              </w:rPr>
              <w:t>18.984%</w:t>
            </w:r>
          </w:p>
        </w:tc>
        <w:tc>
          <w:tcPr>
            <w:tcW w:w="2648" w:type="dxa"/>
            <w:tcBorders>
              <w:top w:val="single" w:sz="4" w:space="0" w:color="auto"/>
              <w:left w:val="nil"/>
              <w:bottom w:val="single" w:sz="4" w:space="0" w:color="auto"/>
              <w:right w:val="nil"/>
            </w:tcBorders>
            <w:vAlign w:val="center"/>
          </w:tcPr>
          <w:p w14:paraId="5AA81536" w14:textId="77777777" w:rsidR="00826159" w:rsidRPr="005B01A1" w:rsidRDefault="00826159" w:rsidP="00943E2E">
            <w:pPr>
              <w:jc w:val="center"/>
              <w:rPr>
                <w:rFonts w:ascii="Times New Roman" w:hAnsi="Times New Roman" w:cs="Times New Roman"/>
                <w:color w:val="000000"/>
                <w:sz w:val="24"/>
                <w:szCs w:val="24"/>
              </w:rPr>
            </w:pPr>
            <w:r w:rsidRPr="0081364B">
              <w:rPr>
                <w:rFonts w:ascii="Times New Roman" w:hAnsi="Times New Roman" w:cs="Times New Roman"/>
                <w:color w:val="000000"/>
                <w:sz w:val="24"/>
                <w:szCs w:val="24"/>
              </w:rPr>
              <w:t>-0.005%</w:t>
            </w:r>
          </w:p>
        </w:tc>
      </w:tr>
      <w:tr w:rsidR="00826159" w:rsidRPr="00996F0B" w14:paraId="60AF954B" w14:textId="77777777" w:rsidTr="00943E2E">
        <w:trPr>
          <w:trHeight w:val="273"/>
        </w:trPr>
        <w:tc>
          <w:tcPr>
            <w:tcW w:w="1294" w:type="dxa"/>
            <w:vMerge/>
            <w:tcBorders>
              <w:top w:val="nil"/>
              <w:left w:val="nil"/>
              <w:bottom w:val="single" w:sz="4" w:space="0" w:color="auto"/>
              <w:right w:val="nil"/>
            </w:tcBorders>
            <w:vAlign w:val="center"/>
          </w:tcPr>
          <w:p w14:paraId="7F2A1677"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nil"/>
              <w:right w:val="nil"/>
            </w:tcBorders>
            <w:vAlign w:val="center"/>
          </w:tcPr>
          <w:p w14:paraId="0CACC427" w14:textId="77777777" w:rsidR="00826159" w:rsidRPr="00A53BCD" w:rsidRDefault="00826159" w:rsidP="00943E2E">
            <w:pPr>
              <w:contextualSpacing/>
              <w:jc w:val="both"/>
              <w:rPr>
                <w:rFonts w:ascii="Times New Roman" w:hAnsi="Times New Roman" w:cs="Times New Roman"/>
                <w:sz w:val="24"/>
                <w:szCs w:val="24"/>
              </w:rPr>
            </w:pPr>
            <w:r>
              <w:rPr>
                <w:rFonts w:ascii="Times New Roman" w:hAnsi="Times New Roman" w:cs="Times New Roman"/>
                <w:color w:val="000000"/>
                <w:sz w:val="24"/>
                <w:szCs w:val="24"/>
              </w:rPr>
              <w:t>Neutral</w:t>
            </w:r>
          </w:p>
        </w:tc>
        <w:tc>
          <w:tcPr>
            <w:tcW w:w="2340" w:type="dxa"/>
            <w:tcBorders>
              <w:top w:val="single" w:sz="4" w:space="0" w:color="auto"/>
              <w:left w:val="nil"/>
              <w:bottom w:val="nil"/>
              <w:right w:val="nil"/>
            </w:tcBorders>
          </w:tcPr>
          <w:p w14:paraId="5AEDB574"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29.462%</w:t>
            </w:r>
          </w:p>
        </w:tc>
        <w:tc>
          <w:tcPr>
            <w:tcW w:w="2648" w:type="dxa"/>
            <w:tcBorders>
              <w:top w:val="single" w:sz="4" w:space="0" w:color="auto"/>
              <w:left w:val="nil"/>
              <w:bottom w:val="nil"/>
              <w:right w:val="nil"/>
            </w:tcBorders>
          </w:tcPr>
          <w:p w14:paraId="6C570033"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-0.007%</w:t>
            </w:r>
          </w:p>
        </w:tc>
      </w:tr>
      <w:tr w:rsidR="00826159" w:rsidRPr="00996F0B" w14:paraId="1361CAC5" w14:textId="77777777" w:rsidTr="00943E2E">
        <w:trPr>
          <w:trHeight w:val="273"/>
        </w:trPr>
        <w:tc>
          <w:tcPr>
            <w:tcW w:w="1294" w:type="dxa"/>
            <w:vMerge/>
            <w:tcBorders>
              <w:top w:val="nil"/>
              <w:left w:val="nil"/>
              <w:bottom w:val="single" w:sz="4" w:space="0" w:color="auto"/>
              <w:right w:val="nil"/>
            </w:tcBorders>
            <w:vAlign w:val="center"/>
          </w:tcPr>
          <w:p w14:paraId="4AFF4652"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nil"/>
              <w:right w:val="nil"/>
            </w:tcBorders>
            <w:vAlign w:val="center"/>
          </w:tcPr>
          <w:p w14:paraId="3E399D18" w14:textId="77777777" w:rsidR="00826159" w:rsidRPr="00A53BCD" w:rsidRDefault="00826159" w:rsidP="00943E2E">
            <w:pPr>
              <w:contextualSpacing/>
              <w:jc w:val="both"/>
              <w:rPr>
                <w:rFonts w:ascii="Times New Roman" w:hAnsi="Times New Roman" w:cs="Times New Roman"/>
                <w:sz w:val="24"/>
                <w:szCs w:val="24"/>
              </w:rPr>
            </w:pPr>
            <w:r w:rsidRPr="00BE5AB5">
              <w:rPr>
                <w:rFonts w:ascii="Times New Roman" w:hAnsi="Times New Roman" w:cs="Times New Roman"/>
                <w:color w:val="000000"/>
                <w:sz w:val="24"/>
                <w:szCs w:val="24"/>
              </w:rPr>
              <w:t xml:space="preserve">Downgrade </w:t>
            </w:r>
            <w:r w:rsidRPr="008E64B8">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w:t>
            </w:r>
            <w:r w:rsidRPr="00BE5AB5">
              <w:rPr>
                <w:rFonts w:ascii="Times New Roman" w:hAnsi="Times New Roman" w:cs="Times New Roman"/>
                <w:color w:val="000000"/>
                <w:sz w:val="24"/>
                <w:szCs w:val="24"/>
              </w:rPr>
              <w:t>Neutral</w:t>
            </w:r>
          </w:p>
        </w:tc>
        <w:tc>
          <w:tcPr>
            <w:tcW w:w="2340" w:type="dxa"/>
            <w:tcBorders>
              <w:top w:val="nil"/>
              <w:left w:val="nil"/>
              <w:bottom w:val="nil"/>
              <w:right w:val="nil"/>
            </w:tcBorders>
          </w:tcPr>
          <w:p w14:paraId="434C6B60"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10.539%</w:t>
            </w:r>
          </w:p>
        </w:tc>
        <w:tc>
          <w:tcPr>
            <w:tcW w:w="2648" w:type="dxa"/>
            <w:tcBorders>
              <w:top w:val="nil"/>
              <w:left w:val="nil"/>
              <w:bottom w:val="nil"/>
              <w:right w:val="nil"/>
            </w:tcBorders>
          </w:tcPr>
          <w:p w14:paraId="65C00A8E"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-0.002%</w:t>
            </w:r>
          </w:p>
        </w:tc>
      </w:tr>
      <w:tr w:rsidR="00826159" w:rsidRPr="00996F0B" w14:paraId="529D89BF" w14:textId="77777777" w:rsidTr="00943E2E">
        <w:trPr>
          <w:trHeight w:val="273"/>
        </w:trPr>
        <w:tc>
          <w:tcPr>
            <w:tcW w:w="1294" w:type="dxa"/>
            <w:vMerge/>
            <w:tcBorders>
              <w:top w:val="nil"/>
              <w:left w:val="nil"/>
              <w:bottom w:val="single" w:sz="4" w:space="0" w:color="auto"/>
              <w:right w:val="nil"/>
            </w:tcBorders>
            <w:vAlign w:val="center"/>
          </w:tcPr>
          <w:p w14:paraId="29ACB199"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nil"/>
              <w:left w:val="nil"/>
              <w:bottom w:val="single" w:sz="4" w:space="0" w:color="auto"/>
              <w:right w:val="nil"/>
            </w:tcBorders>
            <w:vAlign w:val="center"/>
          </w:tcPr>
          <w:p w14:paraId="6125FFBD" w14:textId="77777777" w:rsidR="00826159" w:rsidRPr="00A53BCD" w:rsidRDefault="00826159" w:rsidP="00943E2E">
            <w:pPr>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Upgrade </w:t>
            </w:r>
            <w:r w:rsidRPr="003F52A5">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Neutral</w:t>
            </w:r>
          </w:p>
        </w:tc>
        <w:tc>
          <w:tcPr>
            <w:tcW w:w="2340" w:type="dxa"/>
            <w:tcBorders>
              <w:top w:val="nil"/>
              <w:left w:val="nil"/>
              <w:bottom w:val="single" w:sz="4" w:space="0" w:color="auto"/>
              <w:right w:val="nil"/>
            </w:tcBorders>
          </w:tcPr>
          <w:p w14:paraId="09D0E89B"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9.974%</w:t>
            </w:r>
          </w:p>
        </w:tc>
        <w:tc>
          <w:tcPr>
            <w:tcW w:w="2648" w:type="dxa"/>
            <w:tcBorders>
              <w:top w:val="nil"/>
              <w:left w:val="nil"/>
              <w:bottom w:val="single" w:sz="4" w:space="0" w:color="auto"/>
              <w:right w:val="nil"/>
            </w:tcBorders>
          </w:tcPr>
          <w:p w14:paraId="2E7827D9"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-0.002%</w:t>
            </w:r>
          </w:p>
        </w:tc>
      </w:tr>
      <w:tr w:rsidR="00826159" w:rsidRPr="00996F0B" w14:paraId="13560A4F" w14:textId="77777777" w:rsidTr="00943E2E">
        <w:trPr>
          <w:trHeight w:val="273"/>
        </w:trPr>
        <w:tc>
          <w:tcPr>
            <w:tcW w:w="1294" w:type="dxa"/>
            <w:vMerge/>
            <w:tcBorders>
              <w:top w:val="nil"/>
              <w:left w:val="nil"/>
              <w:bottom w:val="single" w:sz="4" w:space="0" w:color="auto"/>
              <w:right w:val="nil"/>
            </w:tcBorders>
            <w:vAlign w:val="center"/>
          </w:tcPr>
          <w:p w14:paraId="00BA3D08" w14:textId="77777777" w:rsidR="00826159" w:rsidRPr="00A53BCD"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single" w:sz="4" w:space="0" w:color="auto"/>
              <w:right w:val="nil"/>
            </w:tcBorders>
            <w:vAlign w:val="center"/>
          </w:tcPr>
          <w:p w14:paraId="03C40AD1" w14:textId="77777777" w:rsidR="00826159" w:rsidRPr="00BE5AB5" w:rsidRDefault="00826159" w:rsidP="00943E2E">
            <w:pPr>
              <w:contextualSpacing/>
              <w:jc w:val="both"/>
              <w:rPr>
                <w:rFonts w:ascii="Times New Roman" w:hAnsi="Times New Roman" w:cs="Times New Roman"/>
                <w:color w:val="000000"/>
                <w:sz w:val="24"/>
                <w:szCs w:val="24"/>
              </w:rPr>
            </w:pPr>
            <w:r w:rsidRPr="004F0763">
              <w:rPr>
                <w:rFonts w:ascii="Times New Roman" w:hAnsi="Times New Roman" w:cs="Times New Roman"/>
                <w:b/>
                <w:bCs/>
                <w:color w:val="000000"/>
                <w:sz w:val="24"/>
                <w:szCs w:val="24"/>
              </w:rPr>
              <w:t>Average</w:t>
            </w:r>
          </w:p>
        </w:tc>
        <w:tc>
          <w:tcPr>
            <w:tcW w:w="2340" w:type="dxa"/>
            <w:tcBorders>
              <w:top w:val="single" w:sz="4" w:space="0" w:color="auto"/>
              <w:left w:val="nil"/>
              <w:bottom w:val="single" w:sz="4" w:space="0" w:color="auto"/>
              <w:right w:val="nil"/>
            </w:tcBorders>
            <w:vAlign w:val="center"/>
          </w:tcPr>
          <w:p w14:paraId="12DF9C2B" w14:textId="77777777" w:rsidR="00826159" w:rsidRPr="005B01A1" w:rsidRDefault="00826159" w:rsidP="00943E2E">
            <w:pPr>
              <w:jc w:val="center"/>
              <w:rPr>
                <w:rFonts w:ascii="Times New Roman" w:hAnsi="Times New Roman" w:cs="Times New Roman"/>
                <w:color w:val="000000"/>
                <w:sz w:val="24"/>
                <w:szCs w:val="24"/>
              </w:rPr>
            </w:pPr>
            <w:r w:rsidRPr="0081364B">
              <w:rPr>
                <w:rFonts w:ascii="Times New Roman" w:hAnsi="Times New Roman" w:cs="Times New Roman"/>
                <w:color w:val="000000"/>
                <w:sz w:val="24"/>
                <w:szCs w:val="24"/>
              </w:rPr>
              <w:t>16.658%</w:t>
            </w:r>
          </w:p>
        </w:tc>
        <w:tc>
          <w:tcPr>
            <w:tcW w:w="2648" w:type="dxa"/>
            <w:tcBorders>
              <w:top w:val="single" w:sz="4" w:space="0" w:color="auto"/>
              <w:left w:val="nil"/>
              <w:bottom w:val="single" w:sz="4" w:space="0" w:color="auto"/>
              <w:right w:val="nil"/>
            </w:tcBorders>
            <w:vAlign w:val="center"/>
          </w:tcPr>
          <w:p w14:paraId="2776CAFD" w14:textId="77777777" w:rsidR="00826159" w:rsidRPr="005B01A1" w:rsidRDefault="00826159" w:rsidP="00943E2E">
            <w:pPr>
              <w:jc w:val="center"/>
              <w:rPr>
                <w:rFonts w:ascii="Times New Roman" w:hAnsi="Times New Roman" w:cs="Times New Roman"/>
                <w:color w:val="000000"/>
                <w:sz w:val="24"/>
                <w:szCs w:val="24"/>
              </w:rPr>
            </w:pPr>
            <w:r w:rsidRPr="0081364B">
              <w:rPr>
                <w:rFonts w:ascii="Times New Roman" w:hAnsi="Times New Roman" w:cs="Times New Roman"/>
                <w:color w:val="000000"/>
                <w:sz w:val="24"/>
                <w:szCs w:val="24"/>
              </w:rPr>
              <w:t>-0.004%</w:t>
            </w:r>
          </w:p>
        </w:tc>
      </w:tr>
      <w:tr w:rsidR="00826159" w:rsidRPr="00996F0B" w14:paraId="5DB0E51D" w14:textId="77777777" w:rsidTr="00943E2E">
        <w:trPr>
          <w:trHeight w:val="273"/>
        </w:trPr>
        <w:tc>
          <w:tcPr>
            <w:tcW w:w="1294" w:type="dxa"/>
            <w:vMerge/>
            <w:tcBorders>
              <w:top w:val="nil"/>
              <w:left w:val="nil"/>
              <w:bottom w:val="single" w:sz="4" w:space="0" w:color="auto"/>
              <w:right w:val="nil"/>
            </w:tcBorders>
            <w:vAlign w:val="center"/>
          </w:tcPr>
          <w:p w14:paraId="66D63FCE"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nil"/>
              <w:right w:val="nil"/>
            </w:tcBorders>
            <w:vAlign w:val="center"/>
          </w:tcPr>
          <w:p w14:paraId="445AAA23" w14:textId="77777777" w:rsidR="00826159" w:rsidRPr="00F56A44" w:rsidRDefault="00826159" w:rsidP="00943E2E">
            <w:pPr>
              <w:contextualSpacing/>
              <w:jc w:val="both"/>
              <w:rPr>
                <w:rFonts w:ascii="Times New Roman" w:hAnsi="Times New Roman" w:cs="Times New Roman"/>
                <w:sz w:val="24"/>
                <w:szCs w:val="24"/>
              </w:rPr>
            </w:pPr>
            <w:r w:rsidRPr="00A53BCD">
              <w:rPr>
                <w:rFonts w:ascii="Times New Roman" w:hAnsi="Times New Roman" w:cs="Times New Roman"/>
                <w:color w:val="000000"/>
                <w:sz w:val="24"/>
                <w:szCs w:val="24"/>
              </w:rPr>
              <w:t>Downgrade</w:t>
            </w:r>
          </w:p>
        </w:tc>
        <w:tc>
          <w:tcPr>
            <w:tcW w:w="2340" w:type="dxa"/>
            <w:tcBorders>
              <w:top w:val="single" w:sz="4" w:space="0" w:color="auto"/>
              <w:left w:val="nil"/>
              <w:bottom w:val="nil"/>
              <w:right w:val="nil"/>
            </w:tcBorders>
          </w:tcPr>
          <w:p w14:paraId="653DD48F"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35.719%</w:t>
            </w:r>
          </w:p>
        </w:tc>
        <w:tc>
          <w:tcPr>
            <w:tcW w:w="2648" w:type="dxa"/>
            <w:tcBorders>
              <w:top w:val="single" w:sz="4" w:space="0" w:color="auto"/>
              <w:left w:val="nil"/>
              <w:bottom w:val="nil"/>
              <w:right w:val="nil"/>
            </w:tcBorders>
          </w:tcPr>
          <w:p w14:paraId="1010559B"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-0.005%</w:t>
            </w:r>
          </w:p>
        </w:tc>
      </w:tr>
      <w:tr w:rsidR="00826159" w:rsidRPr="00996F0B" w14:paraId="4E8EEED2" w14:textId="77777777" w:rsidTr="00943E2E">
        <w:trPr>
          <w:trHeight w:val="273"/>
        </w:trPr>
        <w:tc>
          <w:tcPr>
            <w:tcW w:w="1294" w:type="dxa"/>
            <w:vMerge/>
            <w:tcBorders>
              <w:top w:val="nil"/>
              <w:left w:val="nil"/>
              <w:bottom w:val="single" w:sz="4" w:space="0" w:color="auto"/>
              <w:right w:val="nil"/>
            </w:tcBorders>
            <w:vAlign w:val="center"/>
          </w:tcPr>
          <w:p w14:paraId="66526026"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nil"/>
              <w:left w:val="nil"/>
              <w:bottom w:val="nil"/>
              <w:right w:val="nil"/>
            </w:tcBorders>
            <w:vAlign w:val="center"/>
          </w:tcPr>
          <w:p w14:paraId="013F911D" w14:textId="77777777" w:rsidR="00826159" w:rsidRPr="00F56A44" w:rsidRDefault="00826159" w:rsidP="00943E2E">
            <w:pPr>
              <w:contextualSpacing/>
              <w:jc w:val="both"/>
              <w:rPr>
                <w:rFonts w:ascii="Times New Roman" w:hAnsi="Times New Roman" w:cs="Times New Roman"/>
                <w:sz w:val="24"/>
                <w:szCs w:val="24"/>
              </w:rPr>
            </w:pPr>
            <w:r w:rsidRPr="00BE5AB5">
              <w:rPr>
                <w:rFonts w:ascii="Times New Roman" w:hAnsi="Times New Roman" w:cs="Times New Roman"/>
                <w:color w:val="000000"/>
                <w:sz w:val="24"/>
                <w:szCs w:val="24"/>
              </w:rPr>
              <w:t xml:space="preserve">Neutral </w:t>
            </w:r>
            <w:r w:rsidRPr="003F52A5">
              <w:rPr>
                <w:rFonts w:ascii="Times New Roman" w:hAnsi="Times New Roman" w:cs="Times New Roman"/>
                <w:color w:val="000000"/>
                <w:sz w:val="24"/>
                <w:szCs w:val="24"/>
              </w:rPr>
              <w:sym w:font="Wingdings" w:char="F0E0"/>
            </w:r>
            <w:r w:rsidRPr="00BE5AB5">
              <w:rPr>
                <w:rFonts w:ascii="Times New Roman" w:hAnsi="Times New Roman" w:cs="Times New Roman"/>
                <w:color w:val="000000"/>
                <w:sz w:val="24"/>
                <w:szCs w:val="24"/>
              </w:rPr>
              <w:t xml:space="preserve"> Downgrade</w:t>
            </w:r>
          </w:p>
        </w:tc>
        <w:tc>
          <w:tcPr>
            <w:tcW w:w="2340" w:type="dxa"/>
            <w:tcBorders>
              <w:top w:val="nil"/>
              <w:left w:val="nil"/>
              <w:bottom w:val="nil"/>
              <w:right w:val="nil"/>
            </w:tcBorders>
          </w:tcPr>
          <w:p w14:paraId="7EAEA9F2"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1.589%</w:t>
            </w:r>
          </w:p>
        </w:tc>
        <w:tc>
          <w:tcPr>
            <w:tcW w:w="2648" w:type="dxa"/>
            <w:tcBorders>
              <w:top w:val="nil"/>
              <w:left w:val="nil"/>
              <w:bottom w:val="nil"/>
              <w:right w:val="nil"/>
            </w:tcBorders>
          </w:tcPr>
          <w:p w14:paraId="0DBAB3C3"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-0.001%</w:t>
            </w:r>
          </w:p>
        </w:tc>
      </w:tr>
      <w:tr w:rsidR="00826159" w:rsidRPr="00996F0B" w14:paraId="0C79049C" w14:textId="77777777" w:rsidTr="00943E2E">
        <w:trPr>
          <w:trHeight w:val="273"/>
        </w:trPr>
        <w:tc>
          <w:tcPr>
            <w:tcW w:w="1294" w:type="dxa"/>
            <w:vMerge/>
            <w:tcBorders>
              <w:top w:val="nil"/>
              <w:left w:val="nil"/>
              <w:bottom w:val="single" w:sz="4" w:space="0" w:color="auto"/>
              <w:right w:val="nil"/>
            </w:tcBorders>
            <w:vAlign w:val="center"/>
          </w:tcPr>
          <w:p w14:paraId="5C6CC3DB"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nil"/>
              <w:left w:val="nil"/>
              <w:bottom w:val="single" w:sz="4" w:space="0" w:color="auto"/>
              <w:right w:val="nil"/>
            </w:tcBorders>
            <w:vAlign w:val="center"/>
          </w:tcPr>
          <w:p w14:paraId="53A29308" w14:textId="77777777" w:rsidR="00826159" w:rsidRPr="00F56A44" w:rsidRDefault="00826159" w:rsidP="00943E2E">
            <w:pPr>
              <w:contextualSpacing/>
              <w:jc w:val="both"/>
              <w:rPr>
                <w:rFonts w:ascii="Times New Roman" w:hAnsi="Times New Roman" w:cs="Times New Roman"/>
                <w:sz w:val="24"/>
                <w:szCs w:val="24"/>
              </w:rPr>
            </w:pPr>
            <w:r w:rsidRPr="00A53BCD">
              <w:rPr>
                <w:rFonts w:ascii="Times New Roman" w:hAnsi="Times New Roman" w:cs="Times New Roman"/>
                <w:color w:val="000000"/>
                <w:sz w:val="24"/>
                <w:szCs w:val="24"/>
              </w:rPr>
              <w:t xml:space="preserve">Upgrade </w:t>
            </w:r>
            <w:r w:rsidRPr="008E64B8">
              <w:rPr>
                <w:rFonts w:ascii="Times New Roman" w:hAnsi="Times New Roman" w:cs="Times New Roman"/>
                <w:color w:val="000000"/>
                <w:sz w:val="24"/>
                <w:szCs w:val="24"/>
              </w:rPr>
              <w:sym w:font="Wingdings" w:char="F0E0"/>
            </w:r>
            <w:r>
              <w:rPr>
                <w:rFonts w:ascii="Times New Roman" w:hAnsi="Times New Roman" w:cs="Times New Roman"/>
                <w:color w:val="000000"/>
                <w:sz w:val="24"/>
                <w:szCs w:val="24"/>
              </w:rPr>
              <w:t xml:space="preserve"> </w:t>
            </w:r>
            <w:r w:rsidRPr="00A53BCD">
              <w:rPr>
                <w:rFonts w:ascii="Times New Roman" w:hAnsi="Times New Roman" w:cs="Times New Roman"/>
                <w:color w:val="000000"/>
                <w:sz w:val="24"/>
                <w:szCs w:val="24"/>
              </w:rPr>
              <w:t>Downgrade</w:t>
            </w:r>
          </w:p>
        </w:tc>
        <w:tc>
          <w:tcPr>
            <w:tcW w:w="2340" w:type="dxa"/>
            <w:tcBorders>
              <w:top w:val="nil"/>
              <w:left w:val="nil"/>
              <w:bottom w:val="single" w:sz="4" w:space="0" w:color="auto"/>
              <w:right w:val="nil"/>
            </w:tcBorders>
          </w:tcPr>
          <w:p w14:paraId="1EEF7805"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0.793%</w:t>
            </w:r>
          </w:p>
        </w:tc>
        <w:tc>
          <w:tcPr>
            <w:tcW w:w="2648" w:type="dxa"/>
            <w:tcBorders>
              <w:top w:val="nil"/>
              <w:left w:val="nil"/>
              <w:bottom w:val="single" w:sz="4" w:space="0" w:color="auto"/>
              <w:right w:val="nil"/>
            </w:tcBorders>
          </w:tcPr>
          <w:p w14:paraId="63DC10AF" w14:textId="77777777" w:rsidR="00826159" w:rsidRPr="005B01A1" w:rsidRDefault="00826159" w:rsidP="00943E2E">
            <w:pPr>
              <w:jc w:val="center"/>
              <w:rPr>
                <w:rFonts w:ascii="Times New Roman" w:hAnsi="Times New Roman" w:cs="Times New Roman"/>
                <w:color w:val="000000"/>
                <w:sz w:val="24"/>
                <w:szCs w:val="24"/>
              </w:rPr>
            </w:pPr>
            <w:r w:rsidRPr="005B01A1">
              <w:rPr>
                <w:rFonts w:ascii="Times New Roman" w:hAnsi="Times New Roman" w:cs="Times New Roman"/>
                <w:color w:val="000000"/>
                <w:sz w:val="24"/>
                <w:szCs w:val="24"/>
              </w:rPr>
              <w:t>0.000%</w:t>
            </w:r>
          </w:p>
        </w:tc>
      </w:tr>
      <w:tr w:rsidR="00826159" w:rsidRPr="00996F0B" w14:paraId="754CFD8F" w14:textId="77777777" w:rsidTr="00943E2E">
        <w:trPr>
          <w:trHeight w:val="273"/>
        </w:trPr>
        <w:tc>
          <w:tcPr>
            <w:tcW w:w="1294" w:type="dxa"/>
            <w:vMerge/>
            <w:tcBorders>
              <w:top w:val="nil"/>
              <w:left w:val="nil"/>
              <w:bottom w:val="single" w:sz="4" w:space="0" w:color="auto"/>
              <w:right w:val="nil"/>
            </w:tcBorders>
            <w:vAlign w:val="center"/>
          </w:tcPr>
          <w:p w14:paraId="19B291E4" w14:textId="77777777" w:rsidR="00826159" w:rsidRPr="00996F0B" w:rsidRDefault="00826159" w:rsidP="00943E2E">
            <w:pPr>
              <w:contextualSpacing/>
              <w:jc w:val="both"/>
              <w:rPr>
                <w:rFonts w:ascii="Times New Roman" w:hAnsi="Times New Roman" w:cs="Times New Roman"/>
                <w:sz w:val="24"/>
                <w:szCs w:val="24"/>
              </w:rPr>
            </w:pPr>
          </w:p>
        </w:tc>
        <w:tc>
          <w:tcPr>
            <w:tcW w:w="2538" w:type="dxa"/>
            <w:tcBorders>
              <w:top w:val="single" w:sz="4" w:space="0" w:color="auto"/>
              <w:left w:val="nil"/>
              <w:bottom w:val="single" w:sz="4" w:space="0" w:color="auto"/>
              <w:right w:val="nil"/>
            </w:tcBorders>
            <w:vAlign w:val="center"/>
          </w:tcPr>
          <w:p w14:paraId="72939AA9" w14:textId="77777777" w:rsidR="00826159" w:rsidRPr="00F56A44" w:rsidRDefault="00826159" w:rsidP="00943E2E">
            <w:pPr>
              <w:contextualSpacing/>
              <w:jc w:val="both"/>
              <w:rPr>
                <w:rFonts w:ascii="Times New Roman" w:hAnsi="Times New Roman" w:cs="Times New Roman"/>
                <w:sz w:val="24"/>
                <w:szCs w:val="24"/>
              </w:rPr>
            </w:pPr>
            <w:r w:rsidRPr="004D5393">
              <w:rPr>
                <w:rFonts w:ascii="Times New Roman" w:hAnsi="Times New Roman" w:cs="Times New Roman"/>
                <w:b/>
                <w:bCs/>
                <w:color w:val="000000"/>
                <w:sz w:val="24"/>
                <w:szCs w:val="24"/>
              </w:rPr>
              <w:t>Average</w:t>
            </w:r>
          </w:p>
        </w:tc>
        <w:tc>
          <w:tcPr>
            <w:tcW w:w="2340" w:type="dxa"/>
            <w:tcBorders>
              <w:top w:val="single" w:sz="4" w:space="0" w:color="auto"/>
              <w:left w:val="nil"/>
              <w:bottom w:val="single" w:sz="4" w:space="0" w:color="auto"/>
              <w:right w:val="nil"/>
            </w:tcBorders>
            <w:vAlign w:val="center"/>
          </w:tcPr>
          <w:p w14:paraId="23A1467F" w14:textId="77777777" w:rsidR="00826159" w:rsidRPr="005B01A1" w:rsidRDefault="00826159" w:rsidP="00943E2E">
            <w:pPr>
              <w:jc w:val="center"/>
              <w:rPr>
                <w:rFonts w:ascii="Times New Roman" w:hAnsi="Times New Roman" w:cs="Times New Roman"/>
                <w:color w:val="000000"/>
                <w:sz w:val="24"/>
                <w:szCs w:val="24"/>
              </w:rPr>
            </w:pPr>
            <w:r w:rsidRPr="0081364B">
              <w:rPr>
                <w:rFonts w:ascii="Times New Roman" w:hAnsi="Times New Roman" w:cs="Times New Roman"/>
                <w:color w:val="000000"/>
                <w:sz w:val="24"/>
                <w:szCs w:val="24"/>
              </w:rPr>
              <w:t>12.700%</w:t>
            </w:r>
          </w:p>
        </w:tc>
        <w:tc>
          <w:tcPr>
            <w:tcW w:w="2648" w:type="dxa"/>
            <w:tcBorders>
              <w:top w:val="single" w:sz="4" w:space="0" w:color="auto"/>
              <w:left w:val="nil"/>
              <w:bottom w:val="single" w:sz="4" w:space="0" w:color="auto"/>
              <w:right w:val="nil"/>
            </w:tcBorders>
            <w:vAlign w:val="center"/>
          </w:tcPr>
          <w:p w14:paraId="7D1A4EC6" w14:textId="77777777" w:rsidR="00826159" w:rsidRPr="005B01A1" w:rsidRDefault="00826159" w:rsidP="00943E2E">
            <w:pPr>
              <w:jc w:val="center"/>
              <w:rPr>
                <w:rFonts w:ascii="Times New Roman" w:hAnsi="Times New Roman" w:cs="Times New Roman"/>
                <w:color w:val="000000"/>
                <w:sz w:val="24"/>
                <w:szCs w:val="24"/>
              </w:rPr>
            </w:pPr>
            <w:r w:rsidRPr="0081364B">
              <w:rPr>
                <w:rFonts w:ascii="Times New Roman" w:hAnsi="Times New Roman" w:cs="Times New Roman"/>
                <w:color w:val="000000"/>
                <w:sz w:val="24"/>
                <w:szCs w:val="24"/>
              </w:rPr>
              <w:t>-0.002%</w:t>
            </w:r>
          </w:p>
        </w:tc>
      </w:tr>
    </w:tbl>
    <w:p w14:paraId="25A84C10" w14:textId="77777777" w:rsidR="00826159" w:rsidRDefault="00826159" w:rsidP="00826159">
      <w:pPr>
        <w:jc w:val="both"/>
        <w:rPr>
          <w:rFonts w:ascii="Times New Roman" w:hAnsi="Times New Roman" w:cs="Times New Roman"/>
          <w:b/>
          <w:sz w:val="20"/>
          <w:szCs w:val="20"/>
        </w:rPr>
      </w:pPr>
    </w:p>
    <w:p w14:paraId="447AD80E" w14:textId="77777777" w:rsidR="00826159" w:rsidRDefault="00826159" w:rsidP="00826159">
      <w:pPr>
        <w:tabs>
          <w:tab w:val="left" w:pos="7318"/>
        </w:tabs>
        <w:jc w:val="both"/>
      </w:pPr>
      <w:r>
        <w:tab/>
      </w:r>
    </w:p>
    <w:p w14:paraId="37BF6D8C" w14:textId="77777777" w:rsidR="00826159" w:rsidRDefault="00826159" w:rsidP="00826159">
      <w:pPr>
        <w:pStyle w:val="Caption"/>
        <w:keepNext/>
        <w:spacing w:after="0"/>
        <w:jc w:val="both"/>
        <w:rPr>
          <w:rFonts w:ascii="Times New Roman" w:hAnsi="Times New Roman" w:cs="Times New Roman"/>
          <w:color w:val="auto"/>
          <w:sz w:val="24"/>
          <w:szCs w:val="24"/>
          <w:u w:val="single"/>
        </w:rPr>
      </w:pPr>
    </w:p>
    <w:tbl>
      <w:tblPr>
        <w:tblStyle w:val="TableGrid"/>
        <w:tblW w:w="0" w:type="auto"/>
        <w:tblLook w:val="04A0" w:firstRow="1" w:lastRow="0" w:firstColumn="1" w:lastColumn="0" w:noHBand="0" w:noVBand="1"/>
      </w:tblPr>
      <w:tblGrid>
        <w:gridCol w:w="3865"/>
        <w:gridCol w:w="2700"/>
        <w:gridCol w:w="2451"/>
      </w:tblGrid>
      <w:tr w:rsidR="00826159" w14:paraId="6883F420" w14:textId="77777777" w:rsidTr="00943E2E">
        <w:tc>
          <w:tcPr>
            <w:tcW w:w="9016" w:type="dxa"/>
            <w:gridSpan w:val="3"/>
            <w:tcBorders>
              <w:left w:val="nil"/>
              <w:bottom w:val="single" w:sz="4" w:space="0" w:color="auto"/>
              <w:right w:val="nil"/>
            </w:tcBorders>
          </w:tcPr>
          <w:p w14:paraId="45DA733E" w14:textId="77777777" w:rsidR="00826159" w:rsidRDefault="00826159" w:rsidP="00943E2E">
            <w:pPr>
              <w:jc w:val="both"/>
              <w:rPr>
                <w:rFonts w:ascii="Calibri" w:eastAsia="MS Mincho" w:hAnsi="Calibri" w:cs="Arial"/>
                <w:sz w:val="24"/>
                <w:szCs w:val="24"/>
              </w:rPr>
            </w:pPr>
            <w:r w:rsidRPr="004F4BF1">
              <w:rPr>
                <w:rFonts w:ascii="Times New Roman" w:hAnsi="Times New Roman" w:cs="Times New Roman"/>
                <w:sz w:val="24"/>
                <w:szCs w:val="24"/>
              </w:rPr>
              <w:t>Panel C.</w:t>
            </w:r>
            <w:r>
              <w:rPr>
                <w:rFonts w:ascii="Times New Roman" w:hAnsi="Times New Roman" w:cs="Times New Roman"/>
                <w:sz w:val="24"/>
                <w:szCs w:val="24"/>
              </w:rPr>
              <w:t xml:space="preserve"> Statistical significance in average values</w:t>
            </w:r>
          </w:p>
        </w:tc>
      </w:tr>
      <w:tr w:rsidR="00826159" w14:paraId="615C4ECB" w14:textId="77777777" w:rsidTr="00943E2E">
        <w:tc>
          <w:tcPr>
            <w:tcW w:w="3865" w:type="dxa"/>
            <w:tcBorders>
              <w:left w:val="nil"/>
              <w:bottom w:val="single" w:sz="4" w:space="0" w:color="auto"/>
              <w:right w:val="nil"/>
            </w:tcBorders>
          </w:tcPr>
          <w:p w14:paraId="29397154" w14:textId="77777777" w:rsidR="00826159" w:rsidRDefault="00826159" w:rsidP="00943E2E">
            <w:pPr>
              <w:jc w:val="both"/>
            </w:pPr>
          </w:p>
        </w:tc>
        <w:tc>
          <w:tcPr>
            <w:tcW w:w="2700" w:type="dxa"/>
            <w:tcBorders>
              <w:left w:val="nil"/>
              <w:bottom w:val="single" w:sz="4" w:space="0" w:color="auto"/>
              <w:right w:val="nil"/>
            </w:tcBorders>
          </w:tcPr>
          <w:p w14:paraId="1BBD671A" w14:textId="77777777" w:rsidR="00826159" w:rsidRDefault="00826159" w:rsidP="00943E2E">
            <w:pPr>
              <w:jc w:val="both"/>
            </w:pPr>
            <m:oMathPara>
              <m:oMath>
                <m:r>
                  <w:rPr>
                    <w:rFonts w:ascii="Cambria Math" w:hAnsi="Cambria Math" w:cs="Times New Roman"/>
                    <w:sz w:val="24"/>
                    <w:szCs w:val="24"/>
                  </w:rPr>
                  <m:t>E[P</m:t>
                </m:r>
                <m:d>
                  <m:dPr>
                    <m:ctrlPr>
                      <w:rPr>
                        <w:rFonts w:ascii="Cambria Math" w:hAnsi="Cambria Math" w:cs="Times New Roman"/>
                        <w:i/>
                        <w:sz w:val="24"/>
                        <w:szCs w:val="24"/>
                      </w:rPr>
                    </m:ctrlPr>
                  </m:dPr>
                  <m:e>
                    <m:r>
                      <w:rPr>
                        <w:rFonts w:ascii="Cambria Math" w:hAnsi="Cambria Math" w:cs="Times New Roman"/>
                        <w:sz w:val="24"/>
                        <w:szCs w:val="24"/>
                      </w:rPr>
                      <m:t>rec</m:t>
                    </m:r>
                    <m:r>
                      <m:rPr>
                        <m:sty m:val="p"/>
                      </m:rPr>
                      <w:rPr>
                        <w:rFonts w:ascii="Cambria Math" w:hAnsi="Cambria Math" w:cs="Times New Roman"/>
                        <w:sz w:val="24"/>
                        <w:szCs w:val="24"/>
                      </w:rPr>
                      <m:t>|</m:t>
                    </m:r>
                    <m:r>
                      <w:rPr>
                        <w:rFonts w:ascii="Cambria Math" w:hAnsi="Cambria Math" w:cs="Times New Roman"/>
                        <w:sz w:val="24"/>
                        <w:szCs w:val="24"/>
                      </w:rPr>
                      <m:t>sen</m:t>
                    </m:r>
                    <m:ctrlPr>
                      <w:rPr>
                        <w:rFonts w:ascii="Cambria Math" w:hAnsi="Cambria Math" w:cs="Times New Roman"/>
                        <w:sz w:val="24"/>
                        <w:szCs w:val="24"/>
                      </w:rPr>
                    </m:ctrlPr>
                  </m:e>
                </m:d>
                <m:r>
                  <w:rPr>
                    <w:rFonts w:ascii="Cambria Math" w:hAnsi="Cambria Math" w:cs="Times New Roman"/>
                    <w:sz w:val="24"/>
                    <w:szCs w:val="24"/>
                  </w:rPr>
                  <m:t>]</m:t>
                </m:r>
              </m:oMath>
            </m:oMathPara>
          </w:p>
        </w:tc>
        <w:tc>
          <w:tcPr>
            <w:tcW w:w="2451" w:type="dxa"/>
            <w:tcBorders>
              <w:left w:val="nil"/>
              <w:bottom w:val="single" w:sz="4" w:space="0" w:color="auto"/>
              <w:right w:val="nil"/>
            </w:tcBorders>
          </w:tcPr>
          <w:p w14:paraId="4C292424" w14:textId="77777777" w:rsidR="00826159" w:rsidRDefault="00826159" w:rsidP="00943E2E">
            <w:pPr>
              <w:jc w:val="both"/>
            </w:pPr>
            <m:oMathPara>
              <m:oMath>
                <m:r>
                  <w:rPr>
                    <w:rFonts w:ascii="Cambria Math" w:hAnsi="Cambria Math" w:cs="Times New Roman"/>
                    <w:sz w:val="24"/>
                    <w:szCs w:val="24"/>
                  </w:rPr>
                  <m:t>r</m:t>
                </m:r>
                <m:r>
                  <w:rPr>
                    <w:rFonts w:ascii="Cambria Math" w:hAnsi="Cambria Math" w:cs="Times New Roman" w:hint="eastAsia"/>
                    <w:sz w:val="24"/>
                    <w:szCs w:val="24"/>
                  </w:rPr>
                  <m:t>×</m:t>
                </m:r>
                <m:r>
                  <w:rPr>
                    <w:rFonts w:ascii="Cambria Math" w:hAnsi="Cambria Math" w:cs="Times New Roman"/>
                    <w:sz w:val="24"/>
                    <w:szCs w:val="24"/>
                  </w:rPr>
                  <m:t>E[P</m:t>
                </m:r>
                <m:d>
                  <m:dPr>
                    <m:ctrlPr>
                      <w:rPr>
                        <w:rFonts w:ascii="Cambria Math" w:hAnsi="Cambria Math" w:cs="Times New Roman"/>
                        <w:i/>
                        <w:sz w:val="24"/>
                        <w:szCs w:val="24"/>
                      </w:rPr>
                    </m:ctrlPr>
                  </m:dPr>
                  <m:e>
                    <m:r>
                      <w:rPr>
                        <w:rFonts w:ascii="Cambria Math" w:hAnsi="Cambria Math" w:cs="Times New Roman"/>
                        <w:sz w:val="24"/>
                        <w:szCs w:val="24"/>
                      </w:rPr>
                      <m:t>rec</m:t>
                    </m:r>
                    <m:r>
                      <m:rPr>
                        <m:sty m:val="p"/>
                      </m:rPr>
                      <w:rPr>
                        <w:rFonts w:ascii="Cambria Math" w:hAnsi="Cambria Math" w:cs="Times New Roman"/>
                        <w:sz w:val="24"/>
                        <w:szCs w:val="24"/>
                      </w:rPr>
                      <m:t>|</m:t>
                    </m:r>
                    <m:r>
                      <w:rPr>
                        <w:rFonts w:ascii="Cambria Math" w:hAnsi="Cambria Math" w:cs="Times New Roman"/>
                        <w:sz w:val="24"/>
                        <w:szCs w:val="24"/>
                      </w:rPr>
                      <m:t>sen</m:t>
                    </m:r>
                    <m:ctrlPr>
                      <w:rPr>
                        <w:rFonts w:ascii="Cambria Math" w:hAnsi="Cambria Math" w:cs="Times New Roman"/>
                        <w:sz w:val="24"/>
                        <w:szCs w:val="24"/>
                      </w:rPr>
                    </m:ctrlPr>
                  </m:e>
                </m:d>
                <m:r>
                  <w:rPr>
                    <w:rFonts w:ascii="Cambria Math" w:hAnsi="Cambria Math" w:cs="Times New Roman"/>
                    <w:sz w:val="24"/>
                    <w:szCs w:val="24"/>
                  </w:rPr>
                  <m:t>]</m:t>
                </m:r>
              </m:oMath>
            </m:oMathPara>
          </w:p>
        </w:tc>
      </w:tr>
      <w:tr w:rsidR="00826159" w14:paraId="1BCED357" w14:textId="77777777" w:rsidTr="00943E2E">
        <w:tc>
          <w:tcPr>
            <w:tcW w:w="3865" w:type="dxa"/>
            <w:tcBorders>
              <w:left w:val="nil"/>
              <w:bottom w:val="nil"/>
              <w:right w:val="nil"/>
            </w:tcBorders>
          </w:tcPr>
          <w:p w14:paraId="2D47BA28" w14:textId="77777777" w:rsidR="00826159" w:rsidRDefault="00826159" w:rsidP="00943E2E">
            <w:pPr>
              <w:jc w:val="center"/>
              <w:rPr>
                <w:rFonts w:ascii="Times New Roman" w:hAnsi="Times New Roman" w:cs="Times New Roman"/>
                <w:sz w:val="24"/>
                <w:szCs w:val="24"/>
              </w:rPr>
            </w:pPr>
            <w:r>
              <w:rPr>
                <w:rFonts w:ascii="Times New Roman" w:hAnsi="Times New Roman" w:cs="Times New Roman"/>
                <w:sz w:val="24"/>
                <w:szCs w:val="24"/>
              </w:rPr>
              <w:t>E[</w:t>
            </w:r>
            <w:proofErr w:type="spellStart"/>
            <w:r w:rsidRPr="00C95F1C">
              <w:rPr>
                <w:rFonts w:ascii="Times New Roman" w:hAnsi="Times New Roman" w:cs="Times New Roman"/>
                <w:sz w:val="24"/>
                <w:szCs w:val="24"/>
              </w:rPr>
              <w:t>Positive</w:t>
            </w:r>
            <w:r w:rsidRPr="00C95F1C">
              <w:rPr>
                <w:rFonts w:ascii="Times New Roman" w:hAnsi="Times New Roman" w:cs="Times New Roman"/>
                <w:sz w:val="24"/>
                <w:szCs w:val="24"/>
                <w:vertAlign w:val="superscript"/>
              </w:rPr>
              <w:t>bias</w:t>
            </w:r>
            <w:proofErr w:type="spellEnd"/>
            <w:r w:rsidRPr="00C95F1C">
              <w:rPr>
                <w:rFonts w:ascii="Times New Roman" w:hAnsi="Times New Roman" w:cs="Times New Roman"/>
                <w:sz w:val="24"/>
                <w:szCs w:val="24"/>
              </w:rPr>
              <w:t xml:space="preserve"> – </w:t>
            </w:r>
            <w:proofErr w:type="spellStart"/>
            <w:r w:rsidRPr="00C95F1C">
              <w:rPr>
                <w:rFonts w:ascii="Times New Roman" w:hAnsi="Times New Roman" w:cs="Times New Roman"/>
                <w:sz w:val="24"/>
                <w:szCs w:val="24"/>
              </w:rPr>
              <w:t>Negative</w:t>
            </w:r>
            <w:r w:rsidRPr="00C95F1C">
              <w:rPr>
                <w:rFonts w:ascii="Times New Roman" w:hAnsi="Times New Roman" w:cs="Times New Roman"/>
                <w:sz w:val="24"/>
                <w:szCs w:val="24"/>
                <w:vertAlign w:val="superscript"/>
              </w:rPr>
              <w:t>bias</w:t>
            </w:r>
            <w:proofErr w:type="spellEnd"/>
            <w:r>
              <w:rPr>
                <w:rFonts w:ascii="Times New Roman" w:hAnsi="Times New Roman" w:cs="Times New Roman"/>
                <w:sz w:val="24"/>
                <w:szCs w:val="24"/>
              </w:rPr>
              <w:t>]</w:t>
            </w:r>
          </w:p>
          <w:p w14:paraId="33BD6666" w14:textId="77777777" w:rsidR="00826159" w:rsidRDefault="00826159" w:rsidP="00943E2E">
            <w:pPr>
              <w:jc w:val="center"/>
              <w:rPr>
                <w:rFonts w:ascii="Times New Roman" w:hAnsi="Times New Roman" w:cs="Times New Roman"/>
                <w:sz w:val="24"/>
                <w:szCs w:val="24"/>
              </w:rPr>
            </w:pPr>
            <w:r w:rsidRPr="00C95F1C">
              <w:rPr>
                <w:rFonts w:ascii="Times New Roman" w:hAnsi="Times New Roman" w:cs="Times New Roman"/>
                <w:sz w:val="24"/>
                <w:szCs w:val="24"/>
              </w:rPr>
              <w:t>(Cohen’s d)</w:t>
            </w:r>
          </w:p>
          <w:p w14:paraId="040E370B" w14:textId="77777777" w:rsidR="00826159" w:rsidRPr="00C95F1C" w:rsidRDefault="00826159" w:rsidP="00943E2E">
            <w:pPr>
              <w:jc w:val="center"/>
            </w:pPr>
          </w:p>
        </w:tc>
        <w:tc>
          <w:tcPr>
            <w:tcW w:w="2700" w:type="dxa"/>
            <w:tcBorders>
              <w:left w:val="nil"/>
              <w:bottom w:val="nil"/>
              <w:right w:val="nil"/>
            </w:tcBorders>
          </w:tcPr>
          <w:p w14:paraId="30624843" w14:textId="77777777" w:rsidR="00826159" w:rsidRDefault="00826159" w:rsidP="00943E2E">
            <w:pPr>
              <w:jc w:val="center"/>
              <w:rPr>
                <w:rFonts w:ascii="Times New Roman" w:hAnsi="Times New Roman" w:cs="Times New Roman"/>
                <w:color w:val="000000"/>
                <w:sz w:val="24"/>
                <w:szCs w:val="24"/>
              </w:rPr>
            </w:pPr>
            <w:r>
              <w:rPr>
                <w:rFonts w:ascii="Times New Roman" w:hAnsi="Times New Roman" w:cs="Times New Roman"/>
                <w:color w:val="000000"/>
                <w:sz w:val="24"/>
                <w:szCs w:val="24"/>
              </w:rPr>
              <w:t>0.22</w:t>
            </w:r>
            <w:r w:rsidRPr="00B1101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457AECB5" w14:textId="77777777" w:rsidR="00826159" w:rsidRPr="00B1101D" w:rsidRDefault="00826159" w:rsidP="00943E2E">
            <w:pPr>
              <w:jc w:val="center"/>
            </w:pPr>
            <w:r w:rsidRPr="00B1101D">
              <w:rPr>
                <w:rFonts w:ascii="Times New Roman" w:hAnsi="Times New Roman" w:cs="Times New Roman"/>
                <w:color w:val="000000"/>
                <w:sz w:val="24"/>
                <w:szCs w:val="24"/>
              </w:rPr>
              <w:t>(0.</w:t>
            </w:r>
            <w:r>
              <w:rPr>
                <w:rFonts w:ascii="Times New Roman" w:hAnsi="Times New Roman" w:cs="Times New Roman"/>
                <w:color w:val="000000"/>
                <w:sz w:val="24"/>
                <w:szCs w:val="24"/>
              </w:rPr>
              <w:t>02</w:t>
            </w:r>
            <w:r w:rsidRPr="00B1101D">
              <w:rPr>
                <w:rFonts w:ascii="Times New Roman" w:hAnsi="Times New Roman" w:cs="Times New Roman"/>
                <w:color w:val="000000"/>
                <w:sz w:val="24"/>
                <w:szCs w:val="24"/>
              </w:rPr>
              <w:t>)</w:t>
            </w:r>
          </w:p>
        </w:tc>
        <w:tc>
          <w:tcPr>
            <w:tcW w:w="2451" w:type="dxa"/>
            <w:tcBorders>
              <w:left w:val="nil"/>
              <w:bottom w:val="nil"/>
              <w:right w:val="nil"/>
            </w:tcBorders>
          </w:tcPr>
          <w:p w14:paraId="17D7C8B4" w14:textId="77777777" w:rsidR="00826159" w:rsidRPr="004F4BF1" w:rsidRDefault="00826159" w:rsidP="00943E2E">
            <w:pPr>
              <w:jc w:val="center"/>
              <w:rPr>
                <w:rFonts w:ascii="Times New Roman" w:hAnsi="Times New Roman" w:cs="Times New Roman"/>
                <w:b/>
                <w:bCs/>
                <w:color w:val="000000"/>
                <w:sz w:val="24"/>
                <w:szCs w:val="24"/>
                <w:vertAlign w:val="superscript"/>
              </w:rPr>
            </w:pPr>
            <w:r w:rsidRPr="004F4BF1">
              <w:rPr>
                <w:rFonts w:ascii="Times New Roman" w:hAnsi="Times New Roman" w:cs="Times New Roman"/>
                <w:b/>
                <w:bCs/>
                <w:color w:val="000000"/>
                <w:sz w:val="24"/>
                <w:szCs w:val="24"/>
              </w:rPr>
              <w:t>0.02</w:t>
            </w:r>
            <w:r>
              <w:rPr>
                <w:rFonts w:ascii="Times New Roman" w:hAnsi="Times New Roman" w:cs="Times New Roman"/>
                <w:b/>
                <w:bCs/>
                <w:color w:val="000000"/>
                <w:sz w:val="24"/>
                <w:szCs w:val="24"/>
              </w:rPr>
              <w:t>5</w:t>
            </w:r>
            <w:r w:rsidRPr="004F4BF1">
              <w:rPr>
                <w:rFonts w:ascii="Times New Roman" w:hAnsi="Times New Roman" w:cs="Times New Roman"/>
                <w:b/>
                <w:bCs/>
                <w:color w:val="000000"/>
                <w:sz w:val="24"/>
                <w:szCs w:val="24"/>
              </w:rPr>
              <w:t>%</w:t>
            </w:r>
            <w:r w:rsidRPr="004F4BF1">
              <w:rPr>
                <w:rFonts w:ascii="Times New Roman" w:hAnsi="Times New Roman" w:cs="Times New Roman"/>
                <w:b/>
                <w:bCs/>
                <w:color w:val="000000"/>
                <w:sz w:val="24"/>
                <w:szCs w:val="24"/>
                <w:vertAlign w:val="superscript"/>
              </w:rPr>
              <w:t>***</w:t>
            </w:r>
          </w:p>
          <w:p w14:paraId="4C3B58E9" w14:textId="77777777" w:rsidR="00826159" w:rsidRPr="004F4BF1" w:rsidRDefault="00826159" w:rsidP="00943E2E">
            <w:pPr>
              <w:jc w:val="center"/>
              <w:rPr>
                <w:b/>
                <w:bCs/>
              </w:rPr>
            </w:pPr>
            <w:r w:rsidRPr="004F4BF1">
              <w:rPr>
                <w:rFonts w:ascii="Times New Roman" w:hAnsi="Times New Roman" w:cs="Times New Roman"/>
                <w:b/>
                <w:bCs/>
                <w:color w:val="000000"/>
                <w:sz w:val="24"/>
                <w:szCs w:val="24"/>
              </w:rPr>
              <w:t>(1.</w:t>
            </w:r>
            <w:r>
              <w:rPr>
                <w:rFonts w:ascii="Times New Roman" w:hAnsi="Times New Roman" w:cs="Times New Roman"/>
                <w:b/>
                <w:bCs/>
                <w:color w:val="000000"/>
                <w:sz w:val="24"/>
                <w:szCs w:val="24"/>
              </w:rPr>
              <w:t>63</w:t>
            </w:r>
            <w:r w:rsidRPr="004F4BF1">
              <w:rPr>
                <w:rFonts w:ascii="Times New Roman" w:hAnsi="Times New Roman" w:cs="Times New Roman"/>
                <w:b/>
                <w:bCs/>
                <w:color w:val="000000"/>
                <w:sz w:val="24"/>
                <w:szCs w:val="24"/>
              </w:rPr>
              <w:t>)</w:t>
            </w:r>
          </w:p>
        </w:tc>
      </w:tr>
      <w:tr w:rsidR="00826159" w14:paraId="6BE1B6BE" w14:textId="77777777" w:rsidTr="00943E2E">
        <w:tc>
          <w:tcPr>
            <w:tcW w:w="3865" w:type="dxa"/>
            <w:tcBorders>
              <w:top w:val="nil"/>
              <w:left w:val="nil"/>
              <w:bottom w:val="nil"/>
              <w:right w:val="nil"/>
            </w:tcBorders>
          </w:tcPr>
          <w:p w14:paraId="688E6B46" w14:textId="77777777" w:rsidR="00826159" w:rsidRDefault="00826159" w:rsidP="00943E2E">
            <w:pPr>
              <w:jc w:val="center"/>
              <w:rPr>
                <w:rFonts w:ascii="Times New Roman" w:hAnsi="Times New Roman" w:cs="Times New Roman"/>
                <w:sz w:val="24"/>
                <w:szCs w:val="24"/>
                <w:vertAlign w:val="superscript"/>
              </w:rPr>
            </w:pPr>
            <w:r>
              <w:rPr>
                <w:rFonts w:ascii="Times New Roman" w:hAnsi="Times New Roman" w:cs="Times New Roman"/>
                <w:sz w:val="24"/>
                <w:szCs w:val="24"/>
              </w:rPr>
              <w:t>E[</w:t>
            </w:r>
            <w:proofErr w:type="spellStart"/>
            <w:r w:rsidRPr="00C95F1C">
              <w:rPr>
                <w:rFonts w:ascii="Times New Roman" w:hAnsi="Times New Roman" w:cs="Times New Roman"/>
                <w:sz w:val="24"/>
                <w:szCs w:val="24"/>
              </w:rPr>
              <w:t>Positive</w:t>
            </w:r>
            <w:r w:rsidRPr="00C95F1C">
              <w:rPr>
                <w:rFonts w:ascii="Times New Roman" w:hAnsi="Times New Roman" w:cs="Times New Roman"/>
                <w:sz w:val="24"/>
                <w:szCs w:val="24"/>
                <w:vertAlign w:val="superscript"/>
              </w:rPr>
              <w:t>no</w:t>
            </w:r>
            <w:proofErr w:type="spellEnd"/>
            <w:r w:rsidRPr="00C95F1C">
              <w:rPr>
                <w:rFonts w:ascii="Times New Roman" w:hAnsi="Times New Roman" w:cs="Times New Roman"/>
                <w:sz w:val="24"/>
                <w:szCs w:val="24"/>
                <w:vertAlign w:val="superscript"/>
              </w:rPr>
              <w:t xml:space="preserve"> bias</w:t>
            </w:r>
            <w:r w:rsidRPr="00C95F1C">
              <w:rPr>
                <w:rFonts w:ascii="Times New Roman" w:hAnsi="Times New Roman" w:cs="Times New Roman"/>
                <w:sz w:val="24"/>
                <w:szCs w:val="24"/>
              </w:rPr>
              <w:t xml:space="preserve"> – </w:t>
            </w:r>
            <w:proofErr w:type="spellStart"/>
            <w:r w:rsidRPr="00C95F1C">
              <w:rPr>
                <w:rFonts w:ascii="Times New Roman" w:hAnsi="Times New Roman" w:cs="Times New Roman"/>
                <w:sz w:val="24"/>
                <w:szCs w:val="24"/>
              </w:rPr>
              <w:t>Negative</w:t>
            </w:r>
            <w:r w:rsidRPr="00C95F1C">
              <w:rPr>
                <w:rFonts w:ascii="Times New Roman" w:hAnsi="Times New Roman" w:cs="Times New Roman"/>
                <w:sz w:val="24"/>
                <w:szCs w:val="24"/>
                <w:vertAlign w:val="superscript"/>
              </w:rPr>
              <w:t>no</w:t>
            </w:r>
            <w:proofErr w:type="spellEnd"/>
            <w:r w:rsidRPr="00C95F1C">
              <w:rPr>
                <w:rFonts w:ascii="Times New Roman" w:hAnsi="Times New Roman" w:cs="Times New Roman"/>
                <w:sz w:val="24"/>
                <w:szCs w:val="24"/>
                <w:vertAlign w:val="superscript"/>
              </w:rPr>
              <w:t xml:space="preserve"> bias</w:t>
            </w:r>
            <w:r>
              <w:rPr>
                <w:rFonts w:ascii="Times New Roman" w:hAnsi="Times New Roman" w:cs="Times New Roman"/>
                <w:sz w:val="24"/>
                <w:szCs w:val="24"/>
              </w:rPr>
              <w:t>]</w:t>
            </w:r>
          </w:p>
          <w:p w14:paraId="3AB63EE3" w14:textId="77777777" w:rsidR="00826159" w:rsidRDefault="00826159" w:rsidP="00943E2E">
            <w:pPr>
              <w:jc w:val="center"/>
              <w:rPr>
                <w:rFonts w:ascii="Times New Roman" w:hAnsi="Times New Roman" w:cs="Times New Roman"/>
                <w:sz w:val="24"/>
                <w:szCs w:val="24"/>
              </w:rPr>
            </w:pPr>
            <w:r w:rsidRPr="00C95F1C">
              <w:rPr>
                <w:rFonts w:ascii="Times New Roman" w:hAnsi="Times New Roman" w:cs="Times New Roman"/>
                <w:sz w:val="24"/>
                <w:szCs w:val="24"/>
              </w:rPr>
              <w:t>(Cohen’s d)</w:t>
            </w:r>
          </w:p>
          <w:p w14:paraId="7C9757DD" w14:textId="77777777" w:rsidR="00826159" w:rsidRPr="00C95F1C" w:rsidRDefault="00826159" w:rsidP="00943E2E">
            <w:pPr>
              <w:jc w:val="center"/>
            </w:pPr>
          </w:p>
        </w:tc>
        <w:tc>
          <w:tcPr>
            <w:tcW w:w="2700" w:type="dxa"/>
            <w:tcBorders>
              <w:top w:val="nil"/>
              <w:left w:val="nil"/>
              <w:bottom w:val="nil"/>
              <w:right w:val="nil"/>
            </w:tcBorders>
          </w:tcPr>
          <w:p w14:paraId="5512AB7A" w14:textId="77777777" w:rsidR="00826159" w:rsidRDefault="00826159" w:rsidP="00943E2E">
            <w:pPr>
              <w:jc w:val="center"/>
              <w:rPr>
                <w:rFonts w:ascii="Times New Roman" w:hAnsi="Times New Roman" w:cs="Times New Roman"/>
                <w:color w:val="000000"/>
                <w:sz w:val="24"/>
                <w:szCs w:val="24"/>
              </w:rPr>
            </w:pPr>
            <w:r>
              <w:rPr>
                <w:rFonts w:ascii="Times New Roman" w:hAnsi="Times New Roman" w:cs="Times New Roman"/>
                <w:color w:val="000000"/>
                <w:sz w:val="24"/>
                <w:szCs w:val="24"/>
              </w:rPr>
              <w:t>0.95</w:t>
            </w:r>
            <w:r w:rsidRPr="00B1101D">
              <w:rPr>
                <w:rFonts w:ascii="Times New Roman" w:hAnsi="Times New Roman" w:cs="Times New Roman"/>
                <w:color w:val="000000"/>
                <w:sz w:val="24"/>
                <w:szCs w:val="24"/>
              </w:rPr>
              <w:t xml:space="preserve">% </w:t>
            </w:r>
          </w:p>
          <w:p w14:paraId="48493A44" w14:textId="77777777" w:rsidR="00826159" w:rsidRPr="00B1101D" w:rsidRDefault="00826159" w:rsidP="00943E2E">
            <w:pPr>
              <w:jc w:val="center"/>
            </w:pPr>
            <w:r w:rsidRPr="00B1101D">
              <w:rPr>
                <w:rFonts w:ascii="Times New Roman" w:hAnsi="Times New Roman" w:cs="Times New Roman"/>
                <w:color w:val="000000"/>
                <w:sz w:val="24"/>
                <w:szCs w:val="24"/>
              </w:rPr>
              <w:t>(0.</w:t>
            </w:r>
            <w:r>
              <w:rPr>
                <w:rFonts w:ascii="Times New Roman" w:hAnsi="Times New Roman" w:cs="Times New Roman"/>
                <w:color w:val="000000"/>
                <w:sz w:val="24"/>
                <w:szCs w:val="24"/>
              </w:rPr>
              <w:t>07</w:t>
            </w:r>
            <w:r w:rsidRPr="00B1101D">
              <w:rPr>
                <w:rFonts w:ascii="Times New Roman" w:hAnsi="Times New Roman" w:cs="Times New Roman"/>
                <w:color w:val="000000"/>
                <w:sz w:val="24"/>
                <w:szCs w:val="24"/>
              </w:rPr>
              <w:t>)</w:t>
            </w:r>
          </w:p>
        </w:tc>
        <w:tc>
          <w:tcPr>
            <w:tcW w:w="2451" w:type="dxa"/>
            <w:tcBorders>
              <w:top w:val="nil"/>
              <w:left w:val="nil"/>
              <w:bottom w:val="nil"/>
              <w:right w:val="nil"/>
            </w:tcBorders>
          </w:tcPr>
          <w:p w14:paraId="3C4D1F77" w14:textId="77777777" w:rsidR="00826159" w:rsidRPr="004F4BF1" w:rsidRDefault="00826159" w:rsidP="00943E2E">
            <w:pPr>
              <w:jc w:val="center"/>
              <w:rPr>
                <w:rFonts w:ascii="Times New Roman" w:hAnsi="Times New Roman" w:cs="Times New Roman"/>
                <w:b/>
                <w:bCs/>
                <w:color w:val="000000"/>
                <w:sz w:val="24"/>
                <w:szCs w:val="24"/>
              </w:rPr>
            </w:pPr>
            <w:r w:rsidRPr="004F4BF1">
              <w:rPr>
                <w:rFonts w:ascii="Times New Roman" w:hAnsi="Times New Roman" w:cs="Times New Roman"/>
                <w:b/>
                <w:bCs/>
                <w:color w:val="000000"/>
                <w:sz w:val="24"/>
                <w:szCs w:val="24"/>
              </w:rPr>
              <w:t>0.0</w:t>
            </w:r>
            <w:r>
              <w:rPr>
                <w:rFonts w:ascii="Times New Roman" w:hAnsi="Times New Roman" w:cs="Times New Roman"/>
                <w:b/>
                <w:bCs/>
                <w:color w:val="000000"/>
                <w:sz w:val="24"/>
                <w:szCs w:val="24"/>
              </w:rPr>
              <w:t>33</w:t>
            </w:r>
            <w:r w:rsidRPr="004F4BF1">
              <w:rPr>
                <w:rFonts w:ascii="Times New Roman" w:hAnsi="Times New Roman" w:cs="Times New Roman"/>
                <w:b/>
                <w:bCs/>
                <w:color w:val="000000"/>
                <w:sz w:val="24"/>
                <w:szCs w:val="24"/>
              </w:rPr>
              <w:t>%</w:t>
            </w:r>
            <w:r w:rsidRPr="004F4BF1">
              <w:rPr>
                <w:rFonts w:ascii="Times New Roman" w:hAnsi="Times New Roman" w:cs="Times New Roman"/>
                <w:b/>
                <w:bCs/>
                <w:color w:val="000000"/>
                <w:sz w:val="24"/>
                <w:szCs w:val="24"/>
                <w:vertAlign w:val="superscript"/>
              </w:rPr>
              <w:t>***</w:t>
            </w:r>
            <w:r w:rsidRPr="004F4BF1">
              <w:rPr>
                <w:rFonts w:ascii="Times New Roman" w:hAnsi="Times New Roman" w:cs="Times New Roman"/>
                <w:b/>
                <w:bCs/>
                <w:color w:val="000000"/>
                <w:sz w:val="24"/>
                <w:szCs w:val="24"/>
              </w:rPr>
              <w:t xml:space="preserve"> </w:t>
            </w:r>
          </w:p>
          <w:p w14:paraId="75BCED1F" w14:textId="77777777" w:rsidR="00826159" w:rsidRPr="004F4BF1" w:rsidRDefault="00826159" w:rsidP="00943E2E">
            <w:pPr>
              <w:jc w:val="center"/>
              <w:rPr>
                <w:b/>
                <w:bCs/>
              </w:rPr>
            </w:pPr>
            <w:r w:rsidRPr="004F4BF1">
              <w:rPr>
                <w:rFonts w:ascii="Times New Roman" w:hAnsi="Times New Roman" w:cs="Times New Roman"/>
                <w:b/>
                <w:bCs/>
                <w:color w:val="000000"/>
                <w:sz w:val="24"/>
                <w:szCs w:val="24"/>
              </w:rPr>
              <w:t>(1.9</w:t>
            </w:r>
            <w:r>
              <w:rPr>
                <w:rFonts w:ascii="Times New Roman" w:hAnsi="Times New Roman" w:cs="Times New Roman"/>
                <w:b/>
                <w:bCs/>
                <w:color w:val="000000"/>
                <w:sz w:val="24"/>
                <w:szCs w:val="24"/>
              </w:rPr>
              <w:t>5</w:t>
            </w:r>
            <w:r w:rsidRPr="004F4BF1">
              <w:rPr>
                <w:rFonts w:ascii="Times New Roman" w:hAnsi="Times New Roman" w:cs="Times New Roman"/>
                <w:b/>
                <w:bCs/>
                <w:color w:val="000000"/>
                <w:sz w:val="24"/>
                <w:szCs w:val="24"/>
              </w:rPr>
              <w:t>)</w:t>
            </w:r>
          </w:p>
        </w:tc>
      </w:tr>
      <w:tr w:rsidR="00826159" w14:paraId="0DCB403F" w14:textId="77777777" w:rsidTr="00943E2E">
        <w:tc>
          <w:tcPr>
            <w:tcW w:w="3865" w:type="dxa"/>
            <w:tcBorders>
              <w:top w:val="nil"/>
              <w:left w:val="nil"/>
              <w:bottom w:val="nil"/>
              <w:right w:val="nil"/>
            </w:tcBorders>
          </w:tcPr>
          <w:p w14:paraId="4D2C9A39" w14:textId="77777777" w:rsidR="00826159" w:rsidRDefault="00826159" w:rsidP="00943E2E">
            <w:pPr>
              <w:jc w:val="center"/>
              <w:rPr>
                <w:rFonts w:ascii="Times New Roman" w:hAnsi="Times New Roman" w:cs="Times New Roman"/>
                <w:sz w:val="24"/>
                <w:szCs w:val="24"/>
                <w:vertAlign w:val="superscript"/>
              </w:rPr>
            </w:pPr>
            <w:r>
              <w:rPr>
                <w:rFonts w:ascii="Times New Roman" w:hAnsi="Times New Roman" w:cs="Times New Roman"/>
                <w:sz w:val="24"/>
                <w:szCs w:val="24"/>
              </w:rPr>
              <w:t>E[</w:t>
            </w:r>
            <w:proofErr w:type="spellStart"/>
            <w:r w:rsidRPr="00C95F1C">
              <w:rPr>
                <w:rFonts w:ascii="Times New Roman" w:hAnsi="Times New Roman" w:cs="Times New Roman"/>
                <w:sz w:val="24"/>
                <w:szCs w:val="24"/>
              </w:rPr>
              <w:t>Positive</w:t>
            </w:r>
            <w:r w:rsidRPr="00C95F1C">
              <w:rPr>
                <w:rFonts w:ascii="Times New Roman" w:hAnsi="Times New Roman" w:cs="Times New Roman"/>
                <w:sz w:val="24"/>
                <w:szCs w:val="24"/>
                <w:vertAlign w:val="superscript"/>
              </w:rPr>
              <w:t>bias</w:t>
            </w:r>
            <w:proofErr w:type="spellEnd"/>
            <w:r w:rsidRPr="00C95F1C">
              <w:rPr>
                <w:rFonts w:ascii="Times New Roman" w:hAnsi="Times New Roman" w:cs="Times New Roman"/>
                <w:sz w:val="24"/>
                <w:szCs w:val="24"/>
              </w:rPr>
              <w:t xml:space="preserve"> – </w:t>
            </w:r>
            <w:proofErr w:type="spellStart"/>
            <w:r w:rsidRPr="00C95F1C">
              <w:rPr>
                <w:rFonts w:ascii="Times New Roman" w:hAnsi="Times New Roman" w:cs="Times New Roman"/>
                <w:sz w:val="24"/>
                <w:szCs w:val="24"/>
              </w:rPr>
              <w:t>Positive</w:t>
            </w:r>
            <w:r w:rsidRPr="00C95F1C">
              <w:rPr>
                <w:rFonts w:ascii="Times New Roman" w:hAnsi="Times New Roman" w:cs="Times New Roman"/>
                <w:sz w:val="24"/>
                <w:szCs w:val="24"/>
                <w:vertAlign w:val="superscript"/>
              </w:rPr>
              <w:t>no</w:t>
            </w:r>
            <w:proofErr w:type="spellEnd"/>
            <w:r w:rsidRPr="00C95F1C">
              <w:rPr>
                <w:rFonts w:ascii="Times New Roman" w:hAnsi="Times New Roman" w:cs="Times New Roman"/>
                <w:sz w:val="24"/>
                <w:szCs w:val="24"/>
                <w:vertAlign w:val="superscript"/>
              </w:rPr>
              <w:t xml:space="preserve"> bias</w:t>
            </w:r>
            <w:r>
              <w:rPr>
                <w:rFonts w:ascii="Times New Roman" w:hAnsi="Times New Roman" w:cs="Times New Roman"/>
                <w:sz w:val="24"/>
                <w:szCs w:val="24"/>
              </w:rPr>
              <w:t>]</w:t>
            </w:r>
          </w:p>
          <w:p w14:paraId="432558A5" w14:textId="77777777" w:rsidR="00826159" w:rsidRDefault="00826159" w:rsidP="00943E2E">
            <w:pPr>
              <w:jc w:val="center"/>
              <w:rPr>
                <w:rFonts w:ascii="Times New Roman" w:hAnsi="Times New Roman" w:cs="Times New Roman"/>
                <w:sz w:val="24"/>
                <w:szCs w:val="24"/>
              </w:rPr>
            </w:pPr>
            <w:r w:rsidRPr="00C95F1C">
              <w:rPr>
                <w:rFonts w:ascii="Times New Roman" w:hAnsi="Times New Roman" w:cs="Times New Roman"/>
                <w:sz w:val="24"/>
                <w:szCs w:val="24"/>
              </w:rPr>
              <w:t>(Cohen’s d)</w:t>
            </w:r>
          </w:p>
          <w:p w14:paraId="0AC686EA" w14:textId="77777777" w:rsidR="00826159" w:rsidRPr="00C95F1C" w:rsidRDefault="00826159" w:rsidP="00943E2E">
            <w:pPr>
              <w:jc w:val="center"/>
            </w:pPr>
          </w:p>
        </w:tc>
        <w:tc>
          <w:tcPr>
            <w:tcW w:w="2700" w:type="dxa"/>
            <w:tcBorders>
              <w:top w:val="nil"/>
              <w:left w:val="nil"/>
              <w:bottom w:val="nil"/>
              <w:right w:val="nil"/>
            </w:tcBorders>
          </w:tcPr>
          <w:p w14:paraId="7D3271BB" w14:textId="77777777" w:rsidR="00826159" w:rsidRPr="00D74DCA" w:rsidRDefault="00826159" w:rsidP="00943E2E">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D74DCA">
              <w:rPr>
                <w:rFonts w:ascii="Times New Roman" w:hAnsi="Times New Roman" w:cs="Times New Roman"/>
                <w:color w:val="000000"/>
                <w:sz w:val="24"/>
                <w:szCs w:val="24"/>
              </w:rPr>
              <w:t>0.</w:t>
            </w:r>
            <w:r>
              <w:rPr>
                <w:rFonts w:ascii="Times New Roman" w:hAnsi="Times New Roman" w:cs="Times New Roman"/>
                <w:color w:val="000000"/>
                <w:sz w:val="24"/>
                <w:szCs w:val="24"/>
              </w:rPr>
              <w:t>38</w:t>
            </w:r>
            <w:r w:rsidRPr="00D74DCA">
              <w:rPr>
                <w:rFonts w:ascii="Times New Roman" w:hAnsi="Times New Roman" w:cs="Times New Roman"/>
                <w:color w:val="000000"/>
                <w:sz w:val="24"/>
                <w:szCs w:val="24"/>
              </w:rPr>
              <w:t>%</w:t>
            </w:r>
          </w:p>
          <w:p w14:paraId="13421204" w14:textId="77777777" w:rsidR="00826159" w:rsidRPr="00D74DCA" w:rsidRDefault="00826159" w:rsidP="00943E2E">
            <w:pPr>
              <w:jc w:val="center"/>
              <w:rPr>
                <w:rFonts w:ascii="Times New Roman" w:hAnsi="Times New Roman" w:cs="Times New Roman"/>
                <w:color w:val="000000"/>
                <w:sz w:val="24"/>
                <w:szCs w:val="24"/>
              </w:rPr>
            </w:pPr>
            <w:r w:rsidRPr="00D74DCA">
              <w:rPr>
                <w:rFonts w:ascii="Times New Roman" w:hAnsi="Times New Roman" w:cs="Times New Roman"/>
                <w:color w:val="000000"/>
                <w:sz w:val="24"/>
                <w:szCs w:val="24"/>
              </w:rPr>
              <w:t>(</w:t>
            </w:r>
            <w:r>
              <w:rPr>
                <w:rFonts w:ascii="Times New Roman" w:hAnsi="Times New Roman" w:cs="Times New Roman"/>
                <w:color w:val="000000"/>
                <w:sz w:val="24"/>
                <w:szCs w:val="24"/>
              </w:rPr>
              <w:t>-0.03</w:t>
            </w:r>
            <w:r w:rsidRPr="00D74DCA">
              <w:rPr>
                <w:rFonts w:ascii="Times New Roman" w:hAnsi="Times New Roman" w:cs="Times New Roman"/>
                <w:color w:val="000000"/>
                <w:sz w:val="24"/>
                <w:szCs w:val="24"/>
              </w:rPr>
              <w:t>)</w:t>
            </w:r>
          </w:p>
        </w:tc>
        <w:tc>
          <w:tcPr>
            <w:tcW w:w="2451" w:type="dxa"/>
            <w:tcBorders>
              <w:top w:val="nil"/>
              <w:left w:val="nil"/>
              <w:bottom w:val="nil"/>
              <w:right w:val="nil"/>
            </w:tcBorders>
          </w:tcPr>
          <w:p w14:paraId="68B9D953" w14:textId="77777777" w:rsidR="00826159" w:rsidRPr="00D74DCA" w:rsidRDefault="00826159" w:rsidP="00943E2E">
            <w:pPr>
              <w:jc w:val="center"/>
              <w:rPr>
                <w:rFonts w:ascii="Times New Roman" w:hAnsi="Times New Roman" w:cs="Times New Roman"/>
                <w:color w:val="000000"/>
                <w:sz w:val="24"/>
                <w:szCs w:val="24"/>
              </w:rPr>
            </w:pPr>
            <w:r w:rsidRPr="00A7568C">
              <w:rPr>
                <w:rFonts w:ascii="Times New Roman" w:hAnsi="Times New Roman" w:cs="Times New Roman"/>
                <w:color w:val="000000"/>
                <w:sz w:val="24"/>
                <w:szCs w:val="24"/>
              </w:rPr>
              <w:t>-0.001</w:t>
            </w:r>
            <w:r w:rsidRPr="00D74DCA">
              <w:rPr>
                <w:rFonts w:ascii="Times New Roman" w:hAnsi="Times New Roman" w:cs="Times New Roman"/>
                <w:color w:val="000000"/>
                <w:sz w:val="24"/>
                <w:szCs w:val="24"/>
              </w:rPr>
              <w:t>%</w:t>
            </w:r>
          </w:p>
          <w:p w14:paraId="3CD335FF" w14:textId="77777777" w:rsidR="00826159" w:rsidRPr="00D74DCA" w:rsidRDefault="00826159" w:rsidP="00943E2E">
            <w:pPr>
              <w:jc w:val="center"/>
              <w:rPr>
                <w:rFonts w:ascii="Times New Roman" w:hAnsi="Times New Roman" w:cs="Times New Roman"/>
                <w:color w:val="000000"/>
                <w:sz w:val="24"/>
                <w:szCs w:val="24"/>
              </w:rPr>
            </w:pPr>
            <w:r w:rsidRPr="00D74DCA">
              <w:rPr>
                <w:rFonts w:ascii="Times New Roman" w:hAnsi="Times New Roman" w:cs="Times New Roman"/>
                <w:color w:val="000000"/>
                <w:sz w:val="24"/>
                <w:szCs w:val="24"/>
              </w:rPr>
              <w:t>(</w:t>
            </w:r>
            <w:r>
              <w:rPr>
                <w:rFonts w:ascii="Times New Roman" w:hAnsi="Times New Roman" w:cs="Times New Roman"/>
                <w:color w:val="000000"/>
                <w:sz w:val="24"/>
                <w:szCs w:val="24"/>
              </w:rPr>
              <w:t>-0.06</w:t>
            </w:r>
            <w:r w:rsidRPr="00D74DCA">
              <w:rPr>
                <w:rFonts w:ascii="Times New Roman" w:hAnsi="Times New Roman" w:cs="Times New Roman"/>
                <w:color w:val="000000"/>
                <w:sz w:val="24"/>
                <w:szCs w:val="24"/>
              </w:rPr>
              <w:t>)</w:t>
            </w:r>
          </w:p>
        </w:tc>
      </w:tr>
      <w:tr w:rsidR="00826159" w14:paraId="10AD261A" w14:textId="77777777" w:rsidTr="00943E2E">
        <w:tc>
          <w:tcPr>
            <w:tcW w:w="3865" w:type="dxa"/>
            <w:tcBorders>
              <w:top w:val="nil"/>
              <w:left w:val="nil"/>
              <w:right w:val="nil"/>
            </w:tcBorders>
          </w:tcPr>
          <w:p w14:paraId="496C64BD" w14:textId="77777777" w:rsidR="00826159" w:rsidRDefault="00826159" w:rsidP="00943E2E">
            <w:pPr>
              <w:jc w:val="center"/>
              <w:rPr>
                <w:rFonts w:ascii="Times New Roman" w:hAnsi="Times New Roman" w:cs="Times New Roman"/>
                <w:sz w:val="24"/>
                <w:szCs w:val="24"/>
                <w:vertAlign w:val="superscript"/>
              </w:rPr>
            </w:pPr>
            <w:r>
              <w:rPr>
                <w:rFonts w:ascii="Times New Roman" w:hAnsi="Times New Roman" w:cs="Times New Roman"/>
                <w:sz w:val="24"/>
                <w:szCs w:val="24"/>
              </w:rPr>
              <w:t>E[</w:t>
            </w:r>
            <w:proofErr w:type="spellStart"/>
            <w:r w:rsidRPr="00C95F1C">
              <w:rPr>
                <w:rFonts w:ascii="Times New Roman" w:hAnsi="Times New Roman" w:cs="Times New Roman"/>
                <w:sz w:val="24"/>
                <w:szCs w:val="24"/>
              </w:rPr>
              <w:t>Negative</w:t>
            </w:r>
            <w:r w:rsidRPr="00C95F1C">
              <w:rPr>
                <w:rFonts w:ascii="Times New Roman" w:hAnsi="Times New Roman" w:cs="Times New Roman"/>
                <w:sz w:val="24"/>
                <w:szCs w:val="24"/>
                <w:vertAlign w:val="superscript"/>
              </w:rPr>
              <w:t>bias</w:t>
            </w:r>
            <w:proofErr w:type="spellEnd"/>
            <w:r w:rsidRPr="00C95F1C">
              <w:rPr>
                <w:rFonts w:ascii="Times New Roman" w:hAnsi="Times New Roman" w:cs="Times New Roman"/>
                <w:sz w:val="24"/>
                <w:szCs w:val="24"/>
              </w:rPr>
              <w:t xml:space="preserve"> – </w:t>
            </w:r>
            <w:proofErr w:type="spellStart"/>
            <w:r w:rsidRPr="00C95F1C">
              <w:rPr>
                <w:rFonts w:ascii="Times New Roman" w:hAnsi="Times New Roman" w:cs="Times New Roman"/>
                <w:sz w:val="24"/>
                <w:szCs w:val="24"/>
              </w:rPr>
              <w:t>Negative</w:t>
            </w:r>
            <w:r w:rsidRPr="00C95F1C">
              <w:rPr>
                <w:rFonts w:ascii="Times New Roman" w:hAnsi="Times New Roman" w:cs="Times New Roman"/>
                <w:sz w:val="24"/>
                <w:szCs w:val="24"/>
                <w:vertAlign w:val="superscript"/>
              </w:rPr>
              <w:t>no</w:t>
            </w:r>
            <w:proofErr w:type="spellEnd"/>
            <w:r w:rsidRPr="00C95F1C">
              <w:rPr>
                <w:rFonts w:ascii="Times New Roman" w:hAnsi="Times New Roman" w:cs="Times New Roman"/>
                <w:sz w:val="24"/>
                <w:szCs w:val="24"/>
                <w:vertAlign w:val="superscript"/>
              </w:rPr>
              <w:t xml:space="preserve"> bias</w:t>
            </w:r>
            <w:r>
              <w:rPr>
                <w:rFonts w:ascii="Times New Roman" w:hAnsi="Times New Roman" w:cs="Times New Roman"/>
                <w:sz w:val="24"/>
                <w:szCs w:val="24"/>
              </w:rPr>
              <w:t>]</w:t>
            </w:r>
          </w:p>
          <w:p w14:paraId="5E6174CF" w14:textId="77777777" w:rsidR="00826159" w:rsidRPr="00C95F1C" w:rsidRDefault="00826159" w:rsidP="00943E2E">
            <w:pPr>
              <w:jc w:val="center"/>
            </w:pPr>
            <w:r w:rsidRPr="00C95F1C">
              <w:rPr>
                <w:rFonts w:ascii="Times New Roman" w:hAnsi="Times New Roman" w:cs="Times New Roman"/>
                <w:sz w:val="24"/>
                <w:szCs w:val="24"/>
              </w:rPr>
              <w:t>(Cohen’s d)</w:t>
            </w:r>
          </w:p>
        </w:tc>
        <w:tc>
          <w:tcPr>
            <w:tcW w:w="2700" w:type="dxa"/>
            <w:tcBorders>
              <w:top w:val="nil"/>
              <w:left w:val="nil"/>
              <w:right w:val="nil"/>
            </w:tcBorders>
          </w:tcPr>
          <w:p w14:paraId="5BCB1458" w14:textId="77777777" w:rsidR="00826159" w:rsidRPr="00D74DCA" w:rsidRDefault="00826159" w:rsidP="00943E2E">
            <w:pPr>
              <w:jc w:val="center"/>
              <w:rPr>
                <w:rFonts w:ascii="Times New Roman" w:hAnsi="Times New Roman" w:cs="Times New Roman"/>
                <w:color w:val="000000"/>
                <w:sz w:val="24"/>
                <w:szCs w:val="24"/>
              </w:rPr>
            </w:pPr>
            <w:r w:rsidRPr="00D74DCA">
              <w:rPr>
                <w:rFonts w:ascii="Times New Roman" w:hAnsi="Times New Roman" w:cs="Times New Roman"/>
                <w:color w:val="000000"/>
                <w:sz w:val="24"/>
                <w:szCs w:val="24"/>
              </w:rPr>
              <w:t>0.3</w:t>
            </w:r>
            <w:r>
              <w:rPr>
                <w:rFonts w:ascii="Times New Roman" w:hAnsi="Times New Roman" w:cs="Times New Roman"/>
                <w:color w:val="000000"/>
                <w:sz w:val="24"/>
                <w:szCs w:val="24"/>
              </w:rPr>
              <w:t>4</w:t>
            </w:r>
            <w:r w:rsidRPr="00D74DCA">
              <w:rPr>
                <w:rFonts w:ascii="Times New Roman" w:hAnsi="Times New Roman" w:cs="Times New Roman"/>
                <w:color w:val="000000"/>
                <w:sz w:val="24"/>
                <w:szCs w:val="24"/>
              </w:rPr>
              <w:t>%</w:t>
            </w:r>
          </w:p>
          <w:p w14:paraId="18D86A6F" w14:textId="77777777" w:rsidR="00826159" w:rsidRPr="00D74DCA" w:rsidRDefault="00826159" w:rsidP="00943E2E">
            <w:pPr>
              <w:jc w:val="center"/>
              <w:rPr>
                <w:rFonts w:ascii="Times New Roman" w:hAnsi="Times New Roman" w:cs="Times New Roman"/>
                <w:color w:val="000000"/>
                <w:sz w:val="24"/>
                <w:szCs w:val="24"/>
              </w:rPr>
            </w:pPr>
            <w:r w:rsidRPr="00D74DCA">
              <w:rPr>
                <w:rFonts w:ascii="Times New Roman" w:hAnsi="Times New Roman" w:cs="Times New Roman"/>
                <w:color w:val="000000"/>
                <w:sz w:val="24"/>
                <w:szCs w:val="24"/>
              </w:rPr>
              <w:t>(</w:t>
            </w:r>
            <w:r>
              <w:rPr>
                <w:rFonts w:ascii="Times New Roman" w:hAnsi="Times New Roman" w:cs="Times New Roman"/>
                <w:color w:val="000000"/>
                <w:sz w:val="24"/>
                <w:szCs w:val="24"/>
              </w:rPr>
              <w:t>0.02</w:t>
            </w:r>
            <w:r w:rsidRPr="00D74DCA">
              <w:rPr>
                <w:rFonts w:ascii="Times New Roman" w:hAnsi="Times New Roman" w:cs="Times New Roman"/>
                <w:color w:val="000000"/>
                <w:sz w:val="24"/>
                <w:szCs w:val="24"/>
              </w:rPr>
              <w:t>)</w:t>
            </w:r>
          </w:p>
        </w:tc>
        <w:tc>
          <w:tcPr>
            <w:tcW w:w="2451" w:type="dxa"/>
            <w:tcBorders>
              <w:top w:val="nil"/>
              <w:left w:val="nil"/>
              <w:right w:val="nil"/>
            </w:tcBorders>
          </w:tcPr>
          <w:p w14:paraId="4177DE78" w14:textId="77777777" w:rsidR="00826159" w:rsidRPr="00840267" w:rsidRDefault="00826159" w:rsidP="00943E2E">
            <w:pPr>
              <w:jc w:val="center"/>
              <w:rPr>
                <w:rFonts w:ascii="Times New Roman" w:hAnsi="Times New Roman" w:cs="Times New Roman"/>
                <w:b/>
                <w:bCs/>
                <w:color w:val="000000"/>
                <w:sz w:val="24"/>
                <w:szCs w:val="24"/>
                <w:vertAlign w:val="superscript"/>
              </w:rPr>
            </w:pPr>
            <w:r w:rsidRPr="00840267">
              <w:rPr>
                <w:rFonts w:ascii="Times New Roman" w:hAnsi="Times New Roman" w:cs="Times New Roman"/>
                <w:b/>
                <w:bCs/>
                <w:color w:val="000000"/>
                <w:sz w:val="24"/>
                <w:szCs w:val="24"/>
              </w:rPr>
              <w:t>0.007%</w:t>
            </w:r>
            <w:r w:rsidRPr="00840267">
              <w:rPr>
                <w:rFonts w:ascii="Times New Roman" w:hAnsi="Times New Roman" w:cs="Times New Roman"/>
                <w:b/>
                <w:bCs/>
                <w:color w:val="000000"/>
                <w:sz w:val="24"/>
                <w:szCs w:val="24"/>
                <w:vertAlign w:val="superscript"/>
              </w:rPr>
              <w:t>***</w:t>
            </w:r>
          </w:p>
          <w:p w14:paraId="2E9E79A3" w14:textId="77777777" w:rsidR="00826159" w:rsidRPr="00D74DCA" w:rsidRDefault="00826159" w:rsidP="00943E2E">
            <w:pPr>
              <w:jc w:val="center"/>
              <w:rPr>
                <w:rFonts w:ascii="Times New Roman" w:hAnsi="Times New Roman" w:cs="Times New Roman"/>
                <w:color w:val="000000"/>
                <w:sz w:val="24"/>
                <w:szCs w:val="24"/>
              </w:rPr>
            </w:pPr>
            <w:r w:rsidRPr="00840267">
              <w:rPr>
                <w:rFonts w:ascii="Times New Roman" w:hAnsi="Times New Roman" w:cs="Times New Roman"/>
                <w:b/>
                <w:bCs/>
                <w:color w:val="000000"/>
                <w:sz w:val="24"/>
                <w:szCs w:val="24"/>
              </w:rPr>
              <w:t>(1.95)</w:t>
            </w:r>
          </w:p>
        </w:tc>
      </w:tr>
    </w:tbl>
    <w:p w14:paraId="5D9B7CA6" w14:textId="77777777" w:rsidR="00826159" w:rsidRDefault="00826159" w:rsidP="00826159">
      <w:pPr>
        <w:pStyle w:val="Default"/>
        <w:spacing w:line="360" w:lineRule="auto"/>
        <w:jc w:val="both"/>
      </w:pPr>
      <w:r>
        <w:t xml:space="preserve"> </w:t>
      </w:r>
    </w:p>
    <w:p w14:paraId="3109D7E7" w14:textId="77777777" w:rsidR="00826159" w:rsidRDefault="00826159" w:rsidP="00826159">
      <w:pPr>
        <w:pStyle w:val="Default"/>
        <w:spacing w:line="360" w:lineRule="auto"/>
        <w:jc w:val="both"/>
      </w:pPr>
    </w:p>
    <w:tbl>
      <w:tblPr>
        <w:tblStyle w:val="TableGrid"/>
        <w:tblW w:w="9923" w:type="dxa"/>
        <w:tblLayout w:type="fixed"/>
        <w:tblLook w:val="04A0" w:firstRow="1" w:lastRow="0" w:firstColumn="1" w:lastColumn="0" w:noHBand="0" w:noVBand="1"/>
      </w:tblPr>
      <w:tblGrid>
        <w:gridCol w:w="2065"/>
        <w:gridCol w:w="2070"/>
        <w:gridCol w:w="5788"/>
      </w:tblGrid>
      <w:tr w:rsidR="00826159" w:rsidRPr="00A54C45" w14:paraId="0A0F585C" w14:textId="77777777" w:rsidTr="00943E2E">
        <w:tc>
          <w:tcPr>
            <w:tcW w:w="9923" w:type="dxa"/>
            <w:gridSpan w:val="3"/>
            <w:tcBorders>
              <w:left w:val="nil"/>
              <w:bottom w:val="single" w:sz="4" w:space="0" w:color="auto"/>
              <w:right w:val="nil"/>
            </w:tcBorders>
            <w:vAlign w:val="center"/>
          </w:tcPr>
          <w:p w14:paraId="08504262" w14:textId="77777777" w:rsidR="00826159" w:rsidRPr="00A54C45" w:rsidRDefault="00826159" w:rsidP="00943E2E">
            <w:pPr>
              <w:autoSpaceDE w:val="0"/>
              <w:autoSpaceDN w:val="0"/>
              <w:adjustRightInd w:val="0"/>
              <w:rPr>
                <w:rFonts w:ascii="Times New Roman" w:hAnsi="Times New Roman" w:cs="Times New Roman"/>
              </w:rPr>
            </w:pPr>
            <w:r w:rsidRPr="00DC1EE0">
              <w:rPr>
                <w:rFonts w:ascii="Times New Roman" w:hAnsi="Times New Roman" w:cs="Times New Roman"/>
                <w:sz w:val="24"/>
                <w:szCs w:val="24"/>
              </w:rPr>
              <w:t>Panel D. Variable description</w:t>
            </w:r>
          </w:p>
        </w:tc>
      </w:tr>
      <w:tr w:rsidR="00826159" w:rsidRPr="00A54C45" w14:paraId="703D57C7" w14:textId="77777777" w:rsidTr="00943E2E">
        <w:tc>
          <w:tcPr>
            <w:tcW w:w="2065" w:type="dxa"/>
            <w:tcBorders>
              <w:left w:val="nil"/>
              <w:bottom w:val="single" w:sz="4" w:space="0" w:color="auto"/>
              <w:right w:val="nil"/>
            </w:tcBorders>
            <w:vAlign w:val="center"/>
          </w:tcPr>
          <w:p w14:paraId="09BD8217" w14:textId="77777777" w:rsidR="00826159" w:rsidRPr="006B031F" w:rsidRDefault="00826159" w:rsidP="00943E2E">
            <w:pPr>
              <w:autoSpaceDE w:val="0"/>
              <w:autoSpaceDN w:val="0"/>
              <w:adjustRightInd w:val="0"/>
              <w:jc w:val="center"/>
              <w:rPr>
                <w:rFonts w:ascii="Times New Roman" w:hAnsi="Times New Roman" w:cs="Times New Roman"/>
                <w:sz w:val="24"/>
                <w:szCs w:val="24"/>
              </w:rPr>
            </w:pPr>
            <w:r w:rsidRPr="006B031F">
              <w:rPr>
                <w:rFonts w:ascii="Times New Roman" w:hAnsi="Times New Roman" w:cs="Times New Roman"/>
                <w:sz w:val="24"/>
                <w:szCs w:val="24"/>
              </w:rPr>
              <w:lastRenderedPageBreak/>
              <w:t>Symbol</w:t>
            </w:r>
          </w:p>
        </w:tc>
        <w:tc>
          <w:tcPr>
            <w:tcW w:w="2070" w:type="dxa"/>
            <w:tcBorders>
              <w:left w:val="nil"/>
              <w:bottom w:val="single" w:sz="4" w:space="0" w:color="auto"/>
              <w:right w:val="nil"/>
            </w:tcBorders>
            <w:vAlign w:val="center"/>
          </w:tcPr>
          <w:p w14:paraId="46345677" w14:textId="77777777" w:rsidR="00826159" w:rsidRPr="006B031F" w:rsidRDefault="00826159" w:rsidP="00943E2E">
            <w:pPr>
              <w:autoSpaceDE w:val="0"/>
              <w:autoSpaceDN w:val="0"/>
              <w:adjustRightInd w:val="0"/>
              <w:jc w:val="center"/>
              <w:rPr>
                <w:rFonts w:ascii="Times New Roman" w:hAnsi="Times New Roman" w:cs="Times New Roman"/>
                <w:sz w:val="24"/>
                <w:szCs w:val="24"/>
              </w:rPr>
            </w:pPr>
            <w:r w:rsidRPr="006B031F">
              <w:rPr>
                <w:rFonts w:ascii="Times New Roman" w:hAnsi="Times New Roman" w:cs="Times New Roman"/>
                <w:sz w:val="24"/>
                <w:szCs w:val="24"/>
              </w:rPr>
              <w:t>Measure</w:t>
            </w:r>
          </w:p>
        </w:tc>
        <w:tc>
          <w:tcPr>
            <w:tcW w:w="5788" w:type="dxa"/>
            <w:tcBorders>
              <w:left w:val="nil"/>
              <w:bottom w:val="single" w:sz="4" w:space="0" w:color="auto"/>
              <w:right w:val="nil"/>
            </w:tcBorders>
            <w:vAlign w:val="center"/>
          </w:tcPr>
          <w:p w14:paraId="60E5F037" w14:textId="77777777" w:rsidR="00826159" w:rsidRPr="006B031F" w:rsidRDefault="00826159" w:rsidP="00943E2E">
            <w:pPr>
              <w:autoSpaceDE w:val="0"/>
              <w:autoSpaceDN w:val="0"/>
              <w:adjustRightInd w:val="0"/>
              <w:jc w:val="center"/>
              <w:rPr>
                <w:rFonts w:ascii="Times New Roman" w:hAnsi="Times New Roman" w:cs="Times New Roman"/>
                <w:sz w:val="24"/>
                <w:szCs w:val="24"/>
              </w:rPr>
            </w:pPr>
            <w:r w:rsidRPr="006B031F">
              <w:rPr>
                <w:rFonts w:ascii="Times New Roman" w:hAnsi="Times New Roman" w:cs="Times New Roman"/>
                <w:sz w:val="24"/>
                <w:szCs w:val="24"/>
              </w:rPr>
              <w:t>Estimator</w:t>
            </w:r>
          </w:p>
        </w:tc>
      </w:tr>
      <w:tr w:rsidR="00826159" w:rsidRPr="00A54C45" w14:paraId="0674B44E" w14:textId="77777777" w:rsidTr="00943E2E">
        <w:tc>
          <w:tcPr>
            <w:tcW w:w="2065" w:type="dxa"/>
            <w:tcBorders>
              <w:left w:val="nil"/>
              <w:bottom w:val="nil"/>
              <w:right w:val="nil"/>
            </w:tcBorders>
            <w:vAlign w:val="center"/>
          </w:tcPr>
          <w:p w14:paraId="7C5D5969" w14:textId="77777777" w:rsidR="00826159" w:rsidRPr="00B722C3" w:rsidRDefault="00826159" w:rsidP="00943E2E">
            <w:pPr>
              <w:autoSpaceDE w:val="0"/>
              <w:autoSpaceDN w:val="0"/>
              <w:adjustRightInd w:val="0"/>
              <w:jc w:val="both"/>
              <w:rPr>
                <w:rFonts w:ascii="Times New Roman" w:hAnsi="Times New Roman" w:cs="Times New Roman"/>
              </w:rPr>
            </w:pPr>
            <m:oMathPara>
              <m:oMath>
                <m:r>
                  <w:rPr>
                    <w:rFonts w:ascii="Cambria Math" w:hAnsi="Cambria Math" w:cs="Times New Roman"/>
                  </w:rPr>
                  <m:t>P</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rec</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sen</m:t>
                        </m:r>
                      </m:e>
                      <m:sub>
                        <m:r>
                          <w:rPr>
                            <w:rFonts w:ascii="Cambria Math" w:hAnsi="Cambria Math" w:cs="Times New Roman"/>
                          </w:rPr>
                          <m:t>t-1</m:t>
                        </m:r>
                      </m:sub>
                    </m:sSub>
                    <m:ctrlPr>
                      <w:rPr>
                        <w:rFonts w:ascii="Cambria Math" w:hAnsi="Cambria Math" w:cs="Times New Roman"/>
                      </w:rPr>
                    </m:ctrlPr>
                  </m:e>
                </m:d>
              </m:oMath>
            </m:oMathPara>
          </w:p>
        </w:tc>
        <w:tc>
          <w:tcPr>
            <w:tcW w:w="2070" w:type="dxa"/>
            <w:tcBorders>
              <w:left w:val="nil"/>
              <w:bottom w:val="nil"/>
              <w:right w:val="nil"/>
            </w:tcBorders>
            <w:vAlign w:val="center"/>
          </w:tcPr>
          <w:p w14:paraId="243C158B" w14:textId="77777777" w:rsidR="00826159" w:rsidRDefault="00826159" w:rsidP="00943E2E">
            <w:pPr>
              <w:autoSpaceDE w:val="0"/>
              <w:autoSpaceDN w:val="0"/>
              <w:adjustRightInd w:val="0"/>
              <w:jc w:val="both"/>
              <w:rPr>
                <w:rFonts w:ascii="Times New Roman" w:hAnsi="Times New Roman" w:cs="Times New Roman"/>
              </w:rPr>
            </w:pPr>
            <w:r w:rsidRPr="00B722C3">
              <w:rPr>
                <w:rFonts w:ascii="Times New Roman" w:hAnsi="Times New Roman" w:cs="Times New Roman"/>
              </w:rPr>
              <w:t xml:space="preserve">Probability of an analyst making an upgrade/neutral/downgrade </w:t>
            </w:r>
            <w:proofErr w:type="spellStart"/>
            <w:r w:rsidRPr="00B722C3">
              <w:rPr>
                <w:rFonts w:ascii="Times New Roman" w:hAnsi="Times New Roman" w:cs="Times New Roman"/>
              </w:rPr>
              <w:t>recommen</w:t>
            </w:r>
            <w:proofErr w:type="spellEnd"/>
            <w:r>
              <w:rPr>
                <w:rFonts w:ascii="Times New Roman" w:hAnsi="Times New Roman" w:cs="Times New Roman"/>
              </w:rPr>
              <w:t>-</w:t>
            </w:r>
            <w:r w:rsidRPr="00B722C3">
              <w:rPr>
                <w:rFonts w:ascii="Times New Roman" w:hAnsi="Times New Roman" w:cs="Times New Roman"/>
              </w:rPr>
              <w:t xml:space="preserve">dation in quarter </w:t>
            </w:r>
            <w:r w:rsidRPr="00B722C3">
              <w:rPr>
                <w:rFonts w:ascii="Times New Roman" w:hAnsi="Times New Roman" w:cs="Times New Roman"/>
                <w:i/>
                <w:iCs/>
              </w:rPr>
              <w:t>t</w:t>
            </w:r>
            <w:r w:rsidRPr="00B722C3">
              <w:rPr>
                <w:rFonts w:ascii="Times New Roman" w:hAnsi="Times New Roman" w:cs="Times New Roman"/>
              </w:rPr>
              <w:t xml:space="preserve"> under the investor’s sentiment in quarter </w:t>
            </w:r>
            <w:r w:rsidRPr="00B722C3">
              <w:rPr>
                <w:rFonts w:ascii="Times New Roman" w:hAnsi="Times New Roman" w:cs="Times New Roman"/>
                <w:i/>
                <w:iCs/>
              </w:rPr>
              <w:t>t-1</w:t>
            </w:r>
            <w:r w:rsidRPr="00B722C3">
              <w:rPr>
                <w:rFonts w:ascii="Times New Roman" w:hAnsi="Times New Roman" w:cs="Times New Roman"/>
              </w:rPr>
              <w:t>. This excludes the look-ahead bias.</w:t>
            </w:r>
          </w:p>
          <w:p w14:paraId="30134DD6" w14:textId="77777777" w:rsidR="00826159" w:rsidRPr="00B722C3" w:rsidRDefault="00826159" w:rsidP="00943E2E">
            <w:pPr>
              <w:autoSpaceDE w:val="0"/>
              <w:autoSpaceDN w:val="0"/>
              <w:adjustRightInd w:val="0"/>
              <w:jc w:val="both"/>
              <w:rPr>
                <w:rFonts w:ascii="Times New Roman" w:hAnsi="Times New Roman" w:cs="Times New Roman"/>
              </w:rPr>
            </w:pPr>
          </w:p>
        </w:tc>
        <w:tc>
          <w:tcPr>
            <w:tcW w:w="5788" w:type="dxa"/>
            <w:tcBorders>
              <w:left w:val="nil"/>
              <w:bottom w:val="nil"/>
              <w:right w:val="nil"/>
            </w:tcBorders>
            <w:vAlign w:val="center"/>
          </w:tcPr>
          <w:p w14:paraId="6F9DEA7F" w14:textId="77777777" w:rsidR="00826159" w:rsidRPr="00B722C3" w:rsidRDefault="00826159" w:rsidP="00943E2E">
            <w:pPr>
              <w:autoSpaceDE w:val="0"/>
              <w:autoSpaceDN w:val="0"/>
              <w:adjustRightInd w:val="0"/>
              <w:rPr>
                <w:rFonts w:ascii="Times New Roman" w:hAnsi="Times New Roman" w:cs="Times New Roman"/>
              </w:rPr>
            </w:pPr>
          </w:p>
          <w:p w14:paraId="183A0F96" w14:textId="77777777" w:rsidR="00826159" w:rsidRPr="00B722C3" w:rsidRDefault="00D74C0C" w:rsidP="00943E2E">
            <w:pPr>
              <w:autoSpaceDE w:val="0"/>
              <w:autoSpaceDN w:val="0"/>
              <w:adjustRightInd w:val="0"/>
              <w:rPr>
                <w:rFonts w:ascii="Times New Roman" w:hAnsi="Times New Roman" w:cs="Times New Roman"/>
              </w:rPr>
            </w:pPr>
            <m:oMathPara>
              <m:oMath>
                <m:f>
                  <m:fPr>
                    <m:ctrlPr>
                      <w:rPr>
                        <w:rFonts w:ascii="Cambria Math" w:hAnsi="Cambria Math" w:cs="Times New Roman"/>
                        <w:iCs/>
                      </w:rPr>
                    </m:ctrlPr>
                  </m:fPr>
                  <m:num>
                    <m:eqArr>
                      <m:eqArrPr>
                        <m:ctrlPr>
                          <w:rPr>
                            <w:rFonts w:ascii="Cambria Math" w:hAnsi="Cambria Math" w:cs="Times New Roman"/>
                            <w:iCs/>
                          </w:rPr>
                        </m:ctrlPr>
                      </m:eqArrPr>
                      <m:e>
                        <m:r>
                          <m:rPr>
                            <m:nor/>
                          </m:rPr>
                          <w:rPr>
                            <w:rFonts w:ascii="Times New Roman" w:hAnsi="Times New Roman" w:cs="Times New Roman"/>
                            <w:iCs/>
                          </w:rPr>
                          <m:t xml:space="preserve">Number of upgrade/neutral/downgrade in quarter </m:t>
                        </m:r>
                        <m:r>
                          <m:rPr>
                            <m:nor/>
                          </m:rPr>
                          <w:rPr>
                            <w:rFonts w:ascii="Times New Roman" w:hAnsi="Times New Roman" w:cs="Times New Roman"/>
                            <w:i/>
                            <w:iCs/>
                          </w:rPr>
                          <m:t>t</m:t>
                        </m:r>
                        <m:r>
                          <m:rPr>
                            <m:nor/>
                          </m:rPr>
                          <w:rPr>
                            <w:rFonts w:ascii="Times New Roman" w:hAnsi="Times New Roman" w:cs="Times New Roman"/>
                            <w:iCs/>
                          </w:rPr>
                          <m:t xml:space="preserve"> </m:t>
                        </m:r>
                      </m:e>
                      <m:e>
                        <m:r>
                          <m:rPr>
                            <m:nor/>
                          </m:rPr>
                          <w:rPr>
                            <w:rFonts w:ascii="Times New Roman" w:hAnsi="Times New Roman" w:cs="Times New Roman"/>
                            <w:iCs/>
                          </w:rPr>
                          <m:t xml:space="preserve">under sentiment of quarter </m:t>
                        </m:r>
                        <m:r>
                          <m:rPr>
                            <m:nor/>
                          </m:rPr>
                          <w:rPr>
                            <w:rFonts w:ascii="Times New Roman" w:hAnsi="Times New Roman" w:cs="Times New Roman"/>
                            <w:i/>
                            <w:iCs/>
                          </w:rPr>
                          <m:t>t-1</m:t>
                        </m:r>
                      </m:e>
                    </m:eqArr>
                  </m:num>
                  <m:den>
                    <m:eqArr>
                      <m:eqArrPr>
                        <m:ctrlPr>
                          <w:rPr>
                            <w:rFonts w:ascii="Cambria Math" w:hAnsi="Cambria Math" w:cs="Times New Roman"/>
                            <w:iCs/>
                          </w:rPr>
                        </m:ctrlPr>
                      </m:eqArrPr>
                      <m:e>
                        <m:r>
                          <m:rPr>
                            <m:nor/>
                          </m:rPr>
                          <w:rPr>
                            <w:rFonts w:ascii="Times New Roman" w:hAnsi="Times New Roman" w:cs="Times New Roman"/>
                            <w:iCs/>
                          </w:rPr>
                          <m:t xml:space="preserve">Total number of recommendations in quarter </m:t>
                        </m:r>
                        <m:r>
                          <m:rPr>
                            <m:nor/>
                          </m:rPr>
                          <w:rPr>
                            <w:rFonts w:ascii="Times New Roman" w:hAnsi="Times New Roman" w:cs="Times New Roman"/>
                            <w:i/>
                            <w:iCs/>
                          </w:rPr>
                          <m:t>t</m:t>
                        </m:r>
                        <m:r>
                          <m:rPr>
                            <m:nor/>
                          </m:rPr>
                          <w:rPr>
                            <w:rFonts w:ascii="Times New Roman" w:hAnsi="Times New Roman" w:cs="Times New Roman"/>
                            <w:iCs/>
                          </w:rPr>
                          <m:t xml:space="preserve"> </m:t>
                        </m:r>
                      </m:e>
                      <m:e>
                        <m:r>
                          <m:rPr>
                            <m:nor/>
                          </m:rPr>
                          <w:rPr>
                            <w:rFonts w:ascii="Times New Roman" w:hAnsi="Times New Roman" w:cs="Times New Roman"/>
                            <w:iCs/>
                          </w:rPr>
                          <m:t>under sentiment of quarter</m:t>
                        </m:r>
                        <m:r>
                          <m:rPr>
                            <m:nor/>
                          </m:rPr>
                          <w:rPr>
                            <w:rFonts w:ascii="Times New Roman" w:hAnsi="Times New Roman" w:cs="Times New Roman"/>
                            <w:i/>
                            <w:iCs/>
                          </w:rPr>
                          <m:t xml:space="preserve"> t-1</m:t>
                        </m:r>
                      </m:e>
                    </m:eqArr>
                  </m:den>
                </m:f>
              </m:oMath>
            </m:oMathPara>
          </w:p>
        </w:tc>
      </w:tr>
      <w:tr w:rsidR="00826159" w:rsidRPr="00A54C45" w14:paraId="5BC1E850" w14:textId="77777777" w:rsidTr="00943E2E">
        <w:tc>
          <w:tcPr>
            <w:tcW w:w="2065" w:type="dxa"/>
            <w:tcBorders>
              <w:top w:val="nil"/>
              <w:left w:val="nil"/>
              <w:bottom w:val="nil"/>
              <w:right w:val="nil"/>
            </w:tcBorders>
            <w:vAlign w:val="center"/>
          </w:tcPr>
          <w:p w14:paraId="4635BA66" w14:textId="77777777" w:rsidR="00826159" w:rsidRPr="00B722C3" w:rsidRDefault="00826159" w:rsidP="00943E2E">
            <w:pPr>
              <w:autoSpaceDE w:val="0"/>
              <w:autoSpaceDN w:val="0"/>
              <w:adjustRightInd w:val="0"/>
              <w:jc w:val="both"/>
              <w:rPr>
                <w:rFonts w:ascii="Calibri" w:eastAsia="Malgun Gothic" w:hAnsi="Calibri" w:cs="Times New Roman"/>
              </w:rPr>
            </w:pPr>
            <m:oMathPara>
              <m:oMath>
                <m:r>
                  <w:rPr>
                    <w:rFonts w:ascii="Cambria Math" w:hAnsi="Cambria Math" w:cs="Times New Roman"/>
                  </w:rPr>
                  <m:t>P</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rec</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sen</m:t>
                        </m:r>
                      </m:e>
                      <m:sub>
                        <m:r>
                          <w:rPr>
                            <w:rFonts w:ascii="Cambria Math" w:hAnsi="Cambria Math" w:cs="Times New Roman"/>
                          </w:rPr>
                          <m:t>t</m:t>
                        </m:r>
                      </m:sub>
                    </m:sSub>
                    <m:ctrlPr>
                      <w:rPr>
                        <w:rFonts w:ascii="Cambria Math" w:hAnsi="Cambria Math" w:cs="Times New Roman"/>
                      </w:rPr>
                    </m:ctrlPr>
                  </m:e>
                </m:d>
              </m:oMath>
            </m:oMathPara>
          </w:p>
        </w:tc>
        <w:tc>
          <w:tcPr>
            <w:tcW w:w="2070" w:type="dxa"/>
            <w:tcBorders>
              <w:top w:val="nil"/>
              <w:left w:val="nil"/>
              <w:bottom w:val="nil"/>
              <w:right w:val="nil"/>
            </w:tcBorders>
            <w:vAlign w:val="center"/>
          </w:tcPr>
          <w:p w14:paraId="163CBF63" w14:textId="77777777" w:rsidR="00826159" w:rsidRDefault="00826159" w:rsidP="00943E2E">
            <w:pPr>
              <w:autoSpaceDE w:val="0"/>
              <w:autoSpaceDN w:val="0"/>
              <w:adjustRightInd w:val="0"/>
              <w:jc w:val="both"/>
              <w:rPr>
                <w:rFonts w:ascii="Times New Roman" w:hAnsi="Times New Roman" w:cs="Times New Roman"/>
              </w:rPr>
            </w:pPr>
            <w:r w:rsidRPr="00B722C3">
              <w:rPr>
                <w:rFonts w:ascii="Times New Roman" w:hAnsi="Times New Roman" w:cs="Times New Roman"/>
              </w:rPr>
              <w:t xml:space="preserve">Probability of an analyst making an upgrade/neutral/downgrade </w:t>
            </w:r>
            <w:proofErr w:type="spellStart"/>
            <w:r w:rsidRPr="00B722C3">
              <w:rPr>
                <w:rFonts w:ascii="Times New Roman" w:hAnsi="Times New Roman" w:cs="Times New Roman"/>
              </w:rPr>
              <w:t>recommen</w:t>
            </w:r>
            <w:proofErr w:type="spellEnd"/>
            <w:r>
              <w:rPr>
                <w:rFonts w:ascii="Times New Roman" w:hAnsi="Times New Roman" w:cs="Times New Roman"/>
              </w:rPr>
              <w:t>-</w:t>
            </w:r>
            <w:r w:rsidRPr="00B722C3">
              <w:rPr>
                <w:rFonts w:ascii="Times New Roman" w:hAnsi="Times New Roman" w:cs="Times New Roman"/>
              </w:rPr>
              <w:t xml:space="preserve">dation in quarter </w:t>
            </w:r>
            <w:r w:rsidRPr="00B722C3">
              <w:rPr>
                <w:rFonts w:ascii="Times New Roman" w:hAnsi="Times New Roman" w:cs="Times New Roman"/>
                <w:i/>
                <w:iCs/>
              </w:rPr>
              <w:t>t</w:t>
            </w:r>
            <w:r w:rsidRPr="00B722C3">
              <w:rPr>
                <w:rFonts w:ascii="Times New Roman" w:hAnsi="Times New Roman" w:cs="Times New Roman"/>
              </w:rPr>
              <w:t xml:space="preserve"> under the investor’s sentiment in quarter </w:t>
            </w:r>
            <w:r w:rsidRPr="00B722C3">
              <w:rPr>
                <w:rFonts w:ascii="Times New Roman" w:hAnsi="Times New Roman" w:cs="Times New Roman"/>
                <w:i/>
                <w:iCs/>
              </w:rPr>
              <w:t>t</w:t>
            </w:r>
            <w:r w:rsidRPr="00B722C3">
              <w:rPr>
                <w:rFonts w:ascii="Times New Roman" w:hAnsi="Times New Roman" w:cs="Times New Roman"/>
              </w:rPr>
              <w:t>. This includes the look-ahead bias.</w:t>
            </w:r>
          </w:p>
          <w:p w14:paraId="3386F4C2" w14:textId="77777777" w:rsidR="00826159" w:rsidRPr="00B722C3" w:rsidRDefault="00826159" w:rsidP="00943E2E">
            <w:pPr>
              <w:autoSpaceDE w:val="0"/>
              <w:autoSpaceDN w:val="0"/>
              <w:adjustRightInd w:val="0"/>
              <w:jc w:val="both"/>
              <w:rPr>
                <w:rFonts w:ascii="Times New Roman" w:hAnsi="Times New Roman" w:cs="Times New Roman"/>
              </w:rPr>
            </w:pPr>
          </w:p>
        </w:tc>
        <w:tc>
          <w:tcPr>
            <w:tcW w:w="5788" w:type="dxa"/>
            <w:tcBorders>
              <w:top w:val="nil"/>
              <w:left w:val="nil"/>
              <w:bottom w:val="nil"/>
              <w:right w:val="nil"/>
            </w:tcBorders>
            <w:vAlign w:val="center"/>
          </w:tcPr>
          <w:p w14:paraId="5B688E5E" w14:textId="77777777" w:rsidR="00826159" w:rsidRPr="00B722C3" w:rsidRDefault="00826159" w:rsidP="00943E2E">
            <w:pPr>
              <w:autoSpaceDE w:val="0"/>
              <w:autoSpaceDN w:val="0"/>
              <w:adjustRightInd w:val="0"/>
              <w:rPr>
                <w:rFonts w:ascii="Times New Roman" w:hAnsi="Times New Roman" w:cs="Times New Roman"/>
              </w:rPr>
            </w:pPr>
          </w:p>
          <w:p w14:paraId="552A8876" w14:textId="77777777" w:rsidR="00826159" w:rsidRPr="00B722C3" w:rsidRDefault="00D74C0C" w:rsidP="00943E2E">
            <w:pPr>
              <w:autoSpaceDE w:val="0"/>
              <w:autoSpaceDN w:val="0"/>
              <w:adjustRightInd w:val="0"/>
              <w:jc w:val="both"/>
              <w:rPr>
                <w:rFonts w:ascii="Times New Roman" w:eastAsia="Malgun Gothic" w:hAnsi="Times New Roman" w:cs="Times New Roman"/>
                <w:iCs/>
              </w:rPr>
            </w:pPr>
            <m:oMathPara>
              <m:oMath>
                <m:f>
                  <m:fPr>
                    <m:ctrlPr>
                      <w:rPr>
                        <w:rFonts w:ascii="Cambria Math" w:hAnsi="Cambria Math" w:cs="Times New Roman"/>
                        <w:iCs/>
                      </w:rPr>
                    </m:ctrlPr>
                  </m:fPr>
                  <m:num>
                    <m:eqArr>
                      <m:eqArrPr>
                        <m:ctrlPr>
                          <w:rPr>
                            <w:rFonts w:ascii="Cambria Math" w:hAnsi="Cambria Math" w:cs="Times New Roman"/>
                            <w:iCs/>
                          </w:rPr>
                        </m:ctrlPr>
                      </m:eqArrPr>
                      <m:e>
                        <m:r>
                          <m:rPr>
                            <m:nor/>
                          </m:rPr>
                          <w:rPr>
                            <w:rFonts w:ascii="Times New Roman" w:hAnsi="Times New Roman" w:cs="Times New Roman"/>
                            <w:iCs/>
                          </w:rPr>
                          <m:t xml:space="preserve">Number of upgrade/neutral/downgrade in quarter </m:t>
                        </m:r>
                        <m:r>
                          <m:rPr>
                            <m:nor/>
                          </m:rPr>
                          <w:rPr>
                            <w:rFonts w:ascii="Times New Roman" w:hAnsi="Times New Roman" w:cs="Times New Roman"/>
                            <w:i/>
                            <w:iCs/>
                          </w:rPr>
                          <m:t>t</m:t>
                        </m:r>
                        <m:r>
                          <m:rPr>
                            <m:nor/>
                          </m:rPr>
                          <w:rPr>
                            <w:rFonts w:ascii="Times New Roman" w:hAnsi="Times New Roman" w:cs="Times New Roman"/>
                            <w:iCs/>
                          </w:rPr>
                          <m:t xml:space="preserve"> </m:t>
                        </m:r>
                      </m:e>
                      <m:e>
                        <m:r>
                          <m:rPr>
                            <m:nor/>
                          </m:rPr>
                          <w:rPr>
                            <w:rFonts w:ascii="Times New Roman" w:hAnsi="Times New Roman" w:cs="Times New Roman"/>
                            <w:iCs/>
                          </w:rPr>
                          <m:t xml:space="preserve">under sentiment of quarter </m:t>
                        </m:r>
                        <m:r>
                          <m:rPr>
                            <m:nor/>
                          </m:rPr>
                          <w:rPr>
                            <w:rFonts w:ascii="Cambria Math" w:hAnsi="Times New Roman" w:cs="Times New Roman"/>
                            <w:i/>
                          </w:rPr>
                          <m:t>t</m:t>
                        </m:r>
                      </m:e>
                    </m:eqArr>
                  </m:num>
                  <m:den>
                    <m:eqArr>
                      <m:eqArrPr>
                        <m:ctrlPr>
                          <w:rPr>
                            <w:rFonts w:ascii="Cambria Math" w:hAnsi="Cambria Math" w:cs="Times New Roman"/>
                            <w:iCs/>
                          </w:rPr>
                        </m:ctrlPr>
                      </m:eqArrPr>
                      <m:e>
                        <m:r>
                          <m:rPr>
                            <m:nor/>
                          </m:rPr>
                          <w:rPr>
                            <w:rFonts w:ascii="Times New Roman" w:hAnsi="Times New Roman" w:cs="Times New Roman"/>
                            <w:iCs/>
                          </w:rPr>
                          <m:t xml:space="preserve">Total number of recommendations in quarter </m:t>
                        </m:r>
                        <m:r>
                          <m:rPr>
                            <m:nor/>
                          </m:rPr>
                          <w:rPr>
                            <w:rFonts w:ascii="Times New Roman" w:hAnsi="Times New Roman" w:cs="Times New Roman"/>
                            <w:i/>
                            <w:iCs/>
                          </w:rPr>
                          <m:t>t</m:t>
                        </m:r>
                        <m:r>
                          <m:rPr>
                            <m:nor/>
                          </m:rPr>
                          <w:rPr>
                            <w:rFonts w:ascii="Times New Roman" w:hAnsi="Times New Roman" w:cs="Times New Roman"/>
                            <w:iCs/>
                          </w:rPr>
                          <m:t xml:space="preserve"> </m:t>
                        </m:r>
                      </m:e>
                      <m:e>
                        <m:r>
                          <m:rPr>
                            <m:nor/>
                          </m:rPr>
                          <w:rPr>
                            <w:rFonts w:ascii="Times New Roman" w:hAnsi="Times New Roman" w:cs="Times New Roman"/>
                            <w:iCs/>
                          </w:rPr>
                          <m:t>under sentiment of quarter</m:t>
                        </m:r>
                        <m:r>
                          <m:rPr>
                            <m:nor/>
                          </m:rPr>
                          <w:rPr>
                            <w:rFonts w:ascii="Times New Roman" w:hAnsi="Times New Roman" w:cs="Times New Roman"/>
                            <w:i/>
                            <w:iCs/>
                          </w:rPr>
                          <m:t xml:space="preserve"> </m:t>
                        </m:r>
                        <m:r>
                          <m:rPr>
                            <m:nor/>
                          </m:rPr>
                          <w:rPr>
                            <w:rFonts w:ascii="Cambria Math" w:hAnsi="Times New Roman" w:cs="Times New Roman"/>
                            <w:i/>
                          </w:rPr>
                          <m:t>t</m:t>
                        </m:r>
                      </m:e>
                    </m:eqArr>
                  </m:den>
                </m:f>
              </m:oMath>
            </m:oMathPara>
          </w:p>
        </w:tc>
      </w:tr>
      <w:tr w:rsidR="00826159" w:rsidRPr="00A54C45" w14:paraId="1FF5730D" w14:textId="77777777" w:rsidTr="00943E2E">
        <w:tc>
          <w:tcPr>
            <w:tcW w:w="2065" w:type="dxa"/>
            <w:tcBorders>
              <w:top w:val="nil"/>
              <w:left w:val="nil"/>
              <w:bottom w:val="nil"/>
              <w:right w:val="nil"/>
            </w:tcBorders>
            <w:vAlign w:val="center"/>
          </w:tcPr>
          <w:p w14:paraId="38FA2FE9" w14:textId="77777777" w:rsidR="00826159" w:rsidRPr="00B722C3" w:rsidRDefault="00826159" w:rsidP="00943E2E">
            <w:pPr>
              <w:autoSpaceDE w:val="0"/>
              <w:autoSpaceDN w:val="0"/>
              <w:adjustRightInd w:val="0"/>
              <w:jc w:val="both"/>
              <w:rPr>
                <w:rFonts w:ascii="Times New Roman" w:hAnsi="Times New Roman" w:cs="Times New Roman"/>
              </w:rPr>
            </w:pPr>
            <m:oMath>
              <m:r>
                <w:rPr>
                  <w:rFonts w:ascii="Cambria Math" w:hAnsi="Cambria Math" w:cs="Times New Roman"/>
                </w:rPr>
                <m:t>E[P</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rec</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sen</m:t>
                      </m:r>
                    </m:e>
                    <m:sub>
                      <m:r>
                        <w:rPr>
                          <w:rFonts w:ascii="Cambria Math" w:hAnsi="Cambria Math" w:cs="Times New Roman"/>
                        </w:rPr>
                        <m:t>t-1</m:t>
                      </m:r>
                    </m:sub>
                  </m:sSub>
                  <m:ctrlPr>
                    <w:rPr>
                      <w:rFonts w:ascii="Cambria Math" w:hAnsi="Cambria Math" w:cs="Times New Roman"/>
                    </w:rPr>
                  </m:ctrlPr>
                </m:e>
              </m:d>
              <m:r>
                <m:rPr>
                  <m:sty m:val="p"/>
                </m:rPr>
                <w:rPr>
                  <w:rFonts w:ascii="Cambria Math" w:hAnsi="Cambria Math" w:cs="Times New Roman"/>
                </w:rPr>
                <m:t>]</m:t>
              </m:r>
            </m:oMath>
            <w:r w:rsidRPr="00B722C3">
              <w:rPr>
                <w:rFonts w:ascii="Times New Roman" w:hAnsi="Times New Roman" w:cs="Times New Roman"/>
              </w:rPr>
              <w:t xml:space="preserve">                      </w:t>
            </w:r>
          </w:p>
        </w:tc>
        <w:tc>
          <w:tcPr>
            <w:tcW w:w="2070" w:type="dxa"/>
            <w:tcBorders>
              <w:top w:val="nil"/>
              <w:left w:val="nil"/>
              <w:bottom w:val="nil"/>
              <w:right w:val="nil"/>
            </w:tcBorders>
            <w:vAlign w:val="center"/>
          </w:tcPr>
          <w:p w14:paraId="710CD83B" w14:textId="77777777" w:rsidR="00826159" w:rsidRDefault="00826159" w:rsidP="00943E2E">
            <w:pPr>
              <w:autoSpaceDE w:val="0"/>
              <w:autoSpaceDN w:val="0"/>
              <w:adjustRightInd w:val="0"/>
              <w:jc w:val="both"/>
              <w:rPr>
                <w:rFonts w:ascii="Times New Roman" w:hAnsi="Times New Roman" w:cs="Times New Roman"/>
              </w:rPr>
            </w:pPr>
            <w:r w:rsidRPr="00B722C3">
              <w:rPr>
                <w:rFonts w:ascii="Times New Roman" w:hAnsi="Times New Roman" w:cs="Times New Roman"/>
              </w:rPr>
              <w:t xml:space="preserve">The average value of </w:t>
            </w:r>
            <m:oMath>
              <m:r>
                <w:rPr>
                  <w:rFonts w:ascii="Cambria Math" w:hAnsi="Cambria Math" w:cs="Times New Roman"/>
                </w:rPr>
                <m:t>P</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rec</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sen</m:t>
                      </m:r>
                    </m:e>
                    <m:sub>
                      <m:r>
                        <w:rPr>
                          <w:rFonts w:ascii="Cambria Math" w:hAnsi="Cambria Math" w:cs="Times New Roman"/>
                        </w:rPr>
                        <m:t>t-1</m:t>
                      </m:r>
                    </m:sub>
                  </m:sSub>
                  <m:ctrlPr>
                    <w:rPr>
                      <w:rFonts w:ascii="Cambria Math" w:hAnsi="Cambria Math" w:cs="Times New Roman"/>
                    </w:rPr>
                  </m:ctrlPr>
                </m:e>
              </m:d>
            </m:oMath>
            <w:r w:rsidRPr="00B722C3">
              <w:rPr>
                <w:rFonts w:ascii="Times New Roman" w:hAnsi="Times New Roman" w:cs="Times New Roman"/>
              </w:rPr>
              <w:t xml:space="preserve"> of all quarters that have the same </w:t>
            </w:r>
            <m:oMath>
              <m:r>
                <w:rPr>
                  <w:rFonts w:ascii="Cambria Math" w:hAnsi="Cambria Math" w:cs="Times New Roman"/>
                </w:rPr>
                <m:t>rec</m:t>
              </m:r>
            </m:oMath>
            <w:r w:rsidRPr="00B722C3">
              <w:rPr>
                <w:rFonts w:ascii="Times New Roman" w:hAnsi="Times New Roman" w:cs="Times New Roman"/>
              </w:rPr>
              <w:t xml:space="preserve"> and </w:t>
            </w:r>
            <m:oMath>
              <m:r>
                <w:rPr>
                  <w:rFonts w:ascii="Cambria Math" w:hAnsi="Cambria Math" w:cs="Times New Roman"/>
                </w:rPr>
                <m:t>sen</m:t>
              </m:r>
            </m:oMath>
            <w:r w:rsidRPr="00B722C3">
              <w:rPr>
                <w:rFonts w:ascii="Times New Roman" w:hAnsi="Times New Roman" w:cs="Times New Roman"/>
              </w:rPr>
              <w:t xml:space="preserve"> in quarter </w:t>
            </w:r>
            <w:r w:rsidRPr="00B722C3">
              <w:rPr>
                <w:rFonts w:ascii="Times New Roman" w:hAnsi="Times New Roman" w:cs="Times New Roman"/>
                <w:i/>
                <w:iCs/>
              </w:rPr>
              <w:t>t</w:t>
            </w:r>
            <w:r w:rsidRPr="00B722C3">
              <w:rPr>
                <w:rFonts w:ascii="Times New Roman" w:hAnsi="Times New Roman" w:cs="Times New Roman"/>
              </w:rPr>
              <w:t xml:space="preserve"> and </w:t>
            </w:r>
            <w:r w:rsidRPr="00B722C3">
              <w:rPr>
                <w:rFonts w:ascii="Times New Roman" w:hAnsi="Times New Roman" w:cs="Times New Roman"/>
                <w:i/>
                <w:iCs/>
              </w:rPr>
              <w:t>t-1</w:t>
            </w:r>
            <w:r w:rsidRPr="00B722C3">
              <w:rPr>
                <w:rFonts w:ascii="Times New Roman" w:hAnsi="Times New Roman" w:cs="Times New Roman"/>
              </w:rPr>
              <w:t>, respectively. This excludes the look-ahead bias.</w:t>
            </w:r>
          </w:p>
          <w:p w14:paraId="14D0406E" w14:textId="77777777" w:rsidR="00826159" w:rsidRPr="00B722C3" w:rsidRDefault="00826159" w:rsidP="00943E2E">
            <w:pPr>
              <w:autoSpaceDE w:val="0"/>
              <w:autoSpaceDN w:val="0"/>
              <w:adjustRightInd w:val="0"/>
              <w:jc w:val="both"/>
              <w:rPr>
                <w:rFonts w:ascii="Times New Roman" w:hAnsi="Times New Roman" w:cs="Times New Roman"/>
              </w:rPr>
            </w:pPr>
          </w:p>
        </w:tc>
        <w:tc>
          <w:tcPr>
            <w:tcW w:w="5788" w:type="dxa"/>
            <w:tcBorders>
              <w:top w:val="nil"/>
              <w:left w:val="nil"/>
              <w:bottom w:val="nil"/>
              <w:right w:val="nil"/>
            </w:tcBorders>
            <w:vAlign w:val="center"/>
          </w:tcPr>
          <w:p w14:paraId="14446C25" w14:textId="77777777" w:rsidR="00826159" w:rsidRPr="008D34B2" w:rsidRDefault="00D74C0C" w:rsidP="00943E2E">
            <w:pPr>
              <w:autoSpaceDE w:val="0"/>
              <w:autoSpaceDN w:val="0"/>
              <w:adjustRightInd w:val="0"/>
              <w:jc w:val="both"/>
              <w:rPr>
                <w:rFonts w:ascii="Times New Roman" w:hAnsi="Times New Roman" w:cs="Times New Roman"/>
              </w:rPr>
            </w:pPr>
            <m:oMathPara>
              <m:oMathParaPr>
                <m:jc m:val="center"/>
              </m:oMathParaPr>
              <m:oMath>
                <m:f>
                  <m:fPr>
                    <m:ctrlPr>
                      <w:rPr>
                        <w:rFonts w:ascii="Cambria Math" w:hAnsi="Cambria Math" w:cs="Times New Roman"/>
                        <w:iCs/>
                      </w:rPr>
                    </m:ctrlPr>
                  </m:fPr>
                  <m:num>
                    <m:nary>
                      <m:naryPr>
                        <m:chr m:val="∑"/>
                        <m:limLoc m:val="undOvr"/>
                        <m:ctrlPr>
                          <w:rPr>
                            <w:rFonts w:ascii="Cambria Math" w:hAnsi="Cambria Math" w:cs="Times New Roman"/>
                            <w:i/>
                            <w:iCs/>
                          </w:rPr>
                        </m:ctrlPr>
                      </m:naryPr>
                      <m:sub>
                        <m:r>
                          <w:rPr>
                            <w:rFonts w:ascii="Cambria Math" w:hAnsi="Cambria Math" w:cs="Times New Roman"/>
                          </w:rPr>
                          <m:t>t=0</m:t>
                        </m:r>
                      </m:sub>
                      <m:sup>
                        <m:r>
                          <w:rPr>
                            <w:rFonts w:ascii="Cambria Math" w:hAnsi="Cambria Math" w:cs="Times New Roman"/>
                          </w:rPr>
                          <m:t>t=t-1</m:t>
                        </m:r>
                      </m:sup>
                      <m:e>
                        <m:eqArr>
                          <m:eqArrPr>
                            <m:ctrlPr>
                              <w:rPr>
                                <w:rFonts w:ascii="Cambria Math" w:hAnsi="Cambria Math" w:cs="Times New Roman"/>
                                <w:iCs/>
                              </w:rPr>
                            </m:ctrlPr>
                          </m:eqArrPr>
                          <m:e>
                            <m:r>
                              <m:rPr>
                                <m:nor/>
                              </m:rPr>
                              <w:rPr>
                                <w:rFonts w:ascii="Times New Roman" w:hAnsi="Times New Roman" w:cs="Times New Roman"/>
                                <w:iCs/>
                              </w:rPr>
                              <m:t xml:space="preserve">Number of upgrade/neutral/downgrade in quarter </m:t>
                            </m:r>
                            <m:r>
                              <m:rPr>
                                <m:nor/>
                              </m:rPr>
                              <w:rPr>
                                <w:rFonts w:ascii="Times New Roman" w:hAnsi="Times New Roman" w:cs="Times New Roman"/>
                                <w:i/>
                                <w:iCs/>
                              </w:rPr>
                              <m:t>t</m:t>
                            </m:r>
                            <m:r>
                              <m:rPr>
                                <m:nor/>
                              </m:rPr>
                              <w:rPr>
                                <w:rFonts w:ascii="Times New Roman" w:hAnsi="Times New Roman" w:cs="Times New Roman"/>
                                <w:iCs/>
                              </w:rPr>
                              <m:t xml:space="preserve"> </m:t>
                            </m:r>
                          </m:e>
                          <m:e>
                            <m:r>
                              <m:rPr>
                                <m:nor/>
                              </m:rPr>
                              <w:rPr>
                                <w:rFonts w:ascii="Times New Roman" w:hAnsi="Times New Roman" w:cs="Times New Roman"/>
                                <w:iCs/>
                              </w:rPr>
                              <m:t xml:space="preserve">under sentiment of quarter </m:t>
                            </m:r>
                            <m:r>
                              <m:rPr>
                                <m:nor/>
                              </m:rPr>
                              <w:rPr>
                                <w:rFonts w:ascii="Times New Roman" w:hAnsi="Times New Roman" w:cs="Times New Roman"/>
                                <w:i/>
                                <w:iCs/>
                              </w:rPr>
                              <m:t>t-1</m:t>
                            </m:r>
                          </m:e>
                        </m:eqArr>
                      </m:e>
                    </m:nary>
                  </m:num>
                  <m:den>
                    <m:eqArr>
                      <m:eqArrPr>
                        <m:ctrlPr>
                          <w:rPr>
                            <w:rFonts w:ascii="Cambria Math" w:hAnsi="Cambria Math" w:cs="Times New Roman"/>
                            <w:iCs/>
                          </w:rPr>
                        </m:ctrlPr>
                      </m:eqArrPr>
                      <m:e>
                        <m:nary>
                          <m:naryPr>
                            <m:chr m:val="∑"/>
                            <m:limLoc m:val="undOvr"/>
                            <m:ctrlPr>
                              <w:rPr>
                                <w:rFonts w:ascii="Cambria Math" w:hAnsi="Cambria Math" w:cs="Times New Roman"/>
                                <w:i/>
                                <w:iCs/>
                              </w:rPr>
                            </m:ctrlPr>
                          </m:naryPr>
                          <m:sub>
                            <m:r>
                              <w:rPr>
                                <w:rFonts w:ascii="Cambria Math" w:hAnsi="Cambria Math" w:cs="Times New Roman"/>
                              </w:rPr>
                              <m:t>t=0</m:t>
                            </m:r>
                          </m:sub>
                          <m:sup>
                            <m:r>
                              <w:rPr>
                                <w:rFonts w:ascii="Cambria Math" w:hAnsi="Cambria Math" w:cs="Times New Roman"/>
                              </w:rPr>
                              <m:t>t=t-1</m:t>
                            </m:r>
                          </m:sup>
                          <m:e>
                            <m:r>
                              <m:rPr>
                                <m:nor/>
                              </m:rPr>
                              <w:rPr>
                                <w:rFonts w:ascii="Times New Roman" w:hAnsi="Times New Roman" w:cs="Times New Roman"/>
                                <w:iCs/>
                              </w:rPr>
                              <m:t>Total number of recommendations in quarte</m:t>
                            </m:r>
                            <m:r>
                              <m:rPr>
                                <m:nor/>
                              </m:rPr>
                              <w:rPr>
                                <w:rFonts w:ascii="Cambria Math" w:hAnsi="Times New Roman" w:cs="Times New Roman"/>
                                <w:iCs/>
                              </w:rPr>
                              <m:t>r t-1</m:t>
                            </m:r>
                          </m:e>
                        </m:nary>
                      </m:e>
                      <m:e>
                        <m:r>
                          <m:rPr>
                            <m:nor/>
                          </m:rPr>
                          <w:rPr>
                            <w:rFonts w:ascii="Times New Roman" w:hAnsi="Times New Roman" w:cs="Times New Roman"/>
                            <w:iCs/>
                          </w:rPr>
                          <m:t>under sentiment of quarter</m:t>
                        </m:r>
                        <m:r>
                          <m:rPr>
                            <m:nor/>
                          </m:rPr>
                          <w:rPr>
                            <w:rFonts w:ascii="Times New Roman" w:hAnsi="Times New Roman" w:cs="Times New Roman"/>
                            <w:i/>
                            <w:iCs/>
                          </w:rPr>
                          <m:t xml:space="preserve"> t-1</m:t>
                        </m:r>
                      </m:e>
                    </m:eqArr>
                  </m:den>
                </m:f>
              </m:oMath>
            </m:oMathPara>
          </w:p>
        </w:tc>
      </w:tr>
      <w:tr w:rsidR="00826159" w:rsidRPr="00A54C45" w14:paraId="3EABE363" w14:textId="77777777" w:rsidTr="00943E2E">
        <w:tc>
          <w:tcPr>
            <w:tcW w:w="2065" w:type="dxa"/>
            <w:tcBorders>
              <w:top w:val="nil"/>
              <w:left w:val="nil"/>
              <w:bottom w:val="nil"/>
              <w:right w:val="nil"/>
            </w:tcBorders>
            <w:vAlign w:val="center"/>
          </w:tcPr>
          <w:p w14:paraId="264B88A0" w14:textId="77777777" w:rsidR="00826159" w:rsidRPr="00B722C3" w:rsidRDefault="00826159" w:rsidP="00943E2E">
            <w:pPr>
              <w:autoSpaceDE w:val="0"/>
              <w:autoSpaceDN w:val="0"/>
              <w:adjustRightInd w:val="0"/>
              <w:jc w:val="both"/>
              <w:rPr>
                <w:rFonts w:ascii="Times New Roman" w:hAnsi="Times New Roman" w:cs="Times New Roman"/>
              </w:rPr>
            </w:pPr>
            <m:oMath>
              <m:r>
                <w:rPr>
                  <w:rFonts w:ascii="Cambria Math" w:hAnsi="Cambria Math" w:cs="Times New Roman"/>
                </w:rPr>
                <m:t>E[P</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rec</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sen</m:t>
                      </m:r>
                    </m:e>
                    <m:sub>
                      <m:r>
                        <w:rPr>
                          <w:rFonts w:ascii="Cambria Math" w:hAnsi="Cambria Math" w:cs="Times New Roman"/>
                        </w:rPr>
                        <m:t>t</m:t>
                      </m:r>
                    </m:sub>
                  </m:sSub>
                  <m:ctrlPr>
                    <w:rPr>
                      <w:rFonts w:ascii="Cambria Math" w:hAnsi="Cambria Math" w:cs="Times New Roman"/>
                    </w:rPr>
                  </m:ctrlPr>
                </m:e>
              </m:d>
              <m:r>
                <m:rPr>
                  <m:sty m:val="p"/>
                </m:rPr>
                <w:rPr>
                  <w:rFonts w:ascii="Cambria Math" w:hAnsi="Cambria Math" w:cs="Times New Roman"/>
                </w:rPr>
                <m:t>]</m:t>
              </m:r>
            </m:oMath>
            <w:r w:rsidRPr="00B722C3">
              <w:rPr>
                <w:rFonts w:ascii="Times New Roman" w:hAnsi="Times New Roman" w:cs="Times New Roman"/>
              </w:rPr>
              <w:t xml:space="preserve">                      </w:t>
            </w:r>
          </w:p>
        </w:tc>
        <w:tc>
          <w:tcPr>
            <w:tcW w:w="2070" w:type="dxa"/>
            <w:tcBorders>
              <w:top w:val="nil"/>
              <w:left w:val="nil"/>
              <w:bottom w:val="nil"/>
              <w:right w:val="nil"/>
            </w:tcBorders>
            <w:vAlign w:val="center"/>
          </w:tcPr>
          <w:p w14:paraId="3AC51FDE" w14:textId="77777777" w:rsidR="00826159" w:rsidRDefault="00826159" w:rsidP="00943E2E">
            <w:pPr>
              <w:autoSpaceDE w:val="0"/>
              <w:autoSpaceDN w:val="0"/>
              <w:adjustRightInd w:val="0"/>
              <w:jc w:val="both"/>
              <w:rPr>
                <w:rFonts w:ascii="Times New Roman" w:hAnsi="Times New Roman" w:cs="Times New Roman"/>
              </w:rPr>
            </w:pPr>
            <w:r w:rsidRPr="00B722C3">
              <w:rPr>
                <w:rFonts w:ascii="Times New Roman" w:hAnsi="Times New Roman" w:cs="Times New Roman"/>
              </w:rPr>
              <w:t xml:space="preserve">The average value of </w:t>
            </w:r>
            <m:oMath>
              <m:r>
                <w:rPr>
                  <w:rFonts w:ascii="Cambria Math" w:hAnsi="Cambria Math" w:cs="Times New Roman"/>
                </w:rPr>
                <m:t>P</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rec</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sen</m:t>
                      </m:r>
                    </m:e>
                    <m:sub>
                      <m:r>
                        <w:rPr>
                          <w:rFonts w:ascii="Cambria Math" w:hAnsi="Cambria Math" w:cs="Times New Roman"/>
                        </w:rPr>
                        <m:t>t</m:t>
                      </m:r>
                    </m:sub>
                  </m:sSub>
                  <m:ctrlPr>
                    <w:rPr>
                      <w:rFonts w:ascii="Cambria Math" w:hAnsi="Cambria Math" w:cs="Times New Roman"/>
                    </w:rPr>
                  </m:ctrlPr>
                </m:e>
              </m:d>
            </m:oMath>
            <w:r w:rsidRPr="00B722C3">
              <w:rPr>
                <w:rFonts w:ascii="Times New Roman" w:hAnsi="Times New Roman" w:cs="Times New Roman"/>
              </w:rPr>
              <w:t xml:space="preserve"> of all quarters that have the same </w:t>
            </w:r>
            <m:oMath>
              <m:r>
                <w:rPr>
                  <w:rFonts w:ascii="Cambria Math" w:hAnsi="Cambria Math" w:cs="Times New Roman"/>
                </w:rPr>
                <m:t>rec</m:t>
              </m:r>
            </m:oMath>
            <w:r w:rsidRPr="00B722C3">
              <w:rPr>
                <w:rFonts w:ascii="Times New Roman" w:hAnsi="Times New Roman" w:cs="Times New Roman"/>
              </w:rPr>
              <w:t xml:space="preserve"> and </w:t>
            </w:r>
            <m:oMath>
              <m:r>
                <w:rPr>
                  <w:rFonts w:ascii="Cambria Math" w:hAnsi="Cambria Math" w:cs="Times New Roman"/>
                </w:rPr>
                <m:t>sen</m:t>
              </m:r>
            </m:oMath>
            <w:r w:rsidRPr="00B722C3">
              <w:rPr>
                <w:rFonts w:ascii="Times New Roman" w:hAnsi="Times New Roman" w:cs="Times New Roman"/>
              </w:rPr>
              <w:t xml:space="preserve"> both in the same quarter </w:t>
            </w:r>
            <w:r w:rsidRPr="00B722C3">
              <w:rPr>
                <w:rFonts w:ascii="Times New Roman" w:hAnsi="Times New Roman" w:cs="Times New Roman"/>
                <w:i/>
                <w:iCs/>
              </w:rPr>
              <w:t>t</w:t>
            </w:r>
            <w:r w:rsidRPr="00B722C3">
              <w:rPr>
                <w:rFonts w:ascii="Times New Roman" w:hAnsi="Times New Roman" w:cs="Times New Roman"/>
              </w:rPr>
              <w:t>. This in</w:t>
            </w:r>
            <w:r>
              <w:rPr>
                <w:rFonts w:ascii="Times New Roman" w:hAnsi="Times New Roman" w:cs="Times New Roman"/>
              </w:rPr>
              <w:t>-</w:t>
            </w:r>
            <w:proofErr w:type="spellStart"/>
            <w:r w:rsidRPr="00B722C3">
              <w:rPr>
                <w:rFonts w:ascii="Times New Roman" w:hAnsi="Times New Roman" w:cs="Times New Roman"/>
              </w:rPr>
              <w:t>cludes</w:t>
            </w:r>
            <w:proofErr w:type="spellEnd"/>
            <w:r w:rsidRPr="00B722C3">
              <w:rPr>
                <w:rFonts w:ascii="Times New Roman" w:hAnsi="Times New Roman" w:cs="Times New Roman"/>
              </w:rPr>
              <w:t xml:space="preserve"> the look-ahead bias.</w:t>
            </w:r>
          </w:p>
          <w:p w14:paraId="376454E6" w14:textId="77777777" w:rsidR="00826159" w:rsidRPr="00B722C3" w:rsidRDefault="00826159" w:rsidP="00943E2E">
            <w:pPr>
              <w:autoSpaceDE w:val="0"/>
              <w:autoSpaceDN w:val="0"/>
              <w:adjustRightInd w:val="0"/>
              <w:jc w:val="both"/>
              <w:rPr>
                <w:rFonts w:ascii="Times New Roman" w:hAnsi="Times New Roman" w:cs="Times New Roman"/>
              </w:rPr>
            </w:pPr>
          </w:p>
        </w:tc>
        <w:tc>
          <w:tcPr>
            <w:tcW w:w="5788" w:type="dxa"/>
            <w:tcBorders>
              <w:top w:val="nil"/>
              <w:left w:val="nil"/>
              <w:bottom w:val="nil"/>
              <w:right w:val="nil"/>
            </w:tcBorders>
            <w:vAlign w:val="center"/>
          </w:tcPr>
          <w:p w14:paraId="1F19DFD0" w14:textId="77777777" w:rsidR="00826159" w:rsidRPr="00B722C3" w:rsidRDefault="00D74C0C" w:rsidP="00943E2E">
            <w:pPr>
              <w:autoSpaceDE w:val="0"/>
              <w:autoSpaceDN w:val="0"/>
              <w:adjustRightInd w:val="0"/>
              <w:jc w:val="both"/>
              <w:rPr>
                <w:rFonts w:ascii="Times New Roman" w:hAnsi="Times New Roman" w:cs="Times New Roman"/>
              </w:rPr>
            </w:pPr>
            <m:oMathPara>
              <m:oMath>
                <m:f>
                  <m:fPr>
                    <m:ctrlPr>
                      <w:rPr>
                        <w:rFonts w:ascii="Cambria Math" w:hAnsi="Cambria Math" w:cs="Times New Roman"/>
                        <w:iCs/>
                      </w:rPr>
                    </m:ctrlPr>
                  </m:fPr>
                  <m:num>
                    <m:nary>
                      <m:naryPr>
                        <m:chr m:val="∑"/>
                        <m:limLoc m:val="undOvr"/>
                        <m:ctrlPr>
                          <w:rPr>
                            <w:rFonts w:ascii="Cambria Math" w:hAnsi="Cambria Math" w:cs="Times New Roman"/>
                            <w:i/>
                            <w:iCs/>
                          </w:rPr>
                        </m:ctrlPr>
                      </m:naryPr>
                      <m:sub>
                        <m:r>
                          <w:rPr>
                            <w:rFonts w:ascii="Cambria Math" w:hAnsi="Cambria Math" w:cs="Times New Roman"/>
                          </w:rPr>
                          <m:t>t=0</m:t>
                        </m:r>
                      </m:sub>
                      <m:sup>
                        <m:r>
                          <w:rPr>
                            <w:rFonts w:ascii="Cambria Math" w:hAnsi="Cambria Math" w:cs="Times New Roman"/>
                          </w:rPr>
                          <m:t>t=t</m:t>
                        </m:r>
                      </m:sup>
                      <m:e>
                        <m:eqArr>
                          <m:eqArrPr>
                            <m:ctrlPr>
                              <w:rPr>
                                <w:rFonts w:ascii="Cambria Math" w:hAnsi="Cambria Math" w:cs="Times New Roman"/>
                                <w:iCs/>
                              </w:rPr>
                            </m:ctrlPr>
                          </m:eqArrPr>
                          <m:e>
                            <m:r>
                              <m:rPr>
                                <m:nor/>
                              </m:rPr>
                              <w:rPr>
                                <w:rFonts w:ascii="Times New Roman" w:hAnsi="Times New Roman" w:cs="Times New Roman"/>
                                <w:iCs/>
                              </w:rPr>
                              <m:t xml:space="preserve">Number of upgrade/neutral/downgrade in quarter </m:t>
                            </m:r>
                            <m:r>
                              <m:rPr>
                                <m:nor/>
                              </m:rPr>
                              <w:rPr>
                                <w:rFonts w:ascii="Times New Roman" w:hAnsi="Times New Roman" w:cs="Times New Roman"/>
                                <w:i/>
                                <w:iCs/>
                              </w:rPr>
                              <m:t>t</m:t>
                            </m:r>
                            <m:r>
                              <m:rPr>
                                <m:nor/>
                              </m:rPr>
                              <w:rPr>
                                <w:rFonts w:ascii="Times New Roman" w:hAnsi="Times New Roman" w:cs="Times New Roman"/>
                                <w:iCs/>
                              </w:rPr>
                              <m:t xml:space="preserve"> </m:t>
                            </m:r>
                          </m:e>
                          <m:e>
                            <m:r>
                              <m:rPr>
                                <m:nor/>
                              </m:rPr>
                              <w:rPr>
                                <w:rFonts w:ascii="Times New Roman" w:hAnsi="Times New Roman" w:cs="Times New Roman"/>
                                <w:iCs/>
                              </w:rPr>
                              <m:t xml:space="preserve">under sentiment of quarter </m:t>
                            </m:r>
                            <m:r>
                              <m:rPr>
                                <m:nor/>
                              </m:rPr>
                              <w:rPr>
                                <w:rFonts w:ascii="Times New Roman" w:hAnsi="Times New Roman" w:cs="Times New Roman"/>
                                <w:i/>
                                <w:iCs/>
                              </w:rPr>
                              <m:t>t</m:t>
                            </m:r>
                          </m:e>
                        </m:eqArr>
                      </m:e>
                    </m:nary>
                  </m:num>
                  <m:den>
                    <m:eqArr>
                      <m:eqArrPr>
                        <m:ctrlPr>
                          <w:rPr>
                            <w:rFonts w:ascii="Cambria Math" w:hAnsi="Cambria Math" w:cs="Times New Roman"/>
                            <w:iCs/>
                          </w:rPr>
                        </m:ctrlPr>
                      </m:eqArrPr>
                      <m:e>
                        <m:nary>
                          <m:naryPr>
                            <m:chr m:val="∑"/>
                            <m:limLoc m:val="undOvr"/>
                            <m:ctrlPr>
                              <w:rPr>
                                <w:rFonts w:ascii="Cambria Math" w:hAnsi="Cambria Math" w:cs="Times New Roman"/>
                                <w:i/>
                                <w:iCs/>
                              </w:rPr>
                            </m:ctrlPr>
                          </m:naryPr>
                          <m:sub>
                            <m:r>
                              <w:rPr>
                                <w:rFonts w:ascii="Cambria Math" w:hAnsi="Cambria Math" w:cs="Times New Roman"/>
                              </w:rPr>
                              <m:t>t=0</m:t>
                            </m:r>
                          </m:sub>
                          <m:sup>
                            <m:r>
                              <w:rPr>
                                <w:rFonts w:ascii="Cambria Math" w:hAnsi="Cambria Math" w:cs="Times New Roman"/>
                              </w:rPr>
                              <m:t>t=t</m:t>
                            </m:r>
                          </m:sup>
                          <m:e>
                            <m:r>
                              <m:rPr>
                                <m:nor/>
                              </m:rPr>
                              <w:rPr>
                                <w:rFonts w:ascii="Times New Roman" w:hAnsi="Times New Roman" w:cs="Times New Roman"/>
                                <w:iCs/>
                              </w:rPr>
                              <m:t>Total number of recommendations in quarte</m:t>
                            </m:r>
                            <m:r>
                              <m:rPr>
                                <m:nor/>
                              </m:rPr>
                              <w:rPr>
                                <w:rFonts w:ascii="Cambria Math" w:hAnsi="Times New Roman" w:cs="Times New Roman"/>
                                <w:iCs/>
                              </w:rPr>
                              <m:t>r t</m:t>
                            </m:r>
                          </m:e>
                        </m:nary>
                      </m:e>
                      <m:e>
                        <m:r>
                          <m:rPr>
                            <m:nor/>
                          </m:rPr>
                          <w:rPr>
                            <w:rFonts w:ascii="Times New Roman" w:hAnsi="Times New Roman" w:cs="Times New Roman"/>
                            <w:iCs/>
                          </w:rPr>
                          <m:t>under sentiment of quarter</m:t>
                        </m:r>
                        <m:r>
                          <m:rPr>
                            <m:nor/>
                          </m:rPr>
                          <w:rPr>
                            <w:rFonts w:ascii="Times New Roman" w:hAnsi="Times New Roman" w:cs="Times New Roman"/>
                            <w:i/>
                            <w:iCs/>
                          </w:rPr>
                          <m:t xml:space="preserve"> t</m:t>
                        </m:r>
                      </m:e>
                    </m:eqArr>
                  </m:den>
                </m:f>
              </m:oMath>
            </m:oMathPara>
          </w:p>
        </w:tc>
      </w:tr>
      <w:tr w:rsidR="00826159" w:rsidRPr="00A54C45" w14:paraId="60784494" w14:textId="77777777" w:rsidTr="00943E2E">
        <w:tc>
          <w:tcPr>
            <w:tcW w:w="2065" w:type="dxa"/>
            <w:tcBorders>
              <w:top w:val="nil"/>
              <w:left w:val="nil"/>
              <w:bottom w:val="nil"/>
              <w:right w:val="nil"/>
            </w:tcBorders>
            <w:vAlign w:val="center"/>
          </w:tcPr>
          <w:p w14:paraId="633F28FA" w14:textId="77777777" w:rsidR="00826159" w:rsidRPr="00B722C3" w:rsidRDefault="00D74C0C" w:rsidP="00943E2E">
            <w:pPr>
              <w:autoSpaceDE w:val="0"/>
              <w:autoSpaceDN w:val="0"/>
              <w:adjustRightInd w:val="0"/>
              <w:jc w:val="both"/>
              <w:rPr>
                <w:rFonts w:ascii="Calibri" w:eastAsia="Malgun Gothic" w:hAnsi="Calibri"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oMath>
            </m:oMathPara>
          </w:p>
        </w:tc>
        <w:tc>
          <w:tcPr>
            <w:tcW w:w="2070" w:type="dxa"/>
            <w:tcBorders>
              <w:top w:val="nil"/>
              <w:left w:val="nil"/>
              <w:bottom w:val="nil"/>
              <w:right w:val="nil"/>
            </w:tcBorders>
            <w:vAlign w:val="center"/>
          </w:tcPr>
          <w:p w14:paraId="0913DAC3" w14:textId="77777777" w:rsidR="00826159" w:rsidRDefault="00826159" w:rsidP="00943E2E">
            <w:pPr>
              <w:autoSpaceDE w:val="0"/>
              <w:autoSpaceDN w:val="0"/>
              <w:adjustRightInd w:val="0"/>
              <w:jc w:val="both"/>
              <w:rPr>
                <w:rFonts w:ascii="Times New Roman" w:hAnsi="Times New Roman" w:cs="Times New Roman"/>
              </w:rPr>
            </w:pPr>
            <w:r w:rsidRPr="00B722C3">
              <w:rPr>
                <w:rFonts w:ascii="Times New Roman" w:hAnsi="Times New Roman" w:cs="Times New Roman"/>
              </w:rPr>
              <w:t xml:space="preserve">The average daily stock returns of our sample during </w:t>
            </w:r>
            <w:proofErr w:type="spellStart"/>
            <w:r w:rsidRPr="00B722C3">
              <w:rPr>
                <w:rFonts w:ascii="Times New Roman" w:hAnsi="Times New Roman" w:cs="Times New Roman"/>
              </w:rPr>
              <w:t>quar</w:t>
            </w:r>
            <w:r>
              <w:rPr>
                <w:rFonts w:ascii="Times New Roman" w:hAnsi="Times New Roman" w:cs="Times New Roman"/>
              </w:rPr>
              <w:t>-</w:t>
            </w:r>
            <w:r w:rsidRPr="00B722C3">
              <w:rPr>
                <w:rFonts w:ascii="Times New Roman" w:hAnsi="Times New Roman" w:cs="Times New Roman"/>
              </w:rPr>
              <w:t>ter</w:t>
            </w:r>
            <w:proofErr w:type="spellEnd"/>
            <w:r w:rsidRPr="00B722C3">
              <w:rPr>
                <w:rFonts w:ascii="Times New Roman" w:hAnsi="Times New Roman" w:cs="Times New Roman"/>
              </w:rPr>
              <w:t xml:space="preserve"> </w:t>
            </w:r>
            <w:r w:rsidRPr="00B722C3">
              <w:rPr>
                <w:rFonts w:ascii="Times New Roman" w:hAnsi="Times New Roman" w:cs="Times New Roman"/>
                <w:i/>
                <w:iCs/>
              </w:rPr>
              <w:t>t</w:t>
            </w:r>
            <w:r w:rsidRPr="00B722C3">
              <w:rPr>
                <w:rFonts w:ascii="Times New Roman" w:hAnsi="Times New Roman" w:cs="Times New Roman"/>
              </w:rPr>
              <w:t xml:space="preserve">. </w:t>
            </w:r>
          </w:p>
          <w:p w14:paraId="59BC1972" w14:textId="77777777" w:rsidR="00826159" w:rsidRPr="00B722C3" w:rsidRDefault="00826159" w:rsidP="00943E2E">
            <w:pPr>
              <w:autoSpaceDE w:val="0"/>
              <w:autoSpaceDN w:val="0"/>
              <w:adjustRightInd w:val="0"/>
              <w:jc w:val="both"/>
              <w:rPr>
                <w:rFonts w:ascii="Times New Roman" w:hAnsi="Times New Roman" w:cs="Times New Roman"/>
              </w:rPr>
            </w:pPr>
          </w:p>
        </w:tc>
        <w:tc>
          <w:tcPr>
            <w:tcW w:w="5788" w:type="dxa"/>
            <w:tcBorders>
              <w:top w:val="nil"/>
              <w:left w:val="nil"/>
              <w:bottom w:val="nil"/>
              <w:right w:val="nil"/>
            </w:tcBorders>
            <w:vAlign w:val="center"/>
          </w:tcPr>
          <w:p w14:paraId="20290382" w14:textId="77777777" w:rsidR="00826159" w:rsidRPr="00B722C3" w:rsidRDefault="00826159" w:rsidP="00943E2E">
            <w:pPr>
              <w:autoSpaceDE w:val="0"/>
              <w:autoSpaceDN w:val="0"/>
              <w:adjustRightInd w:val="0"/>
              <w:jc w:val="both"/>
              <w:rPr>
                <w:rFonts w:ascii="Times New Roman" w:hAnsi="Times New Roman" w:cs="Times New Roman"/>
              </w:rPr>
            </w:pPr>
            <w:r w:rsidRPr="00B722C3">
              <w:rPr>
                <w:rFonts w:ascii="Times New Roman" w:hAnsi="Times New Roman" w:cs="Times New Roman"/>
              </w:rPr>
              <w:t xml:space="preserve">        Average of daily stock returns during quarter </w:t>
            </w:r>
            <w:r w:rsidRPr="00B722C3">
              <w:rPr>
                <w:rFonts w:ascii="Times New Roman" w:hAnsi="Times New Roman" w:cs="Times New Roman"/>
                <w:i/>
                <w:iCs/>
              </w:rPr>
              <w:t>t</w:t>
            </w:r>
            <w:r w:rsidRPr="00B722C3">
              <w:rPr>
                <w:rFonts w:ascii="Times New Roman" w:hAnsi="Times New Roman" w:cs="Times New Roman"/>
              </w:rPr>
              <w:t>.</w:t>
            </w:r>
          </w:p>
        </w:tc>
      </w:tr>
      <w:tr w:rsidR="00826159" w:rsidRPr="00A54C45" w14:paraId="2899DEC1" w14:textId="77777777" w:rsidTr="00943E2E">
        <w:tc>
          <w:tcPr>
            <w:tcW w:w="2065" w:type="dxa"/>
            <w:tcBorders>
              <w:top w:val="nil"/>
              <w:left w:val="nil"/>
              <w:right w:val="nil"/>
            </w:tcBorders>
            <w:vAlign w:val="center"/>
          </w:tcPr>
          <w:p w14:paraId="00EBBE02" w14:textId="77777777" w:rsidR="00826159" w:rsidRPr="00B722C3" w:rsidRDefault="00826159" w:rsidP="00943E2E">
            <w:pPr>
              <w:autoSpaceDE w:val="0"/>
              <w:autoSpaceDN w:val="0"/>
              <w:adjustRightInd w:val="0"/>
              <w:jc w:val="both"/>
              <w:rPr>
                <w:rFonts w:ascii="Times New Roman" w:eastAsia="Malgun Gothic" w:hAnsi="Times New Roman" w:cs="Times New Roman"/>
              </w:rPr>
            </w:pPr>
            <w:r w:rsidRPr="00B722C3">
              <w:rPr>
                <w:rFonts w:ascii="Times New Roman" w:eastAsia="Malgun Gothic" w:hAnsi="Times New Roman" w:cs="Times New Roman"/>
              </w:rPr>
              <w:t>upgrade/neutral/</w:t>
            </w:r>
          </w:p>
          <w:p w14:paraId="6EE4F6D7" w14:textId="77777777" w:rsidR="00826159" w:rsidRPr="00B722C3" w:rsidRDefault="00826159" w:rsidP="00943E2E">
            <w:pPr>
              <w:autoSpaceDE w:val="0"/>
              <w:autoSpaceDN w:val="0"/>
              <w:adjustRightInd w:val="0"/>
              <w:jc w:val="both"/>
              <w:rPr>
                <w:rFonts w:ascii="Times New Roman" w:eastAsia="Malgun Gothic" w:hAnsi="Times New Roman" w:cs="Times New Roman"/>
              </w:rPr>
            </w:pPr>
            <w:r w:rsidRPr="00B722C3">
              <w:rPr>
                <w:rFonts w:ascii="Times New Roman" w:eastAsia="Malgun Gothic" w:hAnsi="Times New Roman" w:cs="Times New Roman"/>
              </w:rPr>
              <w:t xml:space="preserve">downgrade </w:t>
            </w:r>
            <w:r w:rsidRPr="00B722C3">
              <w:rPr>
                <w:rFonts w:ascii="Times New Roman" w:eastAsia="Malgun Gothic" w:hAnsi="Times New Roman" w:cs="Times New Roman"/>
              </w:rPr>
              <w:sym w:font="Wingdings" w:char="F0E0"/>
            </w:r>
            <w:r w:rsidRPr="00B722C3">
              <w:rPr>
                <w:rFonts w:ascii="Times New Roman" w:eastAsia="Malgun Gothic" w:hAnsi="Times New Roman" w:cs="Times New Roman"/>
              </w:rPr>
              <w:t xml:space="preserve"> </w:t>
            </w:r>
          </w:p>
          <w:p w14:paraId="60DE8513" w14:textId="77777777" w:rsidR="00826159" w:rsidRPr="00B722C3" w:rsidRDefault="00826159" w:rsidP="00943E2E">
            <w:pPr>
              <w:autoSpaceDE w:val="0"/>
              <w:autoSpaceDN w:val="0"/>
              <w:adjustRightInd w:val="0"/>
              <w:jc w:val="both"/>
              <w:rPr>
                <w:rFonts w:ascii="Times New Roman" w:eastAsia="Malgun Gothic" w:hAnsi="Times New Roman" w:cs="Times New Roman"/>
              </w:rPr>
            </w:pPr>
            <w:r w:rsidRPr="00B722C3">
              <w:rPr>
                <w:rFonts w:ascii="Times New Roman" w:eastAsia="Malgun Gothic" w:hAnsi="Times New Roman" w:cs="Times New Roman"/>
              </w:rPr>
              <w:t>upgrade/neutral/</w:t>
            </w:r>
          </w:p>
          <w:p w14:paraId="53A40FBB" w14:textId="77777777" w:rsidR="00826159" w:rsidRPr="00B722C3" w:rsidRDefault="00826159" w:rsidP="00943E2E">
            <w:pPr>
              <w:autoSpaceDE w:val="0"/>
              <w:autoSpaceDN w:val="0"/>
              <w:adjustRightInd w:val="0"/>
              <w:jc w:val="both"/>
              <w:rPr>
                <w:rFonts w:ascii="Times New Roman" w:eastAsia="Malgun Gothic" w:hAnsi="Times New Roman" w:cs="Times New Roman"/>
              </w:rPr>
            </w:pPr>
            <w:r w:rsidRPr="00B722C3">
              <w:rPr>
                <w:rFonts w:ascii="Times New Roman" w:eastAsia="Malgun Gothic" w:hAnsi="Times New Roman" w:cs="Times New Roman"/>
              </w:rPr>
              <w:t>downgrade</w:t>
            </w:r>
          </w:p>
        </w:tc>
        <w:tc>
          <w:tcPr>
            <w:tcW w:w="2070" w:type="dxa"/>
            <w:tcBorders>
              <w:top w:val="nil"/>
              <w:left w:val="nil"/>
              <w:right w:val="nil"/>
            </w:tcBorders>
            <w:vAlign w:val="center"/>
          </w:tcPr>
          <w:p w14:paraId="57FC4D01" w14:textId="77777777" w:rsidR="00826159" w:rsidRPr="00C038C0" w:rsidRDefault="00826159" w:rsidP="00943E2E">
            <w:pPr>
              <w:autoSpaceDE w:val="0"/>
              <w:autoSpaceDN w:val="0"/>
              <w:adjustRightInd w:val="0"/>
              <w:jc w:val="both"/>
              <w:rPr>
                <w:rFonts w:ascii="Times New Roman" w:hAnsi="Times New Roman" w:cs="Times New Roman"/>
              </w:rPr>
            </w:pPr>
            <w:r>
              <w:rPr>
                <w:rFonts w:ascii="Times New Roman" w:hAnsi="Times New Roman" w:cs="Times New Roman"/>
              </w:rPr>
              <w:t xml:space="preserve">Total number of change in </w:t>
            </w:r>
            <w:proofErr w:type="spellStart"/>
            <w:r>
              <w:rPr>
                <w:rFonts w:ascii="Times New Roman" w:hAnsi="Times New Roman" w:cs="Times New Roman"/>
              </w:rPr>
              <w:t>analysts</w:t>
            </w:r>
            <w:proofErr w:type="spellEnd"/>
            <w:r>
              <w:rPr>
                <w:rFonts w:ascii="Times New Roman" w:hAnsi="Times New Roman" w:cs="Times New Roman"/>
              </w:rPr>
              <w:t xml:space="preserve"> recommendations of a same firm from quarter </w:t>
            </w:r>
            <w:r w:rsidRPr="00B722C3">
              <w:rPr>
                <w:rFonts w:ascii="Times New Roman" w:hAnsi="Times New Roman" w:cs="Times New Roman"/>
                <w:i/>
                <w:iCs/>
              </w:rPr>
              <w:t>t-1</w:t>
            </w:r>
            <w:r>
              <w:rPr>
                <w:rFonts w:ascii="Times New Roman" w:hAnsi="Times New Roman" w:cs="Times New Roman"/>
              </w:rPr>
              <w:t xml:space="preserve"> to </w:t>
            </w:r>
            <w:r w:rsidRPr="00B722C3">
              <w:rPr>
                <w:rFonts w:ascii="Times New Roman" w:hAnsi="Times New Roman" w:cs="Times New Roman"/>
                <w:i/>
                <w:iCs/>
              </w:rPr>
              <w:t>t</w:t>
            </w:r>
            <w:r>
              <w:rPr>
                <w:rFonts w:ascii="Times New Roman" w:hAnsi="Times New Roman" w:cs="Times New Roman"/>
              </w:rPr>
              <w:t>.</w:t>
            </w:r>
          </w:p>
        </w:tc>
        <w:tc>
          <w:tcPr>
            <w:tcW w:w="5788" w:type="dxa"/>
            <w:tcBorders>
              <w:top w:val="nil"/>
              <w:left w:val="nil"/>
              <w:right w:val="nil"/>
            </w:tcBorders>
            <w:vAlign w:val="center"/>
          </w:tcPr>
          <w:p w14:paraId="0522F190" w14:textId="77777777" w:rsidR="00826159" w:rsidRPr="00C038C0" w:rsidRDefault="00D74C0C" w:rsidP="00943E2E">
            <w:pPr>
              <w:autoSpaceDE w:val="0"/>
              <w:autoSpaceDN w:val="0"/>
              <w:adjustRightInd w:val="0"/>
              <w:jc w:val="both"/>
              <w:rPr>
                <w:rFonts w:ascii="Times New Roman" w:hAnsi="Times New Roman" w:cs="Times New Roman"/>
              </w:rPr>
            </w:pPr>
            <m:oMathPara>
              <m:oMath>
                <m:f>
                  <m:fPr>
                    <m:ctrlPr>
                      <w:rPr>
                        <w:rFonts w:ascii="Cambria Math" w:hAnsi="Cambria Math" w:cs="Times New Roman"/>
                      </w:rPr>
                    </m:ctrlPr>
                  </m:fPr>
                  <m:num>
                    <m:eqArr>
                      <m:eqArrPr>
                        <m:ctrlPr>
                          <w:rPr>
                            <w:rFonts w:ascii="Cambria Math" w:hAnsi="Cambria Math" w:cs="Times New Roman"/>
                          </w:rPr>
                        </m:ctrlPr>
                      </m:eqArrPr>
                      <m:e>
                        <m:r>
                          <m:rPr>
                            <m:nor/>
                          </m:rPr>
                          <w:rPr>
                            <w:rFonts w:ascii="Cambria Math" w:hAnsi="Cambria Math" w:cs="Times New Roman"/>
                          </w:rPr>
                          <m:t xml:space="preserve">Number of upgrade/neutral/downgrade in quarter </m:t>
                        </m:r>
                        <m:r>
                          <m:rPr>
                            <m:nor/>
                          </m:rPr>
                          <w:rPr>
                            <w:rFonts w:ascii="Cambria Math" w:hAnsi="Cambria Math" w:cs="Times New Roman"/>
                            <w:i/>
                            <w:iCs/>
                          </w:rPr>
                          <m:t>t</m:t>
                        </m:r>
                        <m:r>
                          <m:rPr>
                            <m:nor/>
                          </m:rPr>
                          <w:rPr>
                            <w:rFonts w:ascii="Times New Roman" w:hAnsi="Times New Roman" w:cs="Times New Roman"/>
                          </w:rPr>
                          <m:t xml:space="preserve"> </m:t>
                        </m:r>
                      </m:e>
                      <m:e>
                        <m:r>
                          <m:rPr>
                            <m:nor/>
                          </m:rPr>
                          <w:rPr>
                            <w:rFonts w:ascii="Times New Roman" w:hAnsi="Times New Roman" w:cs="Times New Roman"/>
                          </w:rPr>
                          <m:t xml:space="preserve">which had upgrade/neutral/downgrade in quarter </m:t>
                        </m:r>
                        <m:r>
                          <m:rPr>
                            <m:nor/>
                          </m:rPr>
                          <w:rPr>
                            <w:rFonts w:ascii="Times New Roman" w:hAnsi="Times New Roman" w:cs="Times New Roman"/>
                            <w:i/>
                            <w:iCs/>
                          </w:rPr>
                          <m:t>t-1</m:t>
                        </m:r>
                        <m:ctrlPr>
                          <w:rPr>
                            <w:rFonts w:ascii="Cambria Math" w:eastAsia="Cambria Math" w:hAnsi="Cambria Math" w:cs="Cambria Math"/>
                          </w:rPr>
                        </m:ctrlPr>
                      </m:e>
                      <m:e>
                        <m:r>
                          <m:rPr>
                            <m:nor/>
                          </m:rPr>
                          <w:rPr>
                            <w:rFonts w:ascii="Times New Roman" w:hAnsi="Times New Roman" w:cs="Times New Roman"/>
                          </w:rPr>
                          <m:t>of a same firm</m:t>
                        </m:r>
                        <m:r>
                          <m:rPr>
                            <m:sty m:val="p"/>
                          </m:rPr>
                          <w:rPr>
                            <w:rFonts w:ascii="Cambria Math" w:hAnsi="Cambria Math" w:cs="Times New Roman"/>
                          </w:rPr>
                          <m:t xml:space="preserve"> </m:t>
                        </m:r>
                      </m:e>
                    </m:eqArr>
                  </m:num>
                  <m:den>
                    <m:eqArr>
                      <m:eqArrPr>
                        <m:ctrlPr>
                          <w:rPr>
                            <w:rFonts w:ascii="Cambria Math" w:hAnsi="Cambria Math" w:cs="Times New Roman"/>
                          </w:rPr>
                        </m:ctrlPr>
                      </m:eqArrPr>
                      <m:e>
                        <m:r>
                          <m:rPr>
                            <m:nor/>
                          </m:rPr>
                          <w:rPr>
                            <w:rFonts w:ascii="Times New Roman" w:hAnsi="Times New Roman" w:cs="Times New Roman"/>
                          </w:rPr>
                          <m:t xml:space="preserve">Total number of recommendations in quarter </m:t>
                        </m:r>
                        <m:r>
                          <m:rPr>
                            <m:nor/>
                          </m:rPr>
                          <w:rPr>
                            <w:rFonts w:ascii="Times New Roman" w:hAnsi="Times New Roman" w:cs="Times New Roman"/>
                            <w:i/>
                            <w:iCs/>
                          </w:rPr>
                          <m:t>t</m:t>
                        </m:r>
                        <m:r>
                          <m:rPr>
                            <m:nor/>
                          </m:rPr>
                          <w:rPr>
                            <w:rFonts w:ascii="Times New Roman" w:hAnsi="Times New Roman" w:cs="Times New Roman"/>
                          </w:rPr>
                          <m:t xml:space="preserve"> </m:t>
                        </m:r>
                      </m:e>
                      <m:e>
                        <m:r>
                          <m:rPr>
                            <m:nor/>
                          </m:rPr>
                          <w:rPr>
                            <w:rFonts w:ascii="Times New Roman" w:hAnsi="Times New Roman" w:cs="Times New Roman"/>
                          </w:rPr>
                          <m:t xml:space="preserve">under sentiment of quarter </m:t>
                        </m:r>
                        <m:r>
                          <m:rPr>
                            <m:nor/>
                          </m:rPr>
                          <w:rPr>
                            <w:rFonts w:ascii="Times New Roman" w:hAnsi="Times New Roman" w:cs="Times New Roman"/>
                            <w:i/>
                            <w:iCs/>
                          </w:rPr>
                          <m:t>t</m:t>
                        </m:r>
                      </m:e>
                    </m:eqArr>
                  </m:den>
                </m:f>
              </m:oMath>
            </m:oMathPara>
          </w:p>
        </w:tc>
      </w:tr>
    </w:tbl>
    <w:p w14:paraId="320369DB" w14:textId="77777777" w:rsidR="00826159" w:rsidRDefault="00826159" w:rsidP="00826159">
      <w:pPr>
        <w:pStyle w:val="Default"/>
        <w:spacing w:line="360" w:lineRule="auto"/>
        <w:jc w:val="both"/>
      </w:pPr>
    </w:p>
    <w:p w14:paraId="42A9C1DA" w14:textId="77777777" w:rsidR="00826159" w:rsidRDefault="00826159" w:rsidP="004F6A8C">
      <w:pPr>
        <w:spacing w:after="0" w:line="240" w:lineRule="auto"/>
        <w:rPr>
          <w:rFonts w:ascii="Times New Roman" w:hAnsi="Times New Roman" w:cs="Times New Roman"/>
        </w:rPr>
      </w:pPr>
    </w:p>
    <w:p w14:paraId="7FB68EF7" w14:textId="77777777" w:rsidR="000B3CE3" w:rsidRDefault="000B3CE3" w:rsidP="00C658FF">
      <w:pPr>
        <w:spacing w:after="0" w:line="240" w:lineRule="auto"/>
        <w:jc w:val="both"/>
        <w:rPr>
          <w:rFonts w:ascii="Times New Roman" w:hAnsi="Times New Roman" w:cs="Times New Roman"/>
          <w:b/>
          <w:bCs/>
          <w:sz w:val="24"/>
          <w:szCs w:val="24"/>
          <w:u w:val="single"/>
        </w:rPr>
      </w:pPr>
    </w:p>
    <w:p w14:paraId="250F825F" w14:textId="77777777" w:rsidR="000B3CE3" w:rsidRDefault="000B3CE3" w:rsidP="00C658FF">
      <w:pPr>
        <w:spacing w:after="0" w:line="240" w:lineRule="auto"/>
        <w:jc w:val="both"/>
        <w:rPr>
          <w:rFonts w:ascii="Times New Roman" w:hAnsi="Times New Roman" w:cs="Times New Roman"/>
          <w:b/>
          <w:bCs/>
          <w:sz w:val="24"/>
          <w:szCs w:val="24"/>
          <w:u w:val="single"/>
        </w:rPr>
      </w:pPr>
    </w:p>
    <w:p w14:paraId="42D44DF7" w14:textId="0C89FF30" w:rsidR="00654C34" w:rsidRDefault="00654C34" w:rsidP="00C658FF">
      <w:pPr>
        <w:spacing w:after="0" w:line="240" w:lineRule="auto"/>
        <w:jc w:val="both"/>
        <w:rPr>
          <w:rFonts w:ascii="Times New Roman" w:hAnsi="Times New Roman" w:cs="Times New Roman"/>
          <w:b/>
          <w:bCs/>
          <w:sz w:val="24"/>
          <w:szCs w:val="24"/>
          <w:u w:val="single"/>
        </w:rPr>
      </w:pPr>
      <w:r w:rsidRPr="004D5393">
        <w:rPr>
          <w:rFonts w:ascii="Times New Roman" w:hAnsi="Times New Roman" w:cs="Times New Roman"/>
          <w:b/>
          <w:bCs/>
          <w:sz w:val="24"/>
          <w:szCs w:val="24"/>
          <w:u w:val="single"/>
        </w:rPr>
        <w:lastRenderedPageBreak/>
        <w:t xml:space="preserve">Figure </w:t>
      </w:r>
      <w:r w:rsidR="009F34B8" w:rsidRPr="004D5393">
        <w:rPr>
          <w:rFonts w:ascii="Times New Roman" w:hAnsi="Times New Roman" w:cs="Times New Roman"/>
          <w:b/>
          <w:bCs/>
          <w:sz w:val="24"/>
          <w:szCs w:val="24"/>
          <w:u w:val="single"/>
        </w:rPr>
        <w:fldChar w:fldCharType="begin"/>
      </w:r>
      <w:r w:rsidRPr="004D5393">
        <w:rPr>
          <w:rFonts w:ascii="Times New Roman" w:hAnsi="Times New Roman" w:cs="Times New Roman"/>
          <w:b/>
          <w:bCs/>
          <w:sz w:val="24"/>
          <w:szCs w:val="24"/>
          <w:u w:val="single"/>
        </w:rPr>
        <w:instrText xml:space="preserve"> SEQ Figure \* ARABIC </w:instrText>
      </w:r>
      <w:r w:rsidR="009F34B8" w:rsidRPr="004D5393">
        <w:rPr>
          <w:rFonts w:ascii="Times New Roman" w:hAnsi="Times New Roman" w:cs="Times New Roman"/>
          <w:b/>
          <w:bCs/>
          <w:sz w:val="24"/>
          <w:szCs w:val="24"/>
          <w:u w:val="single"/>
        </w:rPr>
        <w:fldChar w:fldCharType="separate"/>
      </w:r>
      <w:r w:rsidR="00D938A4">
        <w:rPr>
          <w:rFonts w:ascii="Times New Roman" w:hAnsi="Times New Roman" w:cs="Times New Roman"/>
          <w:b/>
          <w:bCs/>
          <w:noProof/>
          <w:sz w:val="24"/>
          <w:szCs w:val="24"/>
          <w:u w:val="single"/>
        </w:rPr>
        <w:t>1</w:t>
      </w:r>
      <w:r w:rsidR="009F34B8" w:rsidRPr="004D5393">
        <w:rPr>
          <w:rFonts w:ascii="Times New Roman" w:hAnsi="Times New Roman" w:cs="Times New Roman"/>
          <w:b/>
          <w:bCs/>
          <w:sz w:val="24"/>
          <w:szCs w:val="24"/>
          <w:u w:val="single"/>
        </w:rPr>
        <w:fldChar w:fldCharType="end"/>
      </w:r>
    </w:p>
    <w:p w14:paraId="3C803874" w14:textId="79A52FB0" w:rsidR="001A3453" w:rsidRDefault="001A3453" w:rsidP="00136B53">
      <w:pPr>
        <w:spacing w:after="0" w:line="240" w:lineRule="auto"/>
        <w:jc w:val="both"/>
        <w:rPr>
          <w:rFonts w:ascii="Times New Roman" w:eastAsia="Times New Roman" w:hAnsi="Times New Roman" w:cs="Times New Roman"/>
          <w:b/>
          <w:sz w:val="24"/>
          <w:szCs w:val="24"/>
        </w:rPr>
      </w:pPr>
      <w:r w:rsidRPr="00C658FF">
        <w:rPr>
          <w:rFonts w:ascii="Times New Roman" w:hAnsi="Times New Roman" w:cs="Times New Roman"/>
          <w:b/>
          <w:bCs/>
          <w:sz w:val="24"/>
          <w:szCs w:val="24"/>
        </w:rPr>
        <w:t>Cu</w:t>
      </w:r>
      <w:r>
        <w:rPr>
          <w:rFonts w:ascii="Times New Roman" w:hAnsi="Times New Roman" w:cs="Times New Roman"/>
          <w:b/>
          <w:bCs/>
          <w:sz w:val="24"/>
          <w:szCs w:val="24"/>
        </w:rPr>
        <w:t xml:space="preserve">mulative abnormal returns (CAR) using </w:t>
      </w:r>
      <w:r w:rsidR="00136B53">
        <w:rPr>
          <w:rFonts w:ascii="Times New Roman" w:hAnsi="Times New Roman" w:cs="Times New Roman"/>
          <w:b/>
          <w:bCs/>
          <w:sz w:val="24"/>
          <w:szCs w:val="24"/>
        </w:rPr>
        <w:t>m</w:t>
      </w:r>
      <w:r>
        <w:rPr>
          <w:rFonts w:ascii="Times New Roman" w:hAnsi="Times New Roman" w:cs="Times New Roman"/>
          <w:b/>
          <w:bCs/>
          <w:sz w:val="24"/>
          <w:szCs w:val="24"/>
        </w:rPr>
        <w:t xml:space="preserve">arket </w:t>
      </w:r>
      <w:r w:rsidR="00136B53">
        <w:rPr>
          <w:rFonts w:ascii="Times New Roman" w:hAnsi="Times New Roman" w:cs="Times New Roman"/>
          <w:b/>
          <w:bCs/>
          <w:sz w:val="24"/>
          <w:szCs w:val="24"/>
        </w:rPr>
        <w:t>m</w:t>
      </w:r>
      <w:r>
        <w:rPr>
          <w:rFonts w:ascii="Times New Roman" w:hAnsi="Times New Roman" w:cs="Times New Roman"/>
          <w:b/>
          <w:bCs/>
          <w:sz w:val="24"/>
          <w:szCs w:val="24"/>
        </w:rPr>
        <w:t xml:space="preserve">odel (MM) </w:t>
      </w:r>
      <w:r w:rsidR="00136B53">
        <w:rPr>
          <w:rFonts w:ascii="Times New Roman" w:hAnsi="Times New Roman" w:cs="Times New Roman"/>
          <w:b/>
          <w:bCs/>
          <w:sz w:val="24"/>
          <w:szCs w:val="24"/>
        </w:rPr>
        <w:t xml:space="preserve">during </w:t>
      </w:r>
      <w:r w:rsidR="00136B53" w:rsidRPr="00267519">
        <w:rPr>
          <w:rFonts w:ascii="Times New Roman" w:eastAsia="Times New Roman" w:hAnsi="Times New Roman" w:cs="Times New Roman"/>
          <w:b/>
          <w:sz w:val="24"/>
          <w:szCs w:val="24"/>
        </w:rPr>
        <w:t>the bullish (03−09−2009 ~ 11−08−2010) and the bearish (11−09−2010 ~ 01−01−2012) phases</w:t>
      </w:r>
      <w:r w:rsidR="00136B53">
        <w:rPr>
          <w:rFonts w:ascii="Times New Roman" w:eastAsia="Times New Roman" w:hAnsi="Times New Roman" w:cs="Times New Roman"/>
          <w:b/>
          <w:sz w:val="24"/>
          <w:szCs w:val="24"/>
        </w:rPr>
        <w:t xml:space="preserve"> with upgrades and downgrades surrounding the release day.</w:t>
      </w:r>
    </w:p>
    <w:p w14:paraId="34F35455" w14:textId="77777777" w:rsidR="00136B53" w:rsidRDefault="00136B53" w:rsidP="00C658FF">
      <w:pPr>
        <w:spacing w:after="0" w:line="240" w:lineRule="auto"/>
        <w:jc w:val="both"/>
        <w:rPr>
          <w:rFonts w:ascii="Times New Roman" w:hAnsi="Times New Roman" w:cs="Times New Roman"/>
          <w:b/>
          <w:bCs/>
          <w:sz w:val="24"/>
          <w:szCs w:val="24"/>
        </w:rPr>
      </w:pPr>
    </w:p>
    <w:p w14:paraId="20EF3D7B" w14:textId="2A267325" w:rsidR="00A062A5" w:rsidRDefault="00A062A5" w:rsidP="00437F81">
      <w:pPr>
        <w:spacing w:after="0" w:line="480" w:lineRule="auto"/>
        <w:jc w:val="center"/>
        <w:rPr>
          <w:rFonts w:ascii="Times New Roman" w:hAnsi="Times New Roman" w:cs="Times New Roman"/>
          <w:b/>
          <w:bCs/>
          <w:sz w:val="24"/>
          <w:szCs w:val="24"/>
        </w:rPr>
      </w:pPr>
      <w:r>
        <w:rPr>
          <w:noProof/>
          <w:lang w:val="en-GB" w:eastAsia="en-GB"/>
        </w:rPr>
        <w:drawing>
          <wp:inline distT="0" distB="0" distL="0" distR="0" wp14:anchorId="0489B1B4" wp14:editId="105574A7">
            <wp:extent cx="2767054" cy="1986915"/>
            <wp:effectExtent l="0" t="0" r="14605" b="13335"/>
            <wp:docPr id="6" name="Chart 6">
              <a:extLst xmlns:a="http://schemas.openxmlformats.org/drawingml/2006/main">
                <a:ext uri="{FF2B5EF4-FFF2-40B4-BE49-F238E27FC236}">
                  <a16:creationId xmlns:a16="http://schemas.microsoft.com/office/drawing/2014/main" id="{7B04F171-8A8E-F442-9D3B-62480B6248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E41FC7">
        <w:rPr>
          <w:noProof/>
          <w:lang w:val="en-GB" w:eastAsia="en-GB"/>
        </w:rPr>
        <w:drawing>
          <wp:inline distT="0" distB="0" distL="0" distR="0" wp14:anchorId="39FC4310" wp14:editId="3968F5AC">
            <wp:extent cx="2885819" cy="1984375"/>
            <wp:effectExtent l="0" t="0" r="10160" b="15875"/>
            <wp:docPr id="9" name="Chart 9">
              <a:extLst xmlns:a="http://schemas.openxmlformats.org/drawingml/2006/main">
                <a:ext uri="{FF2B5EF4-FFF2-40B4-BE49-F238E27FC236}">
                  <a16:creationId xmlns:a16="http://schemas.microsoft.com/office/drawing/2014/main" id="{3A4BF110-C813-9B40-8141-0B01435FEF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1C137B" w14:textId="77777777" w:rsidR="00437F81" w:rsidRPr="00FF37F0" w:rsidRDefault="00437F81" w:rsidP="00C658FF">
      <w:pPr>
        <w:spacing w:after="0" w:line="480" w:lineRule="auto"/>
        <w:jc w:val="center"/>
        <w:rPr>
          <w:rFonts w:ascii="Times New Roman" w:hAnsi="Times New Roman" w:cs="Times New Roman"/>
          <w:b/>
          <w:bCs/>
          <w:sz w:val="24"/>
          <w:szCs w:val="24"/>
        </w:rPr>
      </w:pPr>
    </w:p>
    <w:p w14:paraId="3C83FEE4" w14:textId="2021DB38" w:rsidR="00A062A5" w:rsidRPr="00FF37F0" w:rsidRDefault="00A062A5" w:rsidP="00C658FF">
      <w:pPr>
        <w:spacing w:after="0" w:line="480" w:lineRule="auto"/>
        <w:jc w:val="center"/>
        <w:rPr>
          <w:rFonts w:ascii="Times New Roman" w:hAnsi="Times New Roman" w:cs="Times New Roman"/>
          <w:b/>
          <w:bCs/>
          <w:sz w:val="24"/>
          <w:szCs w:val="24"/>
        </w:rPr>
      </w:pPr>
      <w:r>
        <w:rPr>
          <w:noProof/>
          <w:lang w:val="en-GB" w:eastAsia="en-GB"/>
        </w:rPr>
        <w:drawing>
          <wp:inline distT="0" distB="0" distL="0" distR="0" wp14:anchorId="26469511" wp14:editId="1C3C8E37">
            <wp:extent cx="2790908" cy="2203450"/>
            <wp:effectExtent l="0" t="0" r="9525" b="6350"/>
            <wp:docPr id="8" name="Chart 8">
              <a:extLst xmlns:a="http://schemas.openxmlformats.org/drawingml/2006/main">
                <a:ext uri="{FF2B5EF4-FFF2-40B4-BE49-F238E27FC236}">
                  <a16:creationId xmlns:a16="http://schemas.microsoft.com/office/drawing/2014/main" id="{B4BF7B48-EF96-1E44-98E3-1B2C8B6DA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E41FC7">
        <w:rPr>
          <w:noProof/>
          <w:lang w:val="en-GB" w:eastAsia="en-GB"/>
        </w:rPr>
        <w:drawing>
          <wp:inline distT="0" distB="0" distL="0" distR="0" wp14:anchorId="1CA7D101" wp14:editId="7C53861A">
            <wp:extent cx="2878345" cy="2203450"/>
            <wp:effectExtent l="0" t="0" r="17780" b="6350"/>
            <wp:docPr id="11" name="Chart 11">
              <a:extLst xmlns:a="http://schemas.openxmlformats.org/drawingml/2006/main">
                <a:ext uri="{FF2B5EF4-FFF2-40B4-BE49-F238E27FC236}">
                  <a16:creationId xmlns:a16="http://schemas.microsoft.com/office/drawing/2014/main" id="{B2C1DB1E-8817-9742-B242-EAD88CF43A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38B6671" w14:textId="15E5A8BD" w:rsidR="00A062A5" w:rsidRDefault="00A062A5" w:rsidP="00C658FF">
      <w:pPr>
        <w:spacing w:after="0" w:line="480" w:lineRule="auto"/>
        <w:jc w:val="both"/>
        <w:rPr>
          <w:rFonts w:ascii="Times New Roman" w:hAnsi="Times New Roman" w:cs="Times New Roman"/>
          <w:b/>
          <w:bCs/>
          <w:sz w:val="24"/>
          <w:szCs w:val="24"/>
        </w:rPr>
      </w:pPr>
    </w:p>
    <w:p w14:paraId="26870A2B" w14:textId="77777777" w:rsidR="00A062A5" w:rsidRPr="00FF37F0" w:rsidRDefault="00A062A5" w:rsidP="00C658FF">
      <w:pPr>
        <w:spacing w:after="0" w:line="480" w:lineRule="auto"/>
        <w:jc w:val="both"/>
        <w:rPr>
          <w:rFonts w:ascii="Times New Roman" w:eastAsia="Times New Roman" w:hAnsi="Times New Roman" w:cs="Times New Roman"/>
          <w:b/>
          <w:bCs/>
          <w:noProof/>
          <w:sz w:val="24"/>
          <w:szCs w:val="24"/>
        </w:rPr>
      </w:pPr>
    </w:p>
    <w:p w14:paraId="230BBFC4" w14:textId="5AB5BC3F" w:rsidR="004F6A8C" w:rsidRDefault="004F6A8C" w:rsidP="00C658FF">
      <w:pPr>
        <w:spacing w:after="0" w:line="480" w:lineRule="auto"/>
        <w:jc w:val="both"/>
        <w:rPr>
          <w:rFonts w:ascii="Times New Roman" w:hAnsi="Times New Roman" w:cs="Times New Roman"/>
          <w:b/>
          <w:sz w:val="24"/>
          <w:szCs w:val="24"/>
        </w:rPr>
      </w:pPr>
    </w:p>
    <w:p w14:paraId="0903B274" w14:textId="6DE1BF64" w:rsidR="00405650" w:rsidRDefault="00405650" w:rsidP="00C658FF">
      <w:pPr>
        <w:spacing w:after="0" w:line="480" w:lineRule="auto"/>
        <w:jc w:val="both"/>
        <w:rPr>
          <w:rFonts w:ascii="Times New Roman" w:hAnsi="Times New Roman" w:cs="Times New Roman"/>
          <w:b/>
          <w:sz w:val="24"/>
          <w:szCs w:val="24"/>
        </w:rPr>
      </w:pPr>
    </w:p>
    <w:p w14:paraId="08784276" w14:textId="089A6856" w:rsidR="00405650" w:rsidRDefault="00405650" w:rsidP="00C658FF">
      <w:pPr>
        <w:spacing w:after="0" w:line="480" w:lineRule="auto"/>
        <w:jc w:val="both"/>
        <w:rPr>
          <w:rFonts w:ascii="Times New Roman" w:hAnsi="Times New Roman" w:cs="Times New Roman"/>
          <w:b/>
          <w:sz w:val="24"/>
          <w:szCs w:val="24"/>
        </w:rPr>
      </w:pPr>
    </w:p>
    <w:p w14:paraId="26A158F3" w14:textId="16DE347A" w:rsidR="00405650" w:rsidRDefault="00405650" w:rsidP="00C658FF">
      <w:pPr>
        <w:spacing w:after="0" w:line="480" w:lineRule="auto"/>
        <w:jc w:val="both"/>
        <w:rPr>
          <w:rFonts w:ascii="Times New Roman" w:hAnsi="Times New Roman" w:cs="Times New Roman"/>
          <w:b/>
          <w:sz w:val="24"/>
          <w:szCs w:val="24"/>
        </w:rPr>
      </w:pPr>
    </w:p>
    <w:p w14:paraId="658FE9C2" w14:textId="5D07B594" w:rsidR="00405650" w:rsidRDefault="00405650" w:rsidP="00C658FF">
      <w:pPr>
        <w:spacing w:after="0" w:line="480" w:lineRule="auto"/>
        <w:jc w:val="both"/>
        <w:rPr>
          <w:rFonts w:ascii="Times New Roman" w:hAnsi="Times New Roman" w:cs="Times New Roman"/>
          <w:b/>
          <w:sz w:val="24"/>
          <w:szCs w:val="24"/>
        </w:rPr>
      </w:pPr>
    </w:p>
    <w:p w14:paraId="0BCDE382" w14:textId="749DA58D" w:rsidR="00405650" w:rsidRDefault="00405650" w:rsidP="00C658FF">
      <w:pPr>
        <w:spacing w:after="0" w:line="480" w:lineRule="auto"/>
        <w:jc w:val="both"/>
        <w:rPr>
          <w:rFonts w:ascii="Times New Roman" w:hAnsi="Times New Roman" w:cs="Times New Roman"/>
          <w:b/>
          <w:sz w:val="24"/>
          <w:szCs w:val="24"/>
        </w:rPr>
      </w:pPr>
    </w:p>
    <w:p w14:paraId="3966835B" w14:textId="77777777" w:rsidR="000B3CE3" w:rsidRDefault="000B3CE3" w:rsidP="00C658FF">
      <w:pPr>
        <w:spacing w:after="0" w:line="240" w:lineRule="auto"/>
        <w:jc w:val="both"/>
        <w:rPr>
          <w:rFonts w:ascii="Times New Roman" w:hAnsi="Times New Roman" w:cs="Times New Roman"/>
          <w:b/>
          <w:sz w:val="24"/>
          <w:szCs w:val="24"/>
          <w:u w:val="single"/>
        </w:rPr>
      </w:pPr>
    </w:p>
    <w:p w14:paraId="5B3ECD7F" w14:textId="6D3F888D" w:rsidR="001A3453" w:rsidRDefault="00654C34" w:rsidP="00C658FF">
      <w:pPr>
        <w:spacing w:after="0" w:line="240" w:lineRule="auto"/>
        <w:jc w:val="both"/>
        <w:rPr>
          <w:rFonts w:ascii="Times New Roman" w:hAnsi="Times New Roman" w:cs="Times New Roman"/>
          <w:b/>
          <w:sz w:val="24"/>
          <w:szCs w:val="24"/>
          <w:u w:val="single"/>
        </w:rPr>
      </w:pPr>
      <w:r w:rsidRPr="004D5393">
        <w:rPr>
          <w:rFonts w:ascii="Times New Roman" w:hAnsi="Times New Roman" w:cs="Times New Roman"/>
          <w:b/>
          <w:sz w:val="24"/>
          <w:szCs w:val="24"/>
          <w:u w:val="single"/>
        </w:rPr>
        <w:lastRenderedPageBreak/>
        <w:t>Figure 2</w:t>
      </w:r>
      <w:r w:rsidR="001A3453">
        <w:rPr>
          <w:rFonts w:ascii="Times New Roman" w:hAnsi="Times New Roman" w:cs="Times New Roman"/>
          <w:b/>
          <w:sz w:val="24"/>
          <w:szCs w:val="24"/>
          <w:u w:val="single"/>
        </w:rPr>
        <w:t xml:space="preserve"> </w:t>
      </w:r>
    </w:p>
    <w:p w14:paraId="25F5124C" w14:textId="23E38C59" w:rsidR="00136B53" w:rsidRDefault="00136B53" w:rsidP="00136B53">
      <w:pPr>
        <w:spacing w:after="0" w:line="240" w:lineRule="auto"/>
        <w:jc w:val="both"/>
        <w:rPr>
          <w:rFonts w:ascii="Times New Roman" w:eastAsia="Times New Roman" w:hAnsi="Times New Roman" w:cs="Times New Roman"/>
          <w:b/>
          <w:sz w:val="24"/>
          <w:szCs w:val="24"/>
        </w:rPr>
      </w:pPr>
      <w:r w:rsidRPr="00267519">
        <w:rPr>
          <w:rFonts w:ascii="Times New Roman" w:hAnsi="Times New Roman" w:cs="Times New Roman"/>
          <w:b/>
          <w:bCs/>
          <w:sz w:val="24"/>
          <w:szCs w:val="24"/>
        </w:rPr>
        <w:t>Cu</w:t>
      </w:r>
      <w:r>
        <w:rPr>
          <w:rFonts w:ascii="Times New Roman" w:hAnsi="Times New Roman" w:cs="Times New Roman"/>
          <w:b/>
          <w:bCs/>
          <w:sz w:val="24"/>
          <w:szCs w:val="24"/>
        </w:rPr>
        <w:t xml:space="preserve">mulative abnormal returns (CAR) using </w:t>
      </w:r>
      <w:proofErr w:type="spellStart"/>
      <w:r>
        <w:rPr>
          <w:rFonts w:ascii="Times New Roman" w:hAnsi="Times New Roman" w:cs="Times New Roman"/>
          <w:b/>
          <w:bCs/>
          <w:sz w:val="24"/>
          <w:szCs w:val="24"/>
        </w:rPr>
        <w:t>Fama</w:t>
      </w:r>
      <w:proofErr w:type="spellEnd"/>
      <w:r>
        <w:rPr>
          <w:rFonts w:ascii="Times New Roman" w:hAnsi="Times New Roman" w:cs="Times New Roman"/>
          <w:b/>
          <w:bCs/>
          <w:sz w:val="24"/>
          <w:szCs w:val="24"/>
        </w:rPr>
        <w:t xml:space="preserve"> &amp; French (FF) 3 Factor </w:t>
      </w:r>
      <w:r w:rsidR="00AC5896">
        <w:rPr>
          <w:rFonts w:ascii="Times New Roman" w:hAnsi="Times New Roman" w:cs="Times New Roman"/>
          <w:b/>
          <w:bCs/>
          <w:sz w:val="24"/>
          <w:szCs w:val="24"/>
        </w:rPr>
        <w:t xml:space="preserve">model during </w:t>
      </w:r>
      <w:r w:rsidR="00AC5896" w:rsidRPr="00267519">
        <w:rPr>
          <w:rFonts w:ascii="Times New Roman" w:eastAsia="Times New Roman" w:hAnsi="Times New Roman" w:cs="Times New Roman"/>
          <w:b/>
          <w:sz w:val="24"/>
          <w:szCs w:val="24"/>
        </w:rPr>
        <w:t>the bullish (03−09−2009 ~ 11−08−2010) and the bearish (11−09−2010 ~ 01−01−2012) phases</w:t>
      </w:r>
      <w:r w:rsidR="00AC5896">
        <w:rPr>
          <w:rFonts w:ascii="Times New Roman" w:eastAsia="Times New Roman" w:hAnsi="Times New Roman" w:cs="Times New Roman"/>
          <w:b/>
          <w:sz w:val="24"/>
          <w:szCs w:val="24"/>
        </w:rPr>
        <w:t xml:space="preserve"> with upgrades and downgrades surrounding the release day.</w:t>
      </w:r>
    </w:p>
    <w:p w14:paraId="6B8BF311" w14:textId="77777777" w:rsidR="00AC5896" w:rsidRPr="00267519" w:rsidRDefault="00AC5896" w:rsidP="00C658FF">
      <w:pPr>
        <w:spacing w:after="0" w:line="240" w:lineRule="auto"/>
        <w:jc w:val="both"/>
        <w:rPr>
          <w:rFonts w:ascii="Times New Roman" w:hAnsi="Times New Roman" w:cs="Times New Roman"/>
          <w:b/>
          <w:bCs/>
          <w:sz w:val="24"/>
          <w:szCs w:val="24"/>
        </w:rPr>
      </w:pPr>
    </w:p>
    <w:p w14:paraId="46441A39" w14:textId="77777777" w:rsidR="00CB6221" w:rsidRDefault="00CB6221" w:rsidP="00C658FF">
      <w:pPr>
        <w:pStyle w:val="Default"/>
        <w:spacing w:line="480" w:lineRule="auto"/>
        <w:jc w:val="center"/>
        <w:rPr>
          <w:color w:val="auto"/>
          <w:sz w:val="28"/>
          <w:szCs w:val="28"/>
        </w:rPr>
      </w:pPr>
      <w:r>
        <w:rPr>
          <w:noProof/>
          <w:lang w:eastAsia="en-GB"/>
        </w:rPr>
        <w:drawing>
          <wp:inline distT="0" distB="0" distL="0" distR="0" wp14:anchorId="11AB38C7" wp14:editId="463A32C3">
            <wp:extent cx="2698750" cy="2240497"/>
            <wp:effectExtent l="0" t="0" r="6350" b="7620"/>
            <wp:docPr id="1" name="Chart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lang w:eastAsia="en-GB"/>
        </w:rPr>
        <w:drawing>
          <wp:inline distT="0" distB="0" distL="0" distR="0" wp14:anchorId="579AB1D3" wp14:editId="5B5566B6">
            <wp:extent cx="3009900" cy="2239823"/>
            <wp:effectExtent l="0" t="0" r="0" b="8255"/>
            <wp:docPr id="2" name="Chart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DAEC77C" w14:textId="77777777" w:rsidR="00CB6221" w:rsidRPr="00C658FF" w:rsidRDefault="00CB6221" w:rsidP="00C658FF">
      <w:pPr>
        <w:spacing w:after="0" w:line="480" w:lineRule="auto"/>
        <w:jc w:val="center"/>
        <w:rPr>
          <w:rFonts w:ascii="Times New Roman" w:hAnsi="Times New Roman" w:cs="Times New Roman"/>
          <w:sz w:val="24"/>
          <w:szCs w:val="24"/>
        </w:rPr>
      </w:pPr>
    </w:p>
    <w:p w14:paraId="7527C486" w14:textId="3E880321" w:rsidR="00CB6221" w:rsidRDefault="0047536C" w:rsidP="00C658FF">
      <w:pPr>
        <w:spacing w:after="0" w:line="480" w:lineRule="auto"/>
        <w:jc w:val="center"/>
      </w:pPr>
      <w:r>
        <w:rPr>
          <w:noProof/>
          <w:lang w:val="en-GB" w:eastAsia="en-GB"/>
        </w:rPr>
        <w:drawing>
          <wp:inline distT="0" distB="0" distL="0" distR="0" wp14:anchorId="24DE7EC4" wp14:editId="2611D8F5">
            <wp:extent cx="2717198" cy="2418080"/>
            <wp:effectExtent l="0" t="0" r="6985" b="1270"/>
            <wp:docPr id="5" name="Chart 5">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lang w:val="en-GB" w:eastAsia="en-GB"/>
        </w:rPr>
        <w:drawing>
          <wp:inline distT="0" distB="0" distL="0" distR="0" wp14:anchorId="4CC22B18" wp14:editId="0646C4F1">
            <wp:extent cx="2985770" cy="2418158"/>
            <wp:effectExtent l="0" t="0" r="5080" b="1270"/>
            <wp:docPr id="7" name="Chart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CE9FDB" w14:textId="77777777" w:rsidR="00E104EE" w:rsidRDefault="00E104EE" w:rsidP="00C658FF">
      <w:pPr>
        <w:spacing w:after="0" w:line="480" w:lineRule="auto"/>
        <w:jc w:val="both"/>
      </w:pPr>
    </w:p>
    <w:sectPr w:rsidR="00E104EE" w:rsidSect="000B3CE3">
      <w:footerReference w:type="default" r:id="rId24"/>
      <w:pgSz w:w="11906" w:h="16838"/>
      <w:pgMar w:top="1134"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F510B" w14:textId="77777777" w:rsidR="00D74C0C" w:rsidRDefault="00D74C0C" w:rsidP="00880972">
      <w:pPr>
        <w:spacing w:after="0" w:line="240" w:lineRule="auto"/>
      </w:pPr>
      <w:r>
        <w:separator/>
      </w:r>
    </w:p>
  </w:endnote>
  <w:endnote w:type="continuationSeparator" w:id="0">
    <w:p w14:paraId="47FE784E" w14:textId="77777777" w:rsidR="00D74C0C" w:rsidRDefault="00D74C0C" w:rsidP="008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Open Sans">
    <w:altName w:val="Times New Roman"/>
    <w:charset w:val="00"/>
    <w:family w:val="auto"/>
    <w:pitch w:val="default"/>
  </w:font>
  <w:font w:name="TimesNewRomanPSMT">
    <w:altName w:val="Calibri"/>
    <w:panose1 w:val="00000000000000000000"/>
    <w:charset w:val="A1"/>
    <w:family w:val="auto"/>
    <w:notTrueType/>
    <w:pitch w:val="default"/>
    <w:sig w:usb0="00000081" w:usb1="00000000" w:usb2="00000000" w:usb3="00000000" w:csb0="00000008"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3689545"/>
      <w:docPartObj>
        <w:docPartGallery w:val="Page Numbers (Bottom of Page)"/>
        <w:docPartUnique/>
      </w:docPartObj>
    </w:sdtPr>
    <w:sdtEndPr>
      <w:rPr>
        <w:color w:val="808080" w:themeColor="background1" w:themeShade="80"/>
        <w:spacing w:val="60"/>
      </w:rPr>
    </w:sdtEndPr>
    <w:sdtContent>
      <w:p w14:paraId="3C5EDCF0" w14:textId="620E5F1B" w:rsidR="007051F8" w:rsidRDefault="007051F8" w:rsidP="00880972">
        <w:pPr>
          <w:pStyle w:val="Footer"/>
          <w:pBdr>
            <w:top w:val="single" w:sz="4" w:space="0" w:color="D9D9D9" w:themeColor="background1" w:themeShade="D9"/>
          </w:pBdr>
          <w:jc w:val="right"/>
        </w:pPr>
        <w:r>
          <w:fldChar w:fldCharType="begin"/>
        </w:r>
        <w:r>
          <w:instrText xml:space="preserve"> PAGE   \* MERGEFORMAT </w:instrText>
        </w:r>
        <w:r>
          <w:fldChar w:fldCharType="separate"/>
        </w:r>
        <w:r>
          <w:rPr>
            <w:noProof/>
          </w:rPr>
          <w:t>41</w:t>
        </w:r>
        <w:r>
          <w:rPr>
            <w:noProof/>
          </w:rPr>
          <w:fldChar w:fldCharType="end"/>
        </w:r>
        <w:r>
          <w:t xml:space="preserve"> | </w:t>
        </w:r>
        <w:r>
          <w:rPr>
            <w:color w:val="808080" w:themeColor="background1" w:themeShade="80"/>
            <w:spacing w:val="60"/>
          </w:rPr>
          <w:t>Page</w:t>
        </w:r>
      </w:p>
    </w:sdtContent>
  </w:sdt>
  <w:p w14:paraId="1E4EB4C9" w14:textId="1FCB2D8E" w:rsidR="007051F8" w:rsidRDefault="007051F8" w:rsidP="00586402">
    <w:pPr>
      <w:pStyle w:val="Footer"/>
      <w:tabs>
        <w:tab w:val="clear" w:pos="4513"/>
        <w:tab w:val="clear" w:pos="9026"/>
        <w:tab w:val="left" w:pos="7234"/>
      </w:tabs>
    </w:pPr>
    <w:r>
      <w:tab/>
    </w:r>
  </w:p>
  <w:p w14:paraId="4C7A5571" w14:textId="77777777" w:rsidR="007051F8" w:rsidRDefault="007051F8">
    <w:pPr>
      <w:pStyle w:val="Footer"/>
    </w:pPr>
  </w:p>
  <w:p w14:paraId="0C2CA267" w14:textId="77777777" w:rsidR="007051F8" w:rsidRDefault="00705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60F8E" w14:textId="77777777" w:rsidR="00D74C0C" w:rsidRDefault="00D74C0C" w:rsidP="00880972">
      <w:pPr>
        <w:spacing w:after="0" w:line="240" w:lineRule="auto"/>
      </w:pPr>
      <w:r>
        <w:separator/>
      </w:r>
    </w:p>
  </w:footnote>
  <w:footnote w:type="continuationSeparator" w:id="0">
    <w:p w14:paraId="21387C66" w14:textId="77777777" w:rsidR="00D74C0C" w:rsidRDefault="00D74C0C" w:rsidP="00880972">
      <w:pPr>
        <w:spacing w:after="0" w:line="240" w:lineRule="auto"/>
      </w:pPr>
      <w:r>
        <w:continuationSeparator/>
      </w:r>
    </w:p>
  </w:footnote>
  <w:footnote w:id="1">
    <w:p w14:paraId="68D834E2" w14:textId="41FEC434" w:rsidR="007051F8" w:rsidRPr="006207B8" w:rsidRDefault="007051F8" w:rsidP="00C658FF">
      <w:pPr>
        <w:pStyle w:val="FootnoteText"/>
        <w:jc w:val="both"/>
        <w:rPr>
          <w:rFonts w:ascii="Times New Roman" w:hAnsi="Times New Roman" w:cs="Times New Roman"/>
        </w:rPr>
      </w:pPr>
      <w:r w:rsidRPr="006207B8">
        <w:rPr>
          <w:rStyle w:val="FootnoteReference"/>
          <w:rFonts w:ascii="Times New Roman" w:hAnsi="Times New Roman" w:cs="Times New Roman"/>
        </w:rPr>
        <w:footnoteRef/>
      </w:r>
      <w:r>
        <w:rPr>
          <w:rFonts w:ascii="Times New Roman" w:hAnsi="Times New Roman" w:cs="Times New Roman"/>
        </w:rPr>
        <w:t xml:space="preserve"> </w:t>
      </w:r>
      <w:r w:rsidRPr="006207B8">
        <w:rPr>
          <w:rFonts w:ascii="Times New Roman" w:hAnsi="Times New Roman" w:cs="Times New Roman"/>
        </w:rPr>
        <w:t>The bullish phase is taken from March 9, 2009 to November 8, 2010</w:t>
      </w:r>
      <w:r>
        <w:rPr>
          <w:rFonts w:ascii="Times New Roman" w:hAnsi="Times New Roman" w:cs="Times New Roman"/>
        </w:rPr>
        <w:t xml:space="preserve"> which shows continuous decrease in GDP growth</w:t>
      </w:r>
      <w:r w:rsidRPr="006207B8">
        <w:rPr>
          <w:rFonts w:ascii="Times New Roman" w:hAnsi="Times New Roman" w:cs="Times New Roman"/>
        </w:rPr>
        <w:t>, while the bearish phase is runs from November 9, 2010 to January 1, 2012</w:t>
      </w:r>
      <w:r>
        <w:rPr>
          <w:rFonts w:ascii="Times New Roman" w:hAnsi="Times New Roman" w:cs="Times New Roman"/>
        </w:rPr>
        <w:t xml:space="preserve"> showing continuous increase in GDP growth in Hong Kong</w:t>
      </w:r>
      <w:r w:rsidRPr="006207B8">
        <w:rPr>
          <w:rFonts w:ascii="Times New Roman" w:hAnsi="Times New Roman" w:cs="Times New Roman"/>
        </w:rPr>
        <w:t>.</w:t>
      </w:r>
      <w:r>
        <w:rPr>
          <w:rFonts w:ascii="Times New Roman" w:hAnsi="Times New Roman" w:cs="Times New Roman"/>
        </w:rPr>
        <w:t xml:space="preserve"> Studies have evidenced the existence of a strong correlation between output growth and stock returns in emerging and advanced economies. See </w:t>
      </w:r>
      <w:r w:rsidRPr="00263ECF">
        <w:rPr>
          <w:rFonts w:ascii="Times New Roman" w:hAnsi="Times New Roman" w:cs="Times New Roman"/>
        </w:rPr>
        <w:t>Rangvid, J. (2006)</w:t>
      </w:r>
      <w:r>
        <w:rPr>
          <w:rFonts w:ascii="Times New Roman" w:hAnsi="Times New Roman" w:cs="Times New Roman"/>
        </w:rPr>
        <w:t xml:space="preserve"> and </w:t>
      </w:r>
      <w:r w:rsidRPr="00C34BCE">
        <w:rPr>
          <w:rFonts w:ascii="Times New Roman" w:hAnsi="Times New Roman" w:cs="Times New Roman"/>
        </w:rPr>
        <w:t>Mauro, P. (2003)</w:t>
      </w:r>
      <w:r>
        <w:rPr>
          <w:rFonts w:ascii="Times New Roman" w:hAnsi="Times New Roman" w:cs="Times New Roman"/>
        </w:rPr>
        <w:t>.</w:t>
      </w:r>
    </w:p>
  </w:footnote>
  <w:footnote w:id="2">
    <w:p w14:paraId="7907D5B3" w14:textId="0A1ADCA5" w:rsidR="007051F8" w:rsidRPr="00F97F7D" w:rsidRDefault="007051F8" w:rsidP="00F97F7D">
      <w:pPr>
        <w:pStyle w:val="FootnoteText"/>
        <w:jc w:val="both"/>
        <w:rPr>
          <w:rFonts w:ascii="Times New Roman" w:hAnsi="Times New Roman" w:cs="Times New Roman"/>
        </w:rPr>
      </w:pPr>
      <w:r w:rsidRPr="00F97F7D">
        <w:rPr>
          <w:rStyle w:val="FootnoteReference"/>
          <w:rFonts w:ascii="Times New Roman" w:hAnsi="Times New Roman" w:cs="Times New Roman"/>
        </w:rPr>
        <w:footnoteRef/>
      </w:r>
      <w:r w:rsidRPr="00F97F7D">
        <w:rPr>
          <w:rFonts w:ascii="Times New Roman" w:hAnsi="Times New Roman" w:cs="Times New Roman"/>
        </w:rPr>
        <w:t xml:space="preserve"> We also checked for robustness using two approaches. We used an estimation window that was 25% shorter than 100 days and found that our results for both the </w:t>
      </w:r>
      <w:r w:rsidRPr="00F97F7D">
        <w:rPr>
          <w:rFonts w:ascii="Times New Roman" w:hAnsi="Times New Roman" w:cs="Times New Roman"/>
        </w:rPr>
        <w:t>Fama and French 3-factor model and Market Model remained qualitatively the same. Second, we re-estimated our results using a market-adjusted returns model, as it does not involve any estimation period at all. Again, our results were very similar to our Fama and French 3-factor results.</w:t>
      </w:r>
    </w:p>
  </w:footnote>
  <w:footnote w:id="3">
    <w:p w14:paraId="100513E8" w14:textId="77777777" w:rsidR="007051F8" w:rsidRPr="004D5393" w:rsidRDefault="007051F8" w:rsidP="00F02589">
      <w:pPr>
        <w:pStyle w:val="FootnoteText"/>
        <w:jc w:val="both"/>
        <w:rPr>
          <w:rFonts w:ascii="Times New Roman" w:hAnsi="Times New Roman" w:cs="Times New Roman"/>
        </w:rPr>
      </w:pPr>
      <w:r w:rsidRPr="00B52B34">
        <w:rPr>
          <w:rStyle w:val="FootnoteReference"/>
          <w:rFonts w:ascii="Times New Roman" w:hAnsi="Times New Roman" w:cs="Times New Roman"/>
        </w:rPr>
        <w:footnoteRef/>
      </w:r>
      <w:r w:rsidRPr="00B52B34">
        <w:rPr>
          <w:rFonts w:ascii="Times New Roman" w:hAnsi="Times New Roman" w:cs="Times New Roman"/>
        </w:rPr>
        <w:t xml:space="preserve"> </w:t>
      </w:r>
      <w:r w:rsidRPr="004D5393">
        <w:rPr>
          <w:rStyle w:val="uiqtextrenderedqtext"/>
          <w:rFonts w:ascii="Times New Roman" w:eastAsia="Times New Roman" w:hAnsi="Times New Roman" w:cs="Times New Roman"/>
        </w:rPr>
        <w:t xml:space="preserve">The stochastic process </w:t>
      </w:r>
      <w:r w:rsidRPr="004D5393">
        <w:rPr>
          <w:rStyle w:val="mi"/>
          <w:rFonts w:ascii="Times New Roman" w:eastAsia="Times New Roman" w:hAnsi="Times New Roman" w:cs="Times New Roman"/>
          <w:i/>
          <w:iCs/>
        </w:rPr>
        <w:t>X</w:t>
      </w:r>
      <w:r w:rsidRPr="004D5393">
        <w:rPr>
          <w:rStyle w:val="mo"/>
          <w:rFonts w:ascii="Times New Roman" w:eastAsia="Times New Roman" w:hAnsi="Times New Roman" w:cs="Times New Roman"/>
        </w:rPr>
        <w:t>={</w:t>
      </w:r>
      <w:r w:rsidRPr="004D5393">
        <w:rPr>
          <w:rStyle w:val="mi"/>
          <w:rFonts w:ascii="Times New Roman" w:eastAsia="Times New Roman" w:hAnsi="Times New Roman" w:cs="Times New Roman"/>
          <w:i/>
          <w:iCs/>
        </w:rPr>
        <w:t>X</w:t>
      </w:r>
      <w:r w:rsidRPr="004D5393">
        <w:rPr>
          <w:rStyle w:val="mi"/>
          <w:rFonts w:ascii="Times New Roman" w:eastAsia="Times New Roman" w:hAnsi="Times New Roman" w:cs="Times New Roman"/>
          <w:i/>
          <w:iCs/>
          <w:vertAlign w:val="subscript"/>
        </w:rPr>
        <w:t>t</w:t>
      </w:r>
      <w:r w:rsidRPr="004D5393">
        <w:rPr>
          <w:rStyle w:val="mo"/>
          <w:rFonts w:ascii="Times New Roman" w:eastAsia="Times New Roman" w:hAnsi="Times New Roman" w:cs="Times New Roman"/>
        </w:rPr>
        <w:t xml:space="preserve">} </w:t>
      </w:r>
      <w:r w:rsidRPr="004D5393">
        <w:rPr>
          <w:rStyle w:val="mi"/>
          <w:rFonts w:ascii="Times New Roman" w:eastAsia="Times New Roman" w:hAnsi="Times New Roman" w:cs="Times New Roman"/>
          <w:i/>
          <w:iCs/>
        </w:rPr>
        <w:t>t</w:t>
      </w:r>
      <w:r w:rsidRPr="004D5393">
        <w:rPr>
          <w:rStyle w:val="mo"/>
          <w:rFonts w:ascii="Times New Roman" w:eastAsia="Times New Roman" w:hAnsi="Times New Roman" w:cs="Times New Roman"/>
        </w:rPr>
        <w:t>≥</w:t>
      </w:r>
      <w:r w:rsidRPr="004D5393">
        <w:rPr>
          <w:rStyle w:val="mn"/>
          <w:rFonts w:ascii="Times New Roman" w:eastAsia="Times New Roman" w:hAnsi="Times New Roman" w:cs="Times New Roman"/>
        </w:rPr>
        <w:t>0</w:t>
      </w:r>
      <w:r w:rsidRPr="004D5393">
        <w:rPr>
          <w:rStyle w:val="uiqtextrenderedqtext"/>
          <w:rFonts w:ascii="Times New Roman" w:eastAsia="Times New Roman" w:hAnsi="Times New Roman" w:cs="Times New Roman"/>
        </w:rPr>
        <w:t xml:space="preserve"> is called a martingale, if (1) </w:t>
      </w:r>
      <w:r w:rsidRPr="004D5393">
        <w:rPr>
          <w:rStyle w:val="mi"/>
          <w:rFonts w:ascii="Times New Roman" w:eastAsia="Times New Roman" w:hAnsi="Times New Roman" w:cs="Times New Roman"/>
          <w:i/>
          <w:iCs/>
        </w:rPr>
        <w:t>E</w:t>
      </w:r>
      <w:r w:rsidRPr="004D5393">
        <w:rPr>
          <w:rStyle w:val="mo"/>
          <w:rFonts w:ascii="Times New Roman" w:eastAsia="Times New Roman" w:hAnsi="Times New Roman" w:cs="Times New Roman"/>
        </w:rPr>
        <w:t>(|</w:t>
      </w:r>
      <w:r w:rsidRPr="004D5393">
        <w:rPr>
          <w:rStyle w:val="mi"/>
          <w:rFonts w:ascii="Times New Roman" w:eastAsia="Times New Roman" w:hAnsi="Times New Roman" w:cs="Times New Roman"/>
          <w:i/>
          <w:iCs/>
        </w:rPr>
        <w:t>X</w:t>
      </w:r>
      <w:r w:rsidRPr="004D5393">
        <w:rPr>
          <w:rStyle w:val="mi"/>
          <w:rFonts w:ascii="Times New Roman" w:eastAsia="Times New Roman" w:hAnsi="Times New Roman" w:cs="Times New Roman"/>
          <w:i/>
          <w:iCs/>
          <w:vertAlign w:val="subscript"/>
        </w:rPr>
        <w:t>t</w:t>
      </w:r>
      <w:r w:rsidRPr="004D5393" w:rsidDel="00BB634F">
        <w:rPr>
          <w:rStyle w:val="mi"/>
          <w:rFonts w:ascii="Times New Roman" w:eastAsia="Times New Roman" w:hAnsi="Times New Roman" w:cs="Times New Roman"/>
          <w:i/>
          <w:iCs/>
        </w:rPr>
        <w:t xml:space="preserve"> </w:t>
      </w:r>
      <w:r w:rsidRPr="004D5393">
        <w:rPr>
          <w:rStyle w:val="mo"/>
          <w:rFonts w:ascii="Times New Roman" w:eastAsia="Times New Roman" w:hAnsi="Times New Roman" w:cs="Times New Roman"/>
        </w:rPr>
        <w:t>|)&lt;</w:t>
      </w:r>
      <w:r w:rsidRPr="004D5393">
        <w:rPr>
          <w:rStyle w:val="mi"/>
          <w:rFonts w:ascii="Times New Roman" w:eastAsia="Times New Roman" w:hAnsi="Times New Roman" w:cs="Times New Roman"/>
        </w:rPr>
        <w:t>∞</w:t>
      </w:r>
      <w:r w:rsidRPr="004D5393">
        <w:rPr>
          <w:rStyle w:val="uiqtextrenderedqtext"/>
          <w:rFonts w:ascii="Times New Roman" w:eastAsia="Times New Roman" w:hAnsi="Times New Roman" w:cs="Times New Roman"/>
        </w:rPr>
        <w:t xml:space="preserve"> for all </w:t>
      </w:r>
      <w:r w:rsidRPr="004D5393">
        <w:rPr>
          <w:rStyle w:val="mi"/>
          <w:rFonts w:ascii="Times New Roman" w:eastAsia="Times New Roman" w:hAnsi="Times New Roman" w:cs="Times New Roman"/>
          <w:i/>
          <w:iCs/>
        </w:rPr>
        <w:t>t</w:t>
      </w:r>
      <w:r w:rsidRPr="004D5393">
        <w:rPr>
          <w:rStyle w:val="mo"/>
          <w:rFonts w:ascii="Times New Roman" w:eastAsia="Times New Roman" w:hAnsi="Times New Roman" w:cs="Times New Roman"/>
        </w:rPr>
        <w:t>≥</w:t>
      </w:r>
      <w:r w:rsidRPr="004D5393">
        <w:rPr>
          <w:rStyle w:val="mn"/>
          <w:rFonts w:ascii="Times New Roman" w:eastAsia="Times New Roman" w:hAnsi="Times New Roman" w:cs="Times New Roman"/>
        </w:rPr>
        <w:t>0</w:t>
      </w:r>
      <w:r w:rsidRPr="004D5393">
        <w:rPr>
          <w:rStyle w:val="mo"/>
          <w:rFonts w:ascii="Times New Roman" w:eastAsia="Times New Roman" w:hAnsi="Times New Roman" w:cs="Times New Roman"/>
        </w:rPr>
        <w:t xml:space="preserve">; and (2) </w:t>
      </w:r>
      <w:r w:rsidRPr="004D5393">
        <w:rPr>
          <w:rStyle w:val="mi"/>
          <w:rFonts w:ascii="Times New Roman" w:eastAsia="Times New Roman" w:hAnsi="Times New Roman" w:cs="Times New Roman"/>
          <w:i/>
          <w:iCs/>
        </w:rPr>
        <w:t>E</w:t>
      </w:r>
      <w:r w:rsidRPr="004D5393">
        <w:rPr>
          <w:rStyle w:val="mo"/>
          <w:rFonts w:ascii="Times New Roman" w:eastAsia="Times New Roman" w:hAnsi="Times New Roman" w:cs="Times New Roman"/>
        </w:rPr>
        <w:t>(</w:t>
      </w:r>
      <w:r w:rsidRPr="004D5393">
        <w:rPr>
          <w:rStyle w:val="mi"/>
          <w:rFonts w:ascii="Times New Roman" w:eastAsia="Times New Roman" w:hAnsi="Times New Roman" w:cs="Times New Roman"/>
          <w:i/>
          <w:iCs/>
        </w:rPr>
        <w:t>X</w:t>
      </w:r>
      <w:r w:rsidRPr="004D5393">
        <w:rPr>
          <w:rStyle w:val="mi"/>
          <w:rFonts w:ascii="Times New Roman" w:eastAsia="Times New Roman" w:hAnsi="Times New Roman" w:cs="Times New Roman"/>
          <w:i/>
          <w:iCs/>
          <w:vertAlign w:val="subscript"/>
        </w:rPr>
        <w:t>t</w:t>
      </w:r>
      <w:r w:rsidRPr="004D5393" w:rsidDel="00BB634F">
        <w:rPr>
          <w:rStyle w:val="mi"/>
          <w:rFonts w:ascii="Times New Roman" w:eastAsia="Times New Roman" w:hAnsi="Times New Roman" w:cs="Times New Roman"/>
          <w:i/>
          <w:iCs/>
        </w:rPr>
        <w:t xml:space="preserve"> </w:t>
      </w:r>
      <w:r w:rsidRPr="004D5393">
        <w:rPr>
          <w:rStyle w:val="mo"/>
          <w:rFonts w:ascii="Times New Roman" w:eastAsia="Times New Roman" w:hAnsi="Times New Roman" w:cs="Times New Roman"/>
        </w:rPr>
        <w:t>|</w:t>
      </w:r>
      <w:r w:rsidRPr="004D5393">
        <w:rPr>
          <w:rStyle w:val="mi"/>
          <w:rFonts w:ascii="Times New Roman" w:eastAsia="Times New Roman" w:hAnsi="Times New Roman" w:cs="Times New Roman"/>
          <w:i/>
          <w:iCs/>
        </w:rPr>
        <w:t>X</w:t>
      </w:r>
      <w:r w:rsidRPr="004D5393">
        <w:rPr>
          <w:rStyle w:val="mi"/>
          <w:rFonts w:ascii="Times New Roman" w:eastAsia="Times New Roman" w:hAnsi="Times New Roman" w:cs="Times New Roman"/>
          <w:i/>
          <w:iCs/>
          <w:vertAlign w:val="subscript"/>
        </w:rPr>
        <w:t>s</w:t>
      </w:r>
      <w:r w:rsidRPr="004D5393">
        <w:rPr>
          <w:rStyle w:val="mo"/>
          <w:rFonts w:ascii="Times New Roman" w:eastAsia="Times New Roman" w:hAnsi="Times New Roman" w:cs="Times New Roman"/>
        </w:rPr>
        <w:t>)=</w:t>
      </w:r>
      <w:r w:rsidRPr="004D5393">
        <w:rPr>
          <w:rStyle w:val="mi"/>
          <w:rFonts w:ascii="Times New Roman" w:eastAsia="Times New Roman" w:hAnsi="Times New Roman" w:cs="Times New Roman"/>
          <w:i/>
          <w:iCs/>
        </w:rPr>
        <w:t>X</w:t>
      </w:r>
      <w:r w:rsidRPr="004D5393">
        <w:rPr>
          <w:rStyle w:val="mi"/>
          <w:rFonts w:ascii="Times New Roman" w:eastAsia="Times New Roman" w:hAnsi="Times New Roman" w:cs="Times New Roman"/>
          <w:i/>
          <w:iCs/>
          <w:vertAlign w:val="subscript"/>
        </w:rPr>
        <w:t>s</w:t>
      </w:r>
      <w:r w:rsidRPr="004D5393" w:rsidDel="00BB634F">
        <w:rPr>
          <w:rStyle w:val="mi"/>
          <w:rFonts w:ascii="Times New Roman" w:eastAsia="Times New Roman" w:hAnsi="Times New Roman" w:cs="Times New Roman"/>
          <w:i/>
          <w:iCs/>
        </w:rPr>
        <w:t xml:space="preserve"> </w:t>
      </w:r>
      <w:r w:rsidRPr="004D5393">
        <w:rPr>
          <w:rStyle w:val="uiqtextrenderedqtext"/>
          <w:rFonts w:ascii="Times New Roman" w:eastAsia="Times New Roman" w:hAnsi="Times New Roman" w:cs="Times New Roman"/>
        </w:rPr>
        <w:t xml:space="preserve">for all </w:t>
      </w:r>
      <w:r w:rsidRPr="004D5393">
        <w:rPr>
          <w:rStyle w:val="mi"/>
          <w:rFonts w:ascii="Times New Roman" w:eastAsia="Times New Roman" w:hAnsi="Times New Roman" w:cs="Times New Roman"/>
          <w:i/>
          <w:iCs/>
        </w:rPr>
        <w:t>t</w:t>
      </w:r>
      <w:r w:rsidRPr="004D5393">
        <w:rPr>
          <w:rStyle w:val="mo"/>
          <w:rFonts w:ascii="Times New Roman" w:eastAsia="Times New Roman" w:hAnsi="Times New Roman" w:cs="Times New Roman"/>
        </w:rPr>
        <w:t>≥</w:t>
      </w:r>
      <w:r w:rsidRPr="004D5393">
        <w:rPr>
          <w:rStyle w:val="mi"/>
          <w:rFonts w:ascii="Times New Roman" w:eastAsia="Times New Roman" w:hAnsi="Times New Roman" w:cs="Times New Roman"/>
          <w:i/>
          <w:iCs/>
        </w:rPr>
        <w:t>s</w:t>
      </w:r>
      <w:r w:rsidRPr="004D5393">
        <w:rPr>
          <w:rStyle w:val="mo"/>
          <w:rFonts w:ascii="Times New Roman" w:eastAsia="Times New Roman" w:hAnsi="Times New Roman" w:cs="Times New Roman"/>
        </w:rPr>
        <w:t>≥</w:t>
      </w:r>
      <w:r w:rsidRPr="004D5393">
        <w:rPr>
          <w:rStyle w:val="mn"/>
          <w:rFonts w:ascii="Times New Roman" w:eastAsia="Times New Roman" w:hAnsi="Times New Roman" w:cs="Times New Roman"/>
        </w:rPr>
        <w:t>0</w:t>
      </w:r>
      <w:r w:rsidRPr="004D5393">
        <w:rPr>
          <w:rStyle w:val="uiqtextrenderedqtext"/>
          <w:rFonts w:ascii="Times New Roman" w:eastAsia="Times New Roman" w:hAnsi="Times New Roman" w:cs="Times New Roman"/>
        </w:rPr>
        <w:t>.</w:t>
      </w:r>
    </w:p>
  </w:footnote>
  <w:footnote w:id="4">
    <w:p w14:paraId="2D6F4501" w14:textId="281B9297" w:rsidR="007051F8" w:rsidRPr="006207B8" w:rsidRDefault="007051F8" w:rsidP="00F02589">
      <w:pPr>
        <w:pStyle w:val="FootnoteText"/>
        <w:jc w:val="both"/>
        <w:rPr>
          <w:rFonts w:ascii="Times New Roman" w:hAnsi="Times New Roman" w:cs="Times New Roman"/>
        </w:rPr>
      </w:pPr>
      <w:r w:rsidRPr="00B52B34">
        <w:rPr>
          <w:rStyle w:val="FootnoteReference"/>
          <w:rFonts w:ascii="Times New Roman" w:hAnsi="Times New Roman" w:cs="Times New Roman"/>
        </w:rPr>
        <w:footnoteRef/>
      </w:r>
      <w:r w:rsidRPr="00B52B34">
        <w:rPr>
          <w:rFonts w:ascii="Times New Roman" w:hAnsi="Times New Roman" w:cs="Times New Roman"/>
        </w:rPr>
        <w:t xml:space="preserve"> The classification is similar to the records of the five−point scale classification of the First Call database (see Barber et al. (2007)).</w:t>
      </w:r>
    </w:p>
  </w:footnote>
  <w:footnote w:id="5">
    <w:p w14:paraId="31D71682" w14:textId="77777777" w:rsidR="007051F8" w:rsidRDefault="007051F8" w:rsidP="00F72E4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their results, Chan and Fong (1996) observed that the AR remained insignificant from day 2 through day 25.</w:t>
      </w:r>
    </w:p>
  </w:footnote>
  <w:footnote w:id="6">
    <w:p w14:paraId="23873492" w14:textId="77777777" w:rsidR="007051F8" w:rsidRDefault="007051F8" w:rsidP="00F72E4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Buy recommendations include all positive ratings issued by analysts including long term buy, accumulate, strong buy, outperform and overweight. Six recommendations are excluded as they were issued on non−trading days such as holidays and / or weekends.</w:t>
      </w:r>
    </w:p>
  </w:footnote>
  <w:footnote w:id="7">
    <w:p w14:paraId="14F8997C" w14:textId="6F57792B" w:rsidR="007051F8" w:rsidRPr="001C3295" w:rsidRDefault="007051F8" w:rsidP="00F72E45">
      <w:pPr>
        <w:pStyle w:val="FootnoteText"/>
        <w:jc w:val="both"/>
        <w:rPr>
          <w:rFonts w:ascii="Times New Roman" w:hAnsi="Times New Roman" w:cs="Times New Roman"/>
          <w:lang w:val="en-GB"/>
        </w:rPr>
      </w:pPr>
      <w:r w:rsidRPr="001C3295">
        <w:rPr>
          <w:rStyle w:val="FootnoteReference"/>
          <w:rFonts w:ascii="Times New Roman" w:hAnsi="Times New Roman" w:cs="Times New Roman"/>
        </w:rPr>
        <w:footnoteRef/>
      </w:r>
      <w:r w:rsidRPr="001C3295">
        <w:rPr>
          <w:rFonts w:ascii="Times New Roman" w:hAnsi="Times New Roman" w:cs="Times New Roman"/>
        </w:rPr>
        <w:t xml:space="preserve"> </w:t>
      </w:r>
      <w:r w:rsidRPr="001C3295">
        <w:rPr>
          <w:rFonts w:ascii="Times New Roman" w:eastAsia="Times New Roman" w:hAnsi="Times New Roman" w:cs="Times New Roman"/>
          <w:lang w:val="en-GB"/>
        </w:rPr>
        <w:t xml:space="preserve">We also investigated the effect of the Euro zone crisis on Hong Kong stock returns by running an overall </w:t>
      </w:r>
      <w:r w:rsidRPr="001C3295">
        <w:rPr>
          <w:rFonts w:ascii="Times New Roman" w:eastAsia="Times New Roman" w:hAnsi="Times New Roman" w:cs="Times New Roman"/>
          <w:lang w:val="en-GB"/>
        </w:rPr>
        <w:t xml:space="preserve">Fama and French 3-factor regression for the Hong Kong market, with a Euro zone crisis dummy variable to assess the impact of the Euro zone crisis on Hong Kong stock returns. The dummy variable took the value of one from </w:t>
      </w:r>
      <w:r w:rsidRPr="001C3295">
        <w:rPr>
          <w:rFonts w:ascii="Times New Roman" w:eastAsia="Times New Roman" w:hAnsi="Times New Roman" w:cs="Times New Roman"/>
        </w:rPr>
        <w:t>October 19, 2009 to January 31, 2012, inclusive (see Ahm</w:t>
      </w:r>
      <w:r>
        <w:rPr>
          <w:rFonts w:ascii="Times New Roman" w:eastAsia="Times New Roman" w:hAnsi="Times New Roman" w:cs="Times New Roman"/>
        </w:rPr>
        <w:t>a</w:t>
      </w:r>
      <w:r w:rsidRPr="001C3295">
        <w:rPr>
          <w:rFonts w:ascii="Times New Roman" w:eastAsia="Times New Roman" w:hAnsi="Times New Roman" w:cs="Times New Roman"/>
        </w:rPr>
        <w:t>d et al.</w:t>
      </w:r>
      <w:r>
        <w:rPr>
          <w:rFonts w:ascii="Times New Roman" w:eastAsia="Times New Roman" w:hAnsi="Times New Roman" w:cs="Times New Roman"/>
        </w:rPr>
        <w:t xml:space="preserve"> (</w:t>
      </w:r>
      <w:r w:rsidRPr="001C3295">
        <w:rPr>
          <w:rFonts w:ascii="Times New Roman" w:eastAsia="Times New Roman" w:hAnsi="Times New Roman" w:cs="Times New Roman"/>
        </w:rPr>
        <w:t>2013</w:t>
      </w:r>
      <w:r>
        <w:rPr>
          <w:rFonts w:ascii="Times New Roman" w:eastAsia="Times New Roman" w:hAnsi="Times New Roman" w:cs="Times New Roman"/>
        </w:rPr>
        <w:t>)</w:t>
      </w:r>
      <w:r w:rsidRPr="001C3295">
        <w:rPr>
          <w:rFonts w:ascii="Times New Roman" w:eastAsia="Times New Roman" w:hAnsi="Times New Roman" w:cs="Times New Roman"/>
        </w:rPr>
        <w:t>).</w:t>
      </w:r>
      <w:r w:rsidRPr="001C3295">
        <w:rPr>
          <w:rFonts w:ascii="Times New Roman" w:eastAsia="Times New Roman" w:hAnsi="Times New Roman" w:cs="Times New Roman"/>
          <w:lang w:val="en-GB"/>
        </w:rPr>
        <w:t xml:space="preserve"> We found that the dummy variable was not economically or statistically significant; the Eurozone crisis reduced Hong Kong Stock returns by </w:t>
      </w:r>
      <w:r w:rsidRPr="001C3295">
        <w:rPr>
          <w:rFonts w:ascii="Times New Roman" w:eastAsia="Times New Roman" w:hAnsi="Times New Roman" w:cs="Times New Roman"/>
        </w:rPr>
        <w:t>-0.000005%.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D5F9D"/>
    <w:multiLevelType w:val="hybridMultilevel"/>
    <w:tmpl w:val="DDAA4120"/>
    <w:lvl w:ilvl="0" w:tplc="E2FC660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12B27"/>
    <w:multiLevelType w:val="multilevel"/>
    <w:tmpl w:val="0DA013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92E5FE5"/>
    <w:multiLevelType w:val="multilevel"/>
    <w:tmpl w:val="566A8896"/>
    <w:lvl w:ilvl="0">
      <w:start w:val="5"/>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A9D58B8"/>
    <w:multiLevelType w:val="multilevel"/>
    <w:tmpl w:val="85A0AF98"/>
    <w:lvl w:ilvl="0">
      <w:start w:val="5"/>
      <w:numFmt w:val="decimal"/>
      <w:lvlText w:val="%1"/>
      <w:lvlJc w:val="left"/>
      <w:pPr>
        <w:ind w:left="645" w:hanging="645"/>
      </w:pPr>
      <w:rPr>
        <w:rFonts w:hint="default"/>
      </w:rPr>
    </w:lvl>
    <w:lvl w:ilvl="1">
      <w:start w:val="2"/>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4" w15:restartNumberingAfterBreak="0">
    <w:nsid w:val="0BDB03B3"/>
    <w:multiLevelType w:val="hybridMultilevel"/>
    <w:tmpl w:val="1AF6CCE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A6C84"/>
    <w:multiLevelType w:val="multilevel"/>
    <w:tmpl w:val="3F16944A"/>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95A49AF"/>
    <w:multiLevelType w:val="multilevel"/>
    <w:tmpl w:val="566A8896"/>
    <w:lvl w:ilvl="0">
      <w:start w:val="5"/>
      <w:numFmt w:val="decimal"/>
      <w:lvlText w:val="%1"/>
      <w:lvlJc w:val="left"/>
      <w:pPr>
        <w:ind w:left="645" w:hanging="64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ED38E3"/>
    <w:multiLevelType w:val="hybridMultilevel"/>
    <w:tmpl w:val="E2FC6204"/>
    <w:lvl w:ilvl="0" w:tplc="C35880E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A66AC"/>
    <w:multiLevelType w:val="multilevel"/>
    <w:tmpl w:val="3440E868"/>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75B076C"/>
    <w:multiLevelType w:val="multilevel"/>
    <w:tmpl w:val="A1E4459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9E040DA"/>
    <w:multiLevelType w:val="multilevel"/>
    <w:tmpl w:val="566A8896"/>
    <w:lvl w:ilvl="0">
      <w:start w:val="5"/>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B297388"/>
    <w:multiLevelType w:val="hybridMultilevel"/>
    <w:tmpl w:val="DCC07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113B3"/>
    <w:multiLevelType w:val="hybridMultilevel"/>
    <w:tmpl w:val="E0328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0B145C9"/>
    <w:multiLevelType w:val="hybridMultilevel"/>
    <w:tmpl w:val="EDE87342"/>
    <w:lvl w:ilvl="0" w:tplc="AE709544">
      <w:start w:val="20"/>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63DB0"/>
    <w:multiLevelType w:val="hybridMultilevel"/>
    <w:tmpl w:val="E53A9516"/>
    <w:lvl w:ilvl="0" w:tplc="0F64E798">
      <w:start w:val="1"/>
      <w:numFmt w:val="decimal"/>
      <w:lvlText w:val="%1."/>
      <w:lvlJc w:val="left"/>
      <w:pPr>
        <w:ind w:left="754" w:hanging="360"/>
      </w:pPr>
      <w:rPr>
        <w:rFonts w:ascii="Times New Roman" w:hAnsi="Times New Roman" w:cs="Times New Roman" w:hint="default"/>
        <w:b w:val="0"/>
        <w:sz w:val="28"/>
        <w:szCs w:val="28"/>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5" w15:restartNumberingAfterBreak="0">
    <w:nsid w:val="32B80A77"/>
    <w:multiLevelType w:val="multilevel"/>
    <w:tmpl w:val="C8ECBBD4"/>
    <w:lvl w:ilvl="0">
      <w:start w:val="1"/>
      <w:numFmt w:val="upperRoman"/>
      <w:lvlText w:val="%1."/>
      <w:lvlJc w:val="left"/>
      <w:pPr>
        <w:ind w:left="896" w:hanging="720"/>
      </w:pPr>
      <w:rPr>
        <w:rFonts w:hint="default"/>
      </w:rPr>
    </w:lvl>
    <w:lvl w:ilvl="1">
      <w:start w:val="5"/>
      <w:numFmt w:val="decimal"/>
      <w:isLgl/>
      <w:lvlText w:val="%1.%2"/>
      <w:lvlJc w:val="left"/>
      <w:pPr>
        <w:ind w:left="875" w:hanging="64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418" w:hanging="108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886" w:hanging="1440"/>
      </w:pPr>
      <w:rPr>
        <w:rFonts w:hint="default"/>
      </w:rPr>
    </w:lvl>
    <w:lvl w:ilvl="6">
      <w:start w:val="1"/>
      <w:numFmt w:val="decimal"/>
      <w:isLgl/>
      <w:lvlText w:val="%1.%2.%3.%4.%5.%6.%7"/>
      <w:lvlJc w:val="left"/>
      <w:pPr>
        <w:ind w:left="1940" w:hanging="1440"/>
      </w:pPr>
      <w:rPr>
        <w:rFonts w:hint="default"/>
      </w:rPr>
    </w:lvl>
    <w:lvl w:ilvl="7">
      <w:start w:val="1"/>
      <w:numFmt w:val="decimal"/>
      <w:isLgl/>
      <w:lvlText w:val="%1.%2.%3.%4.%5.%6.%7.%8"/>
      <w:lvlJc w:val="left"/>
      <w:pPr>
        <w:ind w:left="2354" w:hanging="1800"/>
      </w:pPr>
      <w:rPr>
        <w:rFonts w:hint="default"/>
      </w:rPr>
    </w:lvl>
    <w:lvl w:ilvl="8">
      <w:start w:val="1"/>
      <w:numFmt w:val="decimal"/>
      <w:isLgl/>
      <w:lvlText w:val="%1.%2.%3.%4.%5.%6.%7.%8.%9"/>
      <w:lvlJc w:val="left"/>
      <w:pPr>
        <w:ind w:left="2768" w:hanging="2160"/>
      </w:pPr>
      <w:rPr>
        <w:rFonts w:hint="default"/>
      </w:rPr>
    </w:lvl>
  </w:abstractNum>
  <w:abstractNum w:abstractNumId="16" w15:restartNumberingAfterBreak="0">
    <w:nsid w:val="339B79E4"/>
    <w:multiLevelType w:val="hybridMultilevel"/>
    <w:tmpl w:val="68A05A8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0F56EF"/>
    <w:multiLevelType w:val="multilevel"/>
    <w:tmpl w:val="0E505A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C7D3BA1"/>
    <w:multiLevelType w:val="multilevel"/>
    <w:tmpl w:val="C8ECBBD4"/>
    <w:lvl w:ilvl="0">
      <w:start w:val="1"/>
      <w:numFmt w:val="upperRoman"/>
      <w:lvlText w:val="%1."/>
      <w:lvlJc w:val="left"/>
      <w:pPr>
        <w:ind w:left="896" w:hanging="720"/>
      </w:pPr>
      <w:rPr>
        <w:rFonts w:hint="default"/>
      </w:rPr>
    </w:lvl>
    <w:lvl w:ilvl="1">
      <w:start w:val="5"/>
      <w:numFmt w:val="decimal"/>
      <w:isLgl/>
      <w:lvlText w:val="%1.%2"/>
      <w:lvlJc w:val="left"/>
      <w:pPr>
        <w:ind w:left="875" w:hanging="64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418" w:hanging="108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886" w:hanging="1440"/>
      </w:pPr>
      <w:rPr>
        <w:rFonts w:hint="default"/>
      </w:rPr>
    </w:lvl>
    <w:lvl w:ilvl="6">
      <w:start w:val="1"/>
      <w:numFmt w:val="decimal"/>
      <w:isLgl/>
      <w:lvlText w:val="%1.%2.%3.%4.%5.%6.%7"/>
      <w:lvlJc w:val="left"/>
      <w:pPr>
        <w:ind w:left="1940" w:hanging="1440"/>
      </w:pPr>
      <w:rPr>
        <w:rFonts w:hint="default"/>
      </w:rPr>
    </w:lvl>
    <w:lvl w:ilvl="7">
      <w:start w:val="1"/>
      <w:numFmt w:val="decimal"/>
      <w:isLgl/>
      <w:lvlText w:val="%1.%2.%3.%4.%5.%6.%7.%8"/>
      <w:lvlJc w:val="left"/>
      <w:pPr>
        <w:ind w:left="2354" w:hanging="1800"/>
      </w:pPr>
      <w:rPr>
        <w:rFonts w:hint="default"/>
      </w:rPr>
    </w:lvl>
    <w:lvl w:ilvl="8">
      <w:start w:val="1"/>
      <w:numFmt w:val="decimal"/>
      <w:isLgl/>
      <w:lvlText w:val="%1.%2.%3.%4.%5.%6.%7.%8.%9"/>
      <w:lvlJc w:val="left"/>
      <w:pPr>
        <w:ind w:left="2768" w:hanging="2160"/>
      </w:pPr>
      <w:rPr>
        <w:rFonts w:hint="default"/>
      </w:rPr>
    </w:lvl>
  </w:abstractNum>
  <w:abstractNum w:abstractNumId="19" w15:restartNumberingAfterBreak="0">
    <w:nsid w:val="418830C8"/>
    <w:multiLevelType w:val="multilevel"/>
    <w:tmpl w:val="3F16944A"/>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5B73FAB"/>
    <w:multiLevelType w:val="multilevel"/>
    <w:tmpl w:val="7A8A6D36"/>
    <w:lvl w:ilvl="0">
      <w:start w:val="5"/>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08673C"/>
    <w:multiLevelType w:val="hybridMultilevel"/>
    <w:tmpl w:val="196469F0"/>
    <w:lvl w:ilvl="0" w:tplc="71B244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985592"/>
    <w:multiLevelType w:val="multilevel"/>
    <w:tmpl w:val="30441868"/>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4E4A3F87"/>
    <w:multiLevelType w:val="hybridMultilevel"/>
    <w:tmpl w:val="BA887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F25435"/>
    <w:multiLevelType w:val="multilevel"/>
    <w:tmpl w:val="7E18CE4C"/>
    <w:lvl w:ilvl="0">
      <w:start w:val="1"/>
      <w:numFmt w:val="decimal"/>
      <w:lvlText w:val="%1"/>
      <w:lvlJc w:val="left"/>
      <w:pPr>
        <w:ind w:left="360" w:hanging="360"/>
      </w:pPr>
      <w:rPr>
        <w:rFonts w:hint="default"/>
      </w:rPr>
    </w:lvl>
    <w:lvl w:ilvl="1">
      <w:start w:val="1"/>
      <w:numFmt w:val="decimal"/>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25" w15:restartNumberingAfterBreak="0">
    <w:nsid w:val="508550AB"/>
    <w:multiLevelType w:val="multilevel"/>
    <w:tmpl w:val="02AA7DD6"/>
    <w:lvl w:ilvl="0">
      <w:start w:val="1"/>
      <w:numFmt w:val="decimal"/>
      <w:lvlText w:val="%1"/>
      <w:lvlJc w:val="left"/>
      <w:pPr>
        <w:ind w:left="360" w:hanging="360"/>
      </w:pPr>
      <w:rPr>
        <w:rFonts w:hint="default"/>
      </w:rPr>
    </w:lvl>
    <w:lvl w:ilvl="1">
      <w:start w:val="3"/>
      <w:numFmt w:val="decimal"/>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26" w15:restartNumberingAfterBreak="0">
    <w:nsid w:val="5728687C"/>
    <w:multiLevelType w:val="multilevel"/>
    <w:tmpl w:val="540818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A7633D"/>
    <w:multiLevelType w:val="hybridMultilevel"/>
    <w:tmpl w:val="B178DB4E"/>
    <w:lvl w:ilvl="0" w:tplc="037263DE">
      <w:start w:val="1"/>
      <w:numFmt w:val="decimal"/>
      <w:lvlText w:val="%1."/>
      <w:lvlJc w:val="left"/>
      <w:pPr>
        <w:ind w:left="720" w:hanging="360"/>
      </w:pPr>
      <w:rPr>
        <w:rFonts w:hint="default"/>
        <w:b/>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B32382"/>
    <w:multiLevelType w:val="multilevel"/>
    <w:tmpl w:val="3F16944A"/>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4A25764"/>
    <w:multiLevelType w:val="hybridMultilevel"/>
    <w:tmpl w:val="501A8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022EEB"/>
    <w:multiLevelType w:val="multilevel"/>
    <w:tmpl w:val="5ED44766"/>
    <w:lvl w:ilvl="0">
      <w:start w:val="3"/>
      <w:numFmt w:val="decimal"/>
      <w:lvlText w:val="%1"/>
      <w:lvlJc w:val="left"/>
      <w:pPr>
        <w:ind w:left="360" w:hanging="360"/>
      </w:pPr>
      <w:rPr>
        <w:rFonts w:hint="default"/>
      </w:rPr>
    </w:lvl>
    <w:lvl w:ilvl="1">
      <w:start w:val="3"/>
      <w:numFmt w:val="decimal"/>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31" w15:restartNumberingAfterBreak="0">
    <w:nsid w:val="68C82132"/>
    <w:multiLevelType w:val="hybridMultilevel"/>
    <w:tmpl w:val="767AA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1973A2"/>
    <w:multiLevelType w:val="multilevel"/>
    <w:tmpl w:val="4CA60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F97B29"/>
    <w:multiLevelType w:val="multilevel"/>
    <w:tmpl w:val="3E8CFE42"/>
    <w:lvl w:ilvl="0">
      <w:start w:val="5"/>
      <w:numFmt w:val="decimal"/>
      <w:lvlText w:val="%1"/>
      <w:lvlJc w:val="left"/>
      <w:pPr>
        <w:ind w:left="375" w:hanging="375"/>
      </w:pPr>
      <w:rPr>
        <w:rFonts w:hint="default"/>
      </w:rPr>
    </w:lvl>
    <w:lvl w:ilvl="1">
      <w:start w:val="1"/>
      <w:numFmt w:val="decimal"/>
      <w:lvlText w:val="%1.%2"/>
      <w:lvlJc w:val="left"/>
      <w:pPr>
        <w:ind w:left="774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E8215DB"/>
    <w:multiLevelType w:val="multilevel"/>
    <w:tmpl w:val="40D8EF16"/>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F8B59A1"/>
    <w:multiLevelType w:val="hybridMultilevel"/>
    <w:tmpl w:val="38823BFE"/>
    <w:lvl w:ilvl="0" w:tplc="C7BC2524">
      <w:start w:val="1"/>
      <w:numFmt w:val="lowerLetter"/>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num w:numId="1">
    <w:abstractNumId w:val="29"/>
  </w:num>
  <w:num w:numId="2">
    <w:abstractNumId w:val="17"/>
  </w:num>
  <w:num w:numId="3">
    <w:abstractNumId w:val="9"/>
  </w:num>
  <w:num w:numId="4">
    <w:abstractNumId w:val="11"/>
  </w:num>
  <w:num w:numId="5">
    <w:abstractNumId w:val="28"/>
  </w:num>
  <w:num w:numId="6">
    <w:abstractNumId w:val="31"/>
  </w:num>
  <w:num w:numId="7">
    <w:abstractNumId w:val="16"/>
  </w:num>
  <w:num w:numId="8">
    <w:abstractNumId w:val="13"/>
  </w:num>
  <w:num w:numId="9">
    <w:abstractNumId w:val="23"/>
  </w:num>
  <w:num w:numId="10">
    <w:abstractNumId w:val="19"/>
  </w:num>
  <w:num w:numId="11">
    <w:abstractNumId w:val="5"/>
  </w:num>
  <w:num w:numId="12">
    <w:abstractNumId w:val="2"/>
  </w:num>
  <w:num w:numId="13">
    <w:abstractNumId w:val="3"/>
  </w:num>
  <w:num w:numId="14">
    <w:abstractNumId w:val="34"/>
  </w:num>
  <w:num w:numId="15">
    <w:abstractNumId w:val="8"/>
  </w:num>
  <w:num w:numId="16">
    <w:abstractNumId w:val="10"/>
  </w:num>
  <w:num w:numId="17">
    <w:abstractNumId w:val="6"/>
  </w:num>
  <w:num w:numId="18">
    <w:abstractNumId w:val="27"/>
  </w:num>
  <w:num w:numId="19">
    <w:abstractNumId w:val="21"/>
  </w:num>
  <w:num w:numId="20">
    <w:abstractNumId w:val="7"/>
  </w:num>
  <w:num w:numId="21">
    <w:abstractNumId w:val="14"/>
  </w:num>
  <w:num w:numId="22">
    <w:abstractNumId w:val="25"/>
  </w:num>
  <w:num w:numId="23">
    <w:abstractNumId w:val="30"/>
  </w:num>
  <w:num w:numId="24">
    <w:abstractNumId w:val="20"/>
  </w:num>
  <w:num w:numId="25">
    <w:abstractNumId w:val="33"/>
  </w:num>
  <w:num w:numId="26">
    <w:abstractNumId w:val="24"/>
  </w:num>
  <w:num w:numId="27">
    <w:abstractNumId w:val="18"/>
  </w:num>
  <w:num w:numId="28">
    <w:abstractNumId w:val="15"/>
  </w:num>
  <w:num w:numId="29">
    <w:abstractNumId w:val="32"/>
  </w:num>
  <w:num w:numId="30">
    <w:abstractNumId w:val="2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2"/>
  </w:num>
  <w:num w:numId="34">
    <w:abstractNumId w:val="1"/>
  </w:num>
  <w:num w:numId="35">
    <w:abstractNumId w:val="0"/>
  </w:num>
  <w:num w:numId="36">
    <w:abstractNumId w:val="3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72"/>
    <w:rsid w:val="00000CB7"/>
    <w:rsid w:val="000010F7"/>
    <w:rsid w:val="00001BE2"/>
    <w:rsid w:val="00006A79"/>
    <w:rsid w:val="00007DF5"/>
    <w:rsid w:val="00010DFF"/>
    <w:rsid w:val="000113B6"/>
    <w:rsid w:val="00011E28"/>
    <w:rsid w:val="000120F2"/>
    <w:rsid w:val="000124FB"/>
    <w:rsid w:val="00012648"/>
    <w:rsid w:val="0001406A"/>
    <w:rsid w:val="00014EE2"/>
    <w:rsid w:val="000160D2"/>
    <w:rsid w:val="00016EB4"/>
    <w:rsid w:val="0001724E"/>
    <w:rsid w:val="00021810"/>
    <w:rsid w:val="000227E0"/>
    <w:rsid w:val="00025CA0"/>
    <w:rsid w:val="00026594"/>
    <w:rsid w:val="00027B75"/>
    <w:rsid w:val="000301F7"/>
    <w:rsid w:val="0003034B"/>
    <w:rsid w:val="0003141A"/>
    <w:rsid w:val="00032632"/>
    <w:rsid w:val="00035027"/>
    <w:rsid w:val="00044D9E"/>
    <w:rsid w:val="0004522D"/>
    <w:rsid w:val="000461A6"/>
    <w:rsid w:val="00047A18"/>
    <w:rsid w:val="00047FE8"/>
    <w:rsid w:val="00052461"/>
    <w:rsid w:val="00052E74"/>
    <w:rsid w:val="00053179"/>
    <w:rsid w:val="000546A1"/>
    <w:rsid w:val="000600F3"/>
    <w:rsid w:val="00062419"/>
    <w:rsid w:val="000624F4"/>
    <w:rsid w:val="00064BF5"/>
    <w:rsid w:val="00065D48"/>
    <w:rsid w:val="00065DB8"/>
    <w:rsid w:val="0006766B"/>
    <w:rsid w:val="0007075B"/>
    <w:rsid w:val="0007228F"/>
    <w:rsid w:val="0007316B"/>
    <w:rsid w:val="00073746"/>
    <w:rsid w:val="00073AFD"/>
    <w:rsid w:val="00073FCA"/>
    <w:rsid w:val="00083F42"/>
    <w:rsid w:val="00084B01"/>
    <w:rsid w:val="0008594D"/>
    <w:rsid w:val="000859E5"/>
    <w:rsid w:val="00087392"/>
    <w:rsid w:val="0009158A"/>
    <w:rsid w:val="0009257D"/>
    <w:rsid w:val="00093F25"/>
    <w:rsid w:val="00096130"/>
    <w:rsid w:val="00096500"/>
    <w:rsid w:val="00096E27"/>
    <w:rsid w:val="000A298F"/>
    <w:rsid w:val="000A3990"/>
    <w:rsid w:val="000A3AAC"/>
    <w:rsid w:val="000A3E5E"/>
    <w:rsid w:val="000A477F"/>
    <w:rsid w:val="000B10E1"/>
    <w:rsid w:val="000B1C85"/>
    <w:rsid w:val="000B36B5"/>
    <w:rsid w:val="000B3CBD"/>
    <w:rsid w:val="000B3CE3"/>
    <w:rsid w:val="000B4E7C"/>
    <w:rsid w:val="000C104A"/>
    <w:rsid w:val="000C21B1"/>
    <w:rsid w:val="000C2764"/>
    <w:rsid w:val="000C2E65"/>
    <w:rsid w:val="000C3021"/>
    <w:rsid w:val="000C54C0"/>
    <w:rsid w:val="000C64AD"/>
    <w:rsid w:val="000C7E6B"/>
    <w:rsid w:val="000D0018"/>
    <w:rsid w:val="000D0F87"/>
    <w:rsid w:val="000D26E7"/>
    <w:rsid w:val="000D29D7"/>
    <w:rsid w:val="000D4F0E"/>
    <w:rsid w:val="000D5BEF"/>
    <w:rsid w:val="000D630D"/>
    <w:rsid w:val="000D72FC"/>
    <w:rsid w:val="000D773D"/>
    <w:rsid w:val="000E007D"/>
    <w:rsid w:val="000E0E81"/>
    <w:rsid w:val="000E13FC"/>
    <w:rsid w:val="000E14D4"/>
    <w:rsid w:val="000E227C"/>
    <w:rsid w:val="000E407F"/>
    <w:rsid w:val="000E4190"/>
    <w:rsid w:val="000E47F4"/>
    <w:rsid w:val="000E58FB"/>
    <w:rsid w:val="000E62C7"/>
    <w:rsid w:val="000E63D1"/>
    <w:rsid w:val="000E648F"/>
    <w:rsid w:val="000F1106"/>
    <w:rsid w:val="000F147C"/>
    <w:rsid w:val="000F1FEB"/>
    <w:rsid w:val="000F268F"/>
    <w:rsid w:val="000F26CA"/>
    <w:rsid w:val="000F7FE6"/>
    <w:rsid w:val="001015C3"/>
    <w:rsid w:val="001037EE"/>
    <w:rsid w:val="00103B5C"/>
    <w:rsid w:val="00106143"/>
    <w:rsid w:val="001061C5"/>
    <w:rsid w:val="00106BB2"/>
    <w:rsid w:val="00110D38"/>
    <w:rsid w:val="001115EB"/>
    <w:rsid w:val="00111F28"/>
    <w:rsid w:val="0011365D"/>
    <w:rsid w:val="001158DE"/>
    <w:rsid w:val="001165E9"/>
    <w:rsid w:val="001166DC"/>
    <w:rsid w:val="00117CAA"/>
    <w:rsid w:val="00120539"/>
    <w:rsid w:val="00120EE7"/>
    <w:rsid w:val="00125A3C"/>
    <w:rsid w:val="00126324"/>
    <w:rsid w:val="001266D8"/>
    <w:rsid w:val="001276F5"/>
    <w:rsid w:val="00131420"/>
    <w:rsid w:val="001333CC"/>
    <w:rsid w:val="00134A5B"/>
    <w:rsid w:val="00136A65"/>
    <w:rsid w:val="00136B53"/>
    <w:rsid w:val="00136FA3"/>
    <w:rsid w:val="0013701A"/>
    <w:rsid w:val="00137DA2"/>
    <w:rsid w:val="00141F4E"/>
    <w:rsid w:val="001421E9"/>
    <w:rsid w:val="0014437D"/>
    <w:rsid w:val="0014466F"/>
    <w:rsid w:val="0014541E"/>
    <w:rsid w:val="00150C1A"/>
    <w:rsid w:val="00152882"/>
    <w:rsid w:val="00154B6F"/>
    <w:rsid w:val="00155F84"/>
    <w:rsid w:val="00156985"/>
    <w:rsid w:val="00161095"/>
    <w:rsid w:val="00161A4F"/>
    <w:rsid w:val="00161D74"/>
    <w:rsid w:val="00161FD3"/>
    <w:rsid w:val="001640FF"/>
    <w:rsid w:val="001666B9"/>
    <w:rsid w:val="00167ACA"/>
    <w:rsid w:val="00170AC7"/>
    <w:rsid w:val="00170CE2"/>
    <w:rsid w:val="00173373"/>
    <w:rsid w:val="00173687"/>
    <w:rsid w:val="001749A7"/>
    <w:rsid w:val="00175597"/>
    <w:rsid w:val="00176510"/>
    <w:rsid w:val="0017662F"/>
    <w:rsid w:val="0017744C"/>
    <w:rsid w:val="001816D6"/>
    <w:rsid w:val="00184257"/>
    <w:rsid w:val="00184276"/>
    <w:rsid w:val="00185EDC"/>
    <w:rsid w:val="0019023C"/>
    <w:rsid w:val="00190923"/>
    <w:rsid w:val="001911BA"/>
    <w:rsid w:val="00192418"/>
    <w:rsid w:val="001925E4"/>
    <w:rsid w:val="001926F1"/>
    <w:rsid w:val="00192A88"/>
    <w:rsid w:val="0019487E"/>
    <w:rsid w:val="001A19AF"/>
    <w:rsid w:val="001A2F1C"/>
    <w:rsid w:val="001A3453"/>
    <w:rsid w:val="001A4F82"/>
    <w:rsid w:val="001A5B52"/>
    <w:rsid w:val="001A6D92"/>
    <w:rsid w:val="001B0136"/>
    <w:rsid w:val="001B0654"/>
    <w:rsid w:val="001B22CF"/>
    <w:rsid w:val="001B3FA7"/>
    <w:rsid w:val="001B4122"/>
    <w:rsid w:val="001B582A"/>
    <w:rsid w:val="001B5D0A"/>
    <w:rsid w:val="001B5F70"/>
    <w:rsid w:val="001B5FC1"/>
    <w:rsid w:val="001C15F9"/>
    <w:rsid w:val="001C1A2B"/>
    <w:rsid w:val="001C2298"/>
    <w:rsid w:val="001C2AD3"/>
    <w:rsid w:val="001C345C"/>
    <w:rsid w:val="001C3B6D"/>
    <w:rsid w:val="001C58E6"/>
    <w:rsid w:val="001C711D"/>
    <w:rsid w:val="001C7DAF"/>
    <w:rsid w:val="001D17B6"/>
    <w:rsid w:val="001D1EA4"/>
    <w:rsid w:val="001D29D4"/>
    <w:rsid w:val="001E0AAA"/>
    <w:rsid w:val="001E163A"/>
    <w:rsid w:val="001E1D21"/>
    <w:rsid w:val="001E1DFA"/>
    <w:rsid w:val="001E291C"/>
    <w:rsid w:val="001E292E"/>
    <w:rsid w:val="001E3BB5"/>
    <w:rsid w:val="001E48AA"/>
    <w:rsid w:val="001E5163"/>
    <w:rsid w:val="001E58D8"/>
    <w:rsid w:val="001E688D"/>
    <w:rsid w:val="001E70B5"/>
    <w:rsid w:val="001F1764"/>
    <w:rsid w:val="001F331A"/>
    <w:rsid w:val="001F3EE2"/>
    <w:rsid w:val="001F43D0"/>
    <w:rsid w:val="001F632E"/>
    <w:rsid w:val="00201A16"/>
    <w:rsid w:val="002046B0"/>
    <w:rsid w:val="00206286"/>
    <w:rsid w:val="00210E52"/>
    <w:rsid w:val="002126F9"/>
    <w:rsid w:val="00212EA0"/>
    <w:rsid w:val="002146D4"/>
    <w:rsid w:val="002148BE"/>
    <w:rsid w:val="002162F3"/>
    <w:rsid w:val="002164EF"/>
    <w:rsid w:val="002167D6"/>
    <w:rsid w:val="0021728E"/>
    <w:rsid w:val="002173E4"/>
    <w:rsid w:val="0021785D"/>
    <w:rsid w:val="00217CAA"/>
    <w:rsid w:val="00221AAA"/>
    <w:rsid w:val="00223753"/>
    <w:rsid w:val="00224039"/>
    <w:rsid w:val="002246E3"/>
    <w:rsid w:val="00226684"/>
    <w:rsid w:val="00226F41"/>
    <w:rsid w:val="002277C6"/>
    <w:rsid w:val="00227A72"/>
    <w:rsid w:val="00231EB6"/>
    <w:rsid w:val="002320A9"/>
    <w:rsid w:val="0023236F"/>
    <w:rsid w:val="0023297B"/>
    <w:rsid w:val="002333D8"/>
    <w:rsid w:val="00234B69"/>
    <w:rsid w:val="00234E58"/>
    <w:rsid w:val="002371F7"/>
    <w:rsid w:val="0023790F"/>
    <w:rsid w:val="00240195"/>
    <w:rsid w:val="0024028A"/>
    <w:rsid w:val="00243BE8"/>
    <w:rsid w:val="00246172"/>
    <w:rsid w:val="002465C9"/>
    <w:rsid w:val="002501C3"/>
    <w:rsid w:val="00251DB3"/>
    <w:rsid w:val="00256EBD"/>
    <w:rsid w:val="002572D9"/>
    <w:rsid w:val="002602CB"/>
    <w:rsid w:val="00260AE5"/>
    <w:rsid w:val="00262055"/>
    <w:rsid w:val="00262A1D"/>
    <w:rsid w:val="00263ECF"/>
    <w:rsid w:val="00264762"/>
    <w:rsid w:val="002670D9"/>
    <w:rsid w:val="0026746C"/>
    <w:rsid w:val="0027064D"/>
    <w:rsid w:val="0027215D"/>
    <w:rsid w:val="00272375"/>
    <w:rsid w:val="00272617"/>
    <w:rsid w:val="0027286C"/>
    <w:rsid w:val="00272A95"/>
    <w:rsid w:val="00276E37"/>
    <w:rsid w:val="00277450"/>
    <w:rsid w:val="00282817"/>
    <w:rsid w:val="00283561"/>
    <w:rsid w:val="002837B7"/>
    <w:rsid w:val="00284D2C"/>
    <w:rsid w:val="00285D4F"/>
    <w:rsid w:val="00292220"/>
    <w:rsid w:val="0029376F"/>
    <w:rsid w:val="00296514"/>
    <w:rsid w:val="0029781D"/>
    <w:rsid w:val="00297B0D"/>
    <w:rsid w:val="00297F88"/>
    <w:rsid w:val="002A2564"/>
    <w:rsid w:val="002A279F"/>
    <w:rsid w:val="002A345A"/>
    <w:rsid w:val="002A3A2C"/>
    <w:rsid w:val="002A42B5"/>
    <w:rsid w:val="002A43BB"/>
    <w:rsid w:val="002A6D03"/>
    <w:rsid w:val="002A7A9C"/>
    <w:rsid w:val="002B00E8"/>
    <w:rsid w:val="002B0722"/>
    <w:rsid w:val="002B095C"/>
    <w:rsid w:val="002B5CFD"/>
    <w:rsid w:val="002B668E"/>
    <w:rsid w:val="002C2463"/>
    <w:rsid w:val="002C276F"/>
    <w:rsid w:val="002C38FD"/>
    <w:rsid w:val="002C57F9"/>
    <w:rsid w:val="002C6238"/>
    <w:rsid w:val="002C764B"/>
    <w:rsid w:val="002D09F9"/>
    <w:rsid w:val="002D19D7"/>
    <w:rsid w:val="002D2ECF"/>
    <w:rsid w:val="002D4152"/>
    <w:rsid w:val="002D48EA"/>
    <w:rsid w:val="002D55D7"/>
    <w:rsid w:val="002D568F"/>
    <w:rsid w:val="002D67D2"/>
    <w:rsid w:val="002D7057"/>
    <w:rsid w:val="002E055E"/>
    <w:rsid w:val="002E19E4"/>
    <w:rsid w:val="002E301E"/>
    <w:rsid w:val="002E4049"/>
    <w:rsid w:val="002F0091"/>
    <w:rsid w:val="002F3745"/>
    <w:rsid w:val="002F76DC"/>
    <w:rsid w:val="002F7F1D"/>
    <w:rsid w:val="0030246B"/>
    <w:rsid w:val="00302BE4"/>
    <w:rsid w:val="00305DF9"/>
    <w:rsid w:val="00307A0D"/>
    <w:rsid w:val="00312C9C"/>
    <w:rsid w:val="003137E7"/>
    <w:rsid w:val="00314EF1"/>
    <w:rsid w:val="003157D6"/>
    <w:rsid w:val="00315BE7"/>
    <w:rsid w:val="003162C6"/>
    <w:rsid w:val="00316FBE"/>
    <w:rsid w:val="00317F7B"/>
    <w:rsid w:val="00321C80"/>
    <w:rsid w:val="003234C0"/>
    <w:rsid w:val="00323891"/>
    <w:rsid w:val="00323A45"/>
    <w:rsid w:val="003257A4"/>
    <w:rsid w:val="003263DE"/>
    <w:rsid w:val="00326578"/>
    <w:rsid w:val="0032658E"/>
    <w:rsid w:val="0033094E"/>
    <w:rsid w:val="00330DC9"/>
    <w:rsid w:val="003317EE"/>
    <w:rsid w:val="003321DE"/>
    <w:rsid w:val="003327E4"/>
    <w:rsid w:val="00332964"/>
    <w:rsid w:val="0033323B"/>
    <w:rsid w:val="00334E81"/>
    <w:rsid w:val="00336E9C"/>
    <w:rsid w:val="00337514"/>
    <w:rsid w:val="00337E38"/>
    <w:rsid w:val="00341419"/>
    <w:rsid w:val="0034378F"/>
    <w:rsid w:val="00343906"/>
    <w:rsid w:val="00343E64"/>
    <w:rsid w:val="003443BD"/>
    <w:rsid w:val="00344C71"/>
    <w:rsid w:val="00346A3A"/>
    <w:rsid w:val="003475F0"/>
    <w:rsid w:val="003508AB"/>
    <w:rsid w:val="00352042"/>
    <w:rsid w:val="0035275A"/>
    <w:rsid w:val="00354285"/>
    <w:rsid w:val="003567E5"/>
    <w:rsid w:val="0035780D"/>
    <w:rsid w:val="00360080"/>
    <w:rsid w:val="00361F8A"/>
    <w:rsid w:val="00362A8B"/>
    <w:rsid w:val="00362E86"/>
    <w:rsid w:val="0036368C"/>
    <w:rsid w:val="003652CD"/>
    <w:rsid w:val="00370292"/>
    <w:rsid w:val="00370C1E"/>
    <w:rsid w:val="003713D7"/>
    <w:rsid w:val="00371A9A"/>
    <w:rsid w:val="00372063"/>
    <w:rsid w:val="00373D4F"/>
    <w:rsid w:val="0037455C"/>
    <w:rsid w:val="00376AB7"/>
    <w:rsid w:val="0038131B"/>
    <w:rsid w:val="00381BCC"/>
    <w:rsid w:val="003841BE"/>
    <w:rsid w:val="00384E0D"/>
    <w:rsid w:val="00385277"/>
    <w:rsid w:val="0038590B"/>
    <w:rsid w:val="0038719B"/>
    <w:rsid w:val="00392FDC"/>
    <w:rsid w:val="003936B0"/>
    <w:rsid w:val="00396062"/>
    <w:rsid w:val="003A26B6"/>
    <w:rsid w:val="003A3A45"/>
    <w:rsid w:val="003A3BDB"/>
    <w:rsid w:val="003A4637"/>
    <w:rsid w:val="003A5599"/>
    <w:rsid w:val="003A6012"/>
    <w:rsid w:val="003A7B6E"/>
    <w:rsid w:val="003B1B89"/>
    <w:rsid w:val="003B21FE"/>
    <w:rsid w:val="003B2F37"/>
    <w:rsid w:val="003B7748"/>
    <w:rsid w:val="003B7B26"/>
    <w:rsid w:val="003C1FDE"/>
    <w:rsid w:val="003C3163"/>
    <w:rsid w:val="003C4527"/>
    <w:rsid w:val="003C510F"/>
    <w:rsid w:val="003C5253"/>
    <w:rsid w:val="003C5D7C"/>
    <w:rsid w:val="003C5FB5"/>
    <w:rsid w:val="003D011A"/>
    <w:rsid w:val="003D0185"/>
    <w:rsid w:val="003D0CE5"/>
    <w:rsid w:val="003D278C"/>
    <w:rsid w:val="003D2BF0"/>
    <w:rsid w:val="003D4EEB"/>
    <w:rsid w:val="003D60F6"/>
    <w:rsid w:val="003D7161"/>
    <w:rsid w:val="003D764E"/>
    <w:rsid w:val="003E0549"/>
    <w:rsid w:val="003E1A17"/>
    <w:rsid w:val="003E25DC"/>
    <w:rsid w:val="003E272A"/>
    <w:rsid w:val="003E3863"/>
    <w:rsid w:val="003E386A"/>
    <w:rsid w:val="003E629D"/>
    <w:rsid w:val="003F3ACC"/>
    <w:rsid w:val="003F4AF8"/>
    <w:rsid w:val="003F52A5"/>
    <w:rsid w:val="004029CE"/>
    <w:rsid w:val="00405650"/>
    <w:rsid w:val="004059B6"/>
    <w:rsid w:val="004070DB"/>
    <w:rsid w:val="0041074F"/>
    <w:rsid w:val="00412342"/>
    <w:rsid w:val="00416268"/>
    <w:rsid w:val="0041767C"/>
    <w:rsid w:val="00417827"/>
    <w:rsid w:val="00424F4B"/>
    <w:rsid w:val="004251A6"/>
    <w:rsid w:val="00426EA2"/>
    <w:rsid w:val="0043022E"/>
    <w:rsid w:val="00430E78"/>
    <w:rsid w:val="004311D3"/>
    <w:rsid w:val="0043279E"/>
    <w:rsid w:val="004339D5"/>
    <w:rsid w:val="00434180"/>
    <w:rsid w:val="00434235"/>
    <w:rsid w:val="00437F81"/>
    <w:rsid w:val="00440E71"/>
    <w:rsid w:val="00441A42"/>
    <w:rsid w:val="00441DC6"/>
    <w:rsid w:val="00453426"/>
    <w:rsid w:val="0045492E"/>
    <w:rsid w:val="00456EAD"/>
    <w:rsid w:val="004579EC"/>
    <w:rsid w:val="00460686"/>
    <w:rsid w:val="00460B99"/>
    <w:rsid w:val="004617ED"/>
    <w:rsid w:val="00463915"/>
    <w:rsid w:val="00463DA0"/>
    <w:rsid w:val="00464A64"/>
    <w:rsid w:val="00467E3F"/>
    <w:rsid w:val="00470D2F"/>
    <w:rsid w:val="0047182B"/>
    <w:rsid w:val="00472953"/>
    <w:rsid w:val="0047299E"/>
    <w:rsid w:val="0047536C"/>
    <w:rsid w:val="00475C94"/>
    <w:rsid w:val="00475D89"/>
    <w:rsid w:val="00477026"/>
    <w:rsid w:val="004816F7"/>
    <w:rsid w:val="00482E7A"/>
    <w:rsid w:val="0048437D"/>
    <w:rsid w:val="00485EC8"/>
    <w:rsid w:val="00493084"/>
    <w:rsid w:val="00493663"/>
    <w:rsid w:val="00494D57"/>
    <w:rsid w:val="00496B99"/>
    <w:rsid w:val="00496F1C"/>
    <w:rsid w:val="00497045"/>
    <w:rsid w:val="00497CE7"/>
    <w:rsid w:val="004A02CD"/>
    <w:rsid w:val="004A0E56"/>
    <w:rsid w:val="004A15B2"/>
    <w:rsid w:val="004A1C36"/>
    <w:rsid w:val="004A1DF2"/>
    <w:rsid w:val="004A2972"/>
    <w:rsid w:val="004A2A75"/>
    <w:rsid w:val="004A2D9E"/>
    <w:rsid w:val="004A540D"/>
    <w:rsid w:val="004A5870"/>
    <w:rsid w:val="004A5AE5"/>
    <w:rsid w:val="004A7387"/>
    <w:rsid w:val="004B0B3D"/>
    <w:rsid w:val="004B0C82"/>
    <w:rsid w:val="004B0EC2"/>
    <w:rsid w:val="004B0EF4"/>
    <w:rsid w:val="004B1363"/>
    <w:rsid w:val="004B1DF6"/>
    <w:rsid w:val="004B4E5C"/>
    <w:rsid w:val="004B4E7A"/>
    <w:rsid w:val="004B5B59"/>
    <w:rsid w:val="004B6287"/>
    <w:rsid w:val="004B6D81"/>
    <w:rsid w:val="004C03AC"/>
    <w:rsid w:val="004C2A8F"/>
    <w:rsid w:val="004C5B7F"/>
    <w:rsid w:val="004D0A79"/>
    <w:rsid w:val="004D1E3C"/>
    <w:rsid w:val="004D309A"/>
    <w:rsid w:val="004D3698"/>
    <w:rsid w:val="004D3804"/>
    <w:rsid w:val="004D399D"/>
    <w:rsid w:val="004D5393"/>
    <w:rsid w:val="004D57E8"/>
    <w:rsid w:val="004D68F8"/>
    <w:rsid w:val="004D6953"/>
    <w:rsid w:val="004D7837"/>
    <w:rsid w:val="004D7DF6"/>
    <w:rsid w:val="004E01F9"/>
    <w:rsid w:val="004E060E"/>
    <w:rsid w:val="004E13FE"/>
    <w:rsid w:val="004E1783"/>
    <w:rsid w:val="004E3C30"/>
    <w:rsid w:val="004E64C4"/>
    <w:rsid w:val="004E7C13"/>
    <w:rsid w:val="004F1650"/>
    <w:rsid w:val="004F2B8F"/>
    <w:rsid w:val="004F2BE9"/>
    <w:rsid w:val="004F3CFE"/>
    <w:rsid w:val="004F48BF"/>
    <w:rsid w:val="004F4BF1"/>
    <w:rsid w:val="004F4C33"/>
    <w:rsid w:val="004F5DA7"/>
    <w:rsid w:val="004F6A8C"/>
    <w:rsid w:val="004F71F0"/>
    <w:rsid w:val="004F7403"/>
    <w:rsid w:val="004F761F"/>
    <w:rsid w:val="00501884"/>
    <w:rsid w:val="00501BC6"/>
    <w:rsid w:val="00502955"/>
    <w:rsid w:val="00502B7C"/>
    <w:rsid w:val="005035E9"/>
    <w:rsid w:val="00504D84"/>
    <w:rsid w:val="00505464"/>
    <w:rsid w:val="005063A5"/>
    <w:rsid w:val="00506F14"/>
    <w:rsid w:val="00507CA2"/>
    <w:rsid w:val="00511EDE"/>
    <w:rsid w:val="00514A85"/>
    <w:rsid w:val="005166BE"/>
    <w:rsid w:val="00520A62"/>
    <w:rsid w:val="00520DAD"/>
    <w:rsid w:val="00521508"/>
    <w:rsid w:val="005233F5"/>
    <w:rsid w:val="005248F3"/>
    <w:rsid w:val="00526348"/>
    <w:rsid w:val="00527AFC"/>
    <w:rsid w:val="00530D11"/>
    <w:rsid w:val="00532242"/>
    <w:rsid w:val="00534942"/>
    <w:rsid w:val="00536A11"/>
    <w:rsid w:val="005370C1"/>
    <w:rsid w:val="0054097F"/>
    <w:rsid w:val="00541373"/>
    <w:rsid w:val="0054175D"/>
    <w:rsid w:val="00542D6B"/>
    <w:rsid w:val="00543428"/>
    <w:rsid w:val="005435B9"/>
    <w:rsid w:val="00545246"/>
    <w:rsid w:val="00546A21"/>
    <w:rsid w:val="00546C48"/>
    <w:rsid w:val="00550C58"/>
    <w:rsid w:val="00552042"/>
    <w:rsid w:val="0055493F"/>
    <w:rsid w:val="00555114"/>
    <w:rsid w:val="00555F58"/>
    <w:rsid w:val="005577C6"/>
    <w:rsid w:val="00560E1C"/>
    <w:rsid w:val="005612F3"/>
    <w:rsid w:val="00561821"/>
    <w:rsid w:val="005639EC"/>
    <w:rsid w:val="00564766"/>
    <w:rsid w:val="00566EA4"/>
    <w:rsid w:val="0057049B"/>
    <w:rsid w:val="00571D8A"/>
    <w:rsid w:val="00574FE8"/>
    <w:rsid w:val="00577780"/>
    <w:rsid w:val="00580D67"/>
    <w:rsid w:val="00581507"/>
    <w:rsid w:val="00582C9D"/>
    <w:rsid w:val="0058323F"/>
    <w:rsid w:val="00583AC1"/>
    <w:rsid w:val="00583F78"/>
    <w:rsid w:val="00585DA6"/>
    <w:rsid w:val="00585EBE"/>
    <w:rsid w:val="00586402"/>
    <w:rsid w:val="005913F0"/>
    <w:rsid w:val="00591756"/>
    <w:rsid w:val="00593B43"/>
    <w:rsid w:val="005941DE"/>
    <w:rsid w:val="00594DC9"/>
    <w:rsid w:val="005A0652"/>
    <w:rsid w:val="005A2029"/>
    <w:rsid w:val="005A46D8"/>
    <w:rsid w:val="005A4CE3"/>
    <w:rsid w:val="005A4D5D"/>
    <w:rsid w:val="005A5F4F"/>
    <w:rsid w:val="005A67B2"/>
    <w:rsid w:val="005A7A3A"/>
    <w:rsid w:val="005A7FF6"/>
    <w:rsid w:val="005B0224"/>
    <w:rsid w:val="005B0960"/>
    <w:rsid w:val="005B2B80"/>
    <w:rsid w:val="005B354F"/>
    <w:rsid w:val="005B49DC"/>
    <w:rsid w:val="005B6EBC"/>
    <w:rsid w:val="005B75DE"/>
    <w:rsid w:val="005C1C1D"/>
    <w:rsid w:val="005C30EC"/>
    <w:rsid w:val="005C5643"/>
    <w:rsid w:val="005C5D05"/>
    <w:rsid w:val="005C6173"/>
    <w:rsid w:val="005D01D1"/>
    <w:rsid w:val="005D0510"/>
    <w:rsid w:val="005D0BA2"/>
    <w:rsid w:val="005D1BBE"/>
    <w:rsid w:val="005D20D9"/>
    <w:rsid w:val="005D21D9"/>
    <w:rsid w:val="005D2F4B"/>
    <w:rsid w:val="005D325E"/>
    <w:rsid w:val="005D67E8"/>
    <w:rsid w:val="005D72AC"/>
    <w:rsid w:val="005D7D6F"/>
    <w:rsid w:val="005E1238"/>
    <w:rsid w:val="005E4ED1"/>
    <w:rsid w:val="005E5C28"/>
    <w:rsid w:val="005E7CE2"/>
    <w:rsid w:val="005F45FE"/>
    <w:rsid w:val="005F5A78"/>
    <w:rsid w:val="005F7A35"/>
    <w:rsid w:val="00600C74"/>
    <w:rsid w:val="00601080"/>
    <w:rsid w:val="00601AD8"/>
    <w:rsid w:val="006025C6"/>
    <w:rsid w:val="0060381B"/>
    <w:rsid w:val="00603E73"/>
    <w:rsid w:val="00604D9B"/>
    <w:rsid w:val="00605CFE"/>
    <w:rsid w:val="00606746"/>
    <w:rsid w:val="00607792"/>
    <w:rsid w:val="00607DBF"/>
    <w:rsid w:val="006104E6"/>
    <w:rsid w:val="0061097A"/>
    <w:rsid w:val="00611AEF"/>
    <w:rsid w:val="00612693"/>
    <w:rsid w:val="0061328E"/>
    <w:rsid w:val="00616AB3"/>
    <w:rsid w:val="006207B8"/>
    <w:rsid w:val="006211D1"/>
    <w:rsid w:val="0062137F"/>
    <w:rsid w:val="006229D8"/>
    <w:rsid w:val="00626A37"/>
    <w:rsid w:val="006277F7"/>
    <w:rsid w:val="0063189F"/>
    <w:rsid w:val="00631BCB"/>
    <w:rsid w:val="0063247A"/>
    <w:rsid w:val="0063355B"/>
    <w:rsid w:val="00633C28"/>
    <w:rsid w:val="00634EFE"/>
    <w:rsid w:val="00636822"/>
    <w:rsid w:val="00636DA6"/>
    <w:rsid w:val="00640E94"/>
    <w:rsid w:val="00642BAC"/>
    <w:rsid w:val="00642CD0"/>
    <w:rsid w:val="006456BC"/>
    <w:rsid w:val="006466E3"/>
    <w:rsid w:val="00646D3C"/>
    <w:rsid w:val="0065224D"/>
    <w:rsid w:val="006530B9"/>
    <w:rsid w:val="00653891"/>
    <w:rsid w:val="00653A43"/>
    <w:rsid w:val="00654436"/>
    <w:rsid w:val="00654C34"/>
    <w:rsid w:val="00656922"/>
    <w:rsid w:val="006578E4"/>
    <w:rsid w:val="0066146C"/>
    <w:rsid w:val="006614AD"/>
    <w:rsid w:val="006635C9"/>
    <w:rsid w:val="0066388E"/>
    <w:rsid w:val="0066606B"/>
    <w:rsid w:val="00670A89"/>
    <w:rsid w:val="00670B71"/>
    <w:rsid w:val="00672C74"/>
    <w:rsid w:val="006730E9"/>
    <w:rsid w:val="00674385"/>
    <w:rsid w:val="00675448"/>
    <w:rsid w:val="00677626"/>
    <w:rsid w:val="00677F7F"/>
    <w:rsid w:val="00681013"/>
    <w:rsid w:val="00682B6B"/>
    <w:rsid w:val="00683365"/>
    <w:rsid w:val="00683712"/>
    <w:rsid w:val="006843E3"/>
    <w:rsid w:val="00684885"/>
    <w:rsid w:val="0068521E"/>
    <w:rsid w:val="006868FF"/>
    <w:rsid w:val="00686BA2"/>
    <w:rsid w:val="00693652"/>
    <w:rsid w:val="006941AE"/>
    <w:rsid w:val="0069640C"/>
    <w:rsid w:val="006A0C17"/>
    <w:rsid w:val="006A21B5"/>
    <w:rsid w:val="006A427C"/>
    <w:rsid w:val="006A6535"/>
    <w:rsid w:val="006A702B"/>
    <w:rsid w:val="006A78D4"/>
    <w:rsid w:val="006B0556"/>
    <w:rsid w:val="006B11D9"/>
    <w:rsid w:val="006B1A03"/>
    <w:rsid w:val="006B4228"/>
    <w:rsid w:val="006B532A"/>
    <w:rsid w:val="006C1C77"/>
    <w:rsid w:val="006C42AC"/>
    <w:rsid w:val="006C4B42"/>
    <w:rsid w:val="006C7E06"/>
    <w:rsid w:val="006D1B6E"/>
    <w:rsid w:val="006D21D2"/>
    <w:rsid w:val="006D37E3"/>
    <w:rsid w:val="006D4B9D"/>
    <w:rsid w:val="006D549F"/>
    <w:rsid w:val="006D5A75"/>
    <w:rsid w:val="006D6434"/>
    <w:rsid w:val="006D7589"/>
    <w:rsid w:val="006E011E"/>
    <w:rsid w:val="006E0FEC"/>
    <w:rsid w:val="006E161B"/>
    <w:rsid w:val="006E33B8"/>
    <w:rsid w:val="006E36EF"/>
    <w:rsid w:val="006E5309"/>
    <w:rsid w:val="006F13C9"/>
    <w:rsid w:val="006F280B"/>
    <w:rsid w:val="006F306F"/>
    <w:rsid w:val="006F4B80"/>
    <w:rsid w:val="006F7BEF"/>
    <w:rsid w:val="00700558"/>
    <w:rsid w:val="00702296"/>
    <w:rsid w:val="007022ED"/>
    <w:rsid w:val="00703A2B"/>
    <w:rsid w:val="00704C83"/>
    <w:rsid w:val="007051F8"/>
    <w:rsid w:val="00707C96"/>
    <w:rsid w:val="007100A4"/>
    <w:rsid w:val="00710147"/>
    <w:rsid w:val="007133CC"/>
    <w:rsid w:val="00714A04"/>
    <w:rsid w:val="00714AC4"/>
    <w:rsid w:val="007174B0"/>
    <w:rsid w:val="00722003"/>
    <w:rsid w:val="007222CE"/>
    <w:rsid w:val="00722F69"/>
    <w:rsid w:val="007232B1"/>
    <w:rsid w:val="00724B92"/>
    <w:rsid w:val="00726158"/>
    <w:rsid w:val="00726F57"/>
    <w:rsid w:val="00730D15"/>
    <w:rsid w:val="007311F4"/>
    <w:rsid w:val="007312E1"/>
    <w:rsid w:val="00731E5D"/>
    <w:rsid w:val="00732B04"/>
    <w:rsid w:val="00732B4C"/>
    <w:rsid w:val="007347A5"/>
    <w:rsid w:val="00734EFD"/>
    <w:rsid w:val="007376F9"/>
    <w:rsid w:val="00737CDC"/>
    <w:rsid w:val="00740C4A"/>
    <w:rsid w:val="00740DAC"/>
    <w:rsid w:val="007415B4"/>
    <w:rsid w:val="007416CD"/>
    <w:rsid w:val="00745F62"/>
    <w:rsid w:val="00747B2E"/>
    <w:rsid w:val="007502B5"/>
    <w:rsid w:val="0075046A"/>
    <w:rsid w:val="0075084D"/>
    <w:rsid w:val="007528CF"/>
    <w:rsid w:val="00753ABD"/>
    <w:rsid w:val="00754B55"/>
    <w:rsid w:val="00761E27"/>
    <w:rsid w:val="00762067"/>
    <w:rsid w:val="0076255F"/>
    <w:rsid w:val="00763775"/>
    <w:rsid w:val="00765148"/>
    <w:rsid w:val="00766202"/>
    <w:rsid w:val="0076627E"/>
    <w:rsid w:val="00773482"/>
    <w:rsid w:val="00773CD0"/>
    <w:rsid w:val="007747FB"/>
    <w:rsid w:val="0077547D"/>
    <w:rsid w:val="00777804"/>
    <w:rsid w:val="00781087"/>
    <w:rsid w:val="0078129E"/>
    <w:rsid w:val="00786B15"/>
    <w:rsid w:val="0078712B"/>
    <w:rsid w:val="00790135"/>
    <w:rsid w:val="0079019A"/>
    <w:rsid w:val="00790DB5"/>
    <w:rsid w:val="0079135E"/>
    <w:rsid w:val="00791B5D"/>
    <w:rsid w:val="00792ADB"/>
    <w:rsid w:val="00792DFC"/>
    <w:rsid w:val="0079338F"/>
    <w:rsid w:val="00793A6F"/>
    <w:rsid w:val="007946D1"/>
    <w:rsid w:val="00796B5D"/>
    <w:rsid w:val="00797927"/>
    <w:rsid w:val="00797AA2"/>
    <w:rsid w:val="007A0521"/>
    <w:rsid w:val="007A1933"/>
    <w:rsid w:val="007A3CB9"/>
    <w:rsid w:val="007A6BDE"/>
    <w:rsid w:val="007A7B75"/>
    <w:rsid w:val="007A7F4F"/>
    <w:rsid w:val="007B4A58"/>
    <w:rsid w:val="007B63B1"/>
    <w:rsid w:val="007B7C57"/>
    <w:rsid w:val="007C1056"/>
    <w:rsid w:val="007C3D48"/>
    <w:rsid w:val="007C47B5"/>
    <w:rsid w:val="007C57FB"/>
    <w:rsid w:val="007C6147"/>
    <w:rsid w:val="007C6349"/>
    <w:rsid w:val="007C7795"/>
    <w:rsid w:val="007D1C2E"/>
    <w:rsid w:val="007D46CE"/>
    <w:rsid w:val="007D697E"/>
    <w:rsid w:val="007D7E5E"/>
    <w:rsid w:val="007E1AD2"/>
    <w:rsid w:val="007E1CF0"/>
    <w:rsid w:val="007E2544"/>
    <w:rsid w:val="007E2CDC"/>
    <w:rsid w:val="007E44E2"/>
    <w:rsid w:val="007E4761"/>
    <w:rsid w:val="007E513A"/>
    <w:rsid w:val="007E53CC"/>
    <w:rsid w:val="007E5EC8"/>
    <w:rsid w:val="007E71CD"/>
    <w:rsid w:val="007E771E"/>
    <w:rsid w:val="007F0451"/>
    <w:rsid w:val="007F0EF2"/>
    <w:rsid w:val="007F125F"/>
    <w:rsid w:val="007F1337"/>
    <w:rsid w:val="007F211D"/>
    <w:rsid w:val="007F33E2"/>
    <w:rsid w:val="007F3F08"/>
    <w:rsid w:val="007F4035"/>
    <w:rsid w:val="007F4CF6"/>
    <w:rsid w:val="0080105E"/>
    <w:rsid w:val="008019D0"/>
    <w:rsid w:val="0080217C"/>
    <w:rsid w:val="00803E4A"/>
    <w:rsid w:val="008058C8"/>
    <w:rsid w:val="008067D1"/>
    <w:rsid w:val="00807B58"/>
    <w:rsid w:val="00811D69"/>
    <w:rsid w:val="008129C4"/>
    <w:rsid w:val="00812C0F"/>
    <w:rsid w:val="00814880"/>
    <w:rsid w:val="008149D6"/>
    <w:rsid w:val="00815326"/>
    <w:rsid w:val="008179B3"/>
    <w:rsid w:val="00822CD3"/>
    <w:rsid w:val="00824224"/>
    <w:rsid w:val="00824E97"/>
    <w:rsid w:val="00826159"/>
    <w:rsid w:val="008277E6"/>
    <w:rsid w:val="0082783F"/>
    <w:rsid w:val="0083148E"/>
    <w:rsid w:val="008315F4"/>
    <w:rsid w:val="00831E63"/>
    <w:rsid w:val="0083350F"/>
    <w:rsid w:val="00835B5C"/>
    <w:rsid w:val="00836E93"/>
    <w:rsid w:val="00842F4C"/>
    <w:rsid w:val="00843706"/>
    <w:rsid w:val="00845674"/>
    <w:rsid w:val="008458F1"/>
    <w:rsid w:val="00845976"/>
    <w:rsid w:val="00846FEC"/>
    <w:rsid w:val="00847DD7"/>
    <w:rsid w:val="00850F52"/>
    <w:rsid w:val="00851042"/>
    <w:rsid w:val="008510D8"/>
    <w:rsid w:val="008526F4"/>
    <w:rsid w:val="00852AF7"/>
    <w:rsid w:val="00856663"/>
    <w:rsid w:val="00856BF1"/>
    <w:rsid w:val="00857491"/>
    <w:rsid w:val="008575AF"/>
    <w:rsid w:val="00860726"/>
    <w:rsid w:val="0086102E"/>
    <w:rsid w:val="00861237"/>
    <w:rsid w:val="00862ADF"/>
    <w:rsid w:val="00862ED5"/>
    <w:rsid w:val="0086310B"/>
    <w:rsid w:val="00863125"/>
    <w:rsid w:val="008645D9"/>
    <w:rsid w:val="008648F5"/>
    <w:rsid w:val="008656B3"/>
    <w:rsid w:val="00870FB7"/>
    <w:rsid w:val="008753C1"/>
    <w:rsid w:val="00875BC9"/>
    <w:rsid w:val="00876F1D"/>
    <w:rsid w:val="00880972"/>
    <w:rsid w:val="00881936"/>
    <w:rsid w:val="00882283"/>
    <w:rsid w:val="008834B8"/>
    <w:rsid w:val="00892359"/>
    <w:rsid w:val="00892EA7"/>
    <w:rsid w:val="008943AC"/>
    <w:rsid w:val="00894ACD"/>
    <w:rsid w:val="008A02ED"/>
    <w:rsid w:val="008A1DE9"/>
    <w:rsid w:val="008A25D5"/>
    <w:rsid w:val="008A35C9"/>
    <w:rsid w:val="008A6535"/>
    <w:rsid w:val="008B0F89"/>
    <w:rsid w:val="008B1398"/>
    <w:rsid w:val="008B5982"/>
    <w:rsid w:val="008B5F88"/>
    <w:rsid w:val="008C0A41"/>
    <w:rsid w:val="008C406C"/>
    <w:rsid w:val="008C4E83"/>
    <w:rsid w:val="008C5E00"/>
    <w:rsid w:val="008C79B6"/>
    <w:rsid w:val="008D1032"/>
    <w:rsid w:val="008D332A"/>
    <w:rsid w:val="008D38C1"/>
    <w:rsid w:val="008D478F"/>
    <w:rsid w:val="008D78EF"/>
    <w:rsid w:val="008E32C4"/>
    <w:rsid w:val="008E4741"/>
    <w:rsid w:val="008E5593"/>
    <w:rsid w:val="008E6E44"/>
    <w:rsid w:val="008E756D"/>
    <w:rsid w:val="008F29C4"/>
    <w:rsid w:val="008F2B20"/>
    <w:rsid w:val="008F4C45"/>
    <w:rsid w:val="008F513F"/>
    <w:rsid w:val="008F5239"/>
    <w:rsid w:val="008F6350"/>
    <w:rsid w:val="008F7A56"/>
    <w:rsid w:val="009018C2"/>
    <w:rsid w:val="0090220E"/>
    <w:rsid w:val="00903DDB"/>
    <w:rsid w:val="00903FA6"/>
    <w:rsid w:val="00904380"/>
    <w:rsid w:val="00905A8B"/>
    <w:rsid w:val="0090621C"/>
    <w:rsid w:val="009068AC"/>
    <w:rsid w:val="00910DED"/>
    <w:rsid w:val="00911272"/>
    <w:rsid w:val="00911605"/>
    <w:rsid w:val="00912CBA"/>
    <w:rsid w:val="00913660"/>
    <w:rsid w:val="00913714"/>
    <w:rsid w:val="00914004"/>
    <w:rsid w:val="009175B4"/>
    <w:rsid w:val="00920B7C"/>
    <w:rsid w:val="00921973"/>
    <w:rsid w:val="00922175"/>
    <w:rsid w:val="0092238D"/>
    <w:rsid w:val="009244E4"/>
    <w:rsid w:val="00925D1D"/>
    <w:rsid w:val="00926784"/>
    <w:rsid w:val="00927649"/>
    <w:rsid w:val="0093084C"/>
    <w:rsid w:val="0093098C"/>
    <w:rsid w:val="00930C60"/>
    <w:rsid w:val="00932A70"/>
    <w:rsid w:val="009334AF"/>
    <w:rsid w:val="009347B0"/>
    <w:rsid w:val="009356E4"/>
    <w:rsid w:val="00940A5A"/>
    <w:rsid w:val="009428E4"/>
    <w:rsid w:val="00942CEB"/>
    <w:rsid w:val="0094361B"/>
    <w:rsid w:val="00943E2E"/>
    <w:rsid w:val="0094562E"/>
    <w:rsid w:val="00947B22"/>
    <w:rsid w:val="00950684"/>
    <w:rsid w:val="00951E4E"/>
    <w:rsid w:val="00953144"/>
    <w:rsid w:val="0095386B"/>
    <w:rsid w:val="00953A61"/>
    <w:rsid w:val="009542DF"/>
    <w:rsid w:val="00956C03"/>
    <w:rsid w:val="00957411"/>
    <w:rsid w:val="0095773C"/>
    <w:rsid w:val="00960503"/>
    <w:rsid w:val="009607FE"/>
    <w:rsid w:val="00960B4A"/>
    <w:rsid w:val="00964FC1"/>
    <w:rsid w:val="00966016"/>
    <w:rsid w:val="00966505"/>
    <w:rsid w:val="00967C89"/>
    <w:rsid w:val="009702CF"/>
    <w:rsid w:val="00970738"/>
    <w:rsid w:val="00970854"/>
    <w:rsid w:val="00970DAF"/>
    <w:rsid w:val="009718A8"/>
    <w:rsid w:val="00973031"/>
    <w:rsid w:val="00976318"/>
    <w:rsid w:val="00977524"/>
    <w:rsid w:val="00977FEB"/>
    <w:rsid w:val="00983CF5"/>
    <w:rsid w:val="00983DCF"/>
    <w:rsid w:val="00983F91"/>
    <w:rsid w:val="009840DD"/>
    <w:rsid w:val="00984F2D"/>
    <w:rsid w:val="0098782A"/>
    <w:rsid w:val="00992B6B"/>
    <w:rsid w:val="00994E0A"/>
    <w:rsid w:val="00995752"/>
    <w:rsid w:val="00996F0B"/>
    <w:rsid w:val="009A0AF4"/>
    <w:rsid w:val="009A0CF7"/>
    <w:rsid w:val="009A1E86"/>
    <w:rsid w:val="009A2EFC"/>
    <w:rsid w:val="009A36A0"/>
    <w:rsid w:val="009A4D43"/>
    <w:rsid w:val="009A5DF1"/>
    <w:rsid w:val="009A669C"/>
    <w:rsid w:val="009A7C8C"/>
    <w:rsid w:val="009B02A3"/>
    <w:rsid w:val="009B072A"/>
    <w:rsid w:val="009B4EE0"/>
    <w:rsid w:val="009B56F4"/>
    <w:rsid w:val="009B61D9"/>
    <w:rsid w:val="009B664B"/>
    <w:rsid w:val="009B70B9"/>
    <w:rsid w:val="009B77F1"/>
    <w:rsid w:val="009C22D0"/>
    <w:rsid w:val="009C2A27"/>
    <w:rsid w:val="009C3474"/>
    <w:rsid w:val="009C5318"/>
    <w:rsid w:val="009C5DB2"/>
    <w:rsid w:val="009C7129"/>
    <w:rsid w:val="009C7530"/>
    <w:rsid w:val="009C78D1"/>
    <w:rsid w:val="009D100D"/>
    <w:rsid w:val="009D1852"/>
    <w:rsid w:val="009E02F9"/>
    <w:rsid w:val="009E22E6"/>
    <w:rsid w:val="009E388B"/>
    <w:rsid w:val="009F34B8"/>
    <w:rsid w:val="009F40D8"/>
    <w:rsid w:val="009F697A"/>
    <w:rsid w:val="009F7793"/>
    <w:rsid w:val="00A018A4"/>
    <w:rsid w:val="00A04F19"/>
    <w:rsid w:val="00A062A5"/>
    <w:rsid w:val="00A065B8"/>
    <w:rsid w:val="00A069A6"/>
    <w:rsid w:val="00A076B6"/>
    <w:rsid w:val="00A07F36"/>
    <w:rsid w:val="00A1125B"/>
    <w:rsid w:val="00A128A7"/>
    <w:rsid w:val="00A15FDB"/>
    <w:rsid w:val="00A162D4"/>
    <w:rsid w:val="00A17470"/>
    <w:rsid w:val="00A2028E"/>
    <w:rsid w:val="00A21FA5"/>
    <w:rsid w:val="00A27337"/>
    <w:rsid w:val="00A3120B"/>
    <w:rsid w:val="00A32255"/>
    <w:rsid w:val="00A33024"/>
    <w:rsid w:val="00A33AA6"/>
    <w:rsid w:val="00A3474A"/>
    <w:rsid w:val="00A3596A"/>
    <w:rsid w:val="00A37192"/>
    <w:rsid w:val="00A37DF6"/>
    <w:rsid w:val="00A4050A"/>
    <w:rsid w:val="00A4297D"/>
    <w:rsid w:val="00A43A88"/>
    <w:rsid w:val="00A44215"/>
    <w:rsid w:val="00A44D56"/>
    <w:rsid w:val="00A46338"/>
    <w:rsid w:val="00A463D3"/>
    <w:rsid w:val="00A47828"/>
    <w:rsid w:val="00A50B0D"/>
    <w:rsid w:val="00A52F72"/>
    <w:rsid w:val="00A5320D"/>
    <w:rsid w:val="00A538ED"/>
    <w:rsid w:val="00A54530"/>
    <w:rsid w:val="00A5480A"/>
    <w:rsid w:val="00A62D93"/>
    <w:rsid w:val="00A6541B"/>
    <w:rsid w:val="00A65876"/>
    <w:rsid w:val="00A66A06"/>
    <w:rsid w:val="00A67605"/>
    <w:rsid w:val="00A71FF3"/>
    <w:rsid w:val="00A72547"/>
    <w:rsid w:val="00A7517A"/>
    <w:rsid w:val="00A765A2"/>
    <w:rsid w:val="00A7732F"/>
    <w:rsid w:val="00A776DD"/>
    <w:rsid w:val="00A81219"/>
    <w:rsid w:val="00A82B8C"/>
    <w:rsid w:val="00A83671"/>
    <w:rsid w:val="00A84A75"/>
    <w:rsid w:val="00A84FFB"/>
    <w:rsid w:val="00A8565D"/>
    <w:rsid w:val="00A85F83"/>
    <w:rsid w:val="00A87058"/>
    <w:rsid w:val="00A879EF"/>
    <w:rsid w:val="00A87BE6"/>
    <w:rsid w:val="00A903DD"/>
    <w:rsid w:val="00A9189F"/>
    <w:rsid w:val="00A91D1D"/>
    <w:rsid w:val="00A92538"/>
    <w:rsid w:val="00A94430"/>
    <w:rsid w:val="00A95EE1"/>
    <w:rsid w:val="00AA2615"/>
    <w:rsid w:val="00AA26A4"/>
    <w:rsid w:val="00AA2861"/>
    <w:rsid w:val="00AA3A33"/>
    <w:rsid w:val="00AA5A1B"/>
    <w:rsid w:val="00AA5B39"/>
    <w:rsid w:val="00AA6FCA"/>
    <w:rsid w:val="00AA780C"/>
    <w:rsid w:val="00AB16FB"/>
    <w:rsid w:val="00AB399A"/>
    <w:rsid w:val="00AB3D25"/>
    <w:rsid w:val="00AB5038"/>
    <w:rsid w:val="00AB5FEA"/>
    <w:rsid w:val="00AB64BD"/>
    <w:rsid w:val="00AC0C6C"/>
    <w:rsid w:val="00AC0DD0"/>
    <w:rsid w:val="00AC18CD"/>
    <w:rsid w:val="00AC338D"/>
    <w:rsid w:val="00AC4B3D"/>
    <w:rsid w:val="00AC5223"/>
    <w:rsid w:val="00AC5896"/>
    <w:rsid w:val="00AC5FF6"/>
    <w:rsid w:val="00AC66F4"/>
    <w:rsid w:val="00AC7285"/>
    <w:rsid w:val="00AC77D8"/>
    <w:rsid w:val="00AD17B9"/>
    <w:rsid w:val="00AD1BCB"/>
    <w:rsid w:val="00AD3CC9"/>
    <w:rsid w:val="00AD51A0"/>
    <w:rsid w:val="00AD581D"/>
    <w:rsid w:val="00AD6C0B"/>
    <w:rsid w:val="00AE04F1"/>
    <w:rsid w:val="00AE0A9F"/>
    <w:rsid w:val="00AE0AFC"/>
    <w:rsid w:val="00AE0CF9"/>
    <w:rsid w:val="00AE1143"/>
    <w:rsid w:val="00AE17AB"/>
    <w:rsid w:val="00AE49C6"/>
    <w:rsid w:val="00AE680F"/>
    <w:rsid w:val="00AE69B2"/>
    <w:rsid w:val="00AF0A2D"/>
    <w:rsid w:val="00AF1577"/>
    <w:rsid w:val="00AF1692"/>
    <w:rsid w:val="00AF30D8"/>
    <w:rsid w:val="00AF4DC1"/>
    <w:rsid w:val="00AF566D"/>
    <w:rsid w:val="00AF713E"/>
    <w:rsid w:val="00B013A1"/>
    <w:rsid w:val="00B0275A"/>
    <w:rsid w:val="00B035AB"/>
    <w:rsid w:val="00B03672"/>
    <w:rsid w:val="00B04AB7"/>
    <w:rsid w:val="00B04D8E"/>
    <w:rsid w:val="00B05A67"/>
    <w:rsid w:val="00B1101D"/>
    <w:rsid w:val="00B12EC1"/>
    <w:rsid w:val="00B14EA3"/>
    <w:rsid w:val="00B154EF"/>
    <w:rsid w:val="00B1777A"/>
    <w:rsid w:val="00B21246"/>
    <w:rsid w:val="00B2234C"/>
    <w:rsid w:val="00B25977"/>
    <w:rsid w:val="00B25FCF"/>
    <w:rsid w:val="00B272B4"/>
    <w:rsid w:val="00B307A3"/>
    <w:rsid w:val="00B31424"/>
    <w:rsid w:val="00B32B12"/>
    <w:rsid w:val="00B32F88"/>
    <w:rsid w:val="00B341E6"/>
    <w:rsid w:val="00B34650"/>
    <w:rsid w:val="00B3517C"/>
    <w:rsid w:val="00B37719"/>
    <w:rsid w:val="00B412F3"/>
    <w:rsid w:val="00B42C6E"/>
    <w:rsid w:val="00B44E85"/>
    <w:rsid w:val="00B453FD"/>
    <w:rsid w:val="00B50074"/>
    <w:rsid w:val="00B50102"/>
    <w:rsid w:val="00B52B34"/>
    <w:rsid w:val="00B52E2F"/>
    <w:rsid w:val="00B537DF"/>
    <w:rsid w:val="00B53825"/>
    <w:rsid w:val="00B540ED"/>
    <w:rsid w:val="00B54BAC"/>
    <w:rsid w:val="00B5546B"/>
    <w:rsid w:val="00B569E2"/>
    <w:rsid w:val="00B57690"/>
    <w:rsid w:val="00B60566"/>
    <w:rsid w:val="00B63F31"/>
    <w:rsid w:val="00B64D11"/>
    <w:rsid w:val="00B65648"/>
    <w:rsid w:val="00B65F87"/>
    <w:rsid w:val="00B669AB"/>
    <w:rsid w:val="00B677E1"/>
    <w:rsid w:val="00B67D47"/>
    <w:rsid w:val="00B70D64"/>
    <w:rsid w:val="00B72F7A"/>
    <w:rsid w:val="00B7575E"/>
    <w:rsid w:val="00B77497"/>
    <w:rsid w:val="00B810DE"/>
    <w:rsid w:val="00B82FB0"/>
    <w:rsid w:val="00B83239"/>
    <w:rsid w:val="00B83B74"/>
    <w:rsid w:val="00B840E0"/>
    <w:rsid w:val="00B846CE"/>
    <w:rsid w:val="00B86080"/>
    <w:rsid w:val="00B87CA5"/>
    <w:rsid w:val="00B91547"/>
    <w:rsid w:val="00B93D3E"/>
    <w:rsid w:val="00B94A08"/>
    <w:rsid w:val="00B94DC9"/>
    <w:rsid w:val="00B95D03"/>
    <w:rsid w:val="00BA00A2"/>
    <w:rsid w:val="00BA07A5"/>
    <w:rsid w:val="00BA0CD6"/>
    <w:rsid w:val="00BA0E38"/>
    <w:rsid w:val="00BA3421"/>
    <w:rsid w:val="00BA5FF4"/>
    <w:rsid w:val="00BA6D4B"/>
    <w:rsid w:val="00BA74F3"/>
    <w:rsid w:val="00BB0DA2"/>
    <w:rsid w:val="00BB4106"/>
    <w:rsid w:val="00BB4F39"/>
    <w:rsid w:val="00BB634F"/>
    <w:rsid w:val="00BC54F6"/>
    <w:rsid w:val="00BC5923"/>
    <w:rsid w:val="00BD42B7"/>
    <w:rsid w:val="00BD5862"/>
    <w:rsid w:val="00BD7F0F"/>
    <w:rsid w:val="00BE0407"/>
    <w:rsid w:val="00BE1078"/>
    <w:rsid w:val="00BE194A"/>
    <w:rsid w:val="00BE20F3"/>
    <w:rsid w:val="00BE5113"/>
    <w:rsid w:val="00BF2722"/>
    <w:rsid w:val="00BF4108"/>
    <w:rsid w:val="00BF564D"/>
    <w:rsid w:val="00BF7201"/>
    <w:rsid w:val="00C01146"/>
    <w:rsid w:val="00C017CD"/>
    <w:rsid w:val="00C0271F"/>
    <w:rsid w:val="00C04216"/>
    <w:rsid w:val="00C0474C"/>
    <w:rsid w:val="00C0494D"/>
    <w:rsid w:val="00C12867"/>
    <w:rsid w:val="00C1389C"/>
    <w:rsid w:val="00C15436"/>
    <w:rsid w:val="00C21359"/>
    <w:rsid w:val="00C24182"/>
    <w:rsid w:val="00C25395"/>
    <w:rsid w:val="00C3164C"/>
    <w:rsid w:val="00C32451"/>
    <w:rsid w:val="00C333FD"/>
    <w:rsid w:val="00C33CFC"/>
    <w:rsid w:val="00C34985"/>
    <w:rsid w:val="00C34BCE"/>
    <w:rsid w:val="00C35506"/>
    <w:rsid w:val="00C36A03"/>
    <w:rsid w:val="00C4026D"/>
    <w:rsid w:val="00C40412"/>
    <w:rsid w:val="00C416E7"/>
    <w:rsid w:val="00C44435"/>
    <w:rsid w:val="00C44C39"/>
    <w:rsid w:val="00C4503B"/>
    <w:rsid w:val="00C4697A"/>
    <w:rsid w:val="00C47484"/>
    <w:rsid w:val="00C51301"/>
    <w:rsid w:val="00C52D72"/>
    <w:rsid w:val="00C53D98"/>
    <w:rsid w:val="00C550CF"/>
    <w:rsid w:val="00C577C0"/>
    <w:rsid w:val="00C5787C"/>
    <w:rsid w:val="00C600F6"/>
    <w:rsid w:val="00C61ED4"/>
    <w:rsid w:val="00C63FD2"/>
    <w:rsid w:val="00C658FF"/>
    <w:rsid w:val="00C70469"/>
    <w:rsid w:val="00C7090B"/>
    <w:rsid w:val="00C713D3"/>
    <w:rsid w:val="00C73BC7"/>
    <w:rsid w:val="00C7535A"/>
    <w:rsid w:val="00C75905"/>
    <w:rsid w:val="00C80E17"/>
    <w:rsid w:val="00C831DB"/>
    <w:rsid w:val="00C83E33"/>
    <w:rsid w:val="00C83F79"/>
    <w:rsid w:val="00C847B9"/>
    <w:rsid w:val="00C85941"/>
    <w:rsid w:val="00C866E4"/>
    <w:rsid w:val="00C87B57"/>
    <w:rsid w:val="00C93676"/>
    <w:rsid w:val="00C94B8C"/>
    <w:rsid w:val="00C952EB"/>
    <w:rsid w:val="00C95F1C"/>
    <w:rsid w:val="00C95F36"/>
    <w:rsid w:val="00C96685"/>
    <w:rsid w:val="00C97C08"/>
    <w:rsid w:val="00C97C5B"/>
    <w:rsid w:val="00CA0565"/>
    <w:rsid w:val="00CA0AA4"/>
    <w:rsid w:val="00CA166B"/>
    <w:rsid w:val="00CA182C"/>
    <w:rsid w:val="00CA499E"/>
    <w:rsid w:val="00CA5670"/>
    <w:rsid w:val="00CB0448"/>
    <w:rsid w:val="00CB0F5C"/>
    <w:rsid w:val="00CB137D"/>
    <w:rsid w:val="00CB1E2B"/>
    <w:rsid w:val="00CB1E9D"/>
    <w:rsid w:val="00CB2C7F"/>
    <w:rsid w:val="00CB30F0"/>
    <w:rsid w:val="00CB5094"/>
    <w:rsid w:val="00CB6221"/>
    <w:rsid w:val="00CB65C6"/>
    <w:rsid w:val="00CB7838"/>
    <w:rsid w:val="00CB7D8E"/>
    <w:rsid w:val="00CC22B9"/>
    <w:rsid w:val="00CC34D9"/>
    <w:rsid w:val="00CC4712"/>
    <w:rsid w:val="00CC5C9E"/>
    <w:rsid w:val="00CD1354"/>
    <w:rsid w:val="00CD25B3"/>
    <w:rsid w:val="00CD2B8A"/>
    <w:rsid w:val="00CD31F1"/>
    <w:rsid w:val="00CD4B11"/>
    <w:rsid w:val="00CD739E"/>
    <w:rsid w:val="00CD76DA"/>
    <w:rsid w:val="00CE298D"/>
    <w:rsid w:val="00CE2A1E"/>
    <w:rsid w:val="00CE3EEB"/>
    <w:rsid w:val="00CE598F"/>
    <w:rsid w:val="00CE60D8"/>
    <w:rsid w:val="00CE7D18"/>
    <w:rsid w:val="00CF26B2"/>
    <w:rsid w:val="00CF4EA5"/>
    <w:rsid w:val="00CF746F"/>
    <w:rsid w:val="00D00116"/>
    <w:rsid w:val="00D0150C"/>
    <w:rsid w:val="00D017C6"/>
    <w:rsid w:val="00D019EB"/>
    <w:rsid w:val="00D01A3C"/>
    <w:rsid w:val="00D0392F"/>
    <w:rsid w:val="00D05749"/>
    <w:rsid w:val="00D05962"/>
    <w:rsid w:val="00D07898"/>
    <w:rsid w:val="00D121E8"/>
    <w:rsid w:val="00D14AE6"/>
    <w:rsid w:val="00D1519A"/>
    <w:rsid w:val="00D16058"/>
    <w:rsid w:val="00D168BB"/>
    <w:rsid w:val="00D16A50"/>
    <w:rsid w:val="00D2023E"/>
    <w:rsid w:val="00D220CA"/>
    <w:rsid w:val="00D23321"/>
    <w:rsid w:val="00D27FE5"/>
    <w:rsid w:val="00D32BAA"/>
    <w:rsid w:val="00D33011"/>
    <w:rsid w:val="00D3361E"/>
    <w:rsid w:val="00D33D03"/>
    <w:rsid w:val="00D35513"/>
    <w:rsid w:val="00D35FC0"/>
    <w:rsid w:val="00D366A7"/>
    <w:rsid w:val="00D409C1"/>
    <w:rsid w:val="00D410CB"/>
    <w:rsid w:val="00D43386"/>
    <w:rsid w:val="00D43832"/>
    <w:rsid w:val="00D454E1"/>
    <w:rsid w:val="00D503F5"/>
    <w:rsid w:val="00D5174A"/>
    <w:rsid w:val="00D51825"/>
    <w:rsid w:val="00D538B3"/>
    <w:rsid w:val="00D62B39"/>
    <w:rsid w:val="00D63F90"/>
    <w:rsid w:val="00D64795"/>
    <w:rsid w:val="00D652CA"/>
    <w:rsid w:val="00D6699B"/>
    <w:rsid w:val="00D67927"/>
    <w:rsid w:val="00D70320"/>
    <w:rsid w:val="00D72A42"/>
    <w:rsid w:val="00D72F79"/>
    <w:rsid w:val="00D7334C"/>
    <w:rsid w:val="00D74271"/>
    <w:rsid w:val="00D74C0C"/>
    <w:rsid w:val="00D74DCA"/>
    <w:rsid w:val="00D7686B"/>
    <w:rsid w:val="00D81888"/>
    <w:rsid w:val="00D820DD"/>
    <w:rsid w:val="00D82D2D"/>
    <w:rsid w:val="00D84288"/>
    <w:rsid w:val="00D90299"/>
    <w:rsid w:val="00D90D19"/>
    <w:rsid w:val="00D91453"/>
    <w:rsid w:val="00D91583"/>
    <w:rsid w:val="00D9197C"/>
    <w:rsid w:val="00D938A4"/>
    <w:rsid w:val="00D9445E"/>
    <w:rsid w:val="00D97AD3"/>
    <w:rsid w:val="00DA025C"/>
    <w:rsid w:val="00DA04A2"/>
    <w:rsid w:val="00DA0D5E"/>
    <w:rsid w:val="00DA364D"/>
    <w:rsid w:val="00DA3A8E"/>
    <w:rsid w:val="00DA685E"/>
    <w:rsid w:val="00DA6D31"/>
    <w:rsid w:val="00DB12C8"/>
    <w:rsid w:val="00DB3374"/>
    <w:rsid w:val="00DB3BEB"/>
    <w:rsid w:val="00DB4AAE"/>
    <w:rsid w:val="00DB6D54"/>
    <w:rsid w:val="00DB7005"/>
    <w:rsid w:val="00DC02BF"/>
    <w:rsid w:val="00DC1661"/>
    <w:rsid w:val="00DC2704"/>
    <w:rsid w:val="00DC318A"/>
    <w:rsid w:val="00DC3494"/>
    <w:rsid w:val="00DC462E"/>
    <w:rsid w:val="00DC5577"/>
    <w:rsid w:val="00DC5CC2"/>
    <w:rsid w:val="00DC5D22"/>
    <w:rsid w:val="00DC75F7"/>
    <w:rsid w:val="00DC787C"/>
    <w:rsid w:val="00DD150D"/>
    <w:rsid w:val="00DD3C04"/>
    <w:rsid w:val="00DD484B"/>
    <w:rsid w:val="00DD52A2"/>
    <w:rsid w:val="00DD5417"/>
    <w:rsid w:val="00DD65FD"/>
    <w:rsid w:val="00DE05F0"/>
    <w:rsid w:val="00DE0FE4"/>
    <w:rsid w:val="00DE115C"/>
    <w:rsid w:val="00DE2A01"/>
    <w:rsid w:val="00DE66E5"/>
    <w:rsid w:val="00DE7B1E"/>
    <w:rsid w:val="00DE7E3B"/>
    <w:rsid w:val="00DF0907"/>
    <w:rsid w:val="00DF0B9D"/>
    <w:rsid w:val="00DF18F9"/>
    <w:rsid w:val="00DF4939"/>
    <w:rsid w:val="00DF7E97"/>
    <w:rsid w:val="00E02489"/>
    <w:rsid w:val="00E03ED2"/>
    <w:rsid w:val="00E04879"/>
    <w:rsid w:val="00E04C62"/>
    <w:rsid w:val="00E06F13"/>
    <w:rsid w:val="00E104EE"/>
    <w:rsid w:val="00E11DB4"/>
    <w:rsid w:val="00E11EA4"/>
    <w:rsid w:val="00E12017"/>
    <w:rsid w:val="00E155E2"/>
    <w:rsid w:val="00E1732A"/>
    <w:rsid w:val="00E1749D"/>
    <w:rsid w:val="00E17AAE"/>
    <w:rsid w:val="00E21360"/>
    <w:rsid w:val="00E233D5"/>
    <w:rsid w:val="00E251E8"/>
    <w:rsid w:val="00E26F74"/>
    <w:rsid w:val="00E304BF"/>
    <w:rsid w:val="00E329EB"/>
    <w:rsid w:val="00E32DEA"/>
    <w:rsid w:val="00E34467"/>
    <w:rsid w:val="00E35E84"/>
    <w:rsid w:val="00E35F65"/>
    <w:rsid w:val="00E37E38"/>
    <w:rsid w:val="00E40FCF"/>
    <w:rsid w:val="00E41FC7"/>
    <w:rsid w:val="00E444F6"/>
    <w:rsid w:val="00E454BC"/>
    <w:rsid w:val="00E45EAE"/>
    <w:rsid w:val="00E4795B"/>
    <w:rsid w:val="00E51F72"/>
    <w:rsid w:val="00E5287E"/>
    <w:rsid w:val="00E53E4C"/>
    <w:rsid w:val="00E5460C"/>
    <w:rsid w:val="00E547E4"/>
    <w:rsid w:val="00E54BCC"/>
    <w:rsid w:val="00E55EDF"/>
    <w:rsid w:val="00E56286"/>
    <w:rsid w:val="00E57597"/>
    <w:rsid w:val="00E5797F"/>
    <w:rsid w:val="00E60B38"/>
    <w:rsid w:val="00E6278C"/>
    <w:rsid w:val="00E63470"/>
    <w:rsid w:val="00E6388B"/>
    <w:rsid w:val="00E63B0D"/>
    <w:rsid w:val="00E63F19"/>
    <w:rsid w:val="00E64EEC"/>
    <w:rsid w:val="00E65097"/>
    <w:rsid w:val="00E65679"/>
    <w:rsid w:val="00E65B7E"/>
    <w:rsid w:val="00E676B4"/>
    <w:rsid w:val="00E7072E"/>
    <w:rsid w:val="00E70ADA"/>
    <w:rsid w:val="00E74B7B"/>
    <w:rsid w:val="00E751FD"/>
    <w:rsid w:val="00E75AF2"/>
    <w:rsid w:val="00E81C52"/>
    <w:rsid w:val="00E82893"/>
    <w:rsid w:val="00E82ECB"/>
    <w:rsid w:val="00E859CE"/>
    <w:rsid w:val="00E86DF1"/>
    <w:rsid w:val="00E874F2"/>
    <w:rsid w:val="00E90B78"/>
    <w:rsid w:val="00E923F6"/>
    <w:rsid w:val="00E927CE"/>
    <w:rsid w:val="00E93F2E"/>
    <w:rsid w:val="00E94254"/>
    <w:rsid w:val="00EA0ED2"/>
    <w:rsid w:val="00EA214E"/>
    <w:rsid w:val="00EA4C66"/>
    <w:rsid w:val="00EA6BF8"/>
    <w:rsid w:val="00EB0276"/>
    <w:rsid w:val="00EB0C80"/>
    <w:rsid w:val="00EB1596"/>
    <w:rsid w:val="00EB215E"/>
    <w:rsid w:val="00EB26A5"/>
    <w:rsid w:val="00EB2FBB"/>
    <w:rsid w:val="00EB4FEC"/>
    <w:rsid w:val="00EC3493"/>
    <w:rsid w:val="00EC5275"/>
    <w:rsid w:val="00EC6498"/>
    <w:rsid w:val="00EC798C"/>
    <w:rsid w:val="00ED00DE"/>
    <w:rsid w:val="00ED2E0C"/>
    <w:rsid w:val="00ED41E2"/>
    <w:rsid w:val="00EE0675"/>
    <w:rsid w:val="00EE06DD"/>
    <w:rsid w:val="00EE3A76"/>
    <w:rsid w:val="00EE42E0"/>
    <w:rsid w:val="00EE5F7A"/>
    <w:rsid w:val="00EE6912"/>
    <w:rsid w:val="00EE6DB6"/>
    <w:rsid w:val="00EF1381"/>
    <w:rsid w:val="00EF1899"/>
    <w:rsid w:val="00EF1BDC"/>
    <w:rsid w:val="00EF25BF"/>
    <w:rsid w:val="00EF2FB4"/>
    <w:rsid w:val="00EF30D8"/>
    <w:rsid w:val="00EF3FB5"/>
    <w:rsid w:val="00EF64BD"/>
    <w:rsid w:val="00EF6966"/>
    <w:rsid w:val="00EF6B1E"/>
    <w:rsid w:val="00EF6B9A"/>
    <w:rsid w:val="00F00394"/>
    <w:rsid w:val="00F013E8"/>
    <w:rsid w:val="00F02589"/>
    <w:rsid w:val="00F025CF"/>
    <w:rsid w:val="00F02D77"/>
    <w:rsid w:val="00F03FCE"/>
    <w:rsid w:val="00F052F5"/>
    <w:rsid w:val="00F11295"/>
    <w:rsid w:val="00F14C70"/>
    <w:rsid w:val="00F15030"/>
    <w:rsid w:val="00F20569"/>
    <w:rsid w:val="00F207B3"/>
    <w:rsid w:val="00F21946"/>
    <w:rsid w:val="00F24575"/>
    <w:rsid w:val="00F24D43"/>
    <w:rsid w:val="00F26E5C"/>
    <w:rsid w:val="00F270A0"/>
    <w:rsid w:val="00F3009E"/>
    <w:rsid w:val="00F302D6"/>
    <w:rsid w:val="00F30978"/>
    <w:rsid w:val="00F31260"/>
    <w:rsid w:val="00F32F84"/>
    <w:rsid w:val="00F33655"/>
    <w:rsid w:val="00F34508"/>
    <w:rsid w:val="00F36616"/>
    <w:rsid w:val="00F37C3C"/>
    <w:rsid w:val="00F43814"/>
    <w:rsid w:val="00F438DF"/>
    <w:rsid w:val="00F43E84"/>
    <w:rsid w:val="00F449ED"/>
    <w:rsid w:val="00F46257"/>
    <w:rsid w:val="00F46FCB"/>
    <w:rsid w:val="00F501CE"/>
    <w:rsid w:val="00F50369"/>
    <w:rsid w:val="00F50F86"/>
    <w:rsid w:val="00F5458C"/>
    <w:rsid w:val="00F54C1B"/>
    <w:rsid w:val="00F5668E"/>
    <w:rsid w:val="00F56A44"/>
    <w:rsid w:val="00F57F81"/>
    <w:rsid w:val="00F63D5E"/>
    <w:rsid w:val="00F701BA"/>
    <w:rsid w:val="00F703AC"/>
    <w:rsid w:val="00F71E45"/>
    <w:rsid w:val="00F72E45"/>
    <w:rsid w:val="00F805ED"/>
    <w:rsid w:val="00F80FD7"/>
    <w:rsid w:val="00F81BD3"/>
    <w:rsid w:val="00F91051"/>
    <w:rsid w:val="00F91D8C"/>
    <w:rsid w:val="00F9208A"/>
    <w:rsid w:val="00F92568"/>
    <w:rsid w:val="00F92814"/>
    <w:rsid w:val="00F9325C"/>
    <w:rsid w:val="00F93D7F"/>
    <w:rsid w:val="00F95169"/>
    <w:rsid w:val="00F95476"/>
    <w:rsid w:val="00F97F7D"/>
    <w:rsid w:val="00FA0871"/>
    <w:rsid w:val="00FA578A"/>
    <w:rsid w:val="00FA6160"/>
    <w:rsid w:val="00FA6809"/>
    <w:rsid w:val="00FB0B0E"/>
    <w:rsid w:val="00FB281E"/>
    <w:rsid w:val="00FB3372"/>
    <w:rsid w:val="00FC2104"/>
    <w:rsid w:val="00FC4D83"/>
    <w:rsid w:val="00FC54CB"/>
    <w:rsid w:val="00FC5866"/>
    <w:rsid w:val="00FC5BD8"/>
    <w:rsid w:val="00FC6D5C"/>
    <w:rsid w:val="00FC7890"/>
    <w:rsid w:val="00FD1464"/>
    <w:rsid w:val="00FD224B"/>
    <w:rsid w:val="00FD48D0"/>
    <w:rsid w:val="00FD5610"/>
    <w:rsid w:val="00FD5C91"/>
    <w:rsid w:val="00FD6B3E"/>
    <w:rsid w:val="00FE2361"/>
    <w:rsid w:val="00FE258A"/>
    <w:rsid w:val="00FE40C7"/>
    <w:rsid w:val="00FE440B"/>
    <w:rsid w:val="00FE5713"/>
    <w:rsid w:val="00FE7007"/>
    <w:rsid w:val="00FE79A8"/>
    <w:rsid w:val="00FF0020"/>
    <w:rsid w:val="00FF254E"/>
    <w:rsid w:val="00FF287B"/>
    <w:rsid w:val="00FF325E"/>
    <w:rsid w:val="00FF4E06"/>
    <w:rsid w:val="00FF5372"/>
    <w:rsid w:val="00FF6366"/>
    <w:rsid w:val="00FF791F"/>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A6B919"/>
  <w15:docId w15:val="{E596C320-39EF-4847-8A32-CCBA2A08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28E"/>
    <w:rPr>
      <w:lang w:val="en-US"/>
    </w:rPr>
  </w:style>
  <w:style w:type="paragraph" w:styleId="Heading1">
    <w:name w:val="heading 1"/>
    <w:basedOn w:val="Normal"/>
    <w:next w:val="Normal"/>
    <w:link w:val="Heading1Char"/>
    <w:uiPriority w:val="9"/>
    <w:qFormat/>
    <w:rsid w:val="008809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809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9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80972"/>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unhideWhenUsed/>
    <w:rsid w:val="00880972"/>
    <w:pPr>
      <w:spacing w:after="0" w:line="240" w:lineRule="auto"/>
    </w:pPr>
    <w:rPr>
      <w:sz w:val="20"/>
      <w:szCs w:val="20"/>
    </w:rPr>
  </w:style>
  <w:style w:type="character" w:customStyle="1" w:styleId="FootnoteTextChar">
    <w:name w:val="Footnote Text Char"/>
    <w:basedOn w:val="DefaultParagraphFont"/>
    <w:link w:val="FootnoteText"/>
    <w:uiPriority w:val="99"/>
    <w:rsid w:val="00880972"/>
    <w:rPr>
      <w:sz w:val="20"/>
      <w:szCs w:val="20"/>
    </w:rPr>
  </w:style>
  <w:style w:type="character" w:styleId="FootnoteReference">
    <w:name w:val="footnote reference"/>
    <w:basedOn w:val="DefaultParagraphFont"/>
    <w:uiPriority w:val="99"/>
    <w:unhideWhenUsed/>
    <w:rsid w:val="00880972"/>
    <w:rPr>
      <w:vertAlign w:val="superscript"/>
    </w:rPr>
  </w:style>
  <w:style w:type="paragraph" w:customStyle="1" w:styleId="Default">
    <w:name w:val="Default"/>
    <w:rsid w:val="0088097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80972"/>
    <w:pPr>
      <w:ind w:left="720"/>
      <w:contextualSpacing/>
    </w:pPr>
  </w:style>
  <w:style w:type="character" w:styleId="Emphasis">
    <w:name w:val="Emphasis"/>
    <w:basedOn w:val="DefaultParagraphFont"/>
    <w:uiPriority w:val="20"/>
    <w:qFormat/>
    <w:rsid w:val="00880972"/>
    <w:rPr>
      <w:b w:val="0"/>
      <w:bCs w:val="0"/>
      <w:i w:val="0"/>
      <w:iCs w:val="0"/>
      <w:color w:val="DD4B39"/>
    </w:rPr>
  </w:style>
  <w:style w:type="character" w:styleId="Hyperlink">
    <w:name w:val="Hyperlink"/>
    <w:basedOn w:val="DefaultParagraphFont"/>
    <w:uiPriority w:val="99"/>
    <w:unhideWhenUsed/>
    <w:rsid w:val="00880972"/>
    <w:rPr>
      <w:color w:val="0000FF"/>
      <w:u w:val="single"/>
    </w:rPr>
  </w:style>
  <w:style w:type="paragraph" w:styleId="BodyText2">
    <w:name w:val="Body Text 2"/>
    <w:basedOn w:val="Normal"/>
    <w:link w:val="BodyText2Char"/>
    <w:unhideWhenUsed/>
    <w:rsid w:val="00880972"/>
    <w:pPr>
      <w:spacing w:after="0" w:line="240" w:lineRule="auto"/>
      <w:jc w:val="both"/>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880972"/>
    <w:rPr>
      <w:rFonts w:ascii="Times New Roman" w:eastAsia="Times New Roman" w:hAnsi="Times New Roman" w:cs="Times New Roman"/>
      <w:sz w:val="24"/>
      <w:szCs w:val="20"/>
      <w:lang w:eastAsia="en-US"/>
    </w:rPr>
  </w:style>
  <w:style w:type="paragraph" w:styleId="Header">
    <w:name w:val="header"/>
    <w:basedOn w:val="Normal"/>
    <w:link w:val="HeaderChar"/>
    <w:uiPriority w:val="99"/>
    <w:unhideWhenUsed/>
    <w:rsid w:val="0088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972"/>
  </w:style>
  <w:style w:type="paragraph" w:styleId="Footer">
    <w:name w:val="footer"/>
    <w:basedOn w:val="Normal"/>
    <w:link w:val="FooterChar"/>
    <w:uiPriority w:val="99"/>
    <w:unhideWhenUsed/>
    <w:rsid w:val="0088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972"/>
  </w:style>
  <w:style w:type="paragraph" w:styleId="BalloonText">
    <w:name w:val="Balloon Text"/>
    <w:basedOn w:val="Normal"/>
    <w:link w:val="BalloonTextChar"/>
    <w:uiPriority w:val="99"/>
    <w:semiHidden/>
    <w:unhideWhenUsed/>
    <w:rsid w:val="0088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72"/>
    <w:rPr>
      <w:rFonts w:ascii="Tahoma" w:hAnsi="Tahoma" w:cs="Tahoma"/>
      <w:sz w:val="16"/>
      <w:szCs w:val="16"/>
    </w:rPr>
  </w:style>
  <w:style w:type="character" w:styleId="Strong">
    <w:name w:val="Strong"/>
    <w:basedOn w:val="DefaultParagraphFont"/>
    <w:uiPriority w:val="22"/>
    <w:qFormat/>
    <w:rsid w:val="00880972"/>
    <w:rPr>
      <w:b/>
      <w:bCs/>
    </w:rPr>
  </w:style>
  <w:style w:type="paragraph" w:styleId="NormalWeb">
    <w:name w:val="Normal (Web)"/>
    <w:basedOn w:val="Normal"/>
    <w:uiPriority w:val="99"/>
    <w:unhideWhenUsed/>
    <w:rsid w:val="008809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880972"/>
  </w:style>
  <w:style w:type="paragraph" w:styleId="NoSpacing">
    <w:name w:val="No Spacing"/>
    <w:uiPriority w:val="1"/>
    <w:qFormat/>
    <w:rsid w:val="00880972"/>
    <w:pPr>
      <w:spacing w:after="0" w:line="240" w:lineRule="auto"/>
    </w:pPr>
  </w:style>
  <w:style w:type="paragraph" w:styleId="TOCHeading">
    <w:name w:val="TOC Heading"/>
    <w:basedOn w:val="Heading1"/>
    <w:next w:val="Normal"/>
    <w:uiPriority w:val="39"/>
    <w:semiHidden/>
    <w:unhideWhenUsed/>
    <w:qFormat/>
    <w:rsid w:val="00880972"/>
    <w:pPr>
      <w:outlineLvl w:val="9"/>
    </w:pPr>
    <w:rPr>
      <w:lang w:eastAsia="ja-JP"/>
    </w:rPr>
  </w:style>
  <w:style w:type="character" w:styleId="PlaceholderText">
    <w:name w:val="Placeholder Text"/>
    <w:basedOn w:val="DefaultParagraphFont"/>
    <w:uiPriority w:val="99"/>
    <w:semiHidden/>
    <w:rsid w:val="00880972"/>
    <w:rPr>
      <w:color w:val="808080"/>
    </w:rPr>
  </w:style>
  <w:style w:type="paragraph" w:styleId="TOC2">
    <w:name w:val="toc 2"/>
    <w:basedOn w:val="Normal"/>
    <w:next w:val="Normal"/>
    <w:autoRedefine/>
    <w:uiPriority w:val="39"/>
    <w:unhideWhenUsed/>
    <w:qFormat/>
    <w:rsid w:val="000A3AAC"/>
    <w:pPr>
      <w:spacing w:after="100" w:line="360" w:lineRule="auto"/>
      <w:ind w:left="993" w:right="176"/>
    </w:pPr>
    <w:rPr>
      <w:lang w:eastAsia="ja-JP"/>
    </w:rPr>
  </w:style>
  <w:style w:type="paragraph" w:styleId="TOC1">
    <w:name w:val="toc 1"/>
    <w:basedOn w:val="Normal"/>
    <w:next w:val="Normal"/>
    <w:autoRedefine/>
    <w:uiPriority w:val="39"/>
    <w:unhideWhenUsed/>
    <w:qFormat/>
    <w:rsid w:val="00282817"/>
    <w:pPr>
      <w:spacing w:after="100" w:line="360" w:lineRule="auto"/>
      <w:ind w:left="142"/>
    </w:pPr>
    <w:rPr>
      <w:lang w:eastAsia="ja-JP"/>
    </w:rPr>
  </w:style>
  <w:style w:type="paragraph" w:styleId="TOC3">
    <w:name w:val="toc 3"/>
    <w:basedOn w:val="Normal"/>
    <w:next w:val="Normal"/>
    <w:autoRedefine/>
    <w:uiPriority w:val="39"/>
    <w:semiHidden/>
    <w:unhideWhenUsed/>
    <w:qFormat/>
    <w:rsid w:val="00880972"/>
    <w:pPr>
      <w:spacing w:after="100"/>
      <w:ind w:left="440"/>
    </w:pPr>
    <w:rPr>
      <w:lang w:eastAsia="ja-JP"/>
    </w:rPr>
  </w:style>
  <w:style w:type="paragraph" w:styleId="BodyTextIndent">
    <w:name w:val="Body Text Indent"/>
    <w:basedOn w:val="Normal"/>
    <w:link w:val="BodyTextIndentChar"/>
    <w:uiPriority w:val="99"/>
    <w:semiHidden/>
    <w:unhideWhenUsed/>
    <w:rsid w:val="00880972"/>
    <w:pPr>
      <w:spacing w:after="120"/>
      <w:ind w:left="283"/>
    </w:pPr>
  </w:style>
  <w:style w:type="character" w:customStyle="1" w:styleId="BodyTextIndentChar">
    <w:name w:val="Body Text Indent Char"/>
    <w:basedOn w:val="DefaultParagraphFont"/>
    <w:link w:val="BodyTextIndent"/>
    <w:uiPriority w:val="99"/>
    <w:semiHidden/>
    <w:rsid w:val="00880972"/>
  </w:style>
  <w:style w:type="paragraph" w:styleId="Caption">
    <w:name w:val="caption"/>
    <w:basedOn w:val="Normal"/>
    <w:next w:val="Normal"/>
    <w:uiPriority w:val="35"/>
    <w:unhideWhenUsed/>
    <w:qFormat/>
    <w:rsid w:val="00880972"/>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880972"/>
    <w:pPr>
      <w:spacing w:after="0"/>
    </w:pPr>
  </w:style>
  <w:style w:type="character" w:styleId="CommentReference">
    <w:name w:val="annotation reference"/>
    <w:basedOn w:val="DefaultParagraphFont"/>
    <w:uiPriority w:val="99"/>
    <w:semiHidden/>
    <w:unhideWhenUsed/>
    <w:rsid w:val="00330DC9"/>
    <w:rPr>
      <w:sz w:val="16"/>
      <w:szCs w:val="16"/>
    </w:rPr>
  </w:style>
  <w:style w:type="paragraph" w:styleId="CommentText">
    <w:name w:val="annotation text"/>
    <w:basedOn w:val="Normal"/>
    <w:link w:val="CommentTextChar"/>
    <w:uiPriority w:val="99"/>
    <w:semiHidden/>
    <w:unhideWhenUsed/>
    <w:rsid w:val="00330DC9"/>
    <w:pPr>
      <w:spacing w:line="240" w:lineRule="auto"/>
    </w:pPr>
    <w:rPr>
      <w:sz w:val="20"/>
      <w:szCs w:val="20"/>
    </w:rPr>
  </w:style>
  <w:style w:type="character" w:customStyle="1" w:styleId="CommentTextChar">
    <w:name w:val="Comment Text Char"/>
    <w:basedOn w:val="DefaultParagraphFont"/>
    <w:link w:val="CommentText"/>
    <w:uiPriority w:val="99"/>
    <w:semiHidden/>
    <w:rsid w:val="00330DC9"/>
    <w:rPr>
      <w:sz w:val="20"/>
      <w:szCs w:val="20"/>
    </w:rPr>
  </w:style>
  <w:style w:type="paragraph" w:styleId="CommentSubject">
    <w:name w:val="annotation subject"/>
    <w:basedOn w:val="CommentText"/>
    <w:next w:val="CommentText"/>
    <w:link w:val="CommentSubjectChar"/>
    <w:uiPriority w:val="99"/>
    <w:semiHidden/>
    <w:unhideWhenUsed/>
    <w:rsid w:val="00330DC9"/>
    <w:rPr>
      <w:b/>
      <w:bCs/>
    </w:rPr>
  </w:style>
  <w:style w:type="character" w:customStyle="1" w:styleId="CommentSubjectChar">
    <w:name w:val="Comment Subject Char"/>
    <w:basedOn w:val="CommentTextChar"/>
    <w:link w:val="CommentSubject"/>
    <w:uiPriority w:val="99"/>
    <w:semiHidden/>
    <w:rsid w:val="00330DC9"/>
    <w:rPr>
      <w:b/>
      <w:bCs/>
      <w:sz w:val="20"/>
      <w:szCs w:val="20"/>
    </w:rPr>
  </w:style>
  <w:style w:type="table" w:styleId="TableGrid">
    <w:name w:val="Table Grid"/>
    <w:basedOn w:val="TableNormal"/>
    <w:uiPriority w:val="39"/>
    <w:rsid w:val="00D6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name">
    <w:name w:val="authors__name"/>
    <w:basedOn w:val="DefaultParagraphFont"/>
    <w:rsid w:val="0033094E"/>
  </w:style>
  <w:style w:type="character" w:customStyle="1" w:styleId="uiqtextrenderedqtext">
    <w:name w:val="ui_qtext_rendered_qtext"/>
    <w:basedOn w:val="DefaultParagraphFont"/>
    <w:rsid w:val="00983CF5"/>
  </w:style>
  <w:style w:type="character" w:customStyle="1" w:styleId="mi">
    <w:name w:val="mi"/>
    <w:basedOn w:val="DefaultParagraphFont"/>
    <w:rsid w:val="00983CF5"/>
  </w:style>
  <w:style w:type="character" w:customStyle="1" w:styleId="mo">
    <w:name w:val="mo"/>
    <w:basedOn w:val="DefaultParagraphFont"/>
    <w:rsid w:val="00983CF5"/>
  </w:style>
  <w:style w:type="character" w:customStyle="1" w:styleId="mn">
    <w:name w:val="mn"/>
    <w:basedOn w:val="DefaultParagraphFont"/>
    <w:rsid w:val="00983CF5"/>
  </w:style>
  <w:style w:type="paragraph" w:styleId="Revision">
    <w:name w:val="Revision"/>
    <w:hidden/>
    <w:uiPriority w:val="99"/>
    <w:semiHidden/>
    <w:rsid w:val="00B846CE"/>
    <w:pPr>
      <w:spacing w:after="0" w:line="240" w:lineRule="auto"/>
    </w:pPr>
    <w:rPr>
      <w:lang w:val="en-US"/>
    </w:rPr>
  </w:style>
  <w:style w:type="character" w:customStyle="1" w:styleId="UnresolvedMention1">
    <w:name w:val="Unresolved Mention1"/>
    <w:basedOn w:val="DefaultParagraphFont"/>
    <w:uiPriority w:val="99"/>
    <w:semiHidden/>
    <w:unhideWhenUsed/>
    <w:rsid w:val="00C5787C"/>
    <w:rPr>
      <w:color w:val="605E5C"/>
      <w:shd w:val="clear" w:color="auto" w:fill="E1DFDD"/>
    </w:rPr>
  </w:style>
  <w:style w:type="character" w:customStyle="1" w:styleId="UnresolvedMention2">
    <w:name w:val="Unresolved Mention2"/>
    <w:basedOn w:val="DefaultParagraphFont"/>
    <w:uiPriority w:val="99"/>
    <w:semiHidden/>
    <w:unhideWhenUsed/>
    <w:rsid w:val="00E251E8"/>
    <w:rPr>
      <w:color w:val="605E5C"/>
      <w:shd w:val="clear" w:color="auto" w:fill="E1DFDD"/>
    </w:rPr>
  </w:style>
  <w:style w:type="character" w:customStyle="1" w:styleId="standard-view-style">
    <w:name w:val="standard-view-style"/>
    <w:basedOn w:val="DefaultParagraphFont"/>
    <w:rsid w:val="006A2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71895">
      <w:bodyDiv w:val="1"/>
      <w:marLeft w:val="0"/>
      <w:marRight w:val="0"/>
      <w:marTop w:val="0"/>
      <w:marBottom w:val="0"/>
      <w:divBdr>
        <w:top w:val="none" w:sz="0" w:space="0" w:color="auto"/>
        <w:left w:val="none" w:sz="0" w:space="0" w:color="auto"/>
        <w:bottom w:val="none" w:sz="0" w:space="0" w:color="auto"/>
        <w:right w:val="none" w:sz="0" w:space="0" w:color="auto"/>
      </w:divBdr>
    </w:div>
    <w:div w:id="87627239">
      <w:bodyDiv w:val="1"/>
      <w:marLeft w:val="0"/>
      <w:marRight w:val="0"/>
      <w:marTop w:val="0"/>
      <w:marBottom w:val="0"/>
      <w:divBdr>
        <w:top w:val="none" w:sz="0" w:space="0" w:color="auto"/>
        <w:left w:val="none" w:sz="0" w:space="0" w:color="auto"/>
        <w:bottom w:val="none" w:sz="0" w:space="0" w:color="auto"/>
        <w:right w:val="none" w:sz="0" w:space="0" w:color="auto"/>
      </w:divBdr>
    </w:div>
    <w:div w:id="98765028">
      <w:bodyDiv w:val="1"/>
      <w:marLeft w:val="0"/>
      <w:marRight w:val="0"/>
      <w:marTop w:val="0"/>
      <w:marBottom w:val="0"/>
      <w:divBdr>
        <w:top w:val="none" w:sz="0" w:space="0" w:color="auto"/>
        <w:left w:val="none" w:sz="0" w:space="0" w:color="auto"/>
        <w:bottom w:val="none" w:sz="0" w:space="0" w:color="auto"/>
        <w:right w:val="none" w:sz="0" w:space="0" w:color="auto"/>
      </w:divBdr>
    </w:div>
    <w:div w:id="214392552">
      <w:bodyDiv w:val="1"/>
      <w:marLeft w:val="0"/>
      <w:marRight w:val="0"/>
      <w:marTop w:val="0"/>
      <w:marBottom w:val="0"/>
      <w:divBdr>
        <w:top w:val="none" w:sz="0" w:space="0" w:color="auto"/>
        <w:left w:val="none" w:sz="0" w:space="0" w:color="auto"/>
        <w:bottom w:val="none" w:sz="0" w:space="0" w:color="auto"/>
        <w:right w:val="none" w:sz="0" w:space="0" w:color="auto"/>
      </w:divBdr>
    </w:div>
    <w:div w:id="222181839">
      <w:bodyDiv w:val="1"/>
      <w:marLeft w:val="0"/>
      <w:marRight w:val="0"/>
      <w:marTop w:val="0"/>
      <w:marBottom w:val="0"/>
      <w:divBdr>
        <w:top w:val="none" w:sz="0" w:space="0" w:color="auto"/>
        <w:left w:val="none" w:sz="0" w:space="0" w:color="auto"/>
        <w:bottom w:val="none" w:sz="0" w:space="0" w:color="auto"/>
        <w:right w:val="none" w:sz="0" w:space="0" w:color="auto"/>
      </w:divBdr>
    </w:div>
    <w:div w:id="235090708">
      <w:bodyDiv w:val="1"/>
      <w:marLeft w:val="0"/>
      <w:marRight w:val="0"/>
      <w:marTop w:val="0"/>
      <w:marBottom w:val="0"/>
      <w:divBdr>
        <w:top w:val="none" w:sz="0" w:space="0" w:color="auto"/>
        <w:left w:val="none" w:sz="0" w:space="0" w:color="auto"/>
        <w:bottom w:val="none" w:sz="0" w:space="0" w:color="auto"/>
        <w:right w:val="none" w:sz="0" w:space="0" w:color="auto"/>
      </w:divBdr>
    </w:div>
    <w:div w:id="381946336">
      <w:bodyDiv w:val="1"/>
      <w:marLeft w:val="0"/>
      <w:marRight w:val="0"/>
      <w:marTop w:val="0"/>
      <w:marBottom w:val="0"/>
      <w:divBdr>
        <w:top w:val="none" w:sz="0" w:space="0" w:color="auto"/>
        <w:left w:val="none" w:sz="0" w:space="0" w:color="auto"/>
        <w:bottom w:val="none" w:sz="0" w:space="0" w:color="auto"/>
        <w:right w:val="none" w:sz="0" w:space="0" w:color="auto"/>
      </w:divBdr>
    </w:div>
    <w:div w:id="388843494">
      <w:bodyDiv w:val="1"/>
      <w:marLeft w:val="0"/>
      <w:marRight w:val="0"/>
      <w:marTop w:val="0"/>
      <w:marBottom w:val="0"/>
      <w:divBdr>
        <w:top w:val="none" w:sz="0" w:space="0" w:color="auto"/>
        <w:left w:val="none" w:sz="0" w:space="0" w:color="auto"/>
        <w:bottom w:val="none" w:sz="0" w:space="0" w:color="auto"/>
        <w:right w:val="none" w:sz="0" w:space="0" w:color="auto"/>
      </w:divBdr>
    </w:div>
    <w:div w:id="397049441">
      <w:bodyDiv w:val="1"/>
      <w:marLeft w:val="0"/>
      <w:marRight w:val="0"/>
      <w:marTop w:val="0"/>
      <w:marBottom w:val="0"/>
      <w:divBdr>
        <w:top w:val="none" w:sz="0" w:space="0" w:color="auto"/>
        <w:left w:val="none" w:sz="0" w:space="0" w:color="auto"/>
        <w:bottom w:val="none" w:sz="0" w:space="0" w:color="auto"/>
        <w:right w:val="none" w:sz="0" w:space="0" w:color="auto"/>
      </w:divBdr>
    </w:div>
    <w:div w:id="551700267">
      <w:bodyDiv w:val="1"/>
      <w:marLeft w:val="0"/>
      <w:marRight w:val="0"/>
      <w:marTop w:val="0"/>
      <w:marBottom w:val="0"/>
      <w:divBdr>
        <w:top w:val="none" w:sz="0" w:space="0" w:color="auto"/>
        <w:left w:val="none" w:sz="0" w:space="0" w:color="auto"/>
        <w:bottom w:val="none" w:sz="0" w:space="0" w:color="auto"/>
        <w:right w:val="none" w:sz="0" w:space="0" w:color="auto"/>
      </w:divBdr>
    </w:div>
    <w:div w:id="673604146">
      <w:bodyDiv w:val="1"/>
      <w:marLeft w:val="0"/>
      <w:marRight w:val="0"/>
      <w:marTop w:val="0"/>
      <w:marBottom w:val="0"/>
      <w:divBdr>
        <w:top w:val="none" w:sz="0" w:space="0" w:color="auto"/>
        <w:left w:val="none" w:sz="0" w:space="0" w:color="auto"/>
        <w:bottom w:val="none" w:sz="0" w:space="0" w:color="auto"/>
        <w:right w:val="none" w:sz="0" w:space="0" w:color="auto"/>
      </w:divBdr>
    </w:div>
    <w:div w:id="896355754">
      <w:bodyDiv w:val="1"/>
      <w:marLeft w:val="0"/>
      <w:marRight w:val="0"/>
      <w:marTop w:val="0"/>
      <w:marBottom w:val="0"/>
      <w:divBdr>
        <w:top w:val="none" w:sz="0" w:space="0" w:color="auto"/>
        <w:left w:val="none" w:sz="0" w:space="0" w:color="auto"/>
        <w:bottom w:val="none" w:sz="0" w:space="0" w:color="auto"/>
        <w:right w:val="none" w:sz="0" w:space="0" w:color="auto"/>
      </w:divBdr>
    </w:div>
    <w:div w:id="905918669">
      <w:bodyDiv w:val="1"/>
      <w:marLeft w:val="0"/>
      <w:marRight w:val="0"/>
      <w:marTop w:val="0"/>
      <w:marBottom w:val="0"/>
      <w:divBdr>
        <w:top w:val="none" w:sz="0" w:space="0" w:color="auto"/>
        <w:left w:val="none" w:sz="0" w:space="0" w:color="auto"/>
        <w:bottom w:val="none" w:sz="0" w:space="0" w:color="auto"/>
        <w:right w:val="none" w:sz="0" w:space="0" w:color="auto"/>
      </w:divBdr>
    </w:div>
    <w:div w:id="972369758">
      <w:bodyDiv w:val="1"/>
      <w:marLeft w:val="0"/>
      <w:marRight w:val="0"/>
      <w:marTop w:val="0"/>
      <w:marBottom w:val="0"/>
      <w:divBdr>
        <w:top w:val="none" w:sz="0" w:space="0" w:color="auto"/>
        <w:left w:val="none" w:sz="0" w:space="0" w:color="auto"/>
        <w:bottom w:val="none" w:sz="0" w:space="0" w:color="auto"/>
        <w:right w:val="none" w:sz="0" w:space="0" w:color="auto"/>
      </w:divBdr>
    </w:div>
    <w:div w:id="1048069947">
      <w:bodyDiv w:val="1"/>
      <w:marLeft w:val="0"/>
      <w:marRight w:val="0"/>
      <w:marTop w:val="0"/>
      <w:marBottom w:val="0"/>
      <w:divBdr>
        <w:top w:val="none" w:sz="0" w:space="0" w:color="auto"/>
        <w:left w:val="none" w:sz="0" w:space="0" w:color="auto"/>
        <w:bottom w:val="none" w:sz="0" w:space="0" w:color="auto"/>
        <w:right w:val="none" w:sz="0" w:space="0" w:color="auto"/>
      </w:divBdr>
    </w:div>
    <w:div w:id="1049958039">
      <w:bodyDiv w:val="1"/>
      <w:marLeft w:val="0"/>
      <w:marRight w:val="0"/>
      <w:marTop w:val="0"/>
      <w:marBottom w:val="0"/>
      <w:divBdr>
        <w:top w:val="none" w:sz="0" w:space="0" w:color="auto"/>
        <w:left w:val="none" w:sz="0" w:space="0" w:color="auto"/>
        <w:bottom w:val="none" w:sz="0" w:space="0" w:color="auto"/>
        <w:right w:val="none" w:sz="0" w:space="0" w:color="auto"/>
      </w:divBdr>
    </w:div>
    <w:div w:id="1226454612">
      <w:bodyDiv w:val="1"/>
      <w:marLeft w:val="0"/>
      <w:marRight w:val="0"/>
      <w:marTop w:val="0"/>
      <w:marBottom w:val="0"/>
      <w:divBdr>
        <w:top w:val="none" w:sz="0" w:space="0" w:color="auto"/>
        <w:left w:val="none" w:sz="0" w:space="0" w:color="auto"/>
        <w:bottom w:val="none" w:sz="0" w:space="0" w:color="auto"/>
        <w:right w:val="none" w:sz="0" w:space="0" w:color="auto"/>
      </w:divBdr>
    </w:div>
    <w:div w:id="1236470791">
      <w:bodyDiv w:val="1"/>
      <w:marLeft w:val="0"/>
      <w:marRight w:val="0"/>
      <w:marTop w:val="0"/>
      <w:marBottom w:val="0"/>
      <w:divBdr>
        <w:top w:val="none" w:sz="0" w:space="0" w:color="auto"/>
        <w:left w:val="none" w:sz="0" w:space="0" w:color="auto"/>
        <w:bottom w:val="none" w:sz="0" w:space="0" w:color="auto"/>
        <w:right w:val="none" w:sz="0" w:space="0" w:color="auto"/>
      </w:divBdr>
    </w:div>
    <w:div w:id="1238202427">
      <w:bodyDiv w:val="1"/>
      <w:marLeft w:val="0"/>
      <w:marRight w:val="0"/>
      <w:marTop w:val="0"/>
      <w:marBottom w:val="0"/>
      <w:divBdr>
        <w:top w:val="none" w:sz="0" w:space="0" w:color="auto"/>
        <w:left w:val="none" w:sz="0" w:space="0" w:color="auto"/>
        <w:bottom w:val="none" w:sz="0" w:space="0" w:color="auto"/>
        <w:right w:val="none" w:sz="0" w:space="0" w:color="auto"/>
      </w:divBdr>
    </w:div>
    <w:div w:id="1264605390">
      <w:bodyDiv w:val="1"/>
      <w:marLeft w:val="0"/>
      <w:marRight w:val="0"/>
      <w:marTop w:val="0"/>
      <w:marBottom w:val="0"/>
      <w:divBdr>
        <w:top w:val="none" w:sz="0" w:space="0" w:color="auto"/>
        <w:left w:val="none" w:sz="0" w:space="0" w:color="auto"/>
        <w:bottom w:val="none" w:sz="0" w:space="0" w:color="auto"/>
        <w:right w:val="none" w:sz="0" w:space="0" w:color="auto"/>
      </w:divBdr>
    </w:div>
    <w:div w:id="1676494948">
      <w:bodyDiv w:val="1"/>
      <w:marLeft w:val="0"/>
      <w:marRight w:val="0"/>
      <w:marTop w:val="0"/>
      <w:marBottom w:val="0"/>
      <w:divBdr>
        <w:top w:val="none" w:sz="0" w:space="0" w:color="auto"/>
        <w:left w:val="none" w:sz="0" w:space="0" w:color="auto"/>
        <w:bottom w:val="none" w:sz="0" w:space="0" w:color="auto"/>
        <w:right w:val="none" w:sz="0" w:space="0" w:color="auto"/>
      </w:divBdr>
    </w:div>
    <w:div w:id="1763793594">
      <w:bodyDiv w:val="1"/>
      <w:marLeft w:val="0"/>
      <w:marRight w:val="0"/>
      <w:marTop w:val="0"/>
      <w:marBottom w:val="0"/>
      <w:divBdr>
        <w:top w:val="none" w:sz="0" w:space="0" w:color="auto"/>
        <w:left w:val="none" w:sz="0" w:space="0" w:color="auto"/>
        <w:bottom w:val="none" w:sz="0" w:space="0" w:color="auto"/>
        <w:right w:val="none" w:sz="0" w:space="0" w:color="auto"/>
      </w:divBdr>
    </w:div>
    <w:div w:id="1793403597">
      <w:bodyDiv w:val="1"/>
      <w:marLeft w:val="0"/>
      <w:marRight w:val="0"/>
      <w:marTop w:val="0"/>
      <w:marBottom w:val="0"/>
      <w:divBdr>
        <w:top w:val="none" w:sz="0" w:space="0" w:color="auto"/>
        <w:left w:val="none" w:sz="0" w:space="0" w:color="auto"/>
        <w:bottom w:val="none" w:sz="0" w:space="0" w:color="auto"/>
        <w:right w:val="none" w:sz="0" w:space="0" w:color="auto"/>
      </w:divBdr>
    </w:div>
    <w:div w:id="1854613428">
      <w:bodyDiv w:val="1"/>
      <w:marLeft w:val="0"/>
      <w:marRight w:val="0"/>
      <w:marTop w:val="0"/>
      <w:marBottom w:val="0"/>
      <w:divBdr>
        <w:top w:val="none" w:sz="0" w:space="0" w:color="auto"/>
        <w:left w:val="none" w:sz="0" w:space="0" w:color="auto"/>
        <w:bottom w:val="none" w:sz="0" w:space="0" w:color="auto"/>
        <w:right w:val="none" w:sz="0" w:space="0" w:color="auto"/>
      </w:divBdr>
    </w:div>
    <w:div w:id="1865710664">
      <w:bodyDiv w:val="1"/>
      <w:marLeft w:val="0"/>
      <w:marRight w:val="0"/>
      <w:marTop w:val="0"/>
      <w:marBottom w:val="0"/>
      <w:divBdr>
        <w:top w:val="none" w:sz="0" w:space="0" w:color="auto"/>
        <w:left w:val="none" w:sz="0" w:space="0" w:color="auto"/>
        <w:bottom w:val="none" w:sz="0" w:space="0" w:color="auto"/>
        <w:right w:val="none" w:sz="0" w:space="0" w:color="auto"/>
      </w:divBdr>
    </w:div>
    <w:div w:id="1956212923">
      <w:bodyDiv w:val="1"/>
      <w:marLeft w:val="0"/>
      <w:marRight w:val="0"/>
      <w:marTop w:val="0"/>
      <w:marBottom w:val="0"/>
      <w:divBdr>
        <w:top w:val="none" w:sz="0" w:space="0" w:color="auto"/>
        <w:left w:val="none" w:sz="0" w:space="0" w:color="auto"/>
        <w:bottom w:val="none" w:sz="0" w:space="0" w:color="auto"/>
        <w:right w:val="none" w:sz="0" w:space="0" w:color="auto"/>
      </w:divBdr>
    </w:div>
    <w:div w:id="2091074215">
      <w:bodyDiv w:val="1"/>
      <w:marLeft w:val="0"/>
      <w:marRight w:val="0"/>
      <w:marTop w:val="0"/>
      <w:marBottom w:val="0"/>
      <w:divBdr>
        <w:top w:val="none" w:sz="0" w:space="0" w:color="auto"/>
        <w:left w:val="none" w:sz="0" w:space="0" w:color="auto"/>
        <w:bottom w:val="none" w:sz="0" w:space="0" w:color="auto"/>
        <w:right w:val="none" w:sz="0" w:space="0" w:color="auto"/>
      </w:divBdr>
      <w:divsChild>
        <w:div w:id="617954366">
          <w:marLeft w:val="0"/>
          <w:marRight w:val="0"/>
          <w:marTop w:val="0"/>
          <w:marBottom w:val="0"/>
          <w:divBdr>
            <w:top w:val="none" w:sz="0" w:space="0" w:color="auto"/>
            <w:left w:val="none" w:sz="0" w:space="0" w:color="auto"/>
            <w:bottom w:val="none" w:sz="0" w:space="0" w:color="auto"/>
            <w:right w:val="none" w:sz="0" w:space="0" w:color="auto"/>
          </w:divBdr>
        </w:div>
        <w:div w:id="995763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ong_Kong_Stock_Exchange" TargetMode="External"/><Relationship Id="rId13" Type="http://schemas.openxmlformats.org/officeDocument/2006/relationships/hyperlink" Target="http://en.wikipedia.org/wiki/Hong_Kong_Stock_Exchange" TargetMode="Externa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http://en.wikipedia.org/wiki/Hong_Kong" TargetMode="Externa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Stock_market_inde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srn.com/abstract=2517238" TargetMode="External"/><Relationship Id="rId23" Type="http://schemas.openxmlformats.org/officeDocument/2006/relationships/chart" Target="charts/chart8.xml"/><Relationship Id="rId10" Type="http://schemas.openxmlformats.org/officeDocument/2006/relationships/hyperlink" Target="http://en.wikipedia.org/wiki/Capitalization-weighted_index"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en.wikipedia.org/wiki/Anonymous_(group)" TargetMode="External"/><Relationship Id="rId14" Type="http://schemas.openxmlformats.org/officeDocument/2006/relationships/hyperlink" Target="javascript:__doLinkPostBack('','mdb~~bth%7C%7Cjdb~~bthjnh%7C%7Css~~JN%20%22Accounting%20Review%22%7C%7Csl~~jh','');" TargetMode="Externa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Users\ranadevajayasekera\Documents\2020%20Research\HK%20Paper\CAR%20ANALYSIS_V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ranadevajayasekera\Documents\2020%20Research\HK%20Paper\CAR%20ANALYSIS_V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ranadevajayasekera\Documents\2020%20Research\HK%20Paper\CAR%20ANALYSIS_V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ranadevajayasekera\Documents\2020%20Research\HK%20Paper\CAR%20ANALYSIS_V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ranadevajayasekera\Documents\2020%20Research\HK%20Paper\CAR%20ANALYSIS_V1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ranadevajayasekera\Documents\2020%20Research\HK%20Paper\CAR%20ANALYSIS_V1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ranadevajayasekera\Documents\2020%20Research\HK%20Paper\CAR%20ANALYSIS_V1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ranadevajayasekera\Documents\2020%20Research\HK%20Paper\CAR%20ANALYSIS_V10.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Figure 1.1 MM</a:t>
            </a:r>
            <a:r>
              <a:rPr lang="en-GB" sz="1100" baseline="0">
                <a:latin typeface="Times New Roman" panose="02020603050405020304" pitchFamily="18" charset="0"/>
                <a:cs typeface="Times New Roman" panose="02020603050405020304" pitchFamily="18" charset="0"/>
              </a:rPr>
              <a:t>: Bullish - Upgrade </a:t>
            </a:r>
            <a:endParaRPr lang="en-GB" sz="1100">
              <a:latin typeface="Times New Roman" panose="02020603050405020304" pitchFamily="18" charset="0"/>
              <a:cs typeface="Times New Roman" panose="02020603050405020304" pitchFamily="18" charset="0"/>
            </a:endParaRPr>
          </a:p>
        </c:rich>
      </c:tx>
      <c:layout>
        <c:manualLayout>
          <c:xMode val="edge"/>
          <c:yMode val="edge"/>
          <c:x val="0.14602646697134883"/>
          <c:y val="2.454550531280301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0340029611683152E-2"/>
          <c:y val="0.18151006711409398"/>
          <c:w val="0.91068561141395787"/>
          <c:h val="0.72092823548063201"/>
        </c:manualLayout>
      </c:layout>
      <c:lineChart>
        <c:grouping val="stacked"/>
        <c:varyColors val="0"/>
        <c:ser>
          <c:idx val="1"/>
          <c:order val="0"/>
          <c:tx>
            <c:strRef>
              <c:f>'WORKINGS BULL UPGRAGE'!$P$49</c:f>
              <c:strCache>
                <c:ptCount val="1"/>
                <c:pt idx="0">
                  <c:v>CAR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'WORKINGS BULL UPGRAGE'!$N$50:$N$63</c:f>
              <c:numCache>
                <c:formatCode>General</c:formatCode>
                <c:ptCount val="14"/>
                <c:pt idx="1">
                  <c:v>-2</c:v>
                </c:pt>
                <c:pt idx="2">
                  <c:v>-1</c:v>
                </c:pt>
                <c:pt idx="3">
                  <c:v>0</c:v>
                </c:pt>
                <c:pt idx="4">
                  <c:v>1</c:v>
                </c:pt>
                <c:pt idx="5">
                  <c:v>2</c:v>
                </c:pt>
                <c:pt idx="6">
                  <c:v>3</c:v>
                </c:pt>
                <c:pt idx="7">
                  <c:v>4</c:v>
                </c:pt>
                <c:pt idx="8">
                  <c:v>5</c:v>
                </c:pt>
                <c:pt idx="9">
                  <c:v>6</c:v>
                </c:pt>
                <c:pt idx="10">
                  <c:v>7</c:v>
                </c:pt>
                <c:pt idx="11">
                  <c:v>8</c:v>
                </c:pt>
                <c:pt idx="12">
                  <c:v>9</c:v>
                </c:pt>
                <c:pt idx="13">
                  <c:v>10</c:v>
                </c:pt>
              </c:numCache>
            </c:numRef>
          </c:cat>
          <c:val>
            <c:numRef>
              <c:f>'WORKINGS BULL UPGRAGE'!$P$50:$P$63</c:f>
              <c:numCache>
                <c:formatCode>General</c:formatCode>
                <c:ptCount val="14"/>
                <c:pt idx="0">
                  <c:v>0</c:v>
                </c:pt>
                <c:pt idx="1">
                  <c:v>3.3000000000000002E-2</c:v>
                </c:pt>
                <c:pt idx="2">
                  <c:v>9.4E-2</c:v>
                </c:pt>
                <c:pt idx="3">
                  <c:v>0.59</c:v>
                </c:pt>
                <c:pt idx="4">
                  <c:v>0.86099999999999999</c:v>
                </c:pt>
                <c:pt idx="5">
                  <c:v>0.873</c:v>
                </c:pt>
                <c:pt idx="6">
                  <c:v>0.86299999999999999</c:v>
                </c:pt>
                <c:pt idx="7">
                  <c:v>0.81399999999999995</c:v>
                </c:pt>
                <c:pt idx="8">
                  <c:v>0.81399999999999995</c:v>
                </c:pt>
                <c:pt idx="9">
                  <c:v>0.748</c:v>
                </c:pt>
                <c:pt idx="10">
                  <c:v>0.55299999999999994</c:v>
                </c:pt>
                <c:pt idx="11">
                  <c:v>0.60699999999999998</c:v>
                </c:pt>
                <c:pt idx="12">
                  <c:v>0.51200000000000001</c:v>
                </c:pt>
                <c:pt idx="13">
                  <c:v>0.52400000000000002</c:v>
                </c:pt>
              </c:numCache>
            </c:numRef>
          </c:val>
          <c:smooth val="0"/>
          <c:extLst>
            <c:ext xmlns:c16="http://schemas.microsoft.com/office/drawing/2014/chart" uri="{C3380CC4-5D6E-409C-BE32-E72D297353CC}">
              <c16:uniqueId val="{00000000-0BED-4A4F-AD04-B8DE8C493A3F}"/>
            </c:ext>
          </c:extLst>
        </c:ser>
        <c:dLbls>
          <c:showLegendKey val="0"/>
          <c:showVal val="0"/>
          <c:showCatName val="0"/>
          <c:showSerName val="0"/>
          <c:showPercent val="0"/>
          <c:showBubbleSize val="0"/>
        </c:dLbls>
        <c:marker val="1"/>
        <c:smooth val="0"/>
        <c:axId val="57607647"/>
        <c:axId val="124356191"/>
      </c:lineChart>
      <c:catAx>
        <c:axId val="576076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Event</a:t>
                </a:r>
                <a:r>
                  <a:rPr lang="en-US" sz="900" baseline="0">
                    <a:latin typeface="Times New Roman" panose="02020603050405020304" pitchFamily="18" charset="0"/>
                    <a:cs typeface="Times New Roman" panose="02020603050405020304" pitchFamily="18" charset="0"/>
                  </a:rPr>
                  <a:t> d</a:t>
                </a:r>
                <a:r>
                  <a:rPr lang="en-US" sz="900">
                    <a:latin typeface="Times New Roman" panose="02020603050405020304" pitchFamily="18" charset="0"/>
                    <a:cs typeface="Times New Roman" panose="02020603050405020304" pitchFamily="18" charset="0"/>
                  </a:rPr>
                  <a:t>ays</a:t>
                </a:r>
              </a:p>
            </c:rich>
          </c:tx>
          <c:layout>
            <c:manualLayout>
              <c:xMode val="edge"/>
              <c:yMode val="edge"/>
              <c:x val="0.79318191947704653"/>
              <c:y val="0.819718508340819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56191"/>
        <c:crosses val="autoZero"/>
        <c:auto val="1"/>
        <c:lblAlgn val="ctr"/>
        <c:lblOffset val="100"/>
        <c:noMultiLvlLbl val="0"/>
      </c:catAx>
      <c:valAx>
        <c:axId val="124356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CAR (%)</a:t>
                </a:r>
              </a:p>
            </c:rich>
          </c:tx>
          <c:layout>
            <c:manualLayout>
              <c:xMode val="edge"/>
              <c:yMode val="edge"/>
              <c:x val="7.5471698113207544E-2"/>
              <c:y val="0.3204822551543473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07647"/>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100">
                <a:latin typeface="Times New Roman" panose="02020603050405020304" pitchFamily="18" charset="0"/>
                <a:cs typeface="Times New Roman" panose="02020603050405020304" pitchFamily="18" charset="0"/>
              </a:rPr>
              <a:t>Figure 1.2 MM: Bulish</a:t>
            </a:r>
            <a:r>
              <a:rPr lang="en-GB" sz="1100" baseline="0">
                <a:latin typeface="Times New Roman" panose="02020603050405020304" pitchFamily="18" charset="0"/>
                <a:cs typeface="Times New Roman" panose="02020603050405020304" pitchFamily="18" charset="0"/>
              </a:rPr>
              <a:t> - </a:t>
            </a:r>
            <a:r>
              <a:rPr lang="en-GB" sz="1100">
                <a:latin typeface="Times New Roman" panose="02020603050405020304" pitchFamily="18" charset="0"/>
                <a:cs typeface="Times New Roman" panose="02020603050405020304" pitchFamily="18" charset="0"/>
              </a:rPr>
              <a:t>Downdrages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1"/>
          <c:order val="0"/>
          <c:tx>
            <c:strRef>
              <c:f>'WORKING BULL DOWGRAGE'!$F$101</c:f>
              <c:strCache>
                <c:ptCount val="1"/>
                <c:pt idx="0">
                  <c:v>CAR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'WORKING BULL DOWGRAGE'!$D$102:$D$115</c:f>
              <c:numCache>
                <c:formatCode>General</c:formatCode>
                <c:ptCount val="14"/>
                <c:pt idx="1">
                  <c:v>-2</c:v>
                </c:pt>
                <c:pt idx="2">
                  <c:v>-1</c:v>
                </c:pt>
                <c:pt idx="3">
                  <c:v>0</c:v>
                </c:pt>
                <c:pt idx="4">
                  <c:v>1</c:v>
                </c:pt>
                <c:pt idx="5">
                  <c:v>2</c:v>
                </c:pt>
                <c:pt idx="6">
                  <c:v>3</c:v>
                </c:pt>
                <c:pt idx="7">
                  <c:v>4</c:v>
                </c:pt>
                <c:pt idx="8">
                  <c:v>5</c:v>
                </c:pt>
                <c:pt idx="9">
                  <c:v>6</c:v>
                </c:pt>
                <c:pt idx="10">
                  <c:v>7</c:v>
                </c:pt>
                <c:pt idx="11">
                  <c:v>8</c:v>
                </c:pt>
                <c:pt idx="12">
                  <c:v>9</c:v>
                </c:pt>
                <c:pt idx="13">
                  <c:v>10</c:v>
                </c:pt>
              </c:numCache>
            </c:numRef>
          </c:cat>
          <c:val>
            <c:numRef>
              <c:f>'WORKING BULL DOWGRAGE'!$F$102:$F$115</c:f>
              <c:numCache>
                <c:formatCode>General</c:formatCode>
                <c:ptCount val="14"/>
                <c:pt idx="0">
                  <c:v>0</c:v>
                </c:pt>
                <c:pt idx="1">
                  <c:v>-8.4000000000000005E-2</c:v>
                </c:pt>
                <c:pt idx="2">
                  <c:v>-0.19900000000000001</c:v>
                </c:pt>
                <c:pt idx="3">
                  <c:v>-0.57099999999999995</c:v>
                </c:pt>
                <c:pt idx="4">
                  <c:v>-0.90500000000000003</c:v>
                </c:pt>
                <c:pt idx="5">
                  <c:v>-1.194</c:v>
                </c:pt>
                <c:pt idx="6">
                  <c:v>-1.1930000000000001</c:v>
                </c:pt>
                <c:pt idx="7">
                  <c:v>-1.375</c:v>
                </c:pt>
                <c:pt idx="8">
                  <c:v>-1.3859999999999999</c:v>
                </c:pt>
                <c:pt idx="9">
                  <c:v>-1.4329999999999998</c:v>
                </c:pt>
                <c:pt idx="10">
                  <c:v>-1.3099999999999998</c:v>
                </c:pt>
                <c:pt idx="11">
                  <c:v>-1.6319999999999999</c:v>
                </c:pt>
                <c:pt idx="12">
                  <c:v>-1.835</c:v>
                </c:pt>
                <c:pt idx="13">
                  <c:v>-1.8599999999999999</c:v>
                </c:pt>
              </c:numCache>
            </c:numRef>
          </c:val>
          <c:smooth val="0"/>
          <c:extLst>
            <c:ext xmlns:c16="http://schemas.microsoft.com/office/drawing/2014/chart" uri="{C3380CC4-5D6E-409C-BE32-E72D297353CC}">
              <c16:uniqueId val="{00000000-7C55-DC4E-B4D1-45BA503E5B7F}"/>
            </c:ext>
          </c:extLst>
        </c:ser>
        <c:dLbls>
          <c:showLegendKey val="0"/>
          <c:showVal val="0"/>
          <c:showCatName val="0"/>
          <c:showSerName val="0"/>
          <c:showPercent val="0"/>
          <c:showBubbleSize val="0"/>
        </c:dLbls>
        <c:marker val="1"/>
        <c:smooth val="0"/>
        <c:axId val="1173553215"/>
        <c:axId val="1128010351"/>
      </c:lineChart>
      <c:catAx>
        <c:axId val="11735532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Even</a:t>
                </a:r>
                <a:r>
                  <a:rPr lang="en-US" sz="900" baseline="0">
                    <a:latin typeface="Times New Roman" panose="02020603050405020304" pitchFamily="18" charset="0"/>
                    <a:cs typeface="Times New Roman" panose="02020603050405020304" pitchFamily="18" charset="0"/>
                  </a:rPr>
                  <a:t>t days</a:t>
                </a:r>
                <a:endParaRPr lang="en-US" sz="900">
                  <a:latin typeface="Times New Roman" panose="02020603050405020304" pitchFamily="18" charset="0"/>
                  <a:cs typeface="Times New Roman" panose="02020603050405020304" pitchFamily="18" charset="0"/>
                </a:endParaRPr>
              </a:p>
            </c:rich>
          </c:tx>
          <c:layout>
            <c:manualLayout>
              <c:xMode val="edge"/>
              <c:yMode val="edge"/>
              <c:x val="0.72503165389404278"/>
              <c:y val="0.1337917480314960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010351"/>
        <c:crosses val="autoZero"/>
        <c:auto val="1"/>
        <c:lblAlgn val="ctr"/>
        <c:lblOffset val="100"/>
        <c:noMultiLvlLbl val="0"/>
      </c:catAx>
      <c:valAx>
        <c:axId val="11280103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CAR</a:t>
                </a:r>
                <a:r>
                  <a:rPr lang="en-US" sz="900" baseline="0">
                    <a:latin typeface="Times New Roman" panose="02020603050405020304" pitchFamily="18" charset="0"/>
                    <a:cs typeface="Times New Roman" panose="02020603050405020304" pitchFamily="18" charset="0"/>
                  </a:rPr>
                  <a:t> (%)</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3553215"/>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1.3 MM:</a:t>
            </a:r>
            <a:r>
              <a:rPr lang="en-US" sz="1100" baseline="0">
                <a:latin typeface="Times New Roman" panose="02020603050405020304" pitchFamily="18" charset="0"/>
                <a:cs typeface="Times New Roman" panose="02020603050405020304" pitchFamily="18" charset="0"/>
              </a:rPr>
              <a:t> </a:t>
            </a:r>
            <a:r>
              <a:rPr lang="en-US" sz="1100">
                <a:latin typeface="Times New Roman" panose="02020603050405020304" pitchFamily="18" charset="0"/>
                <a:cs typeface="Times New Roman" panose="02020603050405020304" pitchFamily="18" charset="0"/>
              </a:rPr>
              <a:t>Bearish</a:t>
            </a:r>
            <a:r>
              <a:rPr lang="en-US" sz="1100" baseline="0">
                <a:latin typeface="Times New Roman" panose="02020603050405020304" pitchFamily="18" charset="0"/>
                <a:cs typeface="Times New Roman" panose="02020603050405020304" pitchFamily="18" charset="0"/>
              </a:rPr>
              <a:t> - Upgrade</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1"/>
          <c:order val="0"/>
          <c:tx>
            <c:strRef>
              <c:f>'Working Bearish Upgrade'!$D$103</c:f>
              <c:strCache>
                <c:ptCount val="1"/>
                <c:pt idx="0">
                  <c:v>CAR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'Working Bearish Upgrade'!$B$104:$B$117</c:f>
              <c:numCache>
                <c:formatCode>General</c:formatCode>
                <c:ptCount val="14"/>
                <c:pt idx="1">
                  <c:v>-2</c:v>
                </c:pt>
                <c:pt idx="2">
                  <c:v>-1</c:v>
                </c:pt>
                <c:pt idx="3">
                  <c:v>0</c:v>
                </c:pt>
                <c:pt idx="4">
                  <c:v>1</c:v>
                </c:pt>
                <c:pt idx="5">
                  <c:v>2</c:v>
                </c:pt>
                <c:pt idx="6">
                  <c:v>3</c:v>
                </c:pt>
                <c:pt idx="7">
                  <c:v>4</c:v>
                </c:pt>
                <c:pt idx="8">
                  <c:v>5</c:v>
                </c:pt>
                <c:pt idx="9">
                  <c:v>6</c:v>
                </c:pt>
                <c:pt idx="10">
                  <c:v>7</c:v>
                </c:pt>
                <c:pt idx="11">
                  <c:v>8</c:v>
                </c:pt>
                <c:pt idx="12">
                  <c:v>9</c:v>
                </c:pt>
                <c:pt idx="13">
                  <c:v>10</c:v>
                </c:pt>
              </c:numCache>
            </c:numRef>
          </c:cat>
          <c:val>
            <c:numRef>
              <c:f>'Working Bearish Upgrade'!$D$104:$D$117</c:f>
              <c:numCache>
                <c:formatCode>General</c:formatCode>
                <c:ptCount val="14"/>
                <c:pt idx="0">
                  <c:v>0</c:v>
                </c:pt>
                <c:pt idx="1">
                  <c:v>-0.27400000000000002</c:v>
                </c:pt>
                <c:pt idx="2">
                  <c:v>-3.3000000000000029E-2</c:v>
                </c:pt>
                <c:pt idx="3">
                  <c:v>0.19499999999999998</c:v>
                </c:pt>
                <c:pt idx="4">
                  <c:v>0.53899999999999992</c:v>
                </c:pt>
                <c:pt idx="5">
                  <c:v>0.7589999999999999</c:v>
                </c:pt>
                <c:pt idx="6">
                  <c:v>0.82099999999999995</c:v>
                </c:pt>
                <c:pt idx="7">
                  <c:v>1.141</c:v>
                </c:pt>
                <c:pt idx="8">
                  <c:v>1.2629999999999999</c:v>
                </c:pt>
                <c:pt idx="9">
                  <c:v>1.125</c:v>
                </c:pt>
                <c:pt idx="10">
                  <c:v>1.1579999999999999</c:v>
                </c:pt>
                <c:pt idx="11">
                  <c:v>1.0179999999999998</c:v>
                </c:pt>
                <c:pt idx="12">
                  <c:v>1.1489999999999998</c:v>
                </c:pt>
                <c:pt idx="13">
                  <c:v>1.1159999999999999</c:v>
                </c:pt>
              </c:numCache>
            </c:numRef>
          </c:val>
          <c:smooth val="0"/>
          <c:extLst>
            <c:ext xmlns:c16="http://schemas.microsoft.com/office/drawing/2014/chart" uri="{C3380CC4-5D6E-409C-BE32-E72D297353CC}">
              <c16:uniqueId val="{00000000-4131-9E4E-A608-C45C2866AEA2}"/>
            </c:ext>
          </c:extLst>
        </c:ser>
        <c:dLbls>
          <c:showLegendKey val="0"/>
          <c:showVal val="0"/>
          <c:showCatName val="0"/>
          <c:showSerName val="0"/>
          <c:showPercent val="0"/>
          <c:showBubbleSize val="0"/>
        </c:dLbls>
        <c:marker val="1"/>
        <c:smooth val="0"/>
        <c:axId val="1129235711"/>
        <c:axId val="282474799"/>
      </c:lineChart>
      <c:catAx>
        <c:axId val="11292357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Event days</a:t>
                </a:r>
              </a:p>
            </c:rich>
          </c:tx>
          <c:layout>
            <c:manualLayout>
              <c:xMode val="edge"/>
              <c:yMode val="edge"/>
              <c:x val="0.71943210518496503"/>
              <c:y val="0.617607842247384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2474799"/>
        <c:crosses val="autoZero"/>
        <c:auto val="1"/>
        <c:lblAlgn val="ctr"/>
        <c:lblOffset val="100"/>
        <c:noMultiLvlLbl val="0"/>
      </c:catAx>
      <c:valAx>
        <c:axId val="2824747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CAR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9235711"/>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Figure 1.4 MM</a:t>
            </a:r>
            <a:r>
              <a:rPr lang="en-US" sz="1100" baseline="0">
                <a:latin typeface="Times New Roman" panose="02020603050405020304" pitchFamily="18" charset="0"/>
                <a:cs typeface="Times New Roman" panose="02020603050405020304" pitchFamily="18" charset="0"/>
              </a:rPr>
              <a:t>: </a:t>
            </a:r>
            <a:r>
              <a:rPr lang="en-US" sz="1100">
                <a:latin typeface="Times New Roman" panose="02020603050405020304" pitchFamily="18" charset="0"/>
                <a:cs typeface="Times New Roman" panose="02020603050405020304" pitchFamily="18" charset="0"/>
              </a:rPr>
              <a:t>Bearish</a:t>
            </a:r>
            <a:r>
              <a:rPr lang="en-US" sz="1100" baseline="0">
                <a:latin typeface="Times New Roman" panose="02020603050405020304" pitchFamily="18" charset="0"/>
                <a:cs typeface="Times New Roman" panose="02020603050405020304" pitchFamily="18" charset="0"/>
              </a:rPr>
              <a:t> - Downgrades</a:t>
            </a:r>
            <a:endParaRPr lang="en-US" sz="1100">
              <a:latin typeface="Times New Roman" panose="02020603050405020304" pitchFamily="18" charset="0"/>
              <a:cs typeface="Times New Roman" panose="02020603050405020304" pitchFamily="18" charset="0"/>
            </a:endParaRPr>
          </a:p>
        </c:rich>
      </c:tx>
      <c:layout>
        <c:manualLayout>
          <c:xMode val="edge"/>
          <c:yMode val="edge"/>
          <c:x val="0.13277165354330706"/>
          <c:y val="4.597701149425287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1"/>
          <c:order val="0"/>
          <c:tx>
            <c:strRef>
              <c:f>'WORKING BEARISH DOWNGRADE'!$D$94</c:f>
              <c:strCache>
                <c:ptCount val="1"/>
                <c:pt idx="0">
                  <c:v>CAR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'WORKING BEARISH DOWNGRADE'!$B$95:$B$108</c:f>
              <c:numCache>
                <c:formatCode>General</c:formatCode>
                <c:ptCount val="14"/>
                <c:pt idx="1">
                  <c:v>-2</c:v>
                </c:pt>
                <c:pt idx="2">
                  <c:v>-1</c:v>
                </c:pt>
                <c:pt idx="3">
                  <c:v>0</c:v>
                </c:pt>
                <c:pt idx="4">
                  <c:v>1</c:v>
                </c:pt>
                <c:pt idx="5">
                  <c:v>2</c:v>
                </c:pt>
                <c:pt idx="6">
                  <c:v>3</c:v>
                </c:pt>
                <c:pt idx="7">
                  <c:v>4</c:v>
                </c:pt>
                <c:pt idx="8">
                  <c:v>5</c:v>
                </c:pt>
                <c:pt idx="9">
                  <c:v>6</c:v>
                </c:pt>
                <c:pt idx="10">
                  <c:v>7</c:v>
                </c:pt>
                <c:pt idx="11">
                  <c:v>8</c:v>
                </c:pt>
                <c:pt idx="12">
                  <c:v>9</c:v>
                </c:pt>
                <c:pt idx="13">
                  <c:v>10</c:v>
                </c:pt>
              </c:numCache>
            </c:numRef>
          </c:cat>
          <c:val>
            <c:numRef>
              <c:f>'WORKING BEARISH DOWNGRADE'!$D$95:$D$108</c:f>
              <c:numCache>
                <c:formatCode>General</c:formatCode>
                <c:ptCount val="14"/>
                <c:pt idx="0">
                  <c:v>0</c:v>
                </c:pt>
                <c:pt idx="1">
                  <c:v>0.127</c:v>
                </c:pt>
                <c:pt idx="2">
                  <c:v>0.26100000000000001</c:v>
                </c:pt>
                <c:pt idx="3">
                  <c:v>-0.56299999999999994</c:v>
                </c:pt>
                <c:pt idx="4">
                  <c:v>-0.97099999999999986</c:v>
                </c:pt>
                <c:pt idx="5">
                  <c:v>-1.218</c:v>
                </c:pt>
                <c:pt idx="6">
                  <c:v>-1.2869999999999999</c:v>
                </c:pt>
                <c:pt idx="7">
                  <c:v>-1.1629999999999998</c:v>
                </c:pt>
                <c:pt idx="8">
                  <c:v>-1.0139999999999998</c:v>
                </c:pt>
                <c:pt idx="9">
                  <c:v>-1.1799999999999997</c:v>
                </c:pt>
                <c:pt idx="10">
                  <c:v>-1.4469999999999996</c:v>
                </c:pt>
                <c:pt idx="11">
                  <c:v>-1.8189999999999995</c:v>
                </c:pt>
                <c:pt idx="12">
                  <c:v>-1.7209999999999994</c:v>
                </c:pt>
                <c:pt idx="13">
                  <c:v>-1.6379999999999995</c:v>
                </c:pt>
              </c:numCache>
            </c:numRef>
          </c:val>
          <c:smooth val="0"/>
          <c:extLst>
            <c:ext xmlns:c16="http://schemas.microsoft.com/office/drawing/2014/chart" uri="{C3380CC4-5D6E-409C-BE32-E72D297353CC}">
              <c16:uniqueId val="{00000000-63CB-AD4B-9B0E-6ECB01BAFF48}"/>
            </c:ext>
          </c:extLst>
        </c:ser>
        <c:dLbls>
          <c:showLegendKey val="0"/>
          <c:showVal val="0"/>
          <c:showCatName val="0"/>
          <c:showSerName val="0"/>
          <c:showPercent val="0"/>
          <c:showBubbleSize val="0"/>
        </c:dLbls>
        <c:marker val="1"/>
        <c:smooth val="0"/>
        <c:axId val="1177859519"/>
        <c:axId val="1177623919"/>
      </c:lineChart>
      <c:catAx>
        <c:axId val="11778595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Event days</a:t>
                </a:r>
              </a:p>
            </c:rich>
          </c:tx>
          <c:layout>
            <c:manualLayout>
              <c:xMode val="edge"/>
              <c:yMode val="edge"/>
              <c:x val="0.75878089695309825"/>
              <c:y val="0.2508905783328808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623919"/>
        <c:crosses val="autoZero"/>
        <c:auto val="1"/>
        <c:lblAlgn val="ctr"/>
        <c:lblOffset val="100"/>
        <c:noMultiLvlLbl val="0"/>
      </c:catAx>
      <c:valAx>
        <c:axId val="11776239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CAR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859519"/>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GB" sz="1100">
                <a:latin typeface="Times New Roman" panose="02020603050405020304" pitchFamily="18" charset="0"/>
                <a:cs typeface="Times New Roman" panose="02020603050405020304" pitchFamily="18" charset="0"/>
              </a:rPr>
              <a:t>Figure 2.1 </a:t>
            </a:r>
          </a:p>
          <a:p>
            <a:pPr>
              <a:defRPr/>
            </a:pPr>
            <a:r>
              <a:rPr lang="en-GB" sz="1100">
                <a:latin typeface="Times New Roman" panose="02020603050405020304" pitchFamily="18" charset="0"/>
                <a:cs typeface="Times New Roman" panose="02020603050405020304" pitchFamily="18" charset="0"/>
              </a:rPr>
              <a:t>FF 3 Factor:</a:t>
            </a:r>
            <a:r>
              <a:rPr lang="en-GB" sz="1100" baseline="0">
                <a:latin typeface="Times New Roman" panose="02020603050405020304" pitchFamily="18" charset="0"/>
                <a:cs typeface="Times New Roman" panose="02020603050405020304" pitchFamily="18" charset="0"/>
              </a:rPr>
              <a:t> </a:t>
            </a:r>
            <a:r>
              <a:rPr lang="en-GB" sz="1100">
                <a:latin typeface="Times New Roman" panose="02020603050405020304" pitchFamily="18" charset="0"/>
                <a:cs typeface="Times New Roman" panose="02020603050405020304" pitchFamily="18" charset="0"/>
              </a:rPr>
              <a:t>Bullish - Upgrade</a:t>
            </a:r>
          </a:p>
        </c:rich>
      </c:tx>
      <c:layout>
        <c:manualLayout>
          <c:xMode val="edge"/>
          <c:yMode val="edge"/>
          <c:x val="0.16919981472904122"/>
          <c:y val="2.7472527472527472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023524986957521E-2"/>
          <c:y val="0.20379120879120882"/>
          <c:w val="0.87118910983584674"/>
          <c:h val="0.54305831963312279"/>
        </c:manualLayout>
      </c:layout>
      <c:lineChart>
        <c:grouping val="stacked"/>
        <c:varyColors val="0"/>
        <c:ser>
          <c:idx val="1"/>
          <c:order val="0"/>
          <c:tx>
            <c:strRef>
              <c:f>'WORKINGS BULL UPGRAGE'!$C$50</c:f>
              <c:strCache>
                <c:ptCount val="1"/>
                <c:pt idx="0">
                  <c:v>CAR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'WORKINGS BULL UPGRAGE'!$A$51:$A$64</c:f>
              <c:numCache>
                <c:formatCode>General</c:formatCode>
                <c:ptCount val="14"/>
                <c:pt idx="1">
                  <c:v>-2</c:v>
                </c:pt>
                <c:pt idx="2">
                  <c:v>-1</c:v>
                </c:pt>
                <c:pt idx="3">
                  <c:v>0</c:v>
                </c:pt>
                <c:pt idx="4">
                  <c:v>1</c:v>
                </c:pt>
                <c:pt idx="5">
                  <c:v>2</c:v>
                </c:pt>
                <c:pt idx="6">
                  <c:v>3</c:v>
                </c:pt>
                <c:pt idx="7">
                  <c:v>4</c:v>
                </c:pt>
                <c:pt idx="8">
                  <c:v>5</c:v>
                </c:pt>
                <c:pt idx="9">
                  <c:v>6</c:v>
                </c:pt>
                <c:pt idx="10">
                  <c:v>7</c:v>
                </c:pt>
                <c:pt idx="11">
                  <c:v>8</c:v>
                </c:pt>
                <c:pt idx="12">
                  <c:v>9</c:v>
                </c:pt>
                <c:pt idx="13">
                  <c:v>10</c:v>
                </c:pt>
              </c:numCache>
            </c:numRef>
          </c:cat>
          <c:val>
            <c:numRef>
              <c:f>'WORKINGS BULL UPGRAGE'!$C$51:$C$64</c:f>
              <c:numCache>
                <c:formatCode>General</c:formatCode>
                <c:ptCount val="14"/>
                <c:pt idx="0">
                  <c:v>0</c:v>
                </c:pt>
                <c:pt idx="1">
                  <c:v>3.2000000000000001E-2</c:v>
                </c:pt>
                <c:pt idx="2">
                  <c:v>8.8999999999999996E-2</c:v>
                </c:pt>
                <c:pt idx="3">
                  <c:v>0.39900000000000002</c:v>
                </c:pt>
                <c:pt idx="4">
                  <c:v>0.57699999999999996</c:v>
                </c:pt>
                <c:pt idx="5">
                  <c:v>0.60599999999999998</c:v>
                </c:pt>
                <c:pt idx="6">
                  <c:v>0.56799999999999995</c:v>
                </c:pt>
                <c:pt idx="7">
                  <c:v>0.52299999999999991</c:v>
                </c:pt>
                <c:pt idx="8">
                  <c:v>0.57299999999999995</c:v>
                </c:pt>
                <c:pt idx="9">
                  <c:v>0.60899999999999999</c:v>
                </c:pt>
                <c:pt idx="10">
                  <c:v>0.57099999999999995</c:v>
                </c:pt>
                <c:pt idx="11">
                  <c:v>0.58499999999999996</c:v>
                </c:pt>
                <c:pt idx="12">
                  <c:v>0.49399999999999999</c:v>
                </c:pt>
                <c:pt idx="13">
                  <c:v>0.63100000000000001</c:v>
                </c:pt>
              </c:numCache>
            </c:numRef>
          </c:val>
          <c:smooth val="0"/>
          <c:extLst>
            <c:ext xmlns:c16="http://schemas.microsoft.com/office/drawing/2014/chart" uri="{C3380CC4-5D6E-409C-BE32-E72D297353CC}">
              <c16:uniqueId val="{00000000-E006-4381-A814-6005F0709203}"/>
            </c:ext>
          </c:extLst>
        </c:ser>
        <c:dLbls>
          <c:showLegendKey val="0"/>
          <c:showVal val="0"/>
          <c:showCatName val="0"/>
          <c:showSerName val="0"/>
          <c:showPercent val="0"/>
          <c:showBubbleSize val="0"/>
        </c:dLbls>
        <c:marker val="1"/>
        <c:smooth val="0"/>
        <c:axId val="273537295"/>
        <c:axId val="274753007"/>
      </c:lineChart>
      <c:catAx>
        <c:axId val="273537295"/>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Event days</a:t>
                </a:r>
              </a:p>
            </c:rich>
          </c:tx>
          <c:layout>
            <c:manualLayout>
              <c:xMode val="edge"/>
              <c:yMode val="edge"/>
              <c:x val="0.42545104214914314"/>
              <c:y val="0.868590551181102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74753007"/>
        <c:crosses val="autoZero"/>
        <c:auto val="1"/>
        <c:lblAlgn val="ctr"/>
        <c:lblOffset val="100"/>
        <c:noMultiLvlLbl val="0"/>
      </c:catAx>
      <c:valAx>
        <c:axId val="2747530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CAR (%)</a:t>
                </a:r>
              </a:p>
            </c:rich>
          </c:tx>
          <c:layout>
            <c:manualLayout>
              <c:xMode val="edge"/>
              <c:yMode val="edge"/>
              <c:x val="6.5882352941176475E-2"/>
              <c:y val="0.2975148731408573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73537295"/>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0" i="0" u="none" strike="noStrike" baseline="0">
                <a:effectLst/>
                <a:latin typeface="Times New Roman" panose="02020603050405020304" pitchFamily="18" charset="0"/>
                <a:cs typeface="Times New Roman" panose="02020603050405020304" pitchFamily="18" charset="0"/>
              </a:rPr>
              <a:t>Figure 2.2 </a:t>
            </a:r>
          </a:p>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FF 3 Factor</a:t>
            </a:r>
            <a:r>
              <a:rPr lang="en-US" sz="1100" baseline="0">
                <a:latin typeface="Times New Roman" panose="02020603050405020304" pitchFamily="18" charset="0"/>
                <a:cs typeface="Times New Roman" panose="02020603050405020304" pitchFamily="18" charset="0"/>
              </a:rPr>
              <a:t>: Bullish - Downgrade</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1"/>
          <c:order val="0"/>
          <c:tx>
            <c:strRef>
              <c:f>'WORKING BULL DOWGRAGE'!$F$52</c:f>
              <c:strCache>
                <c:ptCount val="1"/>
                <c:pt idx="0">
                  <c:v>CAR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'WORKING BULL DOWGRAGE'!$D$53:$D$66</c:f>
              <c:numCache>
                <c:formatCode>General</c:formatCode>
                <c:ptCount val="14"/>
                <c:pt idx="1">
                  <c:v>-2</c:v>
                </c:pt>
                <c:pt idx="2">
                  <c:v>-1</c:v>
                </c:pt>
                <c:pt idx="3">
                  <c:v>0</c:v>
                </c:pt>
                <c:pt idx="4">
                  <c:v>1</c:v>
                </c:pt>
                <c:pt idx="5">
                  <c:v>2</c:v>
                </c:pt>
                <c:pt idx="6">
                  <c:v>3</c:v>
                </c:pt>
                <c:pt idx="7">
                  <c:v>4</c:v>
                </c:pt>
                <c:pt idx="8">
                  <c:v>5</c:v>
                </c:pt>
                <c:pt idx="9">
                  <c:v>6</c:v>
                </c:pt>
                <c:pt idx="10">
                  <c:v>7</c:v>
                </c:pt>
                <c:pt idx="11">
                  <c:v>8</c:v>
                </c:pt>
                <c:pt idx="12">
                  <c:v>9</c:v>
                </c:pt>
                <c:pt idx="13">
                  <c:v>10</c:v>
                </c:pt>
              </c:numCache>
            </c:numRef>
          </c:cat>
          <c:val>
            <c:numRef>
              <c:f>'WORKING BULL DOWGRAGE'!$F$53:$F$66</c:f>
              <c:numCache>
                <c:formatCode>General</c:formatCode>
                <c:ptCount val="14"/>
                <c:pt idx="0">
                  <c:v>0</c:v>
                </c:pt>
                <c:pt idx="1">
                  <c:v>-4.8000000000000001E-2</c:v>
                </c:pt>
                <c:pt idx="2">
                  <c:v>-0.53400000000000003</c:v>
                </c:pt>
                <c:pt idx="3">
                  <c:v>-0.23100000000000004</c:v>
                </c:pt>
                <c:pt idx="4">
                  <c:v>-0.55700000000000005</c:v>
                </c:pt>
                <c:pt idx="5">
                  <c:v>-1.2810000000000001</c:v>
                </c:pt>
                <c:pt idx="6">
                  <c:v>-1.0900000000000001</c:v>
                </c:pt>
                <c:pt idx="7">
                  <c:v>-0.72100000000000009</c:v>
                </c:pt>
                <c:pt idx="8">
                  <c:v>0.18099999999999994</c:v>
                </c:pt>
                <c:pt idx="9">
                  <c:v>-6.4000000000000057E-2</c:v>
                </c:pt>
                <c:pt idx="10">
                  <c:v>-0.89500000000000002</c:v>
                </c:pt>
                <c:pt idx="11">
                  <c:v>-1.3340000000000001</c:v>
                </c:pt>
                <c:pt idx="12">
                  <c:v>-1.5</c:v>
                </c:pt>
                <c:pt idx="13">
                  <c:v>-2.2989999999999999</c:v>
                </c:pt>
              </c:numCache>
            </c:numRef>
          </c:val>
          <c:smooth val="0"/>
          <c:extLst>
            <c:ext xmlns:c16="http://schemas.microsoft.com/office/drawing/2014/chart" uri="{C3380CC4-5D6E-409C-BE32-E72D297353CC}">
              <c16:uniqueId val="{00000000-3E40-4213-B242-5EFBE65A666C}"/>
            </c:ext>
          </c:extLst>
        </c:ser>
        <c:dLbls>
          <c:showLegendKey val="0"/>
          <c:showVal val="0"/>
          <c:showCatName val="0"/>
          <c:showSerName val="0"/>
          <c:showPercent val="0"/>
          <c:showBubbleSize val="0"/>
        </c:dLbls>
        <c:marker val="1"/>
        <c:smooth val="0"/>
        <c:axId val="1129087087"/>
        <c:axId val="1166387343"/>
      </c:lineChart>
      <c:catAx>
        <c:axId val="11290870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Event days</a:t>
                </a:r>
                <a:endParaRPr lang="en-US">
                  <a:latin typeface="Times New Roman" panose="02020603050405020304" pitchFamily="18" charset="0"/>
                  <a:cs typeface="Times New Roman" panose="02020603050405020304" pitchFamily="18" charset="0"/>
                </a:endParaRPr>
              </a:p>
            </c:rich>
          </c:tx>
          <c:layout>
            <c:manualLayout>
              <c:xMode val="edge"/>
              <c:yMode val="edge"/>
              <c:x val="0.74691817003887173"/>
              <c:y val="0.277065782750533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6387343"/>
        <c:crosses val="autoZero"/>
        <c:auto val="1"/>
        <c:lblAlgn val="ctr"/>
        <c:lblOffset val="100"/>
        <c:noMultiLvlLbl val="0"/>
      </c:catAx>
      <c:valAx>
        <c:axId val="11663873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CAR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9087087"/>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Figure</a:t>
            </a:r>
            <a:r>
              <a:rPr lang="en-US" sz="1100" baseline="0">
                <a:latin typeface="Times New Roman" panose="02020603050405020304" pitchFamily="18" charset="0"/>
                <a:cs typeface="Times New Roman" panose="02020603050405020304" pitchFamily="18" charset="0"/>
              </a:rPr>
              <a:t> 2.3</a:t>
            </a:r>
          </a:p>
          <a:p>
            <a:pPr>
              <a:defRPr/>
            </a:pPr>
            <a:r>
              <a:rPr lang="en-US" sz="1100">
                <a:latin typeface="Times New Roman" panose="02020603050405020304" pitchFamily="18" charset="0"/>
                <a:cs typeface="Times New Roman" panose="02020603050405020304" pitchFamily="18" charset="0"/>
              </a:rPr>
              <a:t>FF 3</a:t>
            </a:r>
            <a:r>
              <a:rPr lang="en-US" sz="1100" baseline="0">
                <a:latin typeface="Times New Roman" panose="02020603050405020304" pitchFamily="18" charset="0"/>
                <a:cs typeface="Times New Roman" panose="02020603050405020304" pitchFamily="18" charset="0"/>
              </a:rPr>
              <a:t> Factor: Bearish - Upgrade</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1"/>
          <c:order val="0"/>
          <c:tx>
            <c:strRef>
              <c:f>'Working Bearish Upgrade'!$D$52</c:f>
              <c:strCache>
                <c:ptCount val="1"/>
                <c:pt idx="0">
                  <c:v>CAR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'Working Bearish Upgrade'!$B$53:$B$66</c:f>
              <c:numCache>
                <c:formatCode>General</c:formatCode>
                <c:ptCount val="14"/>
                <c:pt idx="1">
                  <c:v>-2</c:v>
                </c:pt>
                <c:pt idx="2">
                  <c:v>-1</c:v>
                </c:pt>
                <c:pt idx="3">
                  <c:v>0</c:v>
                </c:pt>
                <c:pt idx="4">
                  <c:v>1</c:v>
                </c:pt>
                <c:pt idx="5">
                  <c:v>2</c:v>
                </c:pt>
                <c:pt idx="6">
                  <c:v>3</c:v>
                </c:pt>
                <c:pt idx="7">
                  <c:v>4</c:v>
                </c:pt>
                <c:pt idx="8">
                  <c:v>5</c:v>
                </c:pt>
                <c:pt idx="9">
                  <c:v>6</c:v>
                </c:pt>
                <c:pt idx="10">
                  <c:v>7</c:v>
                </c:pt>
                <c:pt idx="11">
                  <c:v>8</c:v>
                </c:pt>
                <c:pt idx="12">
                  <c:v>9</c:v>
                </c:pt>
                <c:pt idx="13">
                  <c:v>10</c:v>
                </c:pt>
              </c:numCache>
            </c:numRef>
          </c:cat>
          <c:val>
            <c:numRef>
              <c:f>'Working Bearish Upgrade'!$D$53:$D$66</c:f>
              <c:numCache>
                <c:formatCode>General</c:formatCode>
                <c:ptCount val="14"/>
                <c:pt idx="0">
                  <c:v>0</c:v>
                </c:pt>
                <c:pt idx="1">
                  <c:v>-0.16600000000000001</c:v>
                </c:pt>
                <c:pt idx="2">
                  <c:v>-9.7000000000000003E-2</c:v>
                </c:pt>
                <c:pt idx="3">
                  <c:v>-7.6999999999999999E-2</c:v>
                </c:pt>
                <c:pt idx="4">
                  <c:v>9.799999999999999E-2</c:v>
                </c:pt>
                <c:pt idx="5">
                  <c:v>0.27699999999999997</c:v>
                </c:pt>
                <c:pt idx="6">
                  <c:v>0.31899999999999995</c:v>
                </c:pt>
                <c:pt idx="7">
                  <c:v>0.64300000000000002</c:v>
                </c:pt>
                <c:pt idx="8">
                  <c:v>0.64400000000000002</c:v>
                </c:pt>
                <c:pt idx="9">
                  <c:v>0.48099999999999998</c:v>
                </c:pt>
                <c:pt idx="10">
                  <c:v>0.49</c:v>
                </c:pt>
                <c:pt idx="11">
                  <c:v>0.43099999999999999</c:v>
                </c:pt>
                <c:pt idx="12">
                  <c:v>0.48099999999999998</c:v>
                </c:pt>
                <c:pt idx="13">
                  <c:v>0.47399999999999998</c:v>
                </c:pt>
              </c:numCache>
            </c:numRef>
          </c:val>
          <c:smooth val="0"/>
          <c:extLst>
            <c:ext xmlns:c16="http://schemas.microsoft.com/office/drawing/2014/chart" uri="{C3380CC4-5D6E-409C-BE32-E72D297353CC}">
              <c16:uniqueId val="{00000000-CCE2-4A62-97E3-AA284A0CFE6A}"/>
            </c:ext>
          </c:extLst>
        </c:ser>
        <c:dLbls>
          <c:showLegendKey val="0"/>
          <c:showVal val="0"/>
          <c:showCatName val="0"/>
          <c:showSerName val="0"/>
          <c:showPercent val="0"/>
          <c:showBubbleSize val="0"/>
        </c:dLbls>
        <c:marker val="1"/>
        <c:smooth val="0"/>
        <c:axId val="1081635711"/>
        <c:axId val="126916703"/>
      </c:lineChart>
      <c:catAx>
        <c:axId val="10816357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Event</a:t>
                </a:r>
                <a:r>
                  <a:rPr lang="en-US" sz="900" baseline="0">
                    <a:latin typeface="Times New Roman" panose="02020603050405020304" pitchFamily="18" charset="0"/>
                    <a:cs typeface="Times New Roman" panose="02020603050405020304" pitchFamily="18" charset="0"/>
                  </a:rPr>
                  <a:t> days</a:t>
                </a:r>
                <a:endParaRPr lang="en-US" sz="900">
                  <a:latin typeface="Times New Roman" panose="02020603050405020304" pitchFamily="18" charset="0"/>
                  <a:cs typeface="Times New Roman" panose="02020603050405020304" pitchFamily="18" charset="0"/>
                </a:endParaRPr>
              </a:p>
            </c:rich>
          </c:tx>
          <c:layout>
            <c:manualLayout>
              <c:xMode val="edge"/>
              <c:yMode val="edge"/>
              <c:x val="0.72731115919013278"/>
              <c:y val="0.7707218229564730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916703"/>
        <c:crosses val="autoZero"/>
        <c:auto val="1"/>
        <c:lblAlgn val="ctr"/>
        <c:lblOffset val="100"/>
        <c:noMultiLvlLbl val="0"/>
      </c:catAx>
      <c:valAx>
        <c:axId val="126916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CAR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635711"/>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Figure</a:t>
            </a:r>
            <a:r>
              <a:rPr lang="en-US" sz="1100" baseline="0">
                <a:latin typeface="Times New Roman" panose="02020603050405020304" pitchFamily="18" charset="0"/>
                <a:cs typeface="Times New Roman" panose="02020603050405020304" pitchFamily="18" charset="0"/>
              </a:rPr>
              <a:t> 2.4 </a:t>
            </a:r>
          </a:p>
          <a:p>
            <a:pPr>
              <a:defRPr/>
            </a:pPr>
            <a:r>
              <a:rPr lang="en-US" sz="1100">
                <a:latin typeface="Times New Roman" panose="02020603050405020304" pitchFamily="18" charset="0"/>
                <a:cs typeface="Times New Roman" panose="02020603050405020304" pitchFamily="18" charset="0"/>
              </a:rPr>
              <a:t>FF 3</a:t>
            </a:r>
            <a:r>
              <a:rPr lang="en-US" sz="1100" baseline="0">
                <a:latin typeface="Times New Roman" panose="02020603050405020304" pitchFamily="18" charset="0"/>
                <a:cs typeface="Times New Roman" panose="02020603050405020304" pitchFamily="18" charset="0"/>
              </a:rPr>
              <a:t> Factor: Bearish - Downgrade</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'WORKING BEARISH DOWNGRADE'!$D$50</c:f>
              <c:strCache>
                <c:ptCount val="1"/>
                <c:pt idx="0">
                  <c:v>CAR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'WORKING BEARISH DOWNGRADE'!$B$51:$B$64</c:f>
              <c:numCache>
                <c:formatCode>General</c:formatCode>
                <c:ptCount val="14"/>
                <c:pt idx="1">
                  <c:v>-2</c:v>
                </c:pt>
                <c:pt idx="2">
                  <c:v>-1</c:v>
                </c:pt>
                <c:pt idx="3">
                  <c:v>0</c:v>
                </c:pt>
                <c:pt idx="4">
                  <c:v>1</c:v>
                </c:pt>
                <c:pt idx="5">
                  <c:v>2</c:v>
                </c:pt>
                <c:pt idx="6">
                  <c:v>3</c:v>
                </c:pt>
                <c:pt idx="7">
                  <c:v>4</c:v>
                </c:pt>
                <c:pt idx="8">
                  <c:v>5</c:v>
                </c:pt>
                <c:pt idx="9">
                  <c:v>6</c:v>
                </c:pt>
                <c:pt idx="10">
                  <c:v>7</c:v>
                </c:pt>
                <c:pt idx="11">
                  <c:v>8</c:v>
                </c:pt>
                <c:pt idx="12">
                  <c:v>9</c:v>
                </c:pt>
                <c:pt idx="13">
                  <c:v>10</c:v>
                </c:pt>
              </c:numCache>
            </c:numRef>
          </c:cat>
          <c:val>
            <c:numRef>
              <c:f>'WORKING BEARISH DOWNGRADE'!$D$51:$D$64</c:f>
              <c:numCache>
                <c:formatCode>General</c:formatCode>
                <c:ptCount val="14"/>
                <c:pt idx="0">
                  <c:v>0</c:v>
                </c:pt>
                <c:pt idx="1">
                  <c:v>-1E-3</c:v>
                </c:pt>
                <c:pt idx="2">
                  <c:v>3.5999999999999997E-2</c:v>
                </c:pt>
                <c:pt idx="3">
                  <c:v>-0.51700000000000002</c:v>
                </c:pt>
                <c:pt idx="4">
                  <c:v>-0.91600000000000004</c:v>
                </c:pt>
                <c:pt idx="5">
                  <c:v>-1.1739999999999999</c:v>
                </c:pt>
                <c:pt idx="6">
                  <c:v>-1.2689999999999999</c:v>
                </c:pt>
                <c:pt idx="7">
                  <c:v>-1.1779999999999999</c:v>
                </c:pt>
                <c:pt idx="8">
                  <c:v>-1.1279999999999999</c:v>
                </c:pt>
                <c:pt idx="9">
                  <c:v>-1.2919999999999998</c:v>
                </c:pt>
                <c:pt idx="10">
                  <c:v>-1.5159999999999998</c:v>
                </c:pt>
                <c:pt idx="11">
                  <c:v>-1.7819999999999998</c:v>
                </c:pt>
                <c:pt idx="12">
                  <c:v>-1.6639999999999997</c:v>
                </c:pt>
                <c:pt idx="13">
                  <c:v>-1.6829999999999996</c:v>
                </c:pt>
              </c:numCache>
            </c:numRef>
          </c:val>
          <c:smooth val="0"/>
          <c:extLst>
            <c:ext xmlns:c16="http://schemas.microsoft.com/office/drawing/2014/chart" uri="{C3380CC4-5D6E-409C-BE32-E72D297353CC}">
              <c16:uniqueId val="{00000000-46CB-4C94-938F-1114D06994C4}"/>
            </c:ext>
          </c:extLst>
        </c:ser>
        <c:dLbls>
          <c:showLegendKey val="0"/>
          <c:showVal val="0"/>
          <c:showCatName val="0"/>
          <c:showSerName val="0"/>
          <c:showPercent val="0"/>
          <c:showBubbleSize val="0"/>
        </c:dLbls>
        <c:marker val="1"/>
        <c:smooth val="0"/>
        <c:axId val="1179247999"/>
        <c:axId val="132670143"/>
      </c:lineChart>
      <c:catAx>
        <c:axId val="11792479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Event</a:t>
                </a:r>
                <a:r>
                  <a:rPr lang="en-US" sz="900" baseline="0">
                    <a:latin typeface="Times New Roman" panose="02020603050405020304" pitchFamily="18" charset="0"/>
                    <a:cs typeface="Times New Roman" panose="02020603050405020304" pitchFamily="18" charset="0"/>
                  </a:rPr>
                  <a:t> days</a:t>
                </a:r>
                <a:endParaRPr lang="en-US" sz="900">
                  <a:latin typeface="Times New Roman" panose="02020603050405020304" pitchFamily="18" charset="0"/>
                  <a:cs typeface="Times New Roman" panose="02020603050405020304" pitchFamily="18" charset="0"/>
                </a:endParaRPr>
              </a:p>
            </c:rich>
          </c:tx>
          <c:layout>
            <c:manualLayout>
              <c:xMode val="edge"/>
              <c:yMode val="edge"/>
              <c:x val="0.73189964397793539"/>
              <c:y val="0.292362183986943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70143"/>
        <c:crosses val="autoZero"/>
        <c:auto val="1"/>
        <c:lblAlgn val="ctr"/>
        <c:lblOffset val="100"/>
        <c:noMultiLvlLbl val="0"/>
      </c:catAx>
      <c:valAx>
        <c:axId val="1326701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CAR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247999"/>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D5218-7B8D-4915-B21D-86CA04C8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11727</Words>
  <Characters>66848</Characters>
  <Application>Microsoft Office Word</Application>
  <DocSecurity>0</DocSecurity>
  <Lines>557</Lines>
  <Paragraphs>156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Cranfield University</Company>
  <LinksUpToDate>false</LinksUpToDate>
  <CharactersWithSpaces>78419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Taufiq Choudhry</cp:lastModifiedBy>
  <cp:revision>2</cp:revision>
  <cp:lastPrinted>2020-10-20T00:47:00Z</cp:lastPrinted>
  <dcterms:created xsi:type="dcterms:W3CDTF">2021-02-18T01:02:00Z</dcterms:created>
  <dcterms:modified xsi:type="dcterms:W3CDTF">2021-02-18T01:02:00Z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