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89F86" w14:textId="2595C6E3" w:rsidR="00625862" w:rsidRPr="00F92FF9" w:rsidRDefault="00625862" w:rsidP="00402168">
      <w:pPr>
        <w:pStyle w:val="Heading2"/>
        <w:spacing w:line="360" w:lineRule="auto"/>
        <w:rPr>
          <w:color w:val="000000" w:themeColor="text1"/>
        </w:rPr>
      </w:pPr>
      <w:r w:rsidRPr="00F92FF9">
        <w:rPr>
          <w:color w:val="000000"/>
        </w:rPr>
        <w:t>Associations of cognitive performance with cardiovascular magnetic resonance phenotypes in the UK Biobank</w:t>
      </w:r>
    </w:p>
    <w:p w14:paraId="684A8810" w14:textId="77777777" w:rsidR="0043628F" w:rsidRPr="00F92FF9" w:rsidRDefault="0043628F" w:rsidP="00402168">
      <w:pPr>
        <w:spacing w:line="360" w:lineRule="auto"/>
        <w:rPr>
          <w:color w:val="000000" w:themeColor="text1"/>
        </w:rPr>
      </w:pPr>
    </w:p>
    <w:p w14:paraId="0E52B1C5" w14:textId="1CB8746E" w:rsidR="0043628F" w:rsidRPr="00F92FF9" w:rsidRDefault="0043628F" w:rsidP="00402168">
      <w:pPr>
        <w:spacing w:line="360" w:lineRule="auto"/>
        <w:rPr>
          <w:color w:val="000000" w:themeColor="text1"/>
        </w:rPr>
      </w:pPr>
      <w:r w:rsidRPr="00F92FF9">
        <w:rPr>
          <w:color w:val="000000" w:themeColor="text1"/>
        </w:rPr>
        <w:t>Zahra Raisi-Estabragh</w:t>
      </w:r>
      <w:r w:rsidR="00333757" w:rsidRPr="00F92FF9">
        <w:rPr>
          <w:color w:val="000000" w:themeColor="text1"/>
        </w:rPr>
        <w:t>*</w:t>
      </w:r>
      <w:r w:rsidRPr="00F92FF9">
        <w:rPr>
          <w:color w:val="000000" w:themeColor="text1"/>
          <w:vertAlign w:val="superscript"/>
        </w:rPr>
        <w:t>1,2</w:t>
      </w:r>
      <w:r w:rsidRPr="00F92FF9">
        <w:rPr>
          <w:color w:val="000000" w:themeColor="text1"/>
        </w:rPr>
        <w:t xml:space="preserve">, Amine </w:t>
      </w:r>
      <w:proofErr w:type="spellStart"/>
      <w:r w:rsidRPr="00F92FF9">
        <w:rPr>
          <w:color w:val="000000" w:themeColor="text1"/>
        </w:rPr>
        <w:t>M'Charrak</w:t>
      </w:r>
      <w:proofErr w:type="spellEnd"/>
      <w:r w:rsidRPr="00F92FF9">
        <w:rPr>
          <w:color w:val="000000" w:themeColor="text1"/>
        </w:rPr>
        <w:t>*</w:t>
      </w:r>
      <w:r w:rsidRPr="00F92FF9">
        <w:rPr>
          <w:color w:val="000000" w:themeColor="text1"/>
          <w:vertAlign w:val="superscript"/>
        </w:rPr>
        <w:t>3</w:t>
      </w:r>
      <w:r w:rsidRPr="00F92FF9">
        <w:rPr>
          <w:color w:val="000000" w:themeColor="text1"/>
        </w:rPr>
        <w:t>, Celeste McCracken</w:t>
      </w:r>
      <w:r w:rsidRPr="00F92FF9">
        <w:rPr>
          <w:color w:val="000000" w:themeColor="text1"/>
          <w:vertAlign w:val="superscript"/>
        </w:rPr>
        <w:t>1</w:t>
      </w:r>
      <w:r w:rsidR="00455AC2" w:rsidRPr="00F92FF9">
        <w:rPr>
          <w:color w:val="000000" w:themeColor="text1"/>
          <w:vertAlign w:val="superscript"/>
        </w:rPr>
        <w:t>,3</w:t>
      </w:r>
      <w:r w:rsidRPr="00F92FF9">
        <w:rPr>
          <w:color w:val="000000" w:themeColor="text1"/>
        </w:rPr>
        <w:t xml:space="preserve">, </w:t>
      </w:r>
      <w:r w:rsidR="009E6864" w:rsidRPr="00F92FF9">
        <w:rPr>
          <w:color w:val="000000" w:themeColor="text1"/>
        </w:rPr>
        <w:t>Luca Biasiolli</w:t>
      </w:r>
      <w:r w:rsidR="009E6864" w:rsidRPr="00F92FF9">
        <w:rPr>
          <w:color w:val="000000" w:themeColor="text1"/>
          <w:vertAlign w:val="superscript"/>
        </w:rPr>
        <w:t>3</w:t>
      </w:r>
      <w:r w:rsidR="009E6864" w:rsidRPr="00F92FF9">
        <w:rPr>
          <w:color w:val="000000" w:themeColor="text1"/>
        </w:rPr>
        <w:t xml:space="preserve">, </w:t>
      </w:r>
      <w:r w:rsidRPr="00F92FF9">
        <w:rPr>
          <w:color w:val="000000" w:themeColor="text1"/>
        </w:rPr>
        <w:t>Maddalena Ardissino</w:t>
      </w:r>
      <w:r w:rsidRPr="00F92FF9">
        <w:rPr>
          <w:color w:val="000000" w:themeColor="text1"/>
          <w:vertAlign w:val="superscript"/>
        </w:rPr>
        <w:t>4</w:t>
      </w:r>
      <w:r w:rsidRPr="00F92FF9">
        <w:rPr>
          <w:color w:val="000000" w:themeColor="text1"/>
        </w:rPr>
        <w:t>, Elizabeth M. Curtis</w:t>
      </w:r>
      <w:r w:rsidR="00402168" w:rsidRPr="00F92FF9">
        <w:rPr>
          <w:color w:val="000000" w:themeColor="text1"/>
          <w:vertAlign w:val="superscript"/>
        </w:rPr>
        <w:t>9</w:t>
      </w:r>
      <w:r w:rsidRPr="00F92FF9">
        <w:rPr>
          <w:color w:val="000000" w:themeColor="text1"/>
        </w:rPr>
        <w:t>, Nay Aung</w:t>
      </w:r>
      <w:r w:rsidRPr="00F92FF9">
        <w:rPr>
          <w:color w:val="000000" w:themeColor="text1"/>
          <w:vertAlign w:val="superscript"/>
        </w:rPr>
        <w:t>1,2</w:t>
      </w:r>
      <w:r w:rsidRPr="00F92FF9">
        <w:rPr>
          <w:color w:val="000000" w:themeColor="text1"/>
        </w:rPr>
        <w:t xml:space="preserve">, </w:t>
      </w:r>
      <w:r w:rsidRPr="00F92FF9">
        <w:rPr>
          <w:color w:val="000000" w:themeColor="text1"/>
          <w:shd w:val="clear" w:color="auto" w:fill="FFFFFF"/>
        </w:rPr>
        <w:t xml:space="preserve">Claudia </w:t>
      </w:r>
      <w:r w:rsidR="00950578" w:rsidRPr="00F92FF9">
        <w:rPr>
          <w:color w:val="000000" w:themeColor="text1"/>
          <w:shd w:val="clear" w:color="auto" w:fill="FFFFFF"/>
        </w:rPr>
        <w:t xml:space="preserve">K. </w:t>
      </w:r>
      <w:r w:rsidRPr="00F92FF9">
        <w:rPr>
          <w:color w:val="000000" w:themeColor="text1"/>
          <w:shd w:val="clear" w:color="auto" w:fill="FFFFFF"/>
        </w:rPr>
        <w:t>Suemoto</w:t>
      </w:r>
      <w:r w:rsidRPr="00F92FF9">
        <w:rPr>
          <w:color w:val="000000" w:themeColor="text1"/>
          <w:shd w:val="clear" w:color="auto" w:fill="FFFFFF"/>
          <w:vertAlign w:val="superscript"/>
        </w:rPr>
        <w:t>5</w:t>
      </w:r>
      <w:r w:rsidRPr="00F92FF9">
        <w:rPr>
          <w:color w:val="000000" w:themeColor="text1"/>
        </w:rPr>
        <w:t>, Clare Mackay</w:t>
      </w:r>
      <w:r w:rsidR="00986CD4" w:rsidRPr="00F92FF9">
        <w:rPr>
          <w:color w:val="000000" w:themeColor="text1"/>
          <w:vertAlign w:val="superscript"/>
        </w:rPr>
        <w:t>6</w:t>
      </w:r>
      <w:r w:rsidR="00084B95" w:rsidRPr="00F92FF9">
        <w:rPr>
          <w:color w:val="000000" w:themeColor="text1"/>
        </w:rPr>
        <w:t xml:space="preserve">, </w:t>
      </w:r>
      <w:r w:rsidRPr="00F92FF9">
        <w:rPr>
          <w:color w:val="000000" w:themeColor="text1"/>
        </w:rPr>
        <w:t>Sana Suri</w:t>
      </w:r>
      <w:r w:rsidR="00986CD4" w:rsidRPr="00F92FF9">
        <w:rPr>
          <w:color w:val="000000" w:themeColor="text1"/>
          <w:vertAlign w:val="superscript"/>
        </w:rPr>
        <w:t>6</w:t>
      </w:r>
      <w:r w:rsidR="00084B95" w:rsidRPr="00F92FF9">
        <w:rPr>
          <w:color w:val="000000" w:themeColor="text1"/>
        </w:rPr>
        <w:t xml:space="preserve">, </w:t>
      </w:r>
      <w:r w:rsidRPr="00F92FF9">
        <w:rPr>
          <w:color w:val="000000" w:themeColor="text1"/>
        </w:rPr>
        <w:t xml:space="preserve">Thomas </w:t>
      </w:r>
      <w:r w:rsidR="00402168" w:rsidRPr="00F92FF9">
        <w:rPr>
          <w:color w:val="000000" w:themeColor="text1"/>
        </w:rPr>
        <w:t xml:space="preserve">E. </w:t>
      </w:r>
      <w:r w:rsidRPr="00F92FF9">
        <w:rPr>
          <w:color w:val="000000" w:themeColor="text1"/>
        </w:rPr>
        <w:t>Nichols</w:t>
      </w:r>
      <w:r w:rsidR="00402168" w:rsidRPr="00F92FF9">
        <w:rPr>
          <w:color w:val="000000" w:themeColor="text1"/>
          <w:vertAlign w:val="superscript"/>
        </w:rPr>
        <w:t>7, 8</w:t>
      </w:r>
      <w:r w:rsidRPr="00F92FF9">
        <w:rPr>
          <w:color w:val="000000" w:themeColor="text1"/>
        </w:rPr>
        <w:t>, Nicholas C. Harvey</w:t>
      </w:r>
      <w:r w:rsidR="00402168" w:rsidRPr="00F92FF9">
        <w:rPr>
          <w:color w:val="000000" w:themeColor="text1"/>
          <w:vertAlign w:val="superscript"/>
        </w:rPr>
        <w:t>9</w:t>
      </w:r>
      <w:r w:rsidR="00986CD4" w:rsidRPr="00F92FF9">
        <w:rPr>
          <w:color w:val="000000" w:themeColor="text1"/>
          <w:vertAlign w:val="superscript"/>
        </w:rPr>
        <w:t>,</w:t>
      </w:r>
      <w:r w:rsidR="00402168" w:rsidRPr="00F92FF9">
        <w:rPr>
          <w:color w:val="000000" w:themeColor="text1"/>
          <w:vertAlign w:val="superscript"/>
        </w:rPr>
        <w:t>10</w:t>
      </w:r>
      <w:r w:rsidRPr="00F92FF9">
        <w:rPr>
          <w:color w:val="000000" w:themeColor="text1"/>
        </w:rPr>
        <w:t>, Steffen E. Petersen</w:t>
      </w:r>
      <w:r w:rsidRPr="00F92FF9">
        <w:rPr>
          <w:color w:val="000000" w:themeColor="text1"/>
          <w:vertAlign w:val="superscript"/>
        </w:rPr>
        <w:t>†1,2</w:t>
      </w:r>
      <w:r w:rsidRPr="00F92FF9">
        <w:rPr>
          <w:color w:val="000000" w:themeColor="text1"/>
        </w:rPr>
        <w:t>, Stefan Neubauer</w:t>
      </w:r>
      <w:r w:rsidR="00333757" w:rsidRPr="00F92FF9">
        <w:rPr>
          <w:color w:val="000000" w:themeColor="text1"/>
          <w:vertAlign w:val="superscript"/>
        </w:rPr>
        <w:t>†</w:t>
      </w:r>
      <w:r w:rsidRPr="00F92FF9">
        <w:rPr>
          <w:color w:val="000000" w:themeColor="text1"/>
          <w:vertAlign w:val="superscript"/>
        </w:rPr>
        <w:t>3</w:t>
      </w:r>
    </w:p>
    <w:p w14:paraId="157A91E2" w14:textId="77777777" w:rsidR="0043628F" w:rsidRPr="00F92FF9" w:rsidRDefault="0043628F" w:rsidP="00402168">
      <w:pPr>
        <w:spacing w:line="360" w:lineRule="auto"/>
        <w:rPr>
          <w:color w:val="000000" w:themeColor="text1"/>
        </w:rPr>
      </w:pPr>
    </w:p>
    <w:p w14:paraId="1A3B513D" w14:textId="77777777" w:rsidR="0043628F" w:rsidRPr="00F92FF9" w:rsidRDefault="0043628F" w:rsidP="00402168">
      <w:pPr>
        <w:spacing w:line="360" w:lineRule="auto"/>
        <w:rPr>
          <w:color w:val="000000" w:themeColor="text1"/>
        </w:rPr>
      </w:pPr>
      <w:r w:rsidRPr="00F92FF9">
        <w:rPr>
          <w:color w:val="000000" w:themeColor="text1"/>
        </w:rPr>
        <w:t xml:space="preserve">*Zahra Raisi-Estabragh and Amine </w:t>
      </w:r>
      <w:proofErr w:type="spellStart"/>
      <w:r w:rsidRPr="00F92FF9">
        <w:rPr>
          <w:color w:val="000000" w:themeColor="text1"/>
        </w:rPr>
        <w:t>M’Charrak</w:t>
      </w:r>
      <w:proofErr w:type="spellEnd"/>
      <w:r w:rsidRPr="00F92FF9">
        <w:rPr>
          <w:color w:val="000000" w:themeColor="text1"/>
        </w:rPr>
        <w:t xml:space="preserve"> are joint first authors</w:t>
      </w:r>
    </w:p>
    <w:p w14:paraId="70A8453C" w14:textId="77777777" w:rsidR="0043628F" w:rsidRPr="00F92FF9" w:rsidRDefault="0043628F" w:rsidP="00402168">
      <w:pPr>
        <w:spacing w:line="360" w:lineRule="auto"/>
        <w:rPr>
          <w:color w:val="000000" w:themeColor="text1"/>
        </w:rPr>
      </w:pPr>
      <w:r w:rsidRPr="00F92FF9">
        <w:rPr>
          <w:color w:val="000000" w:themeColor="text1"/>
          <w:vertAlign w:val="superscript"/>
        </w:rPr>
        <w:t>†</w:t>
      </w:r>
      <w:r w:rsidRPr="00F92FF9">
        <w:rPr>
          <w:color w:val="000000" w:themeColor="text1"/>
        </w:rPr>
        <w:t>Steffen E. Petersen and Stefan Neubauer are joint senior authors</w:t>
      </w:r>
    </w:p>
    <w:p w14:paraId="0274F1DB" w14:textId="77777777" w:rsidR="0043628F" w:rsidRPr="00F92FF9" w:rsidRDefault="0043628F" w:rsidP="00402168">
      <w:pPr>
        <w:spacing w:line="360" w:lineRule="auto"/>
        <w:rPr>
          <w:color w:val="000000" w:themeColor="text1"/>
        </w:rPr>
      </w:pPr>
    </w:p>
    <w:p w14:paraId="5B6F1721" w14:textId="77777777" w:rsidR="0043628F" w:rsidRPr="00F92FF9" w:rsidRDefault="0043628F" w:rsidP="00402168">
      <w:pPr>
        <w:spacing w:line="360" w:lineRule="auto"/>
        <w:rPr>
          <w:color w:val="000000" w:themeColor="text1"/>
        </w:rPr>
      </w:pPr>
      <w:r w:rsidRPr="00F92FF9">
        <w:rPr>
          <w:color w:val="000000" w:themeColor="text1"/>
        </w:rPr>
        <w:t>1. William Harvey Research Institute, NIHR Barts Biomedical Research Centre, Queen Mary University of London, Charterhouse Square, London, EC1M 6BQ, UK</w:t>
      </w:r>
    </w:p>
    <w:p w14:paraId="4FD72C26" w14:textId="77777777" w:rsidR="0043628F" w:rsidRPr="00F92FF9" w:rsidRDefault="0043628F" w:rsidP="00402168">
      <w:pPr>
        <w:spacing w:line="360" w:lineRule="auto"/>
        <w:rPr>
          <w:color w:val="000000" w:themeColor="text1"/>
        </w:rPr>
      </w:pPr>
      <w:r w:rsidRPr="00F92FF9">
        <w:rPr>
          <w:color w:val="000000" w:themeColor="text1"/>
        </w:rPr>
        <w:t>2. Barts Heart Centre, St Bartholomew’s Hospital, Barts Health NHS Trust, EC1A 7BE, London, UK</w:t>
      </w:r>
    </w:p>
    <w:p w14:paraId="0CC59283" w14:textId="7ED0792C" w:rsidR="0043628F" w:rsidRPr="00F92FF9" w:rsidRDefault="0043628F" w:rsidP="00402168">
      <w:pPr>
        <w:spacing w:line="360" w:lineRule="auto"/>
        <w:rPr>
          <w:color w:val="000000" w:themeColor="text1"/>
          <w:shd w:val="clear" w:color="auto" w:fill="FFFFFF"/>
        </w:rPr>
      </w:pPr>
      <w:r w:rsidRPr="00F92FF9">
        <w:rPr>
          <w:color w:val="000000" w:themeColor="text1"/>
        </w:rPr>
        <w:t xml:space="preserve">3. </w:t>
      </w:r>
      <w:r w:rsidRPr="00F92FF9">
        <w:rPr>
          <w:color w:val="000000" w:themeColor="text1"/>
          <w:shd w:val="clear" w:color="auto" w:fill="FFFFFF"/>
        </w:rPr>
        <w:t>National Institute for Health Research Oxford Biomedical Research Centre, Division of Cardiovascular Medicine, Radcliffe Department of Medicine, University of Oxford, Oxford, UK</w:t>
      </w:r>
    </w:p>
    <w:p w14:paraId="1EC58300" w14:textId="1A3F4DC6" w:rsidR="00986CD4" w:rsidRPr="00F92FF9" w:rsidRDefault="00986CD4" w:rsidP="00402168">
      <w:pPr>
        <w:spacing w:line="360" w:lineRule="auto"/>
        <w:rPr>
          <w:color w:val="000000" w:themeColor="text1"/>
          <w:shd w:val="clear" w:color="auto" w:fill="FFFFFF"/>
        </w:rPr>
      </w:pPr>
      <w:r w:rsidRPr="00F92FF9">
        <w:rPr>
          <w:color w:val="000000" w:themeColor="text1"/>
          <w:shd w:val="clear" w:color="auto" w:fill="FFFFFF"/>
        </w:rPr>
        <w:t>4.</w:t>
      </w:r>
      <w:r w:rsidRPr="00F92FF9">
        <w:rPr>
          <w:color w:val="000000" w:themeColor="text1"/>
        </w:rPr>
        <w:t xml:space="preserve"> Imperial College London, Sir Alexander Fleming Building, Exhibition Road, SW7 2AZ, UK</w:t>
      </w:r>
    </w:p>
    <w:p w14:paraId="7C641E88" w14:textId="5E7A4A6C" w:rsidR="00986CD4" w:rsidRPr="00F92FF9" w:rsidRDefault="00986CD4" w:rsidP="00402168">
      <w:pPr>
        <w:spacing w:line="360" w:lineRule="auto"/>
        <w:rPr>
          <w:color w:val="000000" w:themeColor="text1"/>
        </w:rPr>
      </w:pPr>
      <w:r w:rsidRPr="00F92FF9">
        <w:rPr>
          <w:color w:val="000000" w:themeColor="text1"/>
        </w:rPr>
        <w:t xml:space="preserve">5. </w:t>
      </w:r>
      <w:r w:rsidRPr="00F92FF9">
        <w:rPr>
          <w:color w:val="000000" w:themeColor="text1"/>
          <w:shd w:val="clear" w:color="auto" w:fill="FFFFFF"/>
        </w:rPr>
        <w:t>University of Sao Paulo Medical School, Sao Paulo, Brazil</w:t>
      </w:r>
    </w:p>
    <w:p w14:paraId="2AABCFC9" w14:textId="2410F64D" w:rsidR="00986CD4" w:rsidRPr="00F92FF9" w:rsidRDefault="00986CD4" w:rsidP="00402168">
      <w:pPr>
        <w:spacing w:line="360" w:lineRule="auto"/>
        <w:rPr>
          <w:color w:val="000000" w:themeColor="text1"/>
        </w:rPr>
      </w:pPr>
      <w:r w:rsidRPr="00F92FF9">
        <w:rPr>
          <w:color w:val="000000" w:themeColor="text1"/>
          <w:shd w:val="clear" w:color="auto" w:fill="FFFFFF"/>
        </w:rPr>
        <w:t xml:space="preserve">6. </w:t>
      </w:r>
      <w:r w:rsidRPr="00F92FF9">
        <w:rPr>
          <w:color w:val="000000" w:themeColor="text1"/>
        </w:rPr>
        <w:t>Department of Psychiatry, University of Oxford, Oxford, UK</w:t>
      </w:r>
    </w:p>
    <w:p w14:paraId="6BDF2006" w14:textId="35A21BFB" w:rsidR="00402168" w:rsidRPr="00F92FF9" w:rsidRDefault="00402168" w:rsidP="00402168">
      <w:pPr>
        <w:spacing w:line="360" w:lineRule="auto"/>
        <w:textAlignment w:val="baseline"/>
        <w:rPr>
          <w:color w:val="000000" w:themeColor="text1"/>
        </w:rPr>
      </w:pPr>
      <w:r w:rsidRPr="00F92FF9">
        <w:rPr>
          <w:color w:val="000000" w:themeColor="text1"/>
        </w:rPr>
        <w:t>7. Oxford Big Data Institute, Li Ka Shing Centre for Health Information and Discovery, Nuffield Department of Population Health, University of Oxford, Oxford, OX3 7LF, UK</w:t>
      </w:r>
    </w:p>
    <w:p w14:paraId="39C5AC75" w14:textId="2ADECE53" w:rsidR="00402168" w:rsidRPr="00F92FF9" w:rsidRDefault="00402168" w:rsidP="00402168">
      <w:pPr>
        <w:spacing w:line="360" w:lineRule="auto"/>
        <w:textAlignment w:val="baseline"/>
        <w:rPr>
          <w:color w:val="000000" w:themeColor="text1"/>
        </w:rPr>
      </w:pPr>
      <w:r w:rsidRPr="00F92FF9">
        <w:rPr>
          <w:color w:val="000000" w:themeColor="text1"/>
        </w:rPr>
        <w:t>8. Wellcome Centre for Integrative Neuroimaging, FMRIB, Nuffield Department of Clinical Neurosciences, University of Oxford, Oxford, OX3 9DU, UK.</w:t>
      </w:r>
    </w:p>
    <w:p w14:paraId="4F3A3739" w14:textId="5FA8FB8C" w:rsidR="0043628F" w:rsidRPr="00F92FF9" w:rsidRDefault="00402168" w:rsidP="00402168">
      <w:pPr>
        <w:spacing w:line="360" w:lineRule="auto"/>
        <w:rPr>
          <w:color w:val="000000" w:themeColor="text1"/>
        </w:rPr>
      </w:pPr>
      <w:r w:rsidRPr="00F92FF9">
        <w:rPr>
          <w:color w:val="000000" w:themeColor="text1"/>
        </w:rPr>
        <w:t>9</w:t>
      </w:r>
      <w:r w:rsidR="0043628F" w:rsidRPr="00F92FF9">
        <w:rPr>
          <w:color w:val="000000" w:themeColor="text1"/>
        </w:rPr>
        <w:t>. MRC Lifecourse Epidemiology Unit, University of Southampton, Southampton, UK</w:t>
      </w:r>
    </w:p>
    <w:p w14:paraId="07656BEA" w14:textId="499E774E" w:rsidR="0043628F" w:rsidRPr="00F92FF9" w:rsidRDefault="00402168" w:rsidP="00402168">
      <w:pPr>
        <w:spacing w:line="360" w:lineRule="auto"/>
        <w:rPr>
          <w:color w:val="000000" w:themeColor="text1"/>
        </w:rPr>
      </w:pPr>
      <w:r w:rsidRPr="00F92FF9">
        <w:rPr>
          <w:color w:val="000000" w:themeColor="text1"/>
        </w:rPr>
        <w:t>10</w:t>
      </w:r>
      <w:r w:rsidR="0043628F" w:rsidRPr="00F92FF9">
        <w:rPr>
          <w:color w:val="000000" w:themeColor="text1"/>
        </w:rPr>
        <w:t>. NIHR Southampton Biomedical Research Centre, University of Southampton and University Hospital Southampton NHS Foundation Trust, Southampton, UK</w:t>
      </w:r>
    </w:p>
    <w:p w14:paraId="58E99A31" w14:textId="77777777" w:rsidR="0043628F" w:rsidRPr="00F92FF9" w:rsidRDefault="0043628F" w:rsidP="00402168">
      <w:pPr>
        <w:spacing w:line="360" w:lineRule="auto"/>
        <w:rPr>
          <w:b/>
          <w:bCs/>
          <w:color w:val="000000" w:themeColor="text1"/>
        </w:rPr>
      </w:pPr>
    </w:p>
    <w:p w14:paraId="1F28DB2B" w14:textId="77777777" w:rsidR="007558E1" w:rsidRPr="00F92FF9" w:rsidRDefault="0043628F" w:rsidP="00BD4F5F">
      <w:pPr>
        <w:spacing w:line="360" w:lineRule="auto"/>
        <w:rPr>
          <w:color w:val="000000" w:themeColor="text1"/>
        </w:rPr>
      </w:pPr>
      <w:r w:rsidRPr="00F92FF9">
        <w:rPr>
          <w:b/>
          <w:bCs/>
          <w:color w:val="000000" w:themeColor="text1"/>
        </w:rPr>
        <w:t xml:space="preserve">Corresponding author: </w:t>
      </w:r>
      <w:r w:rsidRPr="00F92FF9">
        <w:rPr>
          <w:color w:val="000000" w:themeColor="text1"/>
        </w:rPr>
        <w:t>Professor Steffen E. Petersen. William Harvey Research Institute, NIHR Barts Biomedical Research Centre, Queen Mary University of London, London, UK; Email: s.e.petersen@qmul.ac.uk; Telephone: +44-2078826902</w:t>
      </w:r>
      <w:r w:rsidR="006346FF" w:rsidRPr="00F92FF9">
        <w:rPr>
          <w:color w:val="000000" w:themeColor="text1"/>
        </w:rPr>
        <w:t>; Fax: N/A</w:t>
      </w:r>
    </w:p>
    <w:p w14:paraId="4FD2A2E8" w14:textId="77777777" w:rsidR="007558E1" w:rsidRPr="00F92FF9" w:rsidRDefault="007558E1" w:rsidP="00BD4F5F">
      <w:pPr>
        <w:spacing w:line="360" w:lineRule="auto"/>
        <w:rPr>
          <w:color w:val="000000" w:themeColor="text1"/>
        </w:rPr>
      </w:pPr>
    </w:p>
    <w:p w14:paraId="2C70567E" w14:textId="77777777" w:rsidR="007558E1" w:rsidRPr="00F92FF9" w:rsidRDefault="007558E1" w:rsidP="007558E1">
      <w:pPr>
        <w:spacing w:line="240" w:lineRule="auto"/>
      </w:pPr>
      <w:r w:rsidRPr="00F92FF9">
        <w:rPr>
          <w:b/>
          <w:bCs/>
          <w:color w:val="222222"/>
          <w:shd w:val="clear" w:color="auto" w:fill="FFFFFF"/>
        </w:rPr>
        <w:t>Conflicts of Interest:</w:t>
      </w:r>
      <w:r w:rsidRPr="00F92FF9">
        <w:rPr>
          <w:color w:val="222222"/>
          <w:shd w:val="clear" w:color="auto" w:fill="FFFFFF"/>
        </w:rPr>
        <w:t xml:space="preserve"> Nothing to Disclose.</w:t>
      </w:r>
    </w:p>
    <w:p w14:paraId="19BE8413" w14:textId="77777777" w:rsidR="007558E1" w:rsidRPr="00F92FF9" w:rsidRDefault="007558E1" w:rsidP="00BD4F5F">
      <w:pPr>
        <w:spacing w:line="360" w:lineRule="auto"/>
        <w:rPr>
          <w:color w:val="000000" w:themeColor="text1"/>
        </w:rPr>
      </w:pPr>
    </w:p>
    <w:p w14:paraId="757FB9E3" w14:textId="5EC07E6A" w:rsidR="00CB737A" w:rsidRPr="00F92FF9" w:rsidRDefault="00B135BE" w:rsidP="00BD4F5F">
      <w:pPr>
        <w:spacing w:line="360" w:lineRule="auto"/>
        <w:rPr>
          <w:color w:val="000000" w:themeColor="text1"/>
        </w:rPr>
      </w:pPr>
      <w:r w:rsidRPr="00F92FF9">
        <w:rPr>
          <w:color w:val="000000" w:themeColor="text1"/>
        </w:rPr>
        <w:br w:type="page"/>
      </w:r>
    </w:p>
    <w:p w14:paraId="7789C6D9" w14:textId="2F0F6736" w:rsidR="001B47C2" w:rsidRPr="00F92FF9" w:rsidRDefault="00570635" w:rsidP="00993E99">
      <w:pPr>
        <w:pStyle w:val="Heading2"/>
        <w:rPr>
          <w:color w:val="000000" w:themeColor="text1"/>
        </w:rPr>
      </w:pPr>
      <w:r w:rsidRPr="00F92FF9">
        <w:rPr>
          <w:color w:val="000000" w:themeColor="text1"/>
        </w:rPr>
        <w:lastRenderedPageBreak/>
        <w:t>Abstract</w:t>
      </w:r>
      <w:r w:rsidR="0049090D" w:rsidRPr="00F92FF9">
        <w:rPr>
          <w:color w:val="000000" w:themeColor="text1"/>
        </w:rPr>
        <w:t xml:space="preserve"> (2</w:t>
      </w:r>
      <w:r w:rsidR="008D62A1" w:rsidRPr="00F92FF9">
        <w:rPr>
          <w:color w:val="000000" w:themeColor="text1"/>
        </w:rPr>
        <w:t xml:space="preserve">50 </w:t>
      </w:r>
      <w:r w:rsidR="0049090D" w:rsidRPr="00F92FF9">
        <w:rPr>
          <w:color w:val="000000" w:themeColor="text1"/>
        </w:rPr>
        <w:t>words</w:t>
      </w:r>
      <w:r w:rsidR="008D62A1" w:rsidRPr="00F92FF9">
        <w:rPr>
          <w:color w:val="000000" w:themeColor="text1"/>
        </w:rPr>
        <w:t>- limit 250</w:t>
      </w:r>
      <w:r w:rsidR="0049090D" w:rsidRPr="00F92FF9">
        <w:rPr>
          <w:color w:val="000000" w:themeColor="text1"/>
        </w:rPr>
        <w:t>)</w:t>
      </w:r>
    </w:p>
    <w:p w14:paraId="3136259C" w14:textId="19B6CB97" w:rsidR="004C3FCD" w:rsidRPr="00F92FF9" w:rsidRDefault="00570635">
      <w:pPr>
        <w:rPr>
          <w:color w:val="000000" w:themeColor="text1"/>
        </w:rPr>
      </w:pPr>
      <w:r w:rsidRPr="00F92FF9">
        <w:rPr>
          <w:b/>
          <w:bCs/>
          <w:color w:val="000000" w:themeColor="text1"/>
        </w:rPr>
        <w:t>Background</w:t>
      </w:r>
      <w:r w:rsidR="00E12116" w:rsidRPr="00F92FF9">
        <w:rPr>
          <w:b/>
          <w:bCs/>
          <w:color w:val="000000" w:themeColor="text1"/>
        </w:rPr>
        <w:t>:</w:t>
      </w:r>
      <w:r w:rsidR="00D702CC" w:rsidRPr="00F92FF9">
        <w:rPr>
          <w:b/>
          <w:bCs/>
          <w:color w:val="000000" w:themeColor="text1"/>
        </w:rPr>
        <w:t xml:space="preserve"> </w:t>
      </w:r>
      <w:r w:rsidR="00947849" w:rsidRPr="00F92FF9">
        <w:rPr>
          <w:color w:val="000000" w:themeColor="text1"/>
        </w:rPr>
        <w:t>Existing</w:t>
      </w:r>
      <w:r w:rsidR="009E6864" w:rsidRPr="00F92FF9">
        <w:rPr>
          <w:color w:val="000000" w:themeColor="text1"/>
        </w:rPr>
        <w:t xml:space="preserve"> evidence suggests</w:t>
      </w:r>
      <w:r w:rsidR="00B45C56" w:rsidRPr="00F92FF9">
        <w:rPr>
          <w:color w:val="000000" w:themeColor="text1"/>
        </w:rPr>
        <w:t xml:space="preserve"> </w:t>
      </w:r>
      <w:r w:rsidR="005D4A97" w:rsidRPr="00F92FF9">
        <w:rPr>
          <w:color w:val="000000" w:themeColor="text1"/>
        </w:rPr>
        <w:t>links between</w:t>
      </w:r>
      <w:r w:rsidR="00B45C56" w:rsidRPr="00F92FF9">
        <w:rPr>
          <w:color w:val="000000" w:themeColor="text1"/>
        </w:rPr>
        <w:t xml:space="preserve"> </w:t>
      </w:r>
      <w:r w:rsidR="00A173B2" w:rsidRPr="00F92FF9">
        <w:rPr>
          <w:color w:val="000000" w:themeColor="text1"/>
        </w:rPr>
        <w:t>brain</w:t>
      </w:r>
      <w:r w:rsidR="00FD13D5" w:rsidRPr="00F92FF9">
        <w:rPr>
          <w:color w:val="000000" w:themeColor="text1"/>
        </w:rPr>
        <w:t xml:space="preserve"> </w:t>
      </w:r>
      <w:r w:rsidR="001A25D6" w:rsidRPr="00F92FF9">
        <w:rPr>
          <w:color w:val="000000" w:themeColor="text1"/>
        </w:rPr>
        <w:t xml:space="preserve">and </w:t>
      </w:r>
      <w:r w:rsidR="00A173B2" w:rsidRPr="00F92FF9">
        <w:rPr>
          <w:color w:val="000000" w:themeColor="text1"/>
        </w:rPr>
        <w:t>cardiovascular health</w:t>
      </w:r>
      <w:r w:rsidR="00B135BE" w:rsidRPr="00F92FF9">
        <w:rPr>
          <w:color w:val="000000" w:themeColor="text1"/>
        </w:rPr>
        <w:t xml:space="preserve">. </w:t>
      </w:r>
      <w:r w:rsidR="00E923B2" w:rsidRPr="00F92FF9">
        <w:rPr>
          <w:color w:val="000000" w:themeColor="text1"/>
        </w:rPr>
        <w:t>W</w:t>
      </w:r>
      <w:r w:rsidR="004C3FCD" w:rsidRPr="00F92FF9">
        <w:rPr>
          <w:color w:val="000000" w:themeColor="text1"/>
        </w:rPr>
        <w:t xml:space="preserve">e </w:t>
      </w:r>
      <w:r w:rsidR="007676FC" w:rsidRPr="00F92FF9">
        <w:rPr>
          <w:color w:val="000000" w:themeColor="text1"/>
        </w:rPr>
        <w:t>investigate</w:t>
      </w:r>
      <w:r w:rsidR="00E923B2" w:rsidRPr="00F92FF9">
        <w:rPr>
          <w:color w:val="000000" w:themeColor="text1"/>
        </w:rPr>
        <w:t>d</w:t>
      </w:r>
      <w:r w:rsidR="007676FC" w:rsidRPr="00F92FF9">
        <w:rPr>
          <w:color w:val="000000" w:themeColor="text1"/>
        </w:rPr>
        <w:t xml:space="preserve"> </w:t>
      </w:r>
      <w:r w:rsidR="00BD4F5F" w:rsidRPr="00F92FF9">
        <w:rPr>
          <w:color w:val="000000" w:themeColor="text1"/>
        </w:rPr>
        <w:t>associations</w:t>
      </w:r>
      <w:r w:rsidR="001F76AD" w:rsidRPr="00F92FF9">
        <w:rPr>
          <w:color w:val="000000" w:themeColor="text1"/>
        </w:rPr>
        <w:t xml:space="preserve"> </w:t>
      </w:r>
      <w:r w:rsidR="007676FC" w:rsidRPr="00F92FF9">
        <w:rPr>
          <w:color w:val="000000" w:themeColor="text1"/>
        </w:rPr>
        <w:t xml:space="preserve">between </w:t>
      </w:r>
      <w:r w:rsidR="001F76AD" w:rsidRPr="00F92FF9">
        <w:rPr>
          <w:color w:val="000000" w:themeColor="text1"/>
        </w:rPr>
        <w:t xml:space="preserve">cognitive performance </w:t>
      </w:r>
      <w:r w:rsidR="007676FC" w:rsidRPr="00F92FF9">
        <w:rPr>
          <w:color w:val="000000" w:themeColor="text1"/>
        </w:rPr>
        <w:t xml:space="preserve">and </w:t>
      </w:r>
      <w:r w:rsidR="00B135BE" w:rsidRPr="00F92FF9">
        <w:rPr>
          <w:color w:val="000000" w:themeColor="text1"/>
        </w:rPr>
        <w:t>cardiovascular magnetic resonance (</w:t>
      </w:r>
      <w:r w:rsidR="004C3FCD" w:rsidRPr="00F92FF9">
        <w:rPr>
          <w:color w:val="000000" w:themeColor="text1"/>
        </w:rPr>
        <w:t>CMR</w:t>
      </w:r>
      <w:r w:rsidR="00B135BE" w:rsidRPr="00F92FF9">
        <w:rPr>
          <w:color w:val="000000" w:themeColor="text1"/>
        </w:rPr>
        <w:t>)</w:t>
      </w:r>
      <w:r w:rsidR="004C3FCD" w:rsidRPr="00F92FF9">
        <w:rPr>
          <w:color w:val="000000" w:themeColor="text1"/>
        </w:rPr>
        <w:t xml:space="preserve"> </w:t>
      </w:r>
      <w:r w:rsidR="00D12A89" w:rsidRPr="00F92FF9">
        <w:rPr>
          <w:color w:val="000000" w:themeColor="text1"/>
        </w:rPr>
        <w:t>phenotypes</w:t>
      </w:r>
      <w:r w:rsidR="00CC5E2B" w:rsidRPr="00F92FF9">
        <w:rPr>
          <w:color w:val="000000" w:themeColor="text1"/>
        </w:rPr>
        <w:t xml:space="preserve"> </w:t>
      </w:r>
      <w:r w:rsidR="004E2136" w:rsidRPr="00F92FF9">
        <w:rPr>
          <w:color w:val="000000" w:themeColor="text1"/>
        </w:rPr>
        <w:t xml:space="preserve">in </w:t>
      </w:r>
      <w:r w:rsidR="00FC4087" w:rsidRPr="00F92FF9">
        <w:rPr>
          <w:color w:val="000000" w:themeColor="text1"/>
        </w:rPr>
        <w:t xml:space="preserve">the </w:t>
      </w:r>
      <w:r w:rsidR="004E2136" w:rsidRPr="00F92FF9">
        <w:rPr>
          <w:color w:val="000000" w:themeColor="text1"/>
        </w:rPr>
        <w:t>UK Biobank</w:t>
      </w:r>
      <w:r w:rsidR="00534602" w:rsidRPr="00F92FF9">
        <w:rPr>
          <w:color w:val="000000" w:themeColor="text1"/>
        </w:rPr>
        <w:t xml:space="preserve">, considering a range of potential </w:t>
      </w:r>
      <w:r w:rsidR="00862251" w:rsidRPr="00F92FF9">
        <w:rPr>
          <w:color w:val="000000" w:themeColor="text1"/>
        </w:rPr>
        <w:t>confounders.</w:t>
      </w:r>
    </w:p>
    <w:p w14:paraId="626907EC" w14:textId="77777777" w:rsidR="004C3FCD" w:rsidRPr="00F92FF9" w:rsidRDefault="004C3FCD" w:rsidP="002A6285">
      <w:pPr>
        <w:rPr>
          <w:color w:val="000000" w:themeColor="text1"/>
        </w:rPr>
      </w:pPr>
    </w:p>
    <w:p w14:paraId="4295AB4E" w14:textId="7A039008" w:rsidR="00B135BE" w:rsidRPr="00F92FF9" w:rsidRDefault="00570635">
      <w:pPr>
        <w:rPr>
          <w:color w:val="000000" w:themeColor="text1"/>
        </w:rPr>
      </w:pPr>
      <w:r w:rsidRPr="00F92FF9">
        <w:rPr>
          <w:b/>
          <w:bCs/>
          <w:color w:val="000000" w:themeColor="text1"/>
        </w:rPr>
        <w:t>Methods</w:t>
      </w:r>
      <w:r w:rsidR="00E12116" w:rsidRPr="00F92FF9">
        <w:rPr>
          <w:b/>
          <w:bCs/>
          <w:color w:val="000000" w:themeColor="text1"/>
        </w:rPr>
        <w:t xml:space="preserve">: </w:t>
      </w:r>
      <w:r w:rsidR="00CC5E2B" w:rsidRPr="00F92FF9">
        <w:rPr>
          <w:color w:val="000000" w:themeColor="text1"/>
        </w:rPr>
        <w:t>We studied 29,7</w:t>
      </w:r>
      <w:r w:rsidR="002C1732" w:rsidRPr="00F92FF9">
        <w:rPr>
          <w:color w:val="000000" w:themeColor="text1"/>
        </w:rPr>
        <w:t>63</w:t>
      </w:r>
      <w:r w:rsidR="00CC5E2B" w:rsidRPr="00F92FF9">
        <w:rPr>
          <w:color w:val="000000" w:themeColor="text1"/>
        </w:rPr>
        <w:t xml:space="preserve"> participants with CMR and cognitive </w:t>
      </w:r>
      <w:r w:rsidR="00D32ABD" w:rsidRPr="00F92FF9">
        <w:rPr>
          <w:color w:val="000000" w:themeColor="text1"/>
        </w:rPr>
        <w:t>testing</w:t>
      </w:r>
      <w:r w:rsidR="0040567E" w:rsidRPr="00F92FF9">
        <w:rPr>
          <w:color w:val="000000" w:themeColor="text1"/>
        </w:rPr>
        <w:t xml:space="preserve">, specifically, </w:t>
      </w:r>
      <w:r w:rsidR="004C3FCD" w:rsidRPr="00F92FF9">
        <w:rPr>
          <w:color w:val="000000" w:themeColor="text1"/>
        </w:rPr>
        <w:t>fluid intelligence (FI</w:t>
      </w:r>
      <w:r w:rsidR="0094664F" w:rsidRPr="00F92FF9">
        <w:rPr>
          <w:color w:val="000000" w:themeColor="text1"/>
        </w:rPr>
        <w:t xml:space="preserve">, 13 </w:t>
      </w:r>
      <w:r w:rsidR="00534602" w:rsidRPr="00F92FF9">
        <w:rPr>
          <w:color w:val="000000" w:themeColor="text1"/>
        </w:rPr>
        <w:t>verbal-numeric reasoning questions</w:t>
      </w:r>
      <w:r w:rsidR="004C3FCD" w:rsidRPr="00F92FF9">
        <w:rPr>
          <w:color w:val="000000" w:themeColor="text1"/>
        </w:rPr>
        <w:t>) and reaction time (RT</w:t>
      </w:r>
      <w:r w:rsidR="0094664F" w:rsidRPr="00F92FF9">
        <w:rPr>
          <w:color w:val="000000" w:themeColor="text1"/>
        </w:rPr>
        <w:t xml:space="preserve">, </w:t>
      </w:r>
      <w:r w:rsidR="00534602" w:rsidRPr="00F92FF9">
        <w:rPr>
          <w:color w:val="000000" w:themeColor="text1"/>
        </w:rPr>
        <w:t>a</w:t>
      </w:r>
      <w:r w:rsidR="0049090D" w:rsidRPr="00F92FF9">
        <w:rPr>
          <w:color w:val="000000" w:themeColor="text1"/>
        </w:rPr>
        <w:t xml:space="preserve"> </w:t>
      </w:r>
      <w:r w:rsidR="00534602" w:rsidRPr="00F92FF9">
        <w:rPr>
          <w:color w:val="000000" w:themeColor="text1"/>
        </w:rPr>
        <w:t>timed pairs matching exercise</w:t>
      </w:r>
      <w:r w:rsidR="00D32ABD" w:rsidRPr="00F92FF9">
        <w:rPr>
          <w:color w:val="000000" w:themeColor="text1"/>
        </w:rPr>
        <w:t>)</w:t>
      </w:r>
      <w:r w:rsidR="0094664F" w:rsidRPr="00F92FF9">
        <w:rPr>
          <w:color w:val="000000" w:themeColor="text1"/>
        </w:rPr>
        <w:t>; both were considered continuous variables for modelling.</w:t>
      </w:r>
      <w:r w:rsidR="009D44F6" w:rsidRPr="00F92FF9">
        <w:rPr>
          <w:color w:val="000000" w:themeColor="text1"/>
        </w:rPr>
        <w:t xml:space="preserve"> </w:t>
      </w:r>
      <w:r w:rsidR="00F37023" w:rsidRPr="00F92FF9">
        <w:rPr>
          <w:color w:val="000000" w:themeColor="text1"/>
        </w:rPr>
        <w:t xml:space="preserve">We included the following CMR </w:t>
      </w:r>
      <w:proofErr w:type="gramStart"/>
      <w:r w:rsidR="00966C57" w:rsidRPr="00F92FF9">
        <w:rPr>
          <w:color w:val="000000" w:themeColor="text1"/>
        </w:rPr>
        <w:t>metrics:</w:t>
      </w:r>
      <w:proofErr w:type="gramEnd"/>
      <w:r w:rsidR="00F37023" w:rsidRPr="00F92FF9">
        <w:rPr>
          <w:color w:val="000000" w:themeColor="text1"/>
        </w:rPr>
        <w:t xml:space="preserve"> l</w:t>
      </w:r>
      <w:r w:rsidR="004B35F7" w:rsidRPr="00F92FF9">
        <w:rPr>
          <w:color w:val="000000" w:themeColor="text1"/>
        </w:rPr>
        <w:t xml:space="preserve">eft and right ventricular (LV, RV) </w:t>
      </w:r>
      <w:r w:rsidR="00A157B1" w:rsidRPr="00F92FF9">
        <w:rPr>
          <w:color w:val="000000" w:themeColor="text1"/>
        </w:rPr>
        <w:t xml:space="preserve">volumes in </w:t>
      </w:r>
      <w:r w:rsidR="004B35F7" w:rsidRPr="00F92FF9">
        <w:rPr>
          <w:color w:val="000000" w:themeColor="text1"/>
        </w:rPr>
        <w:t>end-diastol</w:t>
      </w:r>
      <w:r w:rsidR="00A157B1" w:rsidRPr="00F92FF9">
        <w:rPr>
          <w:color w:val="000000" w:themeColor="text1"/>
        </w:rPr>
        <w:t>e</w:t>
      </w:r>
      <w:r w:rsidR="004B35F7" w:rsidRPr="00F92FF9">
        <w:rPr>
          <w:color w:val="000000" w:themeColor="text1"/>
        </w:rPr>
        <w:t xml:space="preserve"> and end-systol</w:t>
      </w:r>
      <w:r w:rsidR="00A157B1" w:rsidRPr="00F92FF9">
        <w:rPr>
          <w:color w:val="000000" w:themeColor="text1"/>
        </w:rPr>
        <w:t xml:space="preserve">e, LV/RV </w:t>
      </w:r>
      <w:r w:rsidR="009314EA" w:rsidRPr="00F92FF9">
        <w:rPr>
          <w:color w:val="000000" w:themeColor="text1"/>
        </w:rPr>
        <w:t>ejection fraction</w:t>
      </w:r>
      <w:r w:rsidR="00A157B1" w:rsidRPr="00F92FF9">
        <w:rPr>
          <w:color w:val="000000" w:themeColor="text1"/>
        </w:rPr>
        <w:t>s</w:t>
      </w:r>
      <w:r w:rsidR="009314EA" w:rsidRPr="00F92FF9">
        <w:rPr>
          <w:color w:val="000000" w:themeColor="text1"/>
        </w:rPr>
        <w:t xml:space="preserve">, </w:t>
      </w:r>
      <w:r w:rsidR="00A157B1" w:rsidRPr="00F92FF9">
        <w:rPr>
          <w:color w:val="000000" w:themeColor="text1"/>
        </w:rPr>
        <w:t xml:space="preserve">LV/RV </w:t>
      </w:r>
      <w:r w:rsidR="009314EA" w:rsidRPr="00F92FF9">
        <w:rPr>
          <w:color w:val="000000" w:themeColor="text1"/>
        </w:rPr>
        <w:t>stroke volume</w:t>
      </w:r>
      <w:r w:rsidR="00A157B1" w:rsidRPr="00F92FF9">
        <w:rPr>
          <w:color w:val="000000" w:themeColor="text1"/>
        </w:rPr>
        <w:t>s</w:t>
      </w:r>
      <w:r w:rsidR="009314EA" w:rsidRPr="00F92FF9">
        <w:rPr>
          <w:color w:val="000000" w:themeColor="text1"/>
        </w:rPr>
        <w:t>, LV mass</w:t>
      </w:r>
      <w:r w:rsidR="002C1732" w:rsidRPr="00F92FF9">
        <w:rPr>
          <w:color w:val="000000" w:themeColor="text1"/>
        </w:rPr>
        <w:t>, and aortic distensibility</w:t>
      </w:r>
      <w:r w:rsidR="009314EA" w:rsidRPr="00F92FF9">
        <w:rPr>
          <w:color w:val="000000" w:themeColor="text1"/>
        </w:rPr>
        <w:t>.</w:t>
      </w:r>
      <w:r w:rsidR="006E30E4" w:rsidRPr="00F92FF9">
        <w:rPr>
          <w:color w:val="000000" w:themeColor="text1"/>
        </w:rPr>
        <w:t xml:space="preserve"> </w:t>
      </w:r>
      <w:r w:rsidR="0094664F" w:rsidRPr="00F92FF9">
        <w:rPr>
          <w:color w:val="000000" w:themeColor="text1"/>
        </w:rPr>
        <w:t xml:space="preserve">Multivariable </w:t>
      </w:r>
      <w:r w:rsidR="00B135BE" w:rsidRPr="00F92FF9">
        <w:rPr>
          <w:color w:val="000000" w:themeColor="text1"/>
        </w:rPr>
        <w:t xml:space="preserve">linear regression models were used to estimate </w:t>
      </w:r>
      <w:r w:rsidR="007676FC" w:rsidRPr="00F92FF9">
        <w:rPr>
          <w:color w:val="000000" w:themeColor="text1"/>
        </w:rPr>
        <w:t xml:space="preserve">association </w:t>
      </w:r>
      <w:r w:rsidR="002C1732" w:rsidRPr="00F92FF9">
        <w:rPr>
          <w:color w:val="000000" w:themeColor="text1"/>
        </w:rPr>
        <w:t xml:space="preserve">of </w:t>
      </w:r>
      <w:r w:rsidR="004B35F7" w:rsidRPr="00F92FF9">
        <w:rPr>
          <w:color w:val="000000" w:themeColor="text1"/>
        </w:rPr>
        <w:t>each</w:t>
      </w:r>
      <w:r w:rsidR="00B135BE" w:rsidRPr="00F92FF9">
        <w:rPr>
          <w:color w:val="000000" w:themeColor="text1"/>
        </w:rPr>
        <w:t xml:space="preserve"> CMR measure</w:t>
      </w:r>
      <w:r w:rsidR="00CC5E2B" w:rsidRPr="00F92FF9">
        <w:rPr>
          <w:color w:val="000000" w:themeColor="text1"/>
        </w:rPr>
        <w:t xml:space="preserve"> </w:t>
      </w:r>
      <w:r w:rsidR="002C1732" w:rsidRPr="00F92FF9">
        <w:rPr>
          <w:color w:val="000000" w:themeColor="text1"/>
        </w:rPr>
        <w:t xml:space="preserve">with </w:t>
      </w:r>
      <w:r w:rsidR="00CC5E2B" w:rsidRPr="00F92FF9">
        <w:rPr>
          <w:color w:val="000000" w:themeColor="text1"/>
        </w:rPr>
        <w:t>FI</w:t>
      </w:r>
      <w:r w:rsidR="002C1732" w:rsidRPr="00F92FF9">
        <w:rPr>
          <w:color w:val="000000" w:themeColor="text1"/>
        </w:rPr>
        <w:t xml:space="preserve"> and </w:t>
      </w:r>
      <w:r w:rsidR="00CC5E2B" w:rsidRPr="00F92FF9">
        <w:rPr>
          <w:color w:val="000000" w:themeColor="text1"/>
        </w:rPr>
        <w:t>RT</w:t>
      </w:r>
      <w:r w:rsidR="00862251" w:rsidRPr="00F92FF9">
        <w:rPr>
          <w:color w:val="000000" w:themeColor="text1"/>
        </w:rPr>
        <w:t>,</w:t>
      </w:r>
      <w:r w:rsidR="00F37023" w:rsidRPr="00F92FF9">
        <w:rPr>
          <w:color w:val="000000" w:themeColor="text1"/>
        </w:rPr>
        <w:t xml:space="preserve"> </w:t>
      </w:r>
      <w:r w:rsidR="00862251" w:rsidRPr="00F92FF9">
        <w:rPr>
          <w:color w:val="000000" w:themeColor="text1"/>
        </w:rPr>
        <w:t>adjusting</w:t>
      </w:r>
      <w:r w:rsidR="002C1732" w:rsidRPr="00F92FF9">
        <w:rPr>
          <w:color w:val="000000" w:themeColor="text1"/>
        </w:rPr>
        <w:t xml:space="preserve"> for</w:t>
      </w:r>
      <w:r w:rsidR="006E30E4" w:rsidRPr="00F92FF9">
        <w:rPr>
          <w:color w:val="000000" w:themeColor="text1"/>
        </w:rPr>
        <w:t xml:space="preserve"> age, sex, smoking, </w:t>
      </w:r>
      <w:r w:rsidR="00C20861" w:rsidRPr="00F92FF9">
        <w:rPr>
          <w:color w:val="000000" w:themeColor="text1"/>
        </w:rPr>
        <w:t xml:space="preserve">education, deprivation, </w:t>
      </w:r>
      <w:r w:rsidR="006E30E4" w:rsidRPr="00F92FF9">
        <w:rPr>
          <w:color w:val="000000" w:themeColor="text1"/>
        </w:rPr>
        <w:t>diabetes, hypertension, hypercholesterolaemia, prior myocardial infarction</w:t>
      </w:r>
      <w:r w:rsidR="00C9073E" w:rsidRPr="00F92FF9">
        <w:rPr>
          <w:color w:val="000000" w:themeColor="text1"/>
        </w:rPr>
        <w:t xml:space="preserve">, alcohol intake, </w:t>
      </w:r>
      <w:r w:rsidR="00D20BAD" w:rsidRPr="00F92FF9">
        <w:rPr>
          <w:color w:val="000000" w:themeColor="text1"/>
        </w:rPr>
        <w:t xml:space="preserve">and </w:t>
      </w:r>
      <w:r w:rsidR="00C9073E" w:rsidRPr="00F92FF9">
        <w:rPr>
          <w:color w:val="000000" w:themeColor="text1"/>
        </w:rPr>
        <w:t>exercise level</w:t>
      </w:r>
      <w:r w:rsidR="006E30E4" w:rsidRPr="00F92FF9">
        <w:rPr>
          <w:color w:val="000000" w:themeColor="text1"/>
        </w:rPr>
        <w:t>.</w:t>
      </w:r>
      <w:r w:rsidR="009D59B6" w:rsidRPr="00F92FF9">
        <w:rPr>
          <w:color w:val="000000" w:themeColor="text1"/>
        </w:rPr>
        <w:t xml:space="preserve"> </w:t>
      </w:r>
      <w:r w:rsidR="00CC5E2B" w:rsidRPr="00F92FF9">
        <w:rPr>
          <w:color w:val="000000" w:themeColor="text1"/>
        </w:rPr>
        <w:t>We report standardised beta-coefficients</w:t>
      </w:r>
      <w:r w:rsidR="00862251" w:rsidRPr="00F92FF9">
        <w:rPr>
          <w:color w:val="000000" w:themeColor="text1"/>
        </w:rPr>
        <w:t xml:space="preserve">, </w:t>
      </w:r>
      <w:r w:rsidR="009314EA" w:rsidRPr="00F92FF9">
        <w:rPr>
          <w:color w:val="000000" w:themeColor="text1"/>
        </w:rPr>
        <w:t>95% confidence intervals</w:t>
      </w:r>
      <w:r w:rsidR="00862251" w:rsidRPr="00F92FF9">
        <w:rPr>
          <w:color w:val="000000" w:themeColor="text1"/>
        </w:rPr>
        <w:t>, and</w:t>
      </w:r>
      <w:r w:rsidR="009314EA" w:rsidRPr="00F92FF9">
        <w:rPr>
          <w:color w:val="000000" w:themeColor="text1"/>
        </w:rPr>
        <w:t xml:space="preserve"> </w:t>
      </w:r>
      <w:r w:rsidR="00B135BE" w:rsidRPr="00F92FF9">
        <w:rPr>
          <w:color w:val="000000" w:themeColor="text1"/>
        </w:rPr>
        <w:t>p-value</w:t>
      </w:r>
      <w:r w:rsidR="00993E99" w:rsidRPr="00F92FF9">
        <w:rPr>
          <w:color w:val="000000" w:themeColor="text1"/>
        </w:rPr>
        <w:t>s</w:t>
      </w:r>
      <w:r w:rsidR="004E6255" w:rsidRPr="00F92FF9">
        <w:rPr>
          <w:color w:val="000000" w:themeColor="text1"/>
        </w:rPr>
        <w:t xml:space="preserve"> adjusted for multiple testing</w:t>
      </w:r>
      <w:r w:rsidR="00B135BE" w:rsidRPr="00F92FF9">
        <w:rPr>
          <w:color w:val="000000" w:themeColor="text1"/>
        </w:rPr>
        <w:t>.</w:t>
      </w:r>
    </w:p>
    <w:p w14:paraId="0312464F" w14:textId="6F1FFADF" w:rsidR="00B135BE" w:rsidRPr="00F92FF9" w:rsidRDefault="00B135BE" w:rsidP="002A6285">
      <w:pPr>
        <w:rPr>
          <w:color w:val="000000" w:themeColor="text1"/>
        </w:rPr>
      </w:pPr>
    </w:p>
    <w:p w14:paraId="0CCF2FA4" w14:textId="7BF3905F" w:rsidR="008E02C6" w:rsidRPr="00F92FF9" w:rsidRDefault="00B135BE" w:rsidP="002A6285">
      <w:pPr>
        <w:rPr>
          <w:color w:val="000000" w:themeColor="text1"/>
        </w:rPr>
      </w:pPr>
      <w:r w:rsidRPr="00F92FF9">
        <w:rPr>
          <w:b/>
          <w:bCs/>
          <w:color w:val="000000" w:themeColor="text1"/>
        </w:rPr>
        <w:t>Results</w:t>
      </w:r>
      <w:r w:rsidR="00E12116" w:rsidRPr="00F92FF9">
        <w:rPr>
          <w:b/>
          <w:bCs/>
          <w:color w:val="000000" w:themeColor="text1"/>
        </w:rPr>
        <w:t>:</w:t>
      </w:r>
      <w:r w:rsidR="007232F2" w:rsidRPr="00F92FF9">
        <w:rPr>
          <w:color w:val="000000" w:themeColor="text1"/>
        </w:rPr>
        <w:t xml:space="preserve"> </w:t>
      </w:r>
      <w:r w:rsidR="0094664F" w:rsidRPr="00F92FF9">
        <w:rPr>
          <w:color w:val="000000" w:themeColor="text1"/>
        </w:rPr>
        <w:t xml:space="preserve">In this predominantly healthy cohort (average age 63.0± 7.5 years), </w:t>
      </w:r>
      <w:r w:rsidR="0078776F" w:rsidRPr="00F92FF9">
        <w:rPr>
          <w:color w:val="000000" w:themeColor="text1"/>
        </w:rPr>
        <w:t xml:space="preserve">better cognitive performance (higher FI, lower RT) was associated with </w:t>
      </w:r>
      <w:r w:rsidR="008D62A1" w:rsidRPr="00F92FF9">
        <w:rPr>
          <w:color w:val="000000" w:themeColor="text1"/>
        </w:rPr>
        <w:t>larger</w:t>
      </w:r>
      <w:r w:rsidR="0094664F" w:rsidRPr="00F92FF9">
        <w:rPr>
          <w:color w:val="000000" w:themeColor="text1"/>
        </w:rPr>
        <w:t xml:space="preserve"> </w:t>
      </w:r>
      <w:r w:rsidR="0078776F" w:rsidRPr="00F92FF9">
        <w:rPr>
          <w:color w:val="000000" w:themeColor="text1"/>
        </w:rPr>
        <w:t>LV</w:t>
      </w:r>
      <w:r w:rsidR="00D32ABD" w:rsidRPr="00F92FF9">
        <w:rPr>
          <w:color w:val="000000" w:themeColor="text1"/>
        </w:rPr>
        <w:t>/</w:t>
      </w:r>
      <w:r w:rsidR="0078776F" w:rsidRPr="00F92FF9">
        <w:rPr>
          <w:color w:val="000000" w:themeColor="text1"/>
        </w:rPr>
        <w:t xml:space="preserve">RV </w:t>
      </w:r>
      <w:r w:rsidR="00BA3228" w:rsidRPr="00F92FF9">
        <w:rPr>
          <w:color w:val="000000" w:themeColor="text1"/>
        </w:rPr>
        <w:t>volumes</w:t>
      </w:r>
      <w:r w:rsidR="0078776F" w:rsidRPr="00F92FF9">
        <w:rPr>
          <w:color w:val="000000" w:themeColor="text1"/>
        </w:rPr>
        <w:t xml:space="preserve">, </w:t>
      </w:r>
      <w:r w:rsidR="008D62A1" w:rsidRPr="00F92FF9">
        <w:rPr>
          <w:color w:val="000000" w:themeColor="text1"/>
        </w:rPr>
        <w:t xml:space="preserve">higher </w:t>
      </w:r>
      <w:r w:rsidR="00BA3228" w:rsidRPr="00F92FF9">
        <w:rPr>
          <w:color w:val="000000" w:themeColor="text1"/>
        </w:rPr>
        <w:t>LV</w:t>
      </w:r>
      <w:r w:rsidR="00D32ABD" w:rsidRPr="00F92FF9">
        <w:rPr>
          <w:color w:val="000000" w:themeColor="text1"/>
        </w:rPr>
        <w:t>/</w:t>
      </w:r>
      <w:r w:rsidR="00BA3228" w:rsidRPr="00F92FF9">
        <w:rPr>
          <w:color w:val="000000" w:themeColor="text1"/>
        </w:rPr>
        <w:t xml:space="preserve">RV </w:t>
      </w:r>
      <w:r w:rsidR="0078776F" w:rsidRPr="00F92FF9">
        <w:rPr>
          <w:color w:val="000000" w:themeColor="text1"/>
        </w:rPr>
        <w:t>stroke volume</w:t>
      </w:r>
      <w:r w:rsidR="00BA3228" w:rsidRPr="00F92FF9">
        <w:rPr>
          <w:color w:val="000000" w:themeColor="text1"/>
        </w:rPr>
        <w:t>s</w:t>
      </w:r>
      <w:r w:rsidR="009D44F6" w:rsidRPr="00F92FF9">
        <w:rPr>
          <w:color w:val="000000" w:themeColor="text1"/>
        </w:rPr>
        <w:t>,</w:t>
      </w:r>
      <w:r w:rsidR="0094664F" w:rsidRPr="00F92FF9">
        <w:rPr>
          <w:color w:val="000000" w:themeColor="text1"/>
        </w:rPr>
        <w:t xml:space="preserve"> </w:t>
      </w:r>
      <w:r w:rsidR="008D62A1" w:rsidRPr="00F92FF9">
        <w:rPr>
          <w:color w:val="000000" w:themeColor="text1"/>
        </w:rPr>
        <w:t xml:space="preserve">greater </w:t>
      </w:r>
      <w:r w:rsidR="009D44F6" w:rsidRPr="00F92FF9">
        <w:rPr>
          <w:color w:val="000000" w:themeColor="text1"/>
        </w:rPr>
        <w:t xml:space="preserve">LV mass, and </w:t>
      </w:r>
      <w:r w:rsidR="008D62A1" w:rsidRPr="00F92FF9">
        <w:rPr>
          <w:color w:val="000000" w:themeColor="text1"/>
        </w:rPr>
        <w:t xml:space="preserve">greater </w:t>
      </w:r>
      <w:r w:rsidR="009D44F6" w:rsidRPr="00F92FF9">
        <w:rPr>
          <w:color w:val="000000" w:themeColor="text1"/>
        </w:rPr>
        <w:t>aortic distensibility</w:t>
      </w:r>
      <w:r w:rsidR="00F902F1" w:rsidRPr="00F92FF9">
        <w:rPr>
          <w:color w:val="000000" w:themeColor="text1"/>
        </w:rPr>
        <w:t xml:space="preserve"> </w:t>
      </w:r>
      <w:r w:rsidR="0094664F" w:rsidRPr="00F92FF9">
        <w:rPr>
          <w:color w:val="000000" w:themeColor="text1"/>
        </w:rPr>
        <w:t>in fully adjusted models</w:t>
      </w:r>
      <w:r w:rsidR="00CD088A" w:rsidRPr="00F92FF9">
        <w:rPr>
          <w:color w:val="000000" w:themeColor="text1"/>
        </w:rPr>
        <w:t>. There was some evidence of non-linearity in the relationship between FI and LV end-systolic volume</w:t>
      </w:r>
      <w:r w:rsidR="00F37023" w:rsidRPr="00F92FF9">
        <w:rPr>
          <w:color w:val="000000" w:themeColor="text1"/>
        </w:rPr>
        <w:t>, with reversal of the direction of association</w:t>
      </w:r>
      <w:r w:rsidR="00CD088A" w:rsidRPr="00F92FF9">
        <w:rPr>
          <w:color w:val="000000" w:themeColor="text1"/>
        </w:rPr>
        <w:t xml:space="preserve"> at </w:t>
      </w:r>
      <w:r w:rsidR="00F37023" w:rsidRPr="00F92FF9">
        <w:rPr>
          <w:color w:val="000000" w:themeColor="text1"/>
        </w:rPr>
        <w:t xml:space="preserve">very high volumes. </w:t>
      </w:r>
      <w:r w:rsidR="008D62A1" w:rsidRPr="00F92FF9">
        <w:rPr>
          <w:color w:val="000000" w:themeColor="text1"/>
        </w:rPr>
        <w:t>A</w:t>
      </w:r>
      <w:r w:rsidR="00BA3228" w:rsidRPr="00F92FF9">
        <w:rPr>
          <w:color w:val="000000" w:themeColor="text1"/>
        </w:rPr>
        <w:t xml:space="preserve">ssociations were consistent </w:t>
      </w:r>
      <w:r w:rsidR="00947849" w:rsidRPr="00F92FF9">
        <w:rPr>
          <w:color w:val="000000" w:themeColor="text1"/>
        </w:rPr>
        <w:t xml:space="preserve">for men and women and in </w:t>
      </w:r>
      <w:r w:rsidR="002A1F63" w:rsidRPr="00F92FF9">
        <w:rPr>
          <w:color w:val="000000" w:themeColor="text1"/>
        </w:rPr>
        <w:t>different ages</w:t>
      </w:r>
      <w:r w:rsidR="000E52CA" w:rsidRPr="00F92FF9">
        <w:rPr>
          <w:color w:val="000000" w:themeColor="text1"/>
        </w:rPr>
        <w:t>.</w:t>
      </w:r>
    </w:p>
    <w:p w14:paraId="1D77D83C" w14:textId="77777777" w:rsidR="004C3FCD" w:rsidRPr="00F92FF9" w:rsidRDefault="004C3FCD" w:rsidP="002A6285">
      <w:pPr>
        <w:rPr>
          <w:color w:val="000000" w:themeColor="text1"/>
        </w:rPr>
      </w:pPr>
    </w:p>
    <w:p w14:paraId="635BC4CB" w14:textId="7DFBAA82" w:rsidR="00BD4F5F" w:rsidRPr="00F92FF9" w:rsidRDefault="00570635" w:rsidP="002A6285">
      <w:pPr>
        <w:rPr>
          <w:color w:val="000000" w:themeColor="text1"/>
        </w:rPr>
      </w:pPr>
      <w:r w:rsidRPr="00F92FF9">
        <w:rPr>
          <w:b/>
          <w:bCs/>
          <w:color w:val="000000" w:themeColor="text1"/>
        </w:rPr>
        <w:t>Conclusions</w:t>
      </w:r>
      <w:r w:rsidR="00E12116" w:rsidRPr="00F92FF9">
        <w:rPr>
          <w:b/>
          <w:bCs/>
          <w:color w:val="000000" w:themeColor="text1"/>
        </w:rPr>
        <w:t xml:space="preserve">: </w:t>
      </w:r>
      <w:r w:rsidR="004D4842" w:rsidRPr="00F92FF9">
        <w:rPr>
          <w:color w:val="000000" w:themeColor="text1"/>
        </w:rPr>
        <w:t>B</w:t>
      </w:r>
      <w:r w:rsidR="00A15ACE" w:rsidRPr="00F92FF9">
        <w:rPr>
          <w:color w:val="000000" w:themeColor="text1"/>
        </w:rPr>
        <w:t xml:space="preserve">etter </w:t>
      </w:r>
      <w:r w:rsidR="00496F3B" w:rsidRPr="00F92FF9">
        <w:rPr>
          <w:color w:val="000000" w:themeColor="text1"/>
        </w:rPr>
        <w:t>cogniti</w:t>
      </w:r>
      <w:r w:rsidR="00993E99" w:rsidRPr="00F92FF9">
        <w:rPr>
          <w:color w:val="000000" w:themeColor="text1"/>
        </w:rPr>
        <w:t>ve performance</w:t>
      </w:r>
      <w:r w:rsidR="00496F3B" w:rsidRPr="00F92FF9">
        <w:rPr>
          <w:color w:val="000000" w:themeColor="text1"/>
        </w:rPr>
        <w:t xml:space="preserve"> </w:t>
      </w:r>
      <w:r w:rsidR="004D4842" w:rsidRPr="00F92FF9">
        <w:rPr>
          <w:color w:val="000000" w:themeColor="text1"/>
        </w:rPr>
        <w:t xml:space="preserve">is </w:t>
      </w:r>
      <w:r w:rsidR="00496F3B" w:rsidRPr="00F92FF9">
        <w:rPr>
          <w:color w:val="000000" w:themeColor="text1"/>
        </w:rPr>
        <w:t>associated with</w:t>
      </w:r>
      <w:r w:rsidR="002B24BB" w:rsidRPr="00F92FF9">
        <w:rPr>
          <w:color w:val="000000" w:themeColor="text1"/>
        </w:rPr>
        <w:t xml:space="preserve"> CMR measures likely representing a</w:t>
      </w:r>
      <w:r w:rsidR="00496F3B" w:rsidRPr="00F92FF9">
        <w:rPr>
          <w:color w:val="000000" w:themeColor="text1"/>
        </w:rPr>
        <w:t xml:space="preserve"> </w:t>
      </w:r>
      <w:r w:rsidR="00A15ACE" w:rsidRPr="00F92FF9">
        <w:rPr>
          <w:color w:val="000000" w:themeColor="text1"/>
        </w:rPr>
        <w:t>healthier</w:t>
      </w:r>
      <w:r w:rsidR="00496F3B" w:rsidRPr="00F92FF9">
        <w:rPr>
          <w:color w:val="000000" w:themeColor="text1"/>
        </w:rPr>
        <w:t xml:space="preserve"> cardi</w:t>
      </w:r>
      <w:r w:rsidR="00D32ABD" w:rsidRPr="00F92FF9">
        <w:rPr>
          <w:color w:val="000000" w:themeColor="text1"/>
        </w:rPr>
        <w:t>ovascular</w:t>
      </w:r>
      <w:r w:rsidR="00496F3B" w:rsidRPr="00F92FF9">
        <w:rPr>
          <w:color w:val="000000" w:themeColor="text1"/>
        </w:rPr>
        <w:t xml:space="preserve"> phenotype</w:t>
      </w:r>
      <w:r w:rsidR="001A25D6" w:rsidRPr="00F92FF9">
        <w:rPr>
          <w:color w:val="000000" w:themeColor="text1"/>
        </w:rPr>
        <w:t>.</w:t>
      </w:r>
      <w:r w:rsidR="00E12116" w:rsidRPr="00F92FF9">
        <w:rPr>
          <w:color w:val="000000" w:themeColor="text1"/>
        </w:rPr>
        <w:t xml:space="preserve"> </w:t>
      </w:r>
      <w:r w:rsidR="001A25D6" w:rsidRPr="00F92FF9">
        <w:rPr>
          <w:color w:val="000000" w:themeColor="text1"/>
        </w:rPr>
        <w:t>T</w:t>
      </w:r>
      <w:r w:rsidR="00E12116" w:rsidRPr="00F92FF9">
        <w:rPr>
          <w:color w:val="000000" w:themeColor="text1"/>
        </w:rPr>
        <w:t>hese relationship</w:t>
      </w:r>
      <w:r w:rsidR="0046489E" w:rsidRPr="00F92FF9">
        <w:rPr>
          <w:color w:val="000000" w:themeColor="text1"/>
        </w:rPr>
        <w:t>s</w:t>
      </w:r>
      <w:r w:rsidR="004D4842" w:rsidRPr="00F92FF9">
        <w:rPr>
          <w:color w:val="000000" w:themeColor="text1"/>
        </w:rPr>
        <w:t xml:space="preserve"> </w:t>
      </w:r>
      <w:r w:rsidR="00F37023" w:rsidRPr="00F92FF9">
        <w:rPr>
          <w:color w:val="000000" w:themeColor="text1"/>
        </w:rPr>
        <w:t>remained</w:t>
      </w:r>
      <w:r w:rsidR="00D61339" w:rsidRPr="00F92FF9">
        <w:rPr>
          <w:color w:val="000000" w:themeColor="text1"/>
        </w:rPr>
        <w:t xml:space="preserve"> significant after adjustment for</w:t>
      </w:r>
      <w:r w:rsidR="0078776F" w:rsidRPr="00F92FF9">
        <w:rPr>
          <w:color w:val="000000" w:themeColor="text1"/>
        </w:rPr>
        <w:t xml:space="preserve"> </w:t>
      </w:r>
      <w:r w:rsidR="008D62A1" w:rsidRPr="00F92FF9">
        <w:rPr>
          <w:color w:val="000000" w:themeColor="text1"/>
        </w:rPr>
        <w:t xml:space="preserve">a range of </w:t>
      </w:r>
      <w:r w:rsidR="0078776F" w:rsidRPr="00F92FF9">
        <w:rPr>
          <w:color w:val="000000" w:themeColor="text1"/>
        </w:rPr>
        <w:t xml:space="preserve">cardiometabolic, lifestyle, </w:t>
      </w:r>
      <w:r w:rsidR="00F37023" w:rsidRPr="00F92FF9">
        <w:rPr>
          <w:color w:val="000000" w:themeColor="text1"/>
        </w:rPr>
        <w:t xml:space="preserve">and </w:t>
      </w:r>
      <w:r w:rsidR="0078776F" w:rsidRPr="00F92FF9">
        <w:rPr>
          <w:color w:val="000000" w:themeColor="text1"/>
        </w:rPr>
        <w:t>demographic factors</w:t>
      </w:r>
      <w:r w:rsidR="00534602" w:rsidRPr="00F92FF9">
        <w:rPr>
          <w:color w:val="000000" w:themeColor="text1"/>
        </w:rPr>
        <w:t>,</w:t>
      </w:r>
      <w:r w:rsidR="008E5C97" w:rsidRPr="00F92FF9">
        <w:rPr>
          <w:color w:val="000000" w:themeColor="text1"/>
        </w:rPr>
        <w:t xml:space="preserve"> suggesting </w:t>
      </w:r>
      <w:r w:rsidR="0049090D" w:rsidRPr="00F92FF9">
        <w:rPr>
          <w:color w:val="000000" w:themeColor="text1"/>
        </w:rPr>
        <w:t xml:space="preserve">possible </w:t>
      </w:r>
      <w:r w:rsidR="00534602" w:rsidRPr="00F92FF9">
        <w:rPr>
          <w:color w:val="000000" w:themeColor="text1"/>
        </w:rPr>
        <w:t>involvement of alternative</w:t>
      </w:r>
      <w:r w:rsidR="008E5C97" w:rsidRPr="00F92FF9">
        <w:rPr>
          <w:color w:val="000000" w:themeColor="text1"/>
        </w:rPr>
        <w:t xml:space="preserve"> </w:t>
      </w:r>
      <w:r w:rsidR="00F37023" w:rsidRPr="00F92FF9">
        <w:rPr>
          <w:color w:val="000000" w:themeColor="text1"/>
        </w:rPr>
        <w:t xml:space="preserve">disease </w:t>
      </w:r>
      <w:r w:rsidR="00E72DD3" w:rsidRPr="00F92FF9">
        <w:rPr>
          <w:color w:val="000000" w:themeColor="text1"/>
        </w:rPr>
        <w:t>mechanism</w:t>
      </w:r>
      <w:r w:rsidR="00223E08" w:rsidRPr="00F92FF9">
        <w:rPr>
          <w:color w:val="000000" w:themeColor="text1"/>
        </w:rPr>
        <w:t>s</w:t>
      </w:r>
      <w:r w:rsidR="00E12116" w:rsidRPr="00F92FF9">
        <w:rPr>
          <w:color w:val="000000" w:themeColor="text1"/>
        </w:rPr>
        <w:t>.</w:t>
      </w:r>
    </w:p>
    <w:p w14:paraId="2A82B530" w14:textId="77777777" w:rsidR="00862251" w:rsidRPr="00F92FF9" w:rsidRDefault="00862251" w:rsidP="002A6285">
      <w:pPr>
        <w:rPr>
          <w:color w:val="000000" w:themeColor="text1"/>
        </w:rPr>
      </w:pPr>
    </w:p>
    <w:p w14:paraId="05D43C7D" w14:textId="012D16F9" w:rsidR="00E12116" w:rsidRPr="00F92FF9" w:rsidRDefault="00BD4F5F" w:rsidP="002A6285">
      <w:pPr>
        <w:rPr>
          <w:color w:val="000000" w:themeColor="text1"/>
        </w:rPr>
      </w:pPr>
      <w:r w:rsidRPr="00F92FF9">
        <w:rPr>
          <w:b/>
          <w:bCs/>
          <w:color w:val="000000" w:themeColor="text1"/>
        </w:rPr>
        <w:lastRenderedPageBreak/>
        <w:t xml:space="preserve">Keywords: </w:t>
      </w:r>
      <w:r w:rsidR="00D32ABD" w:rsidRPr="00F92FF9">
        <w:rPr>
          <w:color w:val="000000" w:themeColor="text1"/>
        </w:rPr>
        <w:t xml:space="preserve">cardiovascular </w:t>
      </w:r>
      <w:r w:rsidRPr="00F92FF9">
        <w:rPr>
          <w:color w:val="000000" w:themeColor="text1"/>
        </w:rPr>
        <w:t xml:space="preserve">magnetic resonance; </w:t>
      </w:r>
      <w:r w:rsidR="00D32ABD" w:rsidRPr="00F92FF9">
        <w:rPr>
          <w:color w:val="000000" w:themeColor="text1"/>
        </w:rPr>
        <w:t xml:space="preserve">cardiovascular </w:t>
      </w:r>
      <w:r w:rsidRPr="00F92FF9">
        <w:rPr>
          <w:color w:val="000000" w:themeColor="text1"/>
        </w:rPr>
        <w:t>disease;</w:t>
      </w:r>
      <w:r w:rsidR="00D32ABD" w:rsidRPr="00F92FF9">
        <w:rPr>
          <w:color w:val="000000" w:themeColor="text1"/>
        </w:rPr>
        <w:t xml:space="preserve"> brain; cognition</w:t>
      </w:r>
      <w:r w:rsidRPr="00F92FF9">
        <w:rPr>
          <w:color w:val="000000" w:themeColor="text1"/>
        </w:rPr>
        <w:t>;</w:t>
      </w:r>
      <w:r w:rsidR="00F37023" w:rsidRPr="00F92FF9">
        <w:rPr>
          <w:color w:val="000000" w:themeColor="text1"/>
        </w:rPr>
        <w:t xml:space="preserve"> dementia; </w:t>
      </w:r>
      <w:r w:rsidRPr="00F92FF9">
        <w:rPr>
          <w:color w:val="000000" w:themeColor="text1"/>
        </w:rPr>
        <w:t xml:space="preserve"> </w:t>
      </w:r>
      <w:r w:rsidR="00D32ABD" w:rsidRPr="00F92FF9">
        <w:rPr>
          <w:color w:val="000000" w:themeColor="text1"/>
        </w:rPr>
        <w:t>heart</w:t>
      </w:r>
      <w:r w:rsidRPr="00F92FF9">
        <w:rPr>
          <w:color w:val="000000" w:themeColor="text1"/>
        </w:rPr>
        <w:t>-brain axis</w:t>
      </w:r>
      <w:r w:rsidR="00D32ABD" w:rsidRPr="00F92FF9">
        <w:rPr>
          <w:color w:val="000000" w:themeColor="text1"/>
        </w:rPr>
        <w:t>;</w:t>
      </w:r>
      <w:r w:rsidR="008D62A1" w:rsidRPr="00F92FF9">
        <w:rPr>
          <w:color w:val="000000" w:themeColor="text1"/>
        </w:rPr>
        <w:t xml:space="preserve"> </w:t>
      </w:r>
      <w:r w:rsidR="00D32ABD" w:rsidRPr="00F92FF9">
        <w:rPr>
          <w:color w:val="000000" w:themeColor="text1"/>
        </w:rPr>
        <w:t>vascular risk factors</w:t>
      </w:r>
      <w:r w:rsidRPr="00F92FF9">
        <w:rPr>
          <w:color w:val="000000" w:themeColor="text1"/>
        </w:rPr>
        <w:t xml:space="preserve"> </w:t>
      </w:r>
      <w:r w:rsidR="00E12116" w:rsidRPr="00F92FF9">
        <w:rPr>
          <w:color w:val="000000" w:themeColor="text1"/>
        </w:rPr>
        <w:br w:type="page"/>
      </w:r>
    </w:p>
    <w:p w14:paraId="0F0C1F45" w14:textId="440C00BB" w:rsidR="002075C4" w:rsidRPr="00F92FF9" w:rsidRDefault="00570635">
      <w:pPr>
        <w:pStyle w:val="Heading2"/>
        <w:rPr>
          <w:color w:val="000000" w:themeColor="text1"/>
        </w:rPr>
      </w:pPr>
      <w:r w:rsidRPr="00F92FF9">
        <w:rPr>
          <w:color w:val="000000" w:themeColor="text1"/>
        </w:rPr>
        <w:lastRenderedPageBreak/>
        <w:t>Introduction</w:t>
      </w:r>
    </w:p>
    <w:p w14:paraId="2B1D5D10" w14:textId="1682F11D" w:rsidR="009B01B0" w:rsidRPr="00F92FF9" w:rsidRDefault="00506498">
      <w:pPr>
        <w:rPr>
          <w:color w:val="000000" w:themeColor="text1"/>
        </w:rPr>
      </w:pPr>
      <w:r w:rsidRPr="00F92FF9">
        <w:rPr>
          <w:color w:val="000000" w:themeColor="text1"/>
        </w:rPr>
        <w:t>Cardiovascular disease and cogniti</w:t>
      </w:r>
      <w:r w:rsidR="00C9073E" w:rsidRPr="00F92FF9">
        <w:rPr>
          <w:color w:val="000000" w:themeColor="text1"/>
        </w:rPr>
        <w:t>ve impairment</w:t>
      </w:r>
      <w:r w:rsidRPr="00F92FF9">
        <w:rPr>
          <w:color w:val="000000" w:themeColor="text1"/>
        </w:rPr>
        <w:t xml:space="preserve"> are </w:t>
      </w:r>
      <w:r w:rsidR="004144D3" w:rsidRPr="00F92FF9">
        <w:rPr>
          <w:color w:val="000000" w:themeColor="text1"/>
        </w:rPr>
        <w:t>growing</w:t>
      </w:r>
      <w:r w:rsidRPr="00F92FF9">
        <w:rPr>
          <w:color w:val="000000" w:themeColor="text1"/>
        </w:rPr>
        <w:t xml:space="preserve"> public health problems</w:t>
      </w:r>
      <w:r w:rsidR="00B77869" w:rsidRPr="00F92FF9">
        <w:rPr>
          <w:color w:val="000000" w:themeColor="text1"/>
        </w:rPr>
        <w:t>, particularly</w:t>
      </w:r>
      <w:r w:rsidRPr="00F92FF9">
        <w:rPr>
          <w:color w:val="000000" w:themeColor="text1"/>
        </w:rPr>
        <w:t xml:space="preserve"> in aging global populations</w:t>
      </w:r>
      <w:r w:rsidR="00980923" w:rsidRPr="00F92FF9">
        <w:rPr>
          <w:color w:val="000000" w:themeColor="text1"/>
        </w:rPr>
        <w:fldChar w:fldCharType="begin" w:fldLock="1"/>
      </w:r>
      <w:r w:rsidR="009E59D8" w:rsidRPr="00F92FF9">
        <w:rPr>
          <w:color w:val="000000" w:themeColor="text1"/>
        </w:rPr>
        <w:instrText>ADDIN CSL_CITATION {"citationItems":[{"id":"ITEM-1","itemData":{"URL":"https://www.who.int/news-room/fact-sheets/detail/ageing-and-health","accessed":{"date-parts":[["2020","10","13"]]},"author":[{"dropping-particle":"","family":"World Health Organization (WHO)","given":"","non-dropping-particle":"","parse-names":false,"suffix":""}],"id":"ITEM-1","issued":{"date-parts":[["0"]]},"title":"Ageing and health","type":"webpage"},"uris":["http://www.mendeley.com/documents/?uuid=d7f8dedc-7069-3c54-a216-72a3870c8f9d"]}],"mendeley":{"formattedCitation":"&lt;sup&gt;1&lt;/sup&gt;","plainTextFormattedCitation":"1","previouslyFormattedCitation":"&lt;sup&gt;1&lt;/sup&gt;"},"properties":{"noteIndex":0},"schema":"https://github.com/citation-style-language/schema/raw/master/csl-citation.json"}</w:instrText>
      </w:r>
      <w:r w:rsidR="00980923" w:rsidRPr="00F92FF9">
        <w:rPr>
          <w:color w:val="000000" w:themeColor="text1"/>
        </w:rPr>
        <w:fldChar w:fldCharType="separate"/>
      </w:r>
      <w:r w:rsidR="00980923" w:rsidRPr="00F92FF9">
        <w:rPr>
          <w:noProof/>
          <w:color w:val="000000" w:themeColor="text1"/>
          <w:vertAlign w:val="superscript"/>
        </w:rPr>
        <w:t>1</w:t>
      </w:r>
      <w:r w:rsidR="00980923" w:rsidRPr="00F92FF9">
        <w:rPr>
          <w:color w:val="000000" w:themeColor="text1"/>
        </w:rPr>
        <w:fldChar w:fldCharType="end"/>
      </w:r>
      <w:r w:rsidRPr="00F92FF9">
        <w:rPr>
          <w:color w:val="000000" w:themeColor="text1"/>
          <w:vertAlign w:val="superscript"/>
        </w:rPr>
        <w:t>,</w:t>
      </w:r>
      <w:r w:rsidR="00467619" w:rsidRPr="00F92FF9">
        <w:rPr>
          <w:color w:val="000000" w:themeColor="text1"/>
        </w:rPr>
        <w:fldChar w:fldCharType="begin" w:fldLock="1"/>
      </w:r>
      <w:r w:rsidR="00BD4F5F" w:rsidRPr="00F92FF9">
        <w:rPr>
          <w:color w:val="000000" w:themeColor="text1"/>
        </w:rPr>
        <w:instrText>ADDIN CSL_CITATION {"citationItems":[{"id":"ITEM-1","itemData":{"URL":"https://ifa.ngo/publication/demographics/aging-world-2015/","accessed":{"date-parts":[["2020","1","28"]]},"author":[{"dropping-particle":"","family":"He","given":"Wan","non-dropping-particle":"","parse-names":false,"suffix":""},{"dropping-particle":"","family":"Goodkind","given":"Daniel","non-dropping-particle":"","parse-names":false,"suffix":""},{"dropping-particle":"","family":"Kowal","given":"Paul","non-dropping-particle":"","parse-names":false,"suffix":""}],"id":"ITEM-1","issued":{"date-parts":[["2016"]]},"title":"International Federation on Aging, An Aging World: 2015","type":"webpage"},"uris":["http://www.mendeley.com/documents/?uuid=a72921be-a429-3018-8477-de6f7a1b88b6"]}],"mendeley":{"formattedCitation":"&lt;sup&gt;2&lt;/sup&gt;","plainTextFormattedCitation":"2","previouslyFormattedCitation":"&lt;sup&gt;2&lt;/sup&gt;"},"properties":{"noteIndex":0},"schema":"https://github.com/citation-style-language/schema/raw/master/csl-citation.json"}</w:instrText>
      </w:r>
      <w:r w:rsidR="00467619" w:rsidRPr="00F92FF9">
        <w:rPr>
          <w:color w:val="000000" w:themeColor="text1"/>
        </w:rPr>
        <w:fldChar w:fldCharType="separate"/>
      </w:r>
      <w:r w:rsidR="00467619" w:rsidRPr="00F92FF9">
        <w:rPr>
          <w:noProof/>
          <w:color w:val="000000" w:themeColor="text1"/>
          <w:vertAlign w:val="superscript"/>
        </w:rPr>
        <w:t>2</w:t>
      </w:r>
      <w:r w:rsidR="00467619" w:rsidRPr="00F92FF9">
        <w:rPr>
          <w:color w:val="000000" w:themeColor="text1"/>
        </w:rPr>
        <w:fldChar w:fldCharType="end"/>
      </w:r>
      <w:r w:rsidR="00FC25F2" w:rsidRPr="00F92FF9">
        <w:rPr>
          <w:color w:val="000000" w:themeColor="text1"/>
        </w:rPr>
        <w:t>.</w:t>
      </w:r>
      <w:r w:rsidR="008E23EE" w:rsidRPr="00F92FF9">
        <w:rPr>
          <w:color w:val="000000" w:themeColor="text1"/>
        </w:rPr>
        <w:t xml:space="preserve"> </w:t>
      </w:r>
      <w:r w:rsidR="00355792" w:rsidRPr="00F92FF9">
        <w:rPr>
          <w:color w:val="000000" w:themeColor="text1"/>
        </w:rPr>
        <w:t>Existing work</w:t>
      </w:r>
      <w:r w:rsidR="00F20E53" w:rsidRPr="00F92FF9">
        <w:rPr>
          <w:color w:val="000000" w:themeColor="text1"/>
        </w:rPr>
        <w:t xml:space="preserve"> suggests </w:t>
      </w:r>
      <w:r w:rsidR="00E85740" w:rsidRPr="00F92FF9">
        <w:rPr>
          <w:color w:val="000000" w:themeColor="text1"/>
        </w:rPr>
        <w:t>interactions across</w:t>
      </w:r>
      <w:r w:rsidR="003B0C9F" w:rsidRPr="00F92FF9">
        <w:rPr>
          <w:color w:val="000000" w:themeColor="text1"/>
        </w:rPr>
        <w:t xml:space="preserve"> heart-brain </w:t>
      </w:r>
      <w:r w:rsidR="00E85740" w:rsidRPr="00F92FF9">
        <w:rPr>
          <w:color w:val="000000" w:themeColor="text1"/>
        </w:rPr>
        <w:t>organ systems</w:t>
      </w:r>
      <w:r w:rsidR="00F20E53" w:rsidRPr="00F92FF9">
        <w:rPr>
          <w:color w:val="000000" w:themeColor="text1"/>
        </w:rPr>
        <w:t xml:space="preserve">. </w:t>
      </w:r>
      <w:r w:rsidR="003B0C9F" w:rsidRPr="00F92FF9">
        <w:rPr>
          <w:color w:val="000000" w:themeColor="text1"/>
        </w:rPr>
        <w:t>T</w:t>
      </w:r>
      <w:r w:rsidR="00345AFF" w:rsidRPr="00F92FF9">
        <w:rPr>
          <w:color w:val="000000" w:themeColor="text1"/>
        </w:rPr>
        <w:t xml:space="preserve">he brain </w:t>
      </w:r>
      <w:r w:rsidR="003B0C9F" w:rsidRPr="00F92FF9">
        <w:rPr>
          <w:color w:val="000000" w:themeColor="text1"/>
        </w:rPr>
        <w:t xml:space="preserve">has been proposed as </w:t>
      </w:r>
      <w:r w:rsidR="00345AFF" w:rsidRPr="00F92FF9">
        <w:rPr>
          <w:color w:val="000000" w:themeColor="text1"/>
        </w:rPr>
        <w:t xml:space="preserve">a target for end-organ damage from cardiovascular </w:t>
      </w:r>
      <w:r w:rsidR="00CA099B" w:rsidRPr="00F92FF9">
        <w:rPr>
          <w:color w:val="000000" w:themeColor="text1"/>
        </w:rPr>
        <w:t xml:space="preserve">disease </w:t>
      </w:r>
      <w:r w:rsidR="00345AFF" w:rsidRPr="00F92FF9">
        <w:rPr>
          <w:color w:val="000000" w:themeColor="text1"/>
        </w:rPr>
        <w:t xml:space="preserve">and </w:t>
      </w:r>
      <w:r w:rsidR="002176FB" w:rsidRPr="00F92FF9">
        <w:rPr>
          <w:color w:val="000000" w:themeColor="text1"/>
        </w:rPr>
        <w:t>risk factors</w:t>
      </w:r>
      <w:r w:rsidR="002176FB" w:rsidRPr="00F92FF9">
        <w:rPr>
          <w:color w:val="000000" w:themeColor="text1"/>
        </w:rPr>
        <w:fldChar w:fldCharType="begin" w:fldLock="1"/>
      </w:r>
      <w:r w:rsidR="00B24544" w:rsidRPr="00F92FF9">
        <w:rPr>
          <w:color w:val="000000" w:themeColor="text1"/>
        </w:rPr>
        <w:instrText>ADDIN CSL_CITATION {"citationItems":[{"id":"ITEM-1","itemData":{"DOI":"10.1038/nrcardio.2014.223","ISSN":"17595010","PMID":"25583619","abstract":"The incidence of dementia and cardiovascular disease (CVD) increases with age. Current evidence supports the role for both atherosclerosis and arteriosclerosis as a common pathophysiological ground for the heart-brain connection in ageing. Cognitive decline and CVDs share many vascular risk factors (VRFs) such as smoking, hypertension, and diabetes mellitus; furthermore, CVDs can contribute to cognitive decline by causing cerebral hypoperfusion, hypoxia, emboli, or infarcts. Mixed dementia, resulting from both cerebrovascular lesions and neurodegeneration, accounts for the majority of dementia cases among very old individuals (' ‰' 75 years). An accumulation of multiple VRFs, especially in middle age (40-59 years of age), can substantially increase dementia risk. The suggested declining trend in dementia risk, occurring in parallel with the decreasing incidence of cardiovascular events in high-income countries, supports the role of cardiovascular burden in dementia. Accordingly, strategies to promote cardiovascular health, especially if implemented from early life, might help to delay the onset of dementia. In this Review, we discuss the literature investigating the association of cardiovascular burden with cognitive decline and dementia over the life-course.","author":[{"dropping-particle":"","family":"Qiu","given":"Chengxuan","non-dropping-particle":"","parse-names":false,"suffix":""},{"dropping-particle":"","family":"Fratiglioni","given":"Laura","non-dropping-particle":"","parse-names":false,"suffix":""}],"container-title":"Nature Reviews Cardiology","id":"ITEM-1","issue":"5","issued":{"date-parts":[["2015"]]},"page":"267-277","title":"A major role for cardiovascular burden in age-related cognitive decline","type":"article-journal","volume":"12"},"uris":["http://www.mendeley.com/documents/?uuid=189f9380-0002-3628-92ac-805371b928a9"]}],"mendeley":{"formattedCitation":"&lt;sup&gt;3&lt;/sup&gt;","plainTextFormattedCitation":"3","previouslyFormattedCitation":"&lt;sup&gt;3&lt;/sup&gt;"},"properties":{"noteIndex":0},"schema":"https://github.com/citation-style-language/schema/raw/master/csl-citation.json"}</w:instrText>
      </w:r>
      <w:r w:rsidR="002176FB" w:rsidRPr="00F92FF9">
        <w:rPr>
          <w:color w:val="000000" w:themeColor="text1"/>
        </w:rPr>
        <w:fldChar w:fldCharType="separate"/>
      </w:r>
      <w:r w:rsidR="00F21186" w:rsidRPr="00F92FF9">
        <w:rPr>
          <w:noProof/>
          <w:color w:val="000000" w:themeColor="text1"/>
          <w:vertAlign w:val="superscript"/>
        </w:rPr>
        <w:t>3</w:t>
      </w:r>
      <w:r w:rsidR="002176FB" w:rsidRPr="00F92FF9">
        <w:rPr>
          <w:color w:val="000000" w:themeColor="text1"/>
        </w:rPr>
        <w:fldChar w:fldCharType="end"/>
      </w:r>
      <w:r w:rsidR="00E85740" w:rsidRPr="00F92FF9">
        <w:rPr>
          <w:color w:val="000000" w:themeColor="text1"/>
        </w:rPr>
        <w:t>.</w:t>
      </w:r>
      <w:r w:rsidR="002176FB" w:rsidRPr="00F92FF9">
        <w:rPr>
          <w:color w:val="000000" w:themeColor="text1"/>
        </w:rPr>
        <w:t xml:space="preserve"> </w:t>
      </w:r>
      <w:r w:rsidR="00E85740" w:rsidRPr="00F92FF9">
        <w:rPr>
          <w:color w:val="000000" w:themeColor="text1"/>
        </w:rPr>
        <w:t>Indeed, cardiometabolic morbidities have been linked to accelerated cognitive decline</w:t>
      </w:r>
      <w:r w:rsidR="00E85740" w:rsidRPr="00F92FF9">
        <w:rPr>
          <w:color w:val="000000" w:themeColor="text1"/>
        </w:rPr>
        <w:fldChar w:fldCharType="begin" w:fldLock="1"/>
      </w:r>
      <w:r w:rsidR="00E54F90" w:rsidRPr="00F92FF9">
        <w:rPr>
          <w:color w:val="000000" w:themeColor="text1"/>
        </w:rPr>
        <w:instrText>ADDIN CSL_CITATION {"citationItems":[{"id":"ITEM-1","itemData":{"DOI":"10.1212/WNL.56.1.42","ISSN":"00283878","PMID":"11148234","abstract":"Objective: To perform serial neuropsychological assessments to detect vascular risk factors for cognitive decline in the Atherosclerosis Risk in Communities cohort, a large biracial, multisite, longitudinal investigation of initially middle-aged individuals. Methods: The authors administered cognitive assessments to 10,963 individuals (8,729 white individuals and 2,234 black individuals) on two occasions separated by 6 years. Subjects ranged in age at the first assessment from 47 to 70 years. The cognitive assessments included the delayed word recall (DWR) test, a 10-word delayed free recall task in which the learning phase included sentence generation with the study words, the digit symbol subtest (DSS) of the Wechsler Adult Intelligence Scale-Revised and the first-letter word fluency (WF) test using letters F, A, and S. Results: In multivariate analyses (controlling for demographic factors), the presence of diabetes at baseline was associated with greater decline in scores on both the DSS and WF (p &lt; 0.05), and the presence of hypertension at baseline was associated with greater decline on the DSS alone (p &lt; 0.05). The association of diabetes with cognitive decline persisted when analysis was restricted to the 47- to 57-year-old subgroup. Smoking status, carotid intima-media wall thickness, and hyperlipidemia at baseline were not associated with change in cognitive test scores. Conclusions: Hypertension and diabetes mellitus were positively associated with cognitive decline over 6 years in this late middle-aged population. Interventions aimed at hypertension or diabetes that begin before age 60 might lessen the burden of cognitive impairment in later life.","author":[{"dropping-particle":"","family":"Knopman","given":"D.","non-dropping-particle":"","parse-names":false,"suffix":""},{"dropping-particle":"","family":"Boland","given":"L. L.","non-dropping-particle":"","parse-names":false,"suffix":""},{"dropping-particle":"","family":"Mosley","given":"T.","non-dropping-particle":"","parse-names":false,"suffix":""},{"dropping-particle":"","family":"Howard","given":"G.","non-dropping-particle":"","parse-names":false,"suffix":""},{"dropping-particle":"","family":"Liao","given":"D.","non-dropping-particle":"","parse-names":false,"suffix":""},{"dropping-particle":"","family":"Szklo","given":"M.","non-dropping-particle":"","parse-names":false,"suffix":""},{"dropping-particle":"","family":"McGovern","given":"P.","non-dropping-particle":"","parse-names":false,"suffix":""},{"dropping-particle":"","family":"Folsom","given":"A. R.","non-dropping-particle":"","parse-names":false,"suffix":""}],"container-title":"Neurology","id":"ITEM-1","issue":"1","issued":{"date-parts":[["2001","1","9"]]},"page":"42-48","publisher":"Lippincott Williams and Wilkins","title":"Cardiovascular risk factors and cognitive decline in middle-aged adults","type":"article-journal","volume":"56"},"uris":["http://www.mendeley.com/documents/?uuid=f69dd91c-16fe-3252-9cda-e0864a5f9672"]},{"id":"ITEM-2","itemData":{"DOI":"10.1212/01.wnl.0000279520.59792.fe","ISSN":"00283878","abstract":"BACKGROUND: While there is considerable epidemiologic evidence that cardiovascular risk factors increase risk of incident Alzheimer disease (AD), few studies have examined their effect on progression after an established AD diagnosis. OBJECTIVE: To examine the effect of vascular factors, and potential age modification, on rate of progression in a longitudinal study of incident dementia. METHODS: A total of 135 individuals with incident AD, identified in a population-based sample of elderly persons in Cache County, UT, were followed with in-home visits for a mean of 3.0 years (range: 0.8 to 9.5) and 2.1 follow-up visits (range: 1 to 5). The Clinical Dementia Rating (CDR) Scale and Mini-Mental State Examination (MMSE) were administered at each visit. Baseline vascular factors were determined by interview and physical examination. Generalized least-squares random-effects regression was performed with CDR Sum of Boxes (CDR-Sum) or MMSE as the outcome, and vascular index or individual vascular factors as independent variables. RESULTS: Atrial fibrillation, systolic hypertension, and angina were associated with more rapid decline on both the CDR-Sum and MMSE, while history of coronary artery bypass graft surgery, diabetes, and antihypertensive medications were associated with a slower rate of decline. There was an age interaction such that systolic hypertension, angina, and myocardial infarction were associated with greater decline with increasing baseline age. CONCLUSION: Atrial fibrillation, hypertension, and angina were associated with a greater rate of decline and may represent modifiable risk factors for secondary prevention in Alzheimer disease. The attenuated decline for diabetes and coronary artery bypass graft surgery may be due to selective survival. Some of these effects appear to vary with age. ©2007AAN Enterprises, Inc.","author":[{"dropping-particle":"","family":"Mielke","given":"M. M.","non-dropping-particle":"","parse-names":false,"suffix":""},{"dropping-particle":"","family":"Rosenberg","given":"P. B.","non-dropping-particle":"","parse-names":false,"suffix":""},{"dropping-particle":"","family":"Tschanz","given":"J.","non-dropping-particle":"","parse-names":false,"suffix":""},{"dropping-particle":"","family":"Cook","given":"L.","non-dropping-particle":"","parse-names":false,"suffix":""},{"dropping-particle":"","family":"Corcoran","given":"C.","non-dropping-particle":"","parse-names":false,"suffix":""},{"dropping-particle":"","family":"Hayden","given":"K. M.","non-dropping-particle":"","parse-names":false,"suffix":""},{"dropping-particle":"","family":"Norton","given":"M.","non-dropping-particle":"","parse-names":false,"suffix":""},{"dropping-particle":"V.","family":"Rabins","given":"P.","non-dropping-particle":"","parse-names":false,"suffix":""},{"dropping-particle":"","family":"Green","given":"R. C.","non-dropping-particle":"","parse-names":false,"suffix":""},{"dropping-particle":"","family":"Welsh-Bohmer","given":"K. A.","non-dropping-particle":"","parse-names":false,"suffix":""},{"dropping-particle":"","family":"Breitner","given":"J. C.S.","non-dropping-particle":"","parse-names":false,"suffix":""},{"dropping-particle":"","family":"Munger","given":"R.","non-dropping-particle":"","parse-names":false,"suffix":""},{"dropping-particle":"","family":"Lyketsos","given":"C. G.","non-dropping-particle":"","parse-names":false,"suffix":""}],"container-title":"Neurology","id":"ITEM-2","issue":"19","issued":{"date-parts":[["2007"]]},"page":"1850-1858","publisher":"Lippincott Williams and Wilkins","title":"Vascular factors predict rate of progression in Alzheimer disease","type":"article-journal","volume":"69"},"uris":["http://www.mendeley.com/documents/?uuid=aae703f5-6eb7-37c3-afd8-ddef12c871e0"]}],"mendeley":{"formattedCitation":"&lt;sup&gt;4,5&lt;/sup&gt;","plainTextFormattedCitation":"4,5","previouslyFormattedCitation":"&lt;sup&gt;4,5&lt;/sup&gt;"},"properties":{"noteIndex":0},"schema":"https://github.com/citation-style-language/schema/raw/master/csl-citation.json"}</w:instrText>
      </w:r>
      <w:r w:rsidR="00E85740" w:rsidRPr="00F92FF9">
        <w:rPr>
          <w:color w:val="000000" w:themeColor="text1"/>
        </w:rPr>
        <w:fldChar w:fldCharType="separate"/>
      </w:r>
      <w:r w:rsidR="00E54F90" w:rsidRPr="00F92FF9">
        <w:rPr>
          <w:noProof/>
          <w:color w:val="000000" w:themeColor="text1"/>
          <w:vertAlign w:val="superscript"/>
        </w:rPr>
        <w:t>4,5</w:t>
      </w:r>
      <w:r w:rsidR="00E85740" w:rsidRPr="00F92FF9">
        <w:rPr>
          <w:color w:val="000000" w:themeColor="text1"/>
        </w:rPr>
        <w:fldChar w:fldCharType="end"/>
      </w:r>
      <w:r w:rsidR="00E85740" w:rsidRPr="00F92FF9">
        <w:rPr>
          <w:color w:val="000000" w:themeColor="text1"/>
        </w:rPr>
        <w:t xml:space="preserve"> and their treatment with slowed progression of dementia</w:t>
      </w:r>
      <w:r w:rsidR="00E85740" w:rsidRPr="00F92FF9">
        <w:rPr>
          <w:color w:val="000000" w:themeColor="text1"/>
        </w:rPr>
        <w:fldChar w:fldCharType="begin" w:fldLock="1"/>
      </w:r>
      <w:r w:rsidR="00E54F90" w:rsidRPr="00F92FF9">
        <w:rPr>
          <w:color w:val="000000" w:themeColor="text1"/>
        </w:rPr>
        <w:instrText>ADDIN CSL_CITATION {"citationItems":[{"id":"ITEM-1","itemData":{"DOI":"10.1212/WNL.0b013e3181b59bf3","ISSN":"1526632X","PMID":"19720973","abstract":"Background: There is growing evidence that vascular risk factors (VRF) contribute to cognitive decline. Whether their treatment can slow down the progression of Alzheimer disease (AD) remains unsettled. The aim of this observational study was to evaluate whether the treatment of VRF is associated with a slower cognitive decline in patients who have AD without cerebrovascular disease (CVD). Methods: We recruited 301 consecutive patients who had AD without CVD (mean age 71.7 years; 69.4% women; first Mini-Mental State Examination [MMSE] mean score 21.6; mean follow-up 2.3 years), who had attended a memory clinic between 1997 and 2003. VRF sought were high blood pressure, dyslipidemia, diabetes mellitus, tobacco smoking, and atherosclerotic disease. Only 21 patients (7.0%) had no VRF. Others were classified as having no VRF treated (n = 72; 25.7%), some VRF treated (n = 119; 42.5%), or all VRF treated (n = 89; 31.8%). We compared MMSE progression over time among these 3 groups using a mixed random effects regression model. Results: Baseline MMSE scores were similar in the 3 groups. With adjustment for confounding factors, MMSE progression over time differed significantly between groups (p = 0.002). Patients with all their VRF treated declined less than those with none of their VRF treated. Those with some VRF treated tended to have an intermediate decline. CONCLUSIONS:: In patients who have Alzheimer disease without CVD, treatment of vascular risk factors (VRF) is associated with a slower decline in Mini-Mental State Examination score. Randomized controlled trials are needed to confirm this association, but our data suggest that dementia should not prevent treatment of VRF. © 2009 by AAN Enterprises, Inc.","author":[{"dropping-particle":"","family":"Deschaintre","given":"Yan","non-dropping-particle":"","parse-names":false,"suffix":""},{"dropping-particle":"","family":"Richard","given":"Florence","non-dropping-particle":"","parse-names":false,"suffix":""},{"dropping-particle":"","family":"Leys","given":"Didier","non-dropping-particle":"","parse-names":false,"suffix":""},{"dropping-particle":"","family":"Pasquier","given":"Florence","non-dropping-particle":"","parse-names":false,"suffix":""}],"container-title":"Neurology","id":"ITEM-1","issue":"9","issued":{"date-parts":[["2009","9","1"]]},"page":"674-680","publisher":"Lippincott Williams and Wilkins","title":"Treatment of vascular risk factors is associated with slower decline in Alzheimer disease","type":"article-journal","volume":"73"},"uris":["http://www.mendeley.com/documents/?uuid=90610052-33fe-3f2e-bb0f-e9d1958ba432"]}],"mendeley":{"formattedCitation":"&lt;sup&gt;6&lt;/sup&gt;","plainTextFormattedCitation":"6","previouslyFormattedCitation":"&lt;sup&gt;6&lt;/sup&gt;"},"properties":{"noteIndex":0},"schema":"https://github.com/citation-style-language/schema/raw/master/csl-citation.json"}</w:instrText>
      </w:r>
      <w:r w:rsidR="00E85740" w:rsidRPr="00F92FF9">
        <w:rPr>
          <w:color w:val="000000" w:themeColor="text1"/>
        </w:rPr>
        <w:fldChar w:fldCharType="separate"/>
      </w:r>
      <w:r w:rsidR="00E54F90" w:rsidRPr="00F92FF9">
        <w:rPr>
          <w:noProof/>
          <w:color w:val="000000" w:themeColor="text1"/>
          <w:vertAlign w:val="superscript"/>
        </w:rPr>
        <w:t>6</w:t>
      </w:r>
      <w:r w:rsidR="00E85740" w:rsidRPr="00F92FF9">
        <w:rPr>
          <w:color w:val="000000" w:themeColor="text1"/>
        </w:rPr>
        <w:fldChar w:fldCharType="end"/>
      </w:r>
      <w:r w:rsidR="00E85740" w:rsidRPr="00F92FF9">
        <w:rPr>
          <w:color w:val="000000" w:themeColor="text1"/>
        </w:rPr>
        <w:t>. C</w:t>
      </w:r>
      <w:r w:rsidR="0028091F" w:rsidRPr="00F92FF9">
        <w:rPr>
          <w:color w:val="000000" w:themeColor="text1"/>
        </w:rPr>
        <w:t>ardiovascular risk factors</w:t>
      </w:r>
      <w:r w:rsidR="002176FB" w:rsidRPr="00F92FF9">
        <w:rPr>
          <w:color w:val="000000" w:themeColor="text1"/>
        </w:rPr>
        <w:t xml:space="preserve"> </w:t>
      </w:r>
      <w:r w:rsidR="00F66998" w:rsidRPr="00F92FF9">
        <w:rPr>
          <w:color w:val="000000" w:themeColor="text1"/>
        </w:rPr>
        <w:t xml:space="preserve">have been </w:t>
      </w:r>
      <w:r w:rsidR="00E85740" w:rsidRPr="00F92FF9">
        <w:rPr>
          <w:color w:val="000000" w:themeColor="text1"/>
        </w:rPr>
        <w:t>associate</w:t>
      </w:r>
      <w:r w:rsidR="00F66998" w:rsidRPr="00F92FF9">
        <w:rPr>
          <w:color w:val="000000" w:themeColor="text1"/>
        </w:rPr>
        <w:t>d</w:t>
      </w:r>
      <w:r w:rsidR="00E85740" w:rsidRPr="00F92FF9">
        <w:rPr>
          <w:color w:val="000000" w:themeColor="text1"/>
        </w:rPr>
        <w:t xml:space="preserve"> with</w:t>
      </w:r>
      <w:r w:rsidR="002176FB" w:rsidRPr="00F92FF9">
        <w:rPr>
          <w:color w:val="000000" w:themeColor="text1"/>
        </w:rPr>
        <w:t xml:space="preserve"> both vascular</w:t>
      </w:r>
      <w:r w:rsidR="002176FB" w:rsidRPr="00F92FF9">
        <w:rPr>
          <w:color w:val="000000" w:themeColor="text1"/>
        </w:rPr>
        <w:fldChar w:fldCharType="begin" w:fldLock="1"/>
      </w:r>
      <w:r w:rsidR="00E54F90" w:rsidRPr="00F92FF9">
        <w:rPr>
          <w:color w:val="000000" w:themeColor="text1"/>
        </w:rPr>
        <w:instrText>ADDIN CSL_CITATION {"citationItems":[{"id":"ITEM-1","itemData":{"DOI":"10.3233/JAD-132363","ISSN":"18758908","abstract":"Background: Many cardiovascular risk factors are shown to increase the risk of dementia and Alzheimer's disease (AD), but the impact of heart disease on later development of dementia is still unclear. Objective: The aim of the study was to investigate the long-term risk of dementia and Alzheimer's disease (AD) related to midlife and late-life atrial fibrillation (AF), heart failure (HF), and coronary artery disease (CAD) in a population-based study with a follow-up of over 25 years. Methods: Cardiovascular Risk Factors, Aging and Dementia (CAIDE) study includes 2000 participants who were randomly selected from four separate, population-based samples originally studied in midlife (1972, 1977, 1982, or 1987). Re-examinations were carried out in 1998 and 2005-2008. Altogether 1,510 (75.5%) persons participated in at least one re-examination, and 127 (8.4%) persons were diagnosed with dementia (of which 102 had AD). Results: AF in late-life was an independent risk factor for dementia (HR 2.61, 95% CI 1.05-6.47; p = 0.039) and AD (HR 2.54, 95% CI 1.04-6.16; p = 0.040) in the fully adjusted analyses. The association was even stronger among the apolipoprotein E (APOE) ε4 non-carriers. Late-life HF, but not CAD, tended to increase the risks as well. Heart diseases diagnosed at midlife did not increase the risk of later dementia and AD. Conclusion: Late-life heart diseases increase the subsequent risk of dementia and AD. Prevention and effective treatment of heart diseases may be important also from the perspective of brain health and cognitive functioning.","author":[{"dropping-particle":"","family":"Rusanen","given":"Minna","non-dropping-particle":"","parse-names":false,"suffix":""},{"dropping-particle":"","family":"Kivipelto","given":"Miia","non-dropping-particle":"","parse-names":false,"suffix":""},{"dropping-particle":"","family":"Levälahti","given":"Esko","non-dropping-particle":"","parse-names":false,"suffix":""},{"dropping-particle":"","family":"Laatikainen","given":"Tiina","non-dropping-particle":"","parse-names":false,"suffix":""},{"dropping-particle":"","family":"Tuomilehto","given":"Jaakko","non-dropping-particle":"","parse-names":false,"suffix":""},{"dropping-particle":"","family":"Soininen","given":"Hilkka","non-dropping-particle":"","parse-names":false,"suffix":""},{"dropping-particle":"","family":"Ngandu","given":"Tiia","non-dropping-particle":"","parse-names":false,"suffix":""}],"container-title":"Journal of Alzheimer's Disease","id":"ITEM-1","issue":"1","issued":{"date-parts":[["2014","1","1"]]},"page":"183-191","publisher":"IOS Press","title":"Heart Diseases and Long-Term Risk of Dementia and Alzheimer's Disease: A Population-Based CAIDE Study","type":"article-journal","volume":"42"},"uris":["http://www.mendeley.com/documents/?uuid=b26c6c32-7ff5-3dfa-bc0d-bd9a1a57d4b8"]}],"mendeley":{"formattedCitation":"&lt;sup&gt;7&lt;/sup&gt;","plainTextFormattedCitation":"7","previouslyFormattedCitation":"&lt;sup&gt;7&lt;/sup&gt;"},"properties":{"noteIndex":0},"schema":"https://github.com/citation-style-language/schema/raw/master/csl-citation.json"}</w:instrText>
      </w:r>
      <w:r w:rsidR="002176FB" w:rsidRPr="00F92FF9">
        <w:rPr>
          <w:color w:val="000000" w:themeColor="text1"/>
        </w:rPr>
        <w:fldChar w:fldCharType="separate"/>
      </w:r>
      <w:r w:rsidR="00E54F90" w:rsidRPr="00F92FF9">
        <w:rPr>
          <w:noProof/>
          <w:color w:val="000000" w:themeColor="text1"/>
          <w:vertAlign w:val="superscript"/>
        </w:rPr>
        <w:t>7</w:t>
      </w:r>
      <w:r w:rsidR="002176FB" w:rsidRPr="00F92FF9">
        <w:rPr>
          <w:color w:val="000000" w:themeColor="text1"/>
        </w:rPr>
        <w:fldChar w:fldCharType="end"/>
      </w:r>
      <w:r w:rsidR="002176FB" w:rsidRPr="00F92FF9">
        <w:rPr>
          <w:color w:val="000000" w:themeColor="text1"/>
        </w:rPr>
        <w:t xml:space="preserve"> and Alzheimer’s dementia</w:t>
      </w:r>
      <w:r w:rsidR="002176FB" w:rsidRPr="00F92FF9">
        <w:rPr>
          <w:color w:val="000000" w:themeColor="text1"/>
        </w:rPr>
        <w:fldChar w:fldCharType="begin" w:fldLock="1"/>
      </w:r>
      <w:r w:rsidR="00F21186" w:rsidRPr="00F92FF9">
        <w:rPr>
          <w:color w:val="000000" w:themeColor="text1"/>
        </w:rPr>
        <w:instrText>ADDIN CSL_CITATION {"citationItems":[{"id":"ITEM-1","itemData":{"DOI":"10.1212/01.wnl.0000279520.59792.fe","ISSN":"00283878","abstract":"BACKGROUND: While there is considerable epidemiologic evidence that cardiovascular risk factors increase risk of incident Alzheimer disease (AD), few studies have examined their effect on progression after an established AD diagnosis. OBJECTIVE: To examine the effect of vascular factors, and potential age modification, on rate of progression in a longitudinal study of incident dementia. METHODS: A total of 135 individuals with incident AD, identified in a population-based sample of elderly persons in Cache County, UT, were followed with in-home visits for a mean of 3.0 years (range: 0.8 to 9.5) and 2.1 follow-up visits (range: 1 to 5). The Clinical Dementia Rating (CDR) Scale and Mini-Mental State Examination (MMSE) were administered at each visit. Baseline vascular factors were determined by interview and physical examination. Generalized least-squares random-effects regression was performed with CDR Sum of Boxes (CDR-Sum) or MMSE as the outcome, and vascular index or individual vascular factors as independent variables. RESULTS: Atrial fibrillation, systolic hypertension, and angina were associated with more rapid decline on both the CDR-Sum and MMSE, while history of coronary artery bypass graft surgery, diabetes, and antihypertensive medications were associated with a slower rate of decline. There was an age interaction such that systolic hypertension, angina, and myocardial infarction were associated with greater decline with increasing baseline age. CONCLUSION: Atrial fibrillation, hypertension, and angina were associated with a greater rate of decline and may represent modifiable risk factors for secondary prevention in Alzheimer disease. The attenuated decline for diabetes and coronary artery bypass graft surgery may be due to selective survival. Some of these effects appear to vary with age. ©2007AAN Enterprises, Inc.","author":[{"dropping-particle":"","family":"Mielke","given":"M. M.","non-dropping-particle":"","parse-names":false,"suffix":""},{"dropping-particle":"","family":"Rosenberg","given":"P. B.","non-dropping-particle":"","parse-names":false,"suffix":""},{"dropping-particle":"","family":"Tschanz","given":"J.","non-dropping-particle":"","parse-names":false,"suffix":""},{"dropping-particle":"","family":"Cook","given":"L.","non-dropping-particle":"","parse-names":false,"suffix":""},{"dropping-particle":"","family":"Corcoran","given":"C.","non-dropping-particle":"","parse-names":false,"suffix":""},{"dropping-particle":"","family":"Hayden","given":"K. M.","non-dropping-particle":"","parse-names":false,"suffix":""},{"dropping-particle":"","family":"Norton","given":"M.","non-dropping-particle":"","parse-names":false,"suffix":""},{"dropping-particle":"V.","family":"Rabins","given":"P.","non-dropping-particle":"","parse-names":false,"suffix":""},{"dropping-particle":"","family":"Green","given":"R. C.","non-dropping-particle":"","parse-names":false,"suffix":""},{"dropping-particle":"","family":"Welsh-Bohmer","given":"K. A.","non-dropping-particle":"","parse-names":false,"suffix":""},{"dropping-particle":"","family":"Breitner","given":"J. C.S.","non-dropping-particle":"","parse-names":false,"suffix":""},{"dropping-particle":"","family":"Munger","given":"R.","non-dropping-particle":"","parse-names":false,"suffix":""},{"dropping-particle":"","family":"Lyketsos","given":"C. G.","non-dropping-particle":"","parse-names":false,"suffix":""}],"container-title":"Neurology","id":"ITEM-1","issue":"19","issued":{"date-parts":[["2007"]]},"page":"1850-1858","publisher":"Lippincott Williams and Wilkins","title":"Vascular factors predict rate of progression in Alzheimer disease","type":"article-journal","volume":"69"},"uris":["http://www.mendeley.com/documents/?uuid=aae703f5-6eb7-37c3-afd8-ddef12c871e0"]}],"mendeley":{"formattedCitation":"&lt;sup&gt;5&lt;/sup&gt;","plainTextFormattedCitation":"5","previouslyFormattedCitation":"&lt;sup&gt;5&lt;/sup&gt;"},"properties":{"noteIndex":0},"schema":"https://github.com/citation-style-language/schema/raw/master/csl-citation.json"}</w:instrText>
      </w:r>
      <w:r w:rsidR="002176FB" w:rsidRPr="00F92FF9">
        <w:rPr>
          <w:color w:val="000000" w:themeColor="text1"/>
        </w:rPr>
        <w:fldChar w:fldCharType="separate"/>
      </w:r>
      <w:r w:rsidR="00F21186" w:rsidRPr="00F92FF9">
        <w:rPr>
          <w:noProof/>
          <w:color w:val="000000" w:themeColor="text1"/>
          <w:vertAlign w:val="superscript"/>
        </w:rPr>
        <w:t>5</w:t>
      </w:r>
      <w:r w:rsidR="002176FB" w:rsidRPr="00F92FF9">
        <w:rPr>
          <w:color w:val="000000" w:themeColor="text1"/>
        </w:rPr>
        <w:fldChar w:fldCharType="end"/>
      </w:r>
      <w:r w:rsidR="002176FB" w:rsidRPr="00F92FF9">
        <w:rPr>
          <w:color w:val="000000" w:themeColor="text1"/>
        </w:rPr>
        <w:t>. In individuals without dementia</w:t>
      </w:r>
      <w:r w:rsidR="00CA099B" w:rsidRPr="00F92FF9">
        <w:rPr>
          <w:color w:val="000000" w:themeColor="text1"/>
        </w:rPr>
        <w:t>,</w:t>
      </w:r>
      <w:r w:rsidR="002176FB" w:rsidRPr="00F92FF9">
        <w:rPr>
          <w:color w:val="000000" w:themeColor="text1"/>
        </w:rPr>
        <w:t xml:space="preserve"> </w:t>
      </w:r>
      <w:r w:rsidR="00E85740" w:rsidRPr="00F92FF9">
        <w:rPr>
          <w:color w:val="000000" w:themeColor="text1"/>
        </w:rPr>
        <w:t>vascular risk factors</w:t>
      </w:r>
      <w:r w:rsidR="002176FB" w:rsidRPr="00F92FF9">
        <w:rPr>
          <w:color w:val="000000" w:themeColor="text1"/>
        </w:rPr>
        <w:t xml:space="preserve"> correlate with worse cognitive performance</w:t>
      </w:r>
      <w:r w:rsidR="00D47FC2" w:rsidRPr="00F92FF9">
        <w:rPr>
          <w:color w:val="000000" w:themeColor="text1"/>
        </w:rPr>
        <w:t>,</w:t>
      </w:r>
      <w:r w:rsidR="002176FB" w:rsidRPr="00F92FF9">
        <w:rPr>
          <w:color w:val="000000" w:themeColor="text1"/>
        </w:rPr>
        <w:t xml:space="preserve"> with </w:t>
      </w:r>
      <w:r w:rsidR="00CA099B" w:rsidRPr="00F92FF9">
        <w:rPr>
          <w:color w:val="000000" w:themeColor="text1"/>
        </w:rPr>
        <w:t xml:space="preserve">an additive effect from </w:t>
      </w:r>
      <w:r w:rsidR="002176FB" w:rsidRPr="00F92FF9">
        <w:rPr>
          <w:color w:val="000000" w:themeColor="text1"/>
        </w:rPr>
        <w:t>increasing number of risk factors</w:t>
      </w:r>
      <w:r w:rsidR="002176FB" w:rsidRPr="00F92FF9">
        <w:rPr>
          <w:color w:val="000000" w:themeColor="text1"/>
        </w:rPr>
        <w:fldChar w:fldCharType="begin" w:fldLock="1"/>
      </w:r>
      <w:r w:rsidR="00BD4F5F" w:rsidRPr="00F92FF9">
        <w:rPr>
          <w:color w:val="000000" w:themeColor="text1"/>
        </w:rPr>
        <w:instrText>ADDIN CSL_CITATION {"citationItems":[{"id":"ITEM-1","itemData":{"DOI":"10.1093/eurheartj/ehw528","ISBN":"1413001874","ISSN":"15229645","PMID":"28363219","abstract":"Aims Cardiometabolic diseases (hypertension, coronary artery disease [CAD] and diabetes are known to associate with poorer cognitive ability but there are limited data on whether having more than one of these conditions is associated with additive effects. We aimed to quantify the magnitude of their associations with non-demented cognitive abilities and determine the extent to which these associations were additive. Methods and results We examined cognitive test scores in domains of reasoning, information processing speed and memory, included as part of the baseline UK Biobank cohort assessment (N=474 129 with relevant data), adjusting for a range of potentially confounding variables. The presence of hypertension, CAD and diabetes generally associated with poorer cognitive scores on all tests, compared with a control group that reported none of these diseases. There was evidence of an additive deleterious dose effect of an increasing number of cardiometabolic diseases, for reasoning scores (unstandardized additive dose beta per disease=-0.052 score points out of 13, 95% CI [confidence intervals] -0.063 to-0.041, P&lt;0.001), log reaction time scores (exponentiated beta=1.005, i.e. 0.5% slower, 95% CI 1.004-1.005, P&lt;0.001) and log memory errors (exponentiated beta=1.005 i.e. 0.5% more errors; 95% CI 1.003-1.008). Conclusion Cardiometabolic diseases are associated with worse cognitive abilities, and the potential effect of an increasing number of cardiometabolic conditions appears additive. These results reinforce the notion that preventing or delaying cardiovascular disease or diabetes may delay cognitive decline and possible dementia.","author":[{"dropping-particle":"","family":"Lyall","given":"Donald M.","non-dropping-particle":"","parse-names":false,"suffix":""},{"dropping-particle":"","family":"Celis-Morales","given":"Carlos A.","non-dropping-particle":"","parse-names":false,"suffix":""},{"dropping-particle":"","family":"Anderson","given":"Jana","non-dropping-particle":"","parse-names":false,"suffix":""},{"dropping-particle":"","family":"Gill","given":"Jason M.R.","non-dropping-particle":"","parse-names":false,"suffix":""},{"dropping-particle":"","family":"Mackay","given":"Daniel F.","non-dropping-particle":"","parse-names":false,"suffix":""},{"dropping-particle":"","family":"McIntosh","given":"Andrew M.","non-dropping-particle":"","parse-names":false,"suffix":""},{"dropping-particle":"","family":"Smith","given":"Daniel J.","non-dropping-particle":"","parse-names":false,"suffix":""},{"dropping-particle":"","family":"Deary","given":"Ian J.","non-dropping-particle":"","parse-names":false,"suffix":""},{"dropping-particle":"","family":"Sattar","given":"Naveed","non-dropping-particle":"","parse-names":false,"suffix":""},{"dropping-particle":"","family":"Pell","given":"Jill P.","non-dropping-particle":"","parse-names":false,"suffix":""},{"dropping-particle":"","family":"La Torre","given":"Jack C.","non-dropping-particle":"De","parse-names":false,"suffix":""},{"dropping-particle":"","family":"Lyall","given":"Donald M.","non-dropping-particle":"","parse-names":false,"suffix":""},{"dropping-particle":"","family":"Celis-Morales","given":"Carlos A.","non-dropping-particle":"","parse-names":false,"suffix":""},{"dropping-particle":"","family":"Anderson","given":"Jana","non-dropping-particle":"","parse-names":false,"suffix":""},{"dropping-particle":"","family":"Gill","given":"Jason M.R.","non-dropping-particle":"","parse-names":false,"suffix":""},{"dropping-particle":"","family":"Mackay","given":"Daniel F.","non-dropping-particle":"","parse-names":false,"suffix":""},{"dropping-particle":"","family":"McIntosh","given":"Andrew M.","non-dropping-particle":"","parse-names":false,"suffix":""},{"dropping-particle":"","family":"Smith","given":"Daniel J.","non-dropping-particle":"","parse-names":false,"suffix":""},{"dropping-particle":"","family":"Deary","given":"Ian J.","non-dropping-particle":"","parse-names":false,"suffix":""},{"dropping-particle":"","family":"Sattar","given":"Naveed","non-dropping-particle":"","parse-names":false,"suffix":""},{"dropping-particle":"","family":"Pell","given":"Jill P.","non-dropping-particle":"","parse-names":false,"suffix":""}],"container-title":"European Heart Journal","id":"ITEM-1","issue":"8","issued":{"date-parts":[["2017"]]},"page":"584-585","title":"Associations between single andmultiple cardiometabolic diseases and cognitive abilities in 474 129 UK Biobank participants","type":"article-journal","volume":"38"},"uris":["http://www.mendeley.com/documents/?uuid=9cfd59ad-2280-4b1b-9912-24cb5ddba49f"]}],"mendeley":{"formattedCitation":"&lt;sup&gt;8&lt;/sup&gt;","plainTextFormattedCitation":"8","previouslyFormattedCitation":"&lt;sup&gt;8&lt;/sup&gt;"},"properties":{"noteIndex":0},"schema":"https://github.com/citation-style-language/schema/raw/master/csl-citation.json"}</w:instrText>
      </w:r>
      <w:r w:rsidR="002176FB" w:rsidRPr="00F92FF9">
        <w:rPr>
          <w:color w:val="000000" w:themeColor="text1"/>
        </w:rPr>
        <w:fldChar w:fldCharType="separate"/>
      </w:r>
      <w:r w:rsidR="00F21186" w:rsidRPr="00F92FF9">
        <w:rPr>
          <w:noProof/>
          <w:color w:val="000000" w:themeColor="text1"/>
          <w:vertAlign w:val="superscript"/>
        </w:rPr>
        <w:t>8</w:t>
      </w:r>
      <w:r w:rsidR="002176FB" w:rsidRPr="00F92FF9">
        <w:rPr>
          <w:color w:val="000000" w:themeColor="text1"/>
        </w:rPr>
        <w:fldChar w:fldCharType="end"/>
      </w:r>
      <w:r w:rsidR="002176FB" w:rsidRPr="00F92FF9">
        <w:rPr>
          <w:color w:val="000000" w:themeColor="text1"/>
        </w:rPr>
        <w:t xml:space="preserve">. </w:t>
      </w:r>
      <w:r w:rsidR="00CA099B" w:rsidRPr="00F92FF9">
        <w:rPr>
          <w:color w:val="000000" w:themeColor="text1"/>
        </w:rPr>
        <w:t xml:space="preserve">Furthermore, </w:t>
      </w:r>
      <w:r w:rsidR="00A1790F" w:rsidRPr="00F92FF9">
        <w:rPr>
          <w:color w:val="000000" w:themeColor="text1"/>
        </w:rPr>
        <w:t>cardio</w:t>
      </w:r>
      <w:r w:rsidR="00CA099B" w:rsidRPr="00F92FF9">
        <w:rPr>
          <w:color w:val="000000" w:themeColor="text1"/>
        </w:rPr>
        <w:t xml:space="preserve">vascular risk factors are associated with poorer brain health across grey and white matter macrostructure and microstructure assessed on </w:t>
      </w:r>
      <w:r w:rsidR="00205148" w:rsidRPr="00F92FF9">
        <w:rPr>
          <w:color w:val="000000" w:themeColor="text1"/>
        </w:rPr>
        <w:t xml:space="preserve">brain </w:t>
      </w:r>
      <w:r w:rsidR="00CA099B" w:rsidRPr="00F92FF9">
        <w:rPr>
          <w:color w:val="000000" w:themeColor="text1"/>
        </w:rPr>
        <w:t>magnetic resonance imaging</w:t>
      </w:r>
      <w:r w:rsidR="00CA099B" w:rsidRPr="00F92FF9">
        <w:rPr>
          <w:color w:val="000000" w:themeColor="text1"/>
        </w:rPr>
        <w:fldChar w:fldCharType="begin" w:fldLock="1"/>
      </w:r>
      <w:r w:rsidR="00F21186" w:rsidRPr="00F92FF9">
        <w:rPr>
          <w:color w:val="000000" w:themeColor="text1"/>
        </w:rPr>
        <w:instrText>ADDIN CSL_CITATION {"citationItems":[{"id":"ITEM-1","itemData":{"DOI":"10.1093/eurheartj/ehz100","ISSN":"0195-668X","author":[{"dropping-particle":"","family":"Cox","given":"Simon R","non-dropping-particle":"","parse-names":false,"suffix":""},{"dropping-particle":"","family":"Lyall","given":"Donald M","non-dropping-particle":"","parse-names":false,"suffix":""},{"dropping-particle":"","family":"Ritchie","given":"Stuart J","non-dropping-particle":"","parse-names":false,"suffix":""},{"dropping-particle":"","family":"Bastin","given":"Mark E","non-dropping-particle":"","parse-names":false,"suffix":""},{"dropping-particle":"","family":"Harris","given":"Mathew A","non-dropping-particle":"","parse-names":false,"suffix":""},{"dropping-particle":"","family":"Buchanan","given":"Colin R","non-dropping-particle":"","parse-names":false,"suffix":""},{"dropping-particle":"","family":"Fawns-Ritchie","given":"Chloe","non-dropping-particle":"","parse-names":false,"suffix":""},{"dropping-particle":"","family":"Barbu","given":"Miruna C","non-dropping-particle":"","parse-names":false,"suffix":""},{"dropping-particle":"","family":"Nooij","given":"Laura","non-dropping-particle":"de","parse-names":false,"suffix":""},{"dropping-particle":"","family":"Reus","given":"Lianne M","non-dropping-particle":"","parse-names":false,"suffix":""},{"dropping-particle":"","family":"Alloza","given":"Clara","non-dropping-particle":"","parse-names":false,"suffix":""},{"dropping-particle":"","family":"Shen","given":"Xueyi","non-dropping-particle":"","parse-names":false,"suffix":""},{"dropping-particle":"","family":"Neilson","given":"Emma","non-dropping-particle":"","parse-names":false,"suffix":""},{"dropping-particle":"","family":"Alderson","given":"Helen L","non-dropping-particle":"","parse-names":false,"suffix":""},{"dropping-particle":"","family":"Hunter","given":"Stuart","non-dropping-particle":"","parse-names":false,"suffix":""},{"dropping-particle":"","family":"Liewald","given":"David C","non-dropping-particle":"","parse-names":false,"suffix":""},{"dropping-particle":"","family":"Whalley","given":"Heather C","non-dropping-particle":"","parse-names":false,"suffix":""},{"dropping-particle":"","family":"McIntosh","given":"Andrew M","non-dropping-particle":"","parse-names":false,"suffix":""},{"dropping-particle":"","family":"Lawrie","given":"Stephen M","non-dropping-particle":"","parse-names":false,"suffix":""},{"dropping-particle":"","family":"Pell","given":"Jill P","non-dropping-particle":"","parse-names":false,"suffix":""},{"dropping-particle":"","family":"Tucker-Drob","given":"Elliot M","non-dropping-particle":"","parse-names":false,"suffix":""},{"dropping-particle":"","family":"Wardlaw","given":"Joanna M","non-dropping-particle":"","parse-names":false,"suffix":""},{"dropping-particle":"","family":"Gale","given":"Catharine R","non-dropping-particle":"","parse-names":false,"suffix":""},{"dropping-particle":"","family":"Deary","given":"Ian J","non-dropping-particle":"","parse-names":false,"suffix":""}],"container-title":"European Heart Journal","id":"ITEM-1","issue":"28","issued":{"date-parts":[["2019","7","21"]]},"page":"2290-2300","publisher":"Narnia","title":"Associations between vascular risk factors and brain MRI indices in UK Biobank","type":"article-journal","volume":"40"},"uris":["http://www.mendeley.com/documents/?uuid=2468a0da-4e83-3f70-8db2-76c1a900542c"]}],"mendeley":{"formattedCitation":"&lt;sup&gt;9&lt;/sup&gt;","plainTextFormattedCitation":"9","previouslyFormattedCitation":"&lt;sup&gt;9&lt;/sup&gt;"},"properties":{"noteIndex":0},"schema":"https://github.com/citation-style-language/schema/raw/master/csl-citation.json"}</w:instrText>
      </w:r>
      <w:r w:rsidR="00CA099B" w:rsidRPr="00F92FF9">
        <w:rPr>
          <w:color w:val="000000" w:themeColor="text1"/>
        </w:rPr>
        <w:fldChar w:fldCharType="separate"/>
      </w:r>
      <w:r w:rsidR="00F21186" w:rsidRPr="00F92FF9">
        <w:rPr>
          <w:noProof/>
          <w:color w:val="000000" w:themeColor="text1"/>
          <w:vertAlign w:val="superscript"/>
        </w:rPr>
        <w:t>9</w:t>
      </w:r>
      <w:r w:rsidR="00CA099B" w:rsidRPr="00F92FF9">
        <w:rPr>
          <w:color w:val="000000" w:themeColor="text1"/>
        </w:rPr>
        <w:fldChar w:fldCharType="end"/>
      </w:r>
      <w:r w:rsidR="00CA099B" w:rsidRPr="00F92FF9">
        <w:rPr>
          <w:color w:val="000000" w:themeColor="text1"/>
        </w:rPr>
        <w:t>.</w:t>
      </w:r>
    </w:p>
    <w:p w14:paraId="1E19DC55" w14:textId="77777777" w:rsidR="009B01B0" w:rsidRPr="00F92FF9" w:rsidRDefault="009B01B0">
      <w:pPr>
        <w:rPr>
          <w:color w:val="000000" w:themeColor="text1"/>
        </w:rPr>
      </w:pPr>
    </w:p>
    <w:p w14:paraId="3167AFAF" w14:textId="7226B023" w:rsidR="00723D3E" w:rsidRPr="00F92FF9" w:rsidRDefault="00CA099B">
      <w:pPr>
        <w:rPr>
          <w:color w:val="000000" w:themeColor="text1"/>
        </w:rPr>
      </w:pPr>
      <w:r w:rsidRPr="00F92FF9">
        <w:rPr>
          <w:color w:val="000000" w:themeColor="text1"/>
        </w:rPr>
        <w:t xml:space="preserve">There is support for common </w:t>
      </w:r>
      <w:r w:rsidR="00D47FC2" w:rsidRPr="00F92FF9">
        <w:rPr>
          <w:color w:val="000000" w:themeColor="text1"/>
        </w:rPr>
        <w:t xml:space="preserve">heart-brain </w:t>
      </w:r>
      <w:r w:rsidR="00222331" w:rsidRPr="00F92FF9">
        <w:rPr>
          <w:color w:val="000000" w:themeColor="text1"/>
        </w:rPr>
        <w:t xml:space="preserve">disease </w:t>
      </w:r>
      <w:r w:rsidR="003B0C9F" w:rsidRPr="00F92FF9">
        <w:rPr>
          <w:color w:val="000000" w:themeColor="text1"/>
        </w:rPr>
        <w:t>pathways</w:t>
      </w:r>
      <w:r w:rsidRPr="00F92FF9">
        <w:rPr>
          <w:color w:val="000000" w:themeColor="text1"/>
        </w:rPr>
        <w:t xml:space="preserve"> </w:t>
      </w:r>
      <w:r w:rsidR="00222331" w:rsidRPr="00F92FF9">
        <w:rPr>
          <w:color w:val="000000" w:themeColor="text1"/>
        </w:rPr>
        <w:t>mediated by atherosclerosis and arteriosclerosis</w:t>
      </w:r>
      <w:r w:rsidR="00131F30" w:rsidRPr="00F92FF9">
        <w:rPr>
          <w:color w:val="000000" w:themeColor="text1"/>
        </w:rPr>
        <w:fldChar w:fldCharType="begin" w:fldLock="1"/>
      </w:r>
      <w:r w:rsidR="00B24544" w:rsidRPr="00F92FF9">
        <w:rPr>
          <w:color w:val="000000" w:themeColor="text1"/>
        </w:rPr>
        <w:instrText>ADDIN CSL_CITATION {"citationItems":[{"id":"ITEM-1","itemData":{"DOI":"10.1038/nrcardio.2014.223","ISSN":"17595010","PMID":"25583619","abstract":"The incidence of dementia and cardiovascular disease (CVD) increases with age. Current evidence supports the role for both atherosclerosis and arteriosclerosis as a common pathophysiological ground for the heart-brain connection in ageing. Cognitive decline and CVDs share many vascular risk factors (VRFs) such as smoking, hypertension, and diabetes mellitus; furthermore, CVDs can contribute to cognitive decline by causing cerebral hypoperfusion, hypoxia, emboli, or infarcts. Mixed dementia, resulting from both cerebrovascular lesions and neurodegeneration, accounts for the majority of dementia cases among very old individuals (' ‰' 75 years). An accumulation of multiple VRFs, especially in middle age (40-59 years of age), can substantially increase dementia risk. The suggested declining trend in dementia risk, occurring in parallel with the decreasing incidence of cardiovascular events in high-income countries, supports the role of cardiovascular burden in dementia. Accordingly, strategies to promote cardiovascular health, especially if implemented from early life, might help to delay the onset of dementia. In this Review, we discuss the literature investigating the association of cardiovascular burden with cognitive decline and dementia over the life-course.","author":[{"dropping-particle":"","family":"Qiu","given":"Chengxuan","non-dropping-particle":"","parse-names":false,"suffix":""},{"dropping-particle":"","family":"Fratiglioni","given":"Laura","non-dropping-particle":"","parse-names":false,"suffix":""}],"container-title":"Nature Reviews Cardiology","id":"ITEM-1","issue":"5","issued":{"date-parts":[["2015"]]},"page":"267-277","title":"A major role for cardiovascular burden in age-related cognitive decline","type":"article-journal","volume":"12"},"uris":["http://www.mendeley.com/documents/?uuid=189f9380-0002-3628-92ac-805371b928a9"]}],"mendeley":{"formattedCitation":"&lt;sup&gt;3&lt;/sup&gt;","plainTextFormattedCitation":"3","previouslyFormattedCitation":"&lt;sup&gt;3&lt;/sup&gt;"},"properties":{"noteIndex":0},"schema":"https://github.com/citation-style-language/schema/raw/master/csl-citation.json"}</w:instrText>
      </w:r>
      <w:r w:rsidR="00131F30" w:rsidRPr="00F92FF9">
        <w:rPr>
          <w:color w:val="000000" w:themeColor="text1"/>
        </w:rPr>
        <w:fldChar w:fldCharType="separate"/>
      </w:r>
      <w:r w:rsidR="00F21186" w:rsidRPr="00F92FF9">
        <w:rPr>
          <w:noProof/>
          <w:color w:val="000000" w:themeColor="text1"/>
          <w:vertAlign w:val="superscript"/>
        </w:rPr>
        <w:t>3</w:t>
      </w:r>
      <w:r w:rsidR="00131F30" w:rsidRPr="00F92FF9">
        <w:rPr>
          <w:color w:val="000000" w:themeColor="text1"/>
        </w:rPr>
        <w:fldChar w:fldCharType="end"/>
      </w:r>
      <w:r w:rsidR="00222331" w:rsidRPr="00F92FF9">
        <w:rPr>
          <w:color w:val="000000" w:themeColor="text1"/>
        </w:rPr>
        <w:t xml:space="preserve">. </w:t>
      </w:r>
      <w:r w:rsidRPr="00F92FF9">
        <w:rPr>
          <w:color w:val="000000" w:themeColor="text1"/>
        </w:rPr>
        <w:t xml:space="preserve">However, the precise mechanisms by which </w:t>
      </w:r>
      <w:r w:rsidR="003B0C9F" w:rsidRPr="00F92FF9">
        <w:rPr>
          <w:color w:val="000000" w:themeColor="text1"/>
        </w:rPr>
        <w:t>cardiovascular diseases and risk factors</w:t>
      </w:r>
      <w:r w:rsidRPr="00F92FF9">
        <w:rPr>
          <w:color w:val="000000" w:themeColor="text1"/>
        </w:rPr>
        <w:t xml:space="preserve"> may cause cognitive impairment are </w:t>
      </w:r>
      <w:r w:rsidR="00C063AF" w:rsidRPr="00F92FF9">
        <w:rPr>
          <w:color w:val="000000" w:themeColor="text1"/>
        </w:rPr>
        <w:t>incompletely understood</w:t>
      </w:r>
      <w:r w:rsidR="00CB737A" w:rsidRPr="00F92FF9">
        <w:rPr>
          <w:color w:val="000000" w:themeColor="text1"/>
        </w:rPr>
        <w:t>,</w:t>
      </w:r>
      <w:r w:rsidR="00A1790F" w:rsidRPr="00F92FF9">
        <w:rPr>
          <w:color w:val="000000" w:themeColor="text1"/>
        </w:rPr>
        <w:t xml:space="preserve"> and</w:t>
      </w:r>
      <w:r w:rsidR="00D47FC2" w:rsidRPr="00F92FF9">
        <w:rPr>
          <w:color w:val="000000" w:themeColor="text1"/>
        </w:rPr>
        <w:t xml:space="preserve"> i</w:t>
      </w:r>
      <w:r w:rsidR="00B97CCC" w:rsidRPr="00F92FF9">
        <w:rPr>
          <w:color w:val="000000" w:themeColor="text1"/>
        </w:rPr>
        <w:t xml:space="preserve">t is not known if alternative mechanisms may play a role in the observed associations. </w:t>
      </w:r>
      <w:r w:rsidR="00C063AF" w:rsidRPr="00F92FF9">
        <w:rPr>
          <w:color w:val="000000" w:themeColor="text1"/>
        </w:rPr>
        <w:t>Exploring t</w:t>
      </w:r>
      <w:r w:rsidR="00B97CCC" w:rsidRPr="00F92FF9">
        <w:rPr>
          <w:color w:val="000000" w:themeColor="text1"/>
        </w:rPr>
        <w:t xml:space="preserve">he relationship between cognitive performance and indices of cardiovascular </w:t>
      </w:r>
      <w:r w:rsidR="00723D3E" w:rsidRPr="00F92FF9">
        <w:rPr>
          <w:color w:val="000000" w:themeColor="text1"/>
        </w:rPr>
        <w:t>structur</w:t>
      </w:r>
      <w:r w:rsidR="00B97CCC" w:rsidRPr="00F92FF9">
        <w:rPr>
          <w:color w:val="000000" w:themeColor="text1"/>
        </w:rPr>
        <w:t>e</w:t>
      </w:r>
      <w:r w:rsidR="00723D3E" w:rsidRPr="00F92FF9">
        <w:rPr>
          <w:color w:val="000000" w:themeColor="text1"/>
        </w:rPr>
        <w:t xml:space="preserve"> and function</w:t>
      </w:r>
      <w:r w:rsidR="00B97CCC" w:rsidRPr="00F92FF9">
        <w:rPr>
          <w:color w:val="000000" w:themeColor="text1"/>
        </w:rPr>
        <w:t xml:space="preserve"> may provide </w:t>
      </w:r>
      <w:r w:rsidR="00DA32B4" w:rsidRPr="00F92FF9">
        <w:rPr>
          <w:color w:val="000000" w:themeColor="text1"/>
        </w:rPr>
        <w:t>novel</w:t>
      </w:r>
      <w:r w:rsidR="00B97CCC" w:rsidRPr="00F92FF9">
        <w:rPr>
          <w:color w:val="000000" w:themeColor="text1"/>
        </w:rPr>
        <w:t xml:space="preserve"> insights into these relationships</w:t>
      </w:r>
      <w:r w:rsidR="00686375" w:rsidRPr="00F92FF9">
        <w:rPr>
          <w:color w:val="000000" w:themeColor="text1"/>
        </w:rPr>
        <w:t xml:space="preserve"> and their underlying mechanisms</w:t>
      </w:r>
      <w:r w:rsidR="00A93A93" w:rsidRPr="00F92FF9">
        <w:rPr>
          <w:color w:val="000000" w:themeColor="text1"/>
        </w:rPr>
        <w:t>;</w:t>
      </w:r>
      <w:r w:rsidR="00B97CCC" w:rsidRPr="00F92FF9">
        <w:rPr>
          <w:color w:val="000000" w:themeColor="text1"/>
        </w:rPr>
        <w:t xml:space="preserve"> however,</w:t>
      </w:r>
      <w:r w:rsidR="00295132" w:rsidRPr="00F92FF9">
        <w:rPr>
          <w:color w:val="000000" w:themeColor="text1"/>
        </w:rPr>
        <w:t xml:space="preserve"> to date</w:t>
      </w:r>
      <w:r w:rsidR="00686375" w:rsidRPr="00F92FF9">
        <w:rPr>
          <w:color w:val="000000" w:themeColor="text1"/>
        </w:rPr>
        <w:t>,</w:t>
      </w:r>
      <w:r w:rsidR="00B97CCC" w:rsidRPr="00F92FF9">
        <w:rPr>
          <w:color w:val="000000" w:themeColor="text1"/>
        </w:rPr>
        <w:t xml:space="preserve"> this has not been studied in large</w:t>
      </w:r>
      <w:r w:rsidR="008D7BEF" w:rsidRPr="00F92FF9">
        <w:rPr>
          <w:color w:val="000000" w:themeColor="text1"/>
        </w:rPr>
        <w:t xml:space="preserve"> </w:t>
      </w:r>
      <w:r w:rsidR="00B97CCC" w:rsidRPr="00F92FF9">
        <w:rPr>
          <w:color w:val="000000" w:themeColor="text1"/>
        </w:rPr>
        <w:t>cohorts.</w:t>
      </w:r>
    </w:p>
    <w:p w14:paraId="03671B8F" w14:textId="00D08BCA" w:rsidR="00B97CCC" w:rsidRPr="00F92FF9" w:rsidRDefault="00B97CCC" w:rsidP="009B01B0">
      <w:pPr>
        <w:tabs>
          <w:tab w:val="left" w:pos="372"/>
        </w:tabs>
        <w:rPr>
          <w:color w:val="000000" w:themeColor="text1"/>
        </w:rPr>
      </w:pPr>
    </w:p>
    <w:p w14:paraId="7270594B" w14:textId="5AC2495C" w:rsidR="009B01B0" w:rsidRPr="00F92FF9" w:rsidRDefault="00E12116">
      <w:pPr>
        <w:rPr>
          <w:color w:val="000000" w:themeColor="text1"/>
        </w:rPr>
      </w:pPr>
      <w:r w:rsidRPr="00F92FF9">
        <w:rPr>
          <w:color w:val="000000" w:themeColor="text1"/>
        </w:rPr>
        <w:t xml:space="preserve">We </w:t>
      </w:r>
      <w:r w:rsidR="00A1790F" w:rsidRPr="00F92FF9">
        <w:rPr>
          <w:color w:val="000000" w:themeColor="text1"/>
        </w:rPr>
        <w:t>studied, in the UK Biobank,</w:t>
      </w:r>
      <w:r w:rsidRPr="00F92FF9">
        <w:rPr>
          <w:color w:val="000000" w:themeColor="text1"/>
        </w:rPr>
        <w:t xml:space="preserve"> </w:t>
      </w:r>
      <w:r w:rsidR="006A4C44" w:rsidRPr="00F92FF9">
        <w:rPr>
          <w:color w:val="000000" w:themeColor="text1"/>
        </w:rPr>
        <w:t xml:space="preserve">associations of </w:t>
      </w:r>
      <w:r w:rsidR="00A1790F" w:rsidRPr="00F92FF9">
        <w:rPr>
          <w:color w:val="000000" w:themeColor="text1"/>
        </w:rPr>
        <w:t xml:space="preserve">cardiovascular magnetic resonance (CMR) </w:t>
      </w:r>
      <w:r w:rsidRPr="00F92FF9">
        <w:rPr>
          <w:color w:val="000000" w:themeColor="text1"/>
        </w:rPr>
        <w:t>indices of cardi</w:t>
      </w:r>
      <w:r w:rsidR="006A4C44" w:rsidRPr="00F92FF9">
        <w:rPr>
          <w:color w:val="000000" w:themeColor="text1"/>
        </w:rPr>
        <w:t>ovascular</w:t>
      </w:r>
      <w:r w:rsidRPr="00F92FF9">
        <w:rPr>
          <w:color w:val="000000" w:themeColor="text1"/>
        </w:rPr>
        <w:t xml:space="preserve"> structure and function</w:t>
      </w:r>
      <w:r w:rsidR="00B97CCC" w:rsidRPr="00F92FF9">
        <w:rPr>
          <w:color w:val="000000" w:themeColor="text1"/>
        </w:rPr>
        <w:t xml:space="preserve"> </w:t>
      </w:r>
      <w:r w:rsidR="006A4C44" w:rsidRPr="00F92FF9">
        <w:rPr>
          <w:color w:val="000000" w:themeColor="text1"/>
        </w:rPr>
        <w:t xml:space="preserve">with </w:t>
      </w:r>
      <w:r w:rsidR="00A1790F" w:rsidRPr="00F92FF9">
        <w:rPr>
          <w:color w:val="000000" w:themeColor="text1"/>
        </w:rPr>
        <w:t>cognitive performance</w:t>
      </w:r>
      <w:r w:rsidR="006A4C44" w:rsidRPr="00F92FF9">
        <w:rPr>
          <w:color w:val="000000" w:themeColor="text1"/>
        </w:rPr>
        <w:t xml:space="preserve"> measures</w:t>
      </w:r>
      <w:r w:rsidRPr="00F92FF9">
        <w:rPr>
          <w:color w:val="000000" w:themeColor="text1"/>
        </w:rPr>
        <w:t>. We consider</w:t>
      </w:r>
      <w:r w:rsidR="00295132" w:rsidRPr="00F92FF9">
        <w:rPr>
          <w:color w:val="000000" w:themeColor="text1"/>
        </w:rPr>
        <w:t>ed</w:t>
      </w:r>
      <w:r w:rsidRPr="00F92FF9">
        <w:rPr>
          <w:color w:val="000000" w:themeColor="text1"/>
        </w:rPr>
        <w:t xml:space="preserve"> </w:t>
      </w:r>
      <w:r w:rsidR="008D7BEF" w:rsidRPr="00F92FF9">
        <w:rPr>
          <w:color w:val="000000" w:themeColor="text1"/>
        </w:rPr>
        <w:t xml:space="preserve">potential confounding from </w:t>
      </w:r>
      <w:r w:rsidRPr="00F92FF9">
        <w:rPr>
          <w:color w:val="000000" w:themeColor="text1"/>
        </w:rPr>
        <w:t xml:space="preserve">a </w:t>
      </w:r>
      <w:r w:rsidR="008D7BEF" w:rsidRPr="00F92FF9">
        <w:rPr>
          <w:color w:val="000000" w:themeColor="text1"/>
        </w:rPr>
        <w:t xml:space="preserve">wide </w:t>
      </w:r>
      <w:r w:rsidRPr="00F92FF9">
        <w:rPr>
          <w:color w:val="000000" w:themeColor="text1"/>
        </w:rPr>
        <w:t xml:space="preserve">range of </w:t>
      </w:r>
      <w:r w:rsidR="008D7BEF" w:rsidRPr="00F92FF9">
        <w:rPr>
          <w:color w:val="000000" w:themeColor="text1"/>
        </w:rPr>
        <w:t xml:space="preserve">cardiometabolic, lifestyle, and demographic </w:t>
      </w:r>
      <w:r w:rsidR="00947849" w:rsidRPr="00F92FF9">
        <w:rPr>
          <w:color w:val="000000" w:themeColor="text1"/>
        </w:rPr>
        <w:t>exposures</w:t>
      </w:r>
      <w:r w:rsidR="00295132" w:rsidRPr="00F92FF9">
        <w:rPr>
          <w:color w:val="000000" w:themeColor="text1"/>
        </w:rPr>
        <w:t>.</w:t>
      </w:r>
      <w:r w:rsidR="009B01B0" w:rsidRPr="00F92FF9">
        <w:rPr>
          <w:color w:val="000000" w:themeColor="text1"/>
        </w:rPr>
        <w:br w:type="page"/>
      </w:r>
    </w:p>
    <w:p w14:paraId="6307103A" w14:textId="5DC69E1B" w:rsidR="00052264" w:rsidRPr="00F92FF9" w:rsidRDefault="00EF7098" w:rsidP="00B97CCC">
      <w:pPr>
        <w:pStyle w:val="Heading2"/>
        <w:rPr>
          <w:color w:val="000000" w:themeColor="text1"/>
        </w:rPr>
      </w:pPr>
      <w:r w:rsidRPr="00F92FF9">
        <w:rPr>
          <w:color w:val="000000" w:themeColor="text1"/>
        </w:rPr>
        <w:lastRenderedPageBreak/>
        <w:t>Methods</w:t>
      </w:r>
    </w:p>
    <w:p w14:paraId="112C6A1B" w14:textId="0CBCF0F8" w:rsidR="00C456E4" w:rsidRPr="00F92FF9" w:rsidRDefault="00C456E4">
      <w:pPr>
        <w:pStyle w:val="Heading2"/>
        <w:rPr>
          <w:color w:val="000000" w:themeColor="text1"/>
        </w:rPr>
      </w:pPr>
      <w:r w:rsidRPr="00F92FF9">
        <w:rPr>
          <w:color w:val="000000" w:themeColor="text1"/>
        </w:rPr>
        <w:t xml:space="preserve">Study population </w:t>
      </w:r>
      <w:r w:rsidR="0014424C" w:rsidRPr="00F92FF9">
        <w:rPr>
          <w:color w:val="000000" w:themeColor="text1"/>
        </w:rPr>
        <w:t>and setting</w:t>
      </w:r>
    </w:p>
    <w:p w14:paraId="376BA2F2" w14:textId="0F487533" w:rsidR="00C456E4" w:rsidRPr="00F92FF9" w:rsidRDefault="00DF7B24" w:rsidP="00D61339">
      <w:pPr>
        <w:rPr>
          <w:color w:val="000000" w:themeColor="text1"/>
        </w:rPr>
      </w:pPr>
      <w:r w:rsidRPr="00F92FF9">
        <w:rPr>
          <w:color w:val="000000" w:themeColor="text1"/>
        </w:rPr>
        <w:t xml:space="preserve">The </w:t>
      </w:r>
      <w:r w:rsidR="00C456E4" w:rsidRPr="00F92FF9">
        <w:rPr>
          <w:color w:val="000000" w:themeColor="text1"/>
        </w:rPr>
        <w:t>UK</w:t>
      </w:r>
      <w:r w:rsidRPr="00F92FF9">
        <w:rPr>
          <w:color w:val="000000" w:themeColor="text1"/>
        </w:rPr>
        <w:t xml:space="preserve"> </w:t>
      </w:r>
      <w:r w:rsidR="00C456E4" w:rsidRPr="00F92FF9">
        <w:rPr>
          <w:color w:val="000000" w:themeColor="text1"/>
        </w:rPr>
        <w:t>B</w:t>
      </w:r>
      <w:r w:rsidRPr="00F92FF9">
        <w:rPr>
          <w:color w:val="000000" w:themeColor="text1"/>
        </w:rPr>
        <w:t>iobank</w:t>
      </w:r>
      <w:r w:rsidR="00C456E4" w:rsidRPr="00F92FF9">
        <w:rPr>
          <w:color w:val="000000" w:themeColor="text1"/>
        </w:rPr>
        <w:t xml:space="preserve"> is a large prospective cohort study incorporating data from </w:t>
      </w:r>
      <w:r w:rsidR="00165B1F" w:rsidRPr="00F92FF9">
        <w:rPr>
          <w:color w:val="000000" w:themeColor="text1"/>
        </w:rPr>
        <w:t>over half a million</w:t>
      </w:r>
      <w:r w:rsidR="00C456E4" w:rsidRPr="00F92FF9">
        <w:rPr>
          <w:color w:val="000000" w:themeColor="text1"/>
        </w:rPr>
        <w:t xml:space="preserve"> participants from across the UK. Individuals aged 40-69 years old were identified through </w:t>
      </w:r>
      <w:r w:rsidR="00A83D46" w:rsidRPr="00F92FF9">
        <w:rPr>
          <w:color w:val="000000" w:themeColor="text1"/>
        </w:rPr>
        <w:t>national health service (</w:t>
      </w:r>
      <w:r w:rsidR="00C456E4" w:rsidRPr="00F92FF9">
        <w:rPr>
          <w:color w:val="000000" w:themeColor="text1"/>
        </w:rPr>
        <w:t>NHS</w:t>
      </w:r>
      <w:r w:rsidR="00A83D46" w:rsidRPr="00F92FF9">
        <w:rPr>
          <w:color w:val="000000" w:themeColor="text1"/>
        </w:rPr>
        <w:t>)</w:t>
      </w:r>
      <w:r w:rsidR="00C456E4" w:rsidRPr="00F92FF9">
        <w:rPr>
          <w:color w:val="000000" w:themeColor="text1"/>
        </w:rPr>
        <w:t xml:space="preserve"> registers and recruited over a four-year period between 2006-2010</w:t>
      </w:r>
      <w:r w:rsidR="00A83D46" w:rsidRPr="00F92FF9">
        <w:rPr>
          <w:color w:val="000000" w:themeColor="text1"/>
        </w:rPr>
        <w:t xml:space="preserve"> from </w:t>
      </w:r>
      <w:r w:rsidR="00C456E4" w:rsidRPr="00F92FF9">
        <w:rPr>
          <w:color w:val="000000" w:themeColor="text1"/>
        </w:rPr>
        <w:t>a range of urban and rural settings</w:t>
      </w:r>
      <w:r w:rsidR="000E52CA" w:rsidRPr="00F92FF9">
        <w:rPr>
          <w:color w:val="000000" w:themeColor="text1"/>
        </w:rPr>
        <w:fldChar w:fldCharType="begin" w:fldLock="1"/>
      </w:r>
      <w:r w:rsidR="008D7BEF" w:rsidRPr="00F92FF9">
        <w:rPr>
          <w:color w:val="000000" w:themeColor="text1"/>
        </w:rPr>
        <w:instrText>ADDIN CSL_CITATION {"citationItems":[{"id":"ITEM-1","itemData":{"DOI":"10.1093/cvr/cvz294","ISSN":"0008-6363","author":[{"dropping-particle":"","family":"Raisi-Estabragh","given":"Zahra","non-dropping-particle":"","parse-names":false,"suffix":""},{"dropping-particle":"","family":"Petersen","given":"Steffen E","non-dropping-particle":"","parse-names":false,"suffix":""}],"container-title":"Cardiovascular Research","id":"ITEM-1","issue":"1","issued":{"date-parts":[["2020"]]},"page":"e12-e15","title":"Cardiovascular research highlights from the UK Biobank: opportunities and challenges","type":"article-journal","volume":"116"},"uris":["http://www.mendeley.com/documents/?uuid=368937b0-7686-4fc9-9b7d-890622aaeeac"]}],"mendeley":{"formattedCitation":"&lt;sup&gt;10&lt;/sup&gt;","plainTextFormattedCitation":"10","previouslyFormattedCitation":"&lt;sup&gt;10&lt;/sup&gt;"},"properties":{"noteIndex":0},"schema":"https://github.com/citation-style-language/schema/raw/master/csl-citation.json"}</w:instrText>
      </w:r>
      <w:r w:rsidR="000E52CA" w:rsidRPr="00F92FF9">
        <w:rPr>
          <w:color w:val="000000" w:themeColor="text1"/>
        </w:rPr>
        <w:fldChar w:fldCharType="separate"/>
      </w:r>
      <w:r w:rsidR="000E52CA" w:rsidRPr="00F92FF9">
        <w:rPr>
          <w:noProof/>
          <w:color w:val="000000" w:themeColor="text1"/>
          <w:vertAlign w:val="superscript"/>
        </w:rPr>
        <w:t>10</w:t>
      </w:r>
      <w:r w:rsidR="000E52CA" w:rsidRPr="00F92FF9">
        <w:rPr>
          <w:color w:val="000000" w:themeColor="text1"/>
        </w:rPr>
        <w:fldChar w:fldCharType="end"/>
      </w:r>
      <w:r w:rsidR="00C456E4" w:rsidRPr="00F92FF9">
        <w:rPr>
          <w:color w:val="000000" w:themeColor="text1"/>
        </w:rPr>
        <w:t>. The protocol is publicly available</w:t>
      </w:r>
      <w:r w:rsidR="00C456E4" w:rsidRPr="00F92FF9">
        <w:rPr>
          <w:color w:val="000000" w:themeColor="text1"/>
        </w:rPr>
        <w:fldChar w:fldCharType="begin" w:fldLock="1"/>
      </w:r>
      <w:r w:rsidR="009555D0" w:rsidRPr="00F92FF9">
        <w:rPr>
          <w:color w:val="000000" w:themeColor="text1"/>
        </w:rPr>
        <w:instrText>ADDIN CSL_CITATION {"citationItems":[{"id":"ITEM-1","itemData":{"URL":"https://www.ukbiobank.ac.uk/wp-content/uploads/2011/11/UK-Biobank-Protocol.pdf","accessed":{"date-parts":[["2019","12","13"]]},"id":"ITEM-1","issued":{"date-parts":[["2007"]]},"title":"UK Biobank: Protocol for a large-scale prospective epidemiological resource","type":"webpage"},"uris":["http://www.mendeley.com/documents/?uuid=b594a985-6dd1-3d5c-a8ed-657713d389f7"]}],"mendeley":{"formattedCitation":"&lt;sup&gt;11&lt;/sup&gt;","plainTextFormattedCitation":"11","previouslyFormattedCitation":"&lt;sup&gt;11&lt;/sup&gt;"},"properties":{"noteIndex":0},"schema":"https://github.com/citation-style-language/schema/raw/master/csl-citation.json"}</w:instrText>
      </w:r>
      <w:r w:rsidR="00C456E4" w:rsidRPr="00F92FF9">
        <w:rPr>
          <w:color w:val="000000" w:themeColor="text1"/>
        </w:rPr>
        <w:fldChar w:fldCharType="separate"/>
      </w:r>
      <w:r w:rsidR="000E52CA" w:rsidRPr="00F92FF9">
        <w:rPr>
          <w:noProof/>
          <w:color w:val="000000" w:themeColor="text1"/>
          <w:vertAlign w:val="superscript"/>
        </w:rPr>
        <w:t>11</w:t>
      </w:r>
      <w:r w:rsidR="00C456E4" w:rsidRPr="00F92FF9">
        <w:rPr>
          <w:color w:val="000000" w:themeColor="text1"/>
        </w:rPr>
        <w:fldChar w:fldCharType="end"/>
      </w:r>
      <w:r w:rsidR="00C456E4" w:rsidRPr="00F92FF9">
        <w:rPr>
          <w:color w:val="000000" w:themeColor="text1"/>
        </w:rPr>
        <w:t xml:space="preserve">. </w:t>
      </w:r>
      <w:r w:rsidR="00A83D46" w:rsidRPr="00F92FF9">
        <w:rPr>
          <w:color w:val="000000" w:themeColor="text1"/>
        </w:rPr>
        <w:t>B</w:t>
      </w:r>
      <w:r w:rsidR="00C456E4" w:rsidRPr="00F92FF9">
        <w:rPr>
          <w:color w:val="000000" w:themeColor="text1"/>
        </w:rPr>
        <w:t xml:space="preserve">aseline assessment comprised detailed characterisation of socio-demographics, lifestyle, environmental factors, medical history, </w:t>
      </w:r>
      <w:r w:rsidR="00425B02" w:rsidRPr="00F92FF9">
        <w:rPr>
          <w:color w:val="000000" w:themeColor="text1"/>
        </w:rPr>
        <w:t>tests of cognitive function</w:t>
      </w:r>
      <w:r w:rsidR="00C456E4" w:rsidRPr="00F92FF9">
        <w:rPr>
          <w:color w:val="000000" w:themeColor="text1"/>
        </w:rPr>
        <w:t xml:space="preserve">, and a </w:t>
      </w:r>
      <w:r w:rsidR="00A83D46" w:rsidRPr="00F92FF9">
        <w:rPr>
          <w:color w:val="000000" w:themeColor="text1"/>
        </w:rPr>
        <w:t>series</w:t>
      </w:r>
      <w:r w:rsidR="00C456E4" w:rsidRPr="00F92FF9">
        <w:rPr>
          <w:color w:val="000000" w:themeColor="text1"/>
        </w:rPr>
        <w:t xml:space="preserve"> of physical measures. Individuals who were unable to consent or complete baseline assessment due to illness or discomfort were not recruited. </w:t>
      </w:r>
      <w:r w:rsidR="00A83D46" w:rsidRPr="00F92FF9">
        <w:rPr>
          <w:color w:val="000000" w:themeColor="text1"/>
        </w:rPr>
        <w:t>T</w:t>
      </w:r>
      <w:r w:rsidR="00425B02" w:rsidRPr="00F92FF9">
        <w:rPr>
          <w:color w:val="000000" w:themeColor="text1"/>
        </w:rPr>
        <w:t>he UK</w:t>
      </w:r>
      <w:r w:rsidRPr="00F92FF9">
        <w:rPr>
          <w:color w:val="000000" w:themeColor="text1"/>
        </w:rPr>
        <w:t xml:space="preserve"> </w:t>
      </w:r>
      <w:r w:rsidR="00165B1F" w:rsidRPr="00F92FF9">
        <w:rPr>
          <w:color w:val="000000" w:themeColor="text1"/>
        </w:rPr>
        <w:t>B</w:t>
      </w:r>
      <w:r w:rsidRPr="00F92FF9">
        <w:rPr>
          <w:color w:val="000000" w:themeColor="text1"/>
        </w:rPr>
        <w:t>iobank</w:t>
      </w:r>
      <w:r w:rsidR="00425B02" w:rsidRPr="00F92FF9">
        <w:rPr>
          <w:color w:val="000000" w:themeColor="text1"/>
        </w:rPr>
        <w:t xml:space="preserve"> </w:t>
      </w:r>
      <w:r w:rsidR="00165B1F" w:rsidRPr="00F92FF9">
        <w:rPr>
          <w:color w:val="000000" w:themeColor="text1"/>
        </w:rPr>
        <w:t>I</w:t>
      </w:r>
      <w:r w:rsidR="00425B02" w:rsidRPr="00F92FF9">
        <w:rPr>
          <w:color w:val="000000" w:themeColor="text1"/>
        </w:rPr>
        <w:t xml:space="preserve">maging </w:t>
      </w:r>
      <w:r w:rsidR="00165B1F" w:rsidRPr="00F92FF9">
        <w:rPr>
          <w:color w:val="000000" w:themeColor="text1"/>
        </w:rPr>
        <w:t>S</w:t>
      </w:r>
      <w:r w:rsidR="00425B02" w:rsidRPr="00F92FF9">
        <w:rPr>
          <w:color w:val="000000" w:themeColor="text1"/>
        </w:rPr>
        <w:t>tudy</w:t>
      </w:r>
      <w:r w:rsidR="000E52CA" w:rsidRPr="00F92FF9">
        <w:rPr>
          <w:color w:val="000000" w:themeColor="text1"/>
        </w:rPr>
        <w:t>, which</w:t>
      </w:r>
      <w:r w:rsidR="00425B02" w:rsidRPr="00F92FF9">
        <w:rPr>
          <w:color w:val="000000" w:themeColor="text1"/>
        </w:rPr>
        <w:t xml:space="preserve"> </w:t>
      </w:r>
      <w:r w:rsidR="00CF083E" w:rsidRPr="00F92FF9">
        <w:rPr>
          <w:color w:val="000000" w:themeColor="text1"/>
        </w:rPr>
        <w:t>aims to scan</w:t>
      </w:r>
      <w:r w:rsidR="00425B02" w:rsidRPr="00F92FF9">
        <w:rPr>
          <w:color w:val="000000" w:themeColor="text1"/>
        </w:rPr>
        <w:t xml:space="preserve"> 100,000 of the original participants (48,</w:t>
      </w:r>
      <w:r w:rsidR="00EF7098" w:rsidRPr="00F92FF9">
        <w:rPr>
          <w:color w:val="000000" w:themeColor="text1"/>
        </w:rPr>
        <w:t>000</w:t>
      </w:r>
      <w:r w:rsidR="00425B02" w:rsidRPr="00F92FF9">
        <w:rPr>
          <w:color w:val="000000" w:themeColor="text1"/>
        </w:rPr>
        <w:t xml:space="preserve"> completed</w:t>
      </w:r>
      <w:r w:rsidR="00EF7098" w:rsidRPr="00F92FF9">
        <w:rPr>
          <w:color w:val="000000" w:themeColor="text1"/>
        </w:rPr>
        <w:t xml:space="preserve">, </w:t>
      </w:r>
      <w:r w:rsidR="008D7BEF" w:rsidRPr="00F92FF9">
        <w:rPr>
          <w:color w:val="000000" w:themeColor="text1"/>
        </w:rPr>
        <w:t>February 2021</w:t>
      </w:r>
      <w:r w:rsidR="000E52CA" w:rsidRPr="00F92FF9">
        <w:rPr>
          <w:color w:val="000000" w:themeColor="text1"/>
        </w:rPr>
        <w:t>)</w:t>
      </w:r>
      <w:r w:rsidR="000E52CA" w:rsidRPr="00F92FF9">
        <w:rPr>
          <w:color w:val="000000" w:themeColor="text1"/>
        </w:rPr>
        <w:fldChar w:fldCharType="begin" w:fldLock="1"/>
      </w:r>
      <w:r w:rsidR="009555D0" w:rsidRPr="00F92FF9">
        <w:rPr>
          <w:color w:val="000000" w:themeColor="text1"/>
        </w:rPr>
        <w:instrText>ADDIN CSL_CITATION {"citationItems":[{"id":"ITEM-1","itemData":{"URL":"https://imaging.ukbiobank.ac.uk/","accessed":{"date-parts":[["2019","12","11"]]},"id":"ITEM-1","issued":{"date-parts":[["0"]]},"title":"UK Biobank Imaging Study","type":"webpage"},"uris":["http://www.mendeley.com/documents/?uuid=fa7d8e4e-d022-313c-8e8c-7a6640acb1ba"]}],"mendeley":{"formattedCitation":"&lt;sup&gt;12&lt;/sup&gt;","plainTextFormattedCitation":"12","previouslyFormattedCitation":"&lt;sup&gt;12&lt;/sup&gt;"},"properties":{"noteIndex":0},"schema":"https://github.com/citation-style-language/schema/raw/master/csl-citation.json"}</w:instrText>
      </w:r>
      <w:r w:rsidR="000E52CA" w:rsidRPr="00F92FF9">
        <w:rPr>
          <w:color w:val="000000" w:themeColor="text1"/>
        </w:rPr>
        <w:fldChar w:fldCharType="separate"/>
      </w:r>
      <w:r w:rsidR="000E52CA" w:rsidRPr="00F92FF9">
        <w:rPr>
          <w:noProof/>
          <w:color w:val="000000" w:themeColor="text1"/>
          <w:vertAlign w:val="superscript"/>
        </w:rPr>
        <w:t>12</w:t>
      </w:r>
      <w:r w:rsidR="000E52CA" w:rsidRPr="00F92FF9">
        <w:rPr>
          <w:color w:val="000000" w:themeColor="text1"/>
        </w:rPr>
        <w:fldChar w:fldCharType="end"/>
      </w:r>
      <w:r w:rsidR="000E52CA" w:rsidRPr="00F92FF9">
        <w:rPr>
          <w:color w:val="000000" w:themeColor="text1"/>
        </w:rPr>
        <w:t>, includes,</w:t>
      </w:r>
      <w:r w:rsidR="00165B1F" w:rsidRPr="00F92FF9">
        <w:rPr>
          <w:color w:val="000000" w:themeColor="text1"/>
        </w:rPr>
        <w:t xml:space="preserve"> </w:t>
      </w:r>
      <w:r w:rsidR="00295132" w:rsidRPr="00F92FF9">
        <w:rPr>
          <w:color w:val="000000" w:themeColor="text1"/>
        </w:rPr>
        <w:t>among a wide range of other assessments</w:t>
      </w:r>
      <w:r w:rsidR="00165B1F" w:rsidRPr="00F92FF9">
        <w:rPr>
          <w:color w:val="000000" w:themeColor="text1"/>
        </w:rPr>
        <w:t>,</w:t>
      </w:r>
      <w:r w:rsidR="00425B02" w:rsidRPr="00F92FF9">
        <w:rPr>
          <w:color w:val="000000" w:themeColor="text1"/>
        </w:rPr>
        <w:t xml:space="preserve"> </w:t>
      </w:r>
      <w:r w:rsidR="00EF7098" w:rsidRPr="00F92FF9">
        <w:rPr>
          <w:color w:val="000000" w:themeColor="text1"/>
        </w:rPr>
        <w:t>detailed</w:t>
      </w:r>
      <w:r w:rsidR="00425B02" w:rsidRPr="00F92FF9">
        <w:rPr>
          <w:color w:val="000000" w:themeColor="text1"/>
        </w:rPr>
        <w:t xml:space="preserve"> CMR imaging</w:t>
      </w:r>
      <w:r w:rsidR="000E52CA" w:rsidRPr="00F92FF9">
        <w:rPr>
          <w:color w:val="000000" w:themeColor="text1"/>
        </w:rPr>
        <w:fldChar w:fldCharType="begin" w:fldLock="1"/>
      </w:r>
      <w:r w:rsidR="008D7BEF" w:rsidRPr="00F92FF9">
        <w:rPr>
          <w:color w:val="000000" w:themeColor="text1"/>
        </w:rPr>
        <w:instrText>ADDIN CSL_CITATION {"citationItems":[{"id":"ITEM-1","itemData":{"DOI":"10.1093/ehjci/jeaa297","ISSN":"2047-2404","author":[{"dropping-particle":"","family":"Raisi-Estabragh","given":"Zahra","non-dropping-particle":"","parse-names":false,"suffix":""},{"dropping-particle":"","family":"Harvey","given":"Nicholas C","non-dropping-particle":"","parse-names":false,"suffix":""},{"dropping-particle":"","family":"Neubauer","given":"Stefan","non-dropping-particle":"","parse-names":false,"suffix":""},{"dropping-particle":"","family":"Petersen","given":"Steffen E","non-dropping-particle":"","parse-names":false,"suffix":""}],"container-title":"European Heart Journal - Cardiovascular Imaging","id":"ITEM-1","issued":{"date-parts":[["2020"]]},"page":"jea297","title":"Cardiovascular magnetic resonance imaging in the UK Biobank: a major international health research resource","type":"article-journal"},"uris":["http://www.mendeley.com/documents/?uuid=b6a6ca7c-f8f7-4141-8d50-f3df3e9624bc"]}],"mendeley":{"formattedCitation":"&lt;sup&gt;13&lt;/sup&gt;","plainTextFormattedCitation":"13","previouslyFormattedCitation":"&lt;sup&gt;13&lt;/sup&gt;"},"properties":{"noteIndex":0},"schema":"https://github.com/citation-style-language/schema/raw/master/csl-citation.json"}</w:instrText>
      </w:r>
      <w:r w:rsidR="000E52CA" w:rsidRPr="00F92FF9">
        <w:rPr>
          <w:color w:val="000000" w:themeColor="text1"/>
        </w:rPr>
        <w:fldChar w:fldCharType="separate"/>
      </w:r>
      <w:r w:rsidR="000E52CA" w:rsidRPr="00F92FF9">
        <w:rPr>
          <w:noProof/>
          <w:color w:val="000000" w:themeColor="text1"/>
          <w:vertAlign w:val="superscript"/>
        </w:rPr>
        <w:t>13</w:t>
      </w:r>
      <w:r w:rsidR="000E52CA" w:rsidRPr="00F92FF9">
        <w:rPr>
          <w:color w:val="000000" w:themeColor="text1"/>
        </w:rPr>
        <w:fldChar w:fldCharType="end"/>
      </w:r>
      <w:r w:rsidR="0062170E" w:rsidRPr="00F92FF9">
        <w:rPr>
          <w:color w:val="000000" w:themeColor="text1"/>
        </w:rPr>
        <w:t>.</w:t>
      </w:r>
    </w:p>
    <w:p w14:paraId="3AD4166D" w14:textId="4BAE0D08" w:rsidR="00425B02" w:rsidRPr="00F92FF9" w:rsidRDefault="00425B02">
      <w:pPr>
        <w:rPr>
          <w:color w:val="000000" w:themeColor="text1"/>
        </w:rPr>
      </w:pPr>
    </w:p>
    <w:p w14:paraId="216FD787" w14:textId="77777777" w:rsidR="00BB3BA5" w:rsidRPr="00F92FF9" w:rsidRDefault="00BB3BA5" w:rsidP="00B97CCC">
      <w:pPr>
        <w:pStyle w:val="Heading2"/>
        <w:rPr>
          <w:color w:val="000000" w:themeColor="text1"/>
        </w:rPr>
      </w:pPr>
      <w:r w:rsidRPr="00F92FF9">
        <w:rPr>
          <w:color w:val="000000" w:themeColor="text1"/>
        </w:rPr>
        <w:t>Ethics</w:t>
      </w:r>
    </w:p>
    <w:p w14:paraId="5AAC28FD" w14:textId="2EFAF77C" w:rsidR="00BB3BA5" w:rsidRPr="00F92FF9" w:rsidRDefault="00BB3BA5" w:rsidP="00B97CCC">
      <w:pPr>
        <w:rPr>
          <w:color w:val="000000" w:themeColor="text1"/>
        </w:rPr>
      </w:pPr>
      <w:r w:rsidRPr="00F92FF9">
        <w:rPr>
          <w:color w:val="000000" w:themeColor="text1"/>
        </w:rPr>
        <w:t>This study was covered by the ethical approval for UK</w:t>
      </w:r>
      <w:r w:rsidR="00DF7B24" w:rsidRPr="00F92FF9">
        <w:rPr>
          <w:color w:val="000000" w:themeColor="text1"/>
        </w:rPr>
        <w:t xml:space="preserve"> </w:t>
      </w:r>
      <w:r w:rsidRPr="00F92FF9">
        <w:rPr>
          <w:color w:val="000000" w:themeColor="text1"/>
        </w:rPr>
        <w:t>B</w:t>
      </w:r>
      <w:r w:rsidR="00DF7B24" w:rsidRPr="00F92FF9">
        <w:rPr>
          <w:color w:val="000000" w:themeColor="text1"/>
        </w:rPr>
        <w:t>iobank</w:t>
      </w:r>
      <w:r w:rsidRPr="00F92FF9">
        <w:rPr>
          <w:color w:val="000000" w:themeColor="text1"/>
        </w:rPr>
        <w:t xml:space="preserve"> studies from the NHS National Research Ethics Service on 17th June 2011 (Ref 11/NW/0382) and extended on 10th May 2016 (Ref 16/NW/0274).</w:t>
      </w:r>
      <w:r w:rsidR="008D7BEF" w:rsidRPr="00F92FF9">
        <w:rPr>
          <w:color w:val="000000" w:themeColor="text1"/>
        </w:rPr>
        <w:t xml:space="preserve"> All participants provided written informed consent.</w:t>
      </w:r>
    </w:p>
    <w:p w14:paraId="1E153CAB" w14:textId="4A606B24" w:rsidR="00C456E4" w:rsidRPr="00F92FF9" w:rsidRDefault="00C456E4">
      <w:pPr>
        <w:rPr>
          <w:color w:val="000000" w:themeColor="text1"/>
        </w:rPr>
      </w:pPr>
    </w:p>
    <w:p w14:paraId="16724C12" w14:textId="7CD086A0" w:rsidR="003E01A0" w:rsidRPr="00F92FF9" w:rsidRDefault="003E01A0" w:rsidP="00E53B2B">
      <w:pPr>
        <w:pStyle w:val="Heading2"/>
        <w:rPr>
          <w:color w:val="000000" w:themeColor="text1"/>
        </w:rPr>
      </w:pPr>
      <w:r w:rsidRPr="00F92FF9">
        <w:rPr>
          <w:color w:val="000000" w:themeColor="text1"/>
        </w:rPr>
        <w:t xml:space="preserve">Measures of cognitive function </w:t>
      </w:r>
    </w:p>
    <w:p w14:paraId="02339DAB" w14:textId="087526D7" w:rsidR="00570635" w:rsidRPr="00F92FF9" w:rsidRDefault="00591763" w:rsidP="00DF7B24">
      <w:pPr>
        <w:rPr>
          <w:color w:val="000000" w:themeColor="text1"/>
        </w:rPr>
      </w:pPr>
      <w:r w:rsidRPr="00F92FF9">
        <w:rPr>
          <w:color w:val="000000" w:themeColor="text1"/>
        </w:rPr>
        <w:t>We assessed cognitive measures available in terms of biological relevance and repeatability. We thus</w:t>
      </w:r>
      <w:r w:rsidR="00570635" w:rsidRPr="00F92FF9">
        <w:rPr>
          <w:color w:val="000000" w:themeColor="text1"/>
        </w:rPr>
        <w:t xml:space="preserve"> selected two components </w:t>
      </w:r>
      <w:r w:rsidR="005C7EE9" w:rsidRPr="00F92FF9">
        <w:rPr>
          <w:color w:val="000000" w:themeColor="text1"/>
        </w:rPr>
        <w:t>from</w:t>
      </w:r>
      <w:r w:rsidR="00570635" w:rsidRPr="00F92FF9">
        <w:rPr>
          <w:color w:val="000000" w:themeColor="text1"/>
        </w:rPr>
        <w:t xml:space="preserve"> </w:t>
      </w:r>
      <w:r w:rsidR="00D47FC2" w:rsidRPr="00F92FF9">
        <w:rPr>
          <w:color w:val="000000" w:themeColor="text1"/>
        </w:rPr>
        <w:t xml:space="preserve">the </w:t>
      </w:r>
      <w:r w:rsidR="00570635" w:rsidRPr="00F92FF9">
        <w:rPr>
          <w:color w:val="000000" w:themeColor="text1"/>
        </w:rPr>
        <w:t>UK</w:t>
      </w:r>
      <w:r w:rsidR="00DF7B24" w:rsidRPr="00F92FF9">
        <w:rPr>
          <w:color w:val="000000" w:themeColor="text1"/>
        </w:rPr>
        <w:t xml:space="preserve"> </w:t>
      </w:r>
      <w:r w:rsidR="00570635" w:rsidRPr="00F92FF9">
        <w:rPr>
          <w:color w:val="000000" w:themeColor="text1"/>
        </w:rPr>
        <w:t>B</w:t>
      </w:r>
      <w:r w:rsidR="00DF7B24" w:rsidRPr="00F92FF9">
        <w:rPr>
          <w:color w:val="000000" w:themeColor="text1"/>
        </w:rPr>
        <w:t>iobank</w:t>
      </w:r>
      <w:r w:rsidR="00570635" w:rsidRPr="00F92FF9">
        <w:rPr>
          <w:color w:val="000000" w:themeColor="text1"/>
        </w:rPr>
        <w:t xml:space="preserve"> cognitive function assessment for inclusion in our analysis</w:t>
      </w:r>
      <w:r w:rsidR="00DF7B24" w:rsidRPr="00F92FF9">
        <w:rPr>
          <w:color w:val="000000" w:themeColor="text1"/>
        </w:rPr>
        <w:t xml:space="preserve">: fluid intelligence (FI) and reaction time (RT). The FI test is intended to measure the capacity to solve problems that require logic and reasoning independent of acquired knowledge. The RT exercise is designed to provide a crude measure of raw processing speed, reaction speed, and attention. </w:t>
      </w:r>
      <w:r w:rsidR="00D61339" w:rsidRPr="00F92FF9">
        <w:rPr>
          <w:color w:val="000000" w:themeColor="text1"/>
        </w:rPr>
        <w:t>O</w:t>
      </w:r>
      <w:r w:rsidR="00DF7B24" w:rsidRPr="00F92FF9">
        <w:rPr>
          <w:color w:val="000000" w:themeColor="text1"/>
        </w:rPr>
        <w:t xml:space="preserve">verall, these two tests provide broad assessment of several different aspects of cognitive performance. </w:t>
      </w:r>
      <w:r w:rsidR="00947849" w:rsidRPr="00F92FF9">
        <w:rPr>
          <w:color w:val="000000" w:themeColor="text1"/>
        </w:rPr>
        <w:t>Additionally</w:t>
      </w:r>
      <w:r w:rsidR="00DF7B24" w:rsidRPr="00F92FF9">
        <w:rPr>
          <w:color w:val="000000" w:themeColor="text1"/>
        </w:rPr>
        <w:t xml:space="preserve">, these are robust measures, with </w:t>
      </w:r>
      <w:r w:rsidR="0039583D" w:rsidRPr="00F92FF9">
        <w:rPr>
          <w:color w:val="000000" w:themeColor="text1"/>
        </w:rPr>
        <w:t xml:space="preserve">demonstrated </w:t>
      </w:r>
      <w:r w:rsidR="009555D0" w:rsidRPr="00F92FF9">
        <w:rPr>
          <w:color w:val="000000" w:themeColor="text1"/>
        </w:rPr>
        <w:t>reliability (internal consistency)</w:t>
      </w:r>
      <w:r w:rsidR="0096496B" w:rsidRPr="00F92FF9">
        <w:rPr>
          <w:color w:val="000000" w:themeColor="text1"/>
        </w:rPr>
        <w:t xml:space="preserve"> and longitudinal stability</w:t>
      </w:r>
      <w:r w:rsidR="00DF7B24" w:rsidRPr="00F92FF9">
        <w:rPr>
          <w:color w:val="000000" w:themeColor="text1"/>
        </w:rPr>
        <w:t xml:space="preserve"> in previous work</w:t>
      </w:r>
      <w:r w:rsidR="009555D0" w:rsidRPr="00F92FF9">
        <w:rPr>
          <w:color w:val="000000" w:themeColor="text1"/>
        </w:rPr>
        <w:fldChar w:fldCharType="begin" w:fldLock="1"/>
      </w:r>
      <w:r w:rsidR="00AF3625" w:rsidRPr="00F92FF9">
        <w:rPr>
          <w:color w:val="000000" w:themeColor="text1"/>
        </w:rPr>
        <w:instrText>ADDIN CSL_CITATION {"citationItems":[{"id":"ITEM-1","itemData":{"DOI":"10.1038/mp.2015.225","ISSN":"14765578","PMID":"26809841","abstract":"Causes of the well-documented association between low levels of cognitive functioning and many adverse neuropsychiatric outcomes, poorer physical health and earlier death remain unknown. We used linkage disequilibrium regression and polygenic profile scoring to test for shared genetic aetiology between cognitive functions and neuropsychiatric disorders and physical health. Using information provided by many published genome-wide association study consortia, we created polygenic profile scores for 24 vascular-metabolic, neuropsychiatric, physiological-anthropometric and cognitive traits in the participants of UK Biobank, a very large population-based sample (N=112 151). Pleiotropy between cognitive and health traits was quantified by deriving genetic correlations using summary genome-wide association study statistics and to the method of linkage disequilibrium score regression. Substantial and significant genetic correlations were observed between cognitive test scores in the UK Biobank sample and many of the mental and physical health-related traits and disorders assessed here. In addition, highly significant associations were observed between the cognitive test scores in the UK Biobank sample and many polygenic profile scores, including coronary artery disease, stroke, Alzheimer's disease, schizophrenia, autism, major depressive disorder, body mass index, intracranial volume, infant head circumference and childhood cognitive ability. Where disease diagnosis was available for UK Biobank participants, we were able to show that these results were not confounded by those who had the relevant disease. These findings indicate that a substantial level of pleiotropy exists between cognitive abilities and many human mental and physical health disorders and traits and that it can be used to predict phenotypic variance across samples.","author":[{"dropping-particle":"","family":"Hagenaars","given":"S. P.","non-dropping-particle":"","parse-names":false,"suffix":""},{"dropping-particle":"","family":"Harris","given":"S. E.","non-dropping-particle":"","parse-names":false,"suffix":""},{"dropping-particle":"","family":"Davies","given":"G","non-dropping-particle":"","parse-names":false,"suffix":""},{"dropping-particle":"","family":"Hill","given":"W. D.","non-dropping-particle":"","parse-names":false,"suffix":""},{"dropping-particle":"","family":"Liewald","given":"D. C.M.","non-dropping-particle":"","parse-names":false,"suffix":""},{"dropping-particle":"","family":"Ritchie","given":"S. J.","non-dropping-particle":"","parse-names":false,"suffix":""},{"dropping-particle":"","family":"Marioni","given":"R. E.","non-dropping-particle":"","parse-names":false,"suffix":""},{"dropping-particle":"","family":"Fawns-Ritchie","given":"C","non-dropping-particle":"","parse-names":false,"suffix":""},{"dropping-particle":"","family":"Cullen","given":"B","non-dropping-particle":"","parse-names":false,"suffix":""},{"dropping-particle":"","family":"Malik","given":"R","non-dropping-particle":"","parse-names":false,"suffix":""},{"dropping-particle":"","family":"Worrall","given":"B. B.","non-dropping-particle":"","parse-names":false,"suffix":""},{"dropping-particle":"","family":"Sudlow","given":"C. L.M.","non-dropping-particle":"","parse-names":false,"suffix":""},{"dropping-particle":"","family":"Wardlaw","given":"J. M.","non-dropping-particle":"","parse-names":false,"suffix":""},{"dropping-particle":"","family":"Gallacher","given":"J.","non-dropping-particle":"","parse-names":false,"suffix":""},{"dropping-particle":"","family":"Pell","given":"J.","non-dropping-particle":"","parse-names":false,"suffix":""},{"dropping-particle":"","family":"McIntosh","given":"A. M.","non-dropping-particle":"","parse-names":false,"suffix":""},{"dropping-particle":"","family":"Smith","given":"D. J.","non-dropping-particle":"","parse-names":false,"suffix":""},{"dropping-particle":"","family":"Gale","given":"C. R.","non-dropping-particle":"","parse-names":false,"suffix":""},{"dropping-particle":"","family":"Deary","given":"I. J.","non-dropping-particle":"","parse-names":false,"suffix":""}],"container-title":"Molecular Psychiatry","id":"ITEM-1","issue":"11","issued":{"date-parts":[["2016"]]},"page":"1624-1632","title":"Shared genetic aetiology between cognitive functions and physical and mental health in UK Biobank (N=112 151) and 24 GWAS consortia","type":"article-journal","volume":"21"},"uris":["http://www.mendeley.com/documents/?uuid=88d9f7be-243d-3f1c-b794-59420d6c093c"]},{"id":"ITEM-2","itemData":{"DOI":"10.1371/journal.pone.0231627","ISSN":"1932-6203","abstract":"UK Biobank is a health resource with data from over 500,000 adults. The cognitive assessment in UK Biobank is brief and bespoke, and is administered without supervision on a touchscreen computer. Psychometric information on the UK Biobank cognitive tests are limited. Despite the non-standard nature of these tests and the limited psychometric information, the UK Biobank cognitive data have been used in numerous scientific publications. The present study examined the validity and short-term test-retest reliability of the UK Biobank cognitive tests. A sample of 160 participants (mean age = 62.59, SD = 10.24) was recruited who completed the UK Biobank cognitive assessment and a range of well-validated cognitive tests (‘reference tests’). Fifty-two participants returned 4 weeks later to repeat the UK Biobank tests. Correlations were calculated between UK Biobank tests and reference tests. Two measures of general cognitive ability were created by entering scores on the UK Biobank cognitive tests, and scores on the reference tests, respectively, into separate principal component analyses and saving scores on the first principal component. Four-week test-retest correlations were calculated for UK Biobank tests. UK Biobank cognitive tests showed a range of correlations with their respective reference tests, i.e. those tests that are thought to assess the same underlying cognitive ability (mean Pearson r = 0.53, range = 0.22 to 0.83, p≤.005). The measure of general cognitive ability based on the UK Biobank cognitive tests correlated at r = 0.83 (p &lt; .001) with a measure of general cognitive ability created using the reference tests. Four-week test-retest reliability of the UK Biobank tests were moderate-to-high (mean Pearson r = 0.55, range = 0.40 to 0.89, p≤.003). Despite the brief, non-standard nature of the UK Biobank cognitive tests, some tests showed substantial concurrent validity and test-retest reliability. These psychometric results provide currently-lacking information on the validity of the UK Biobank cognitive tests.","author":[{"dropping-particle":"","family":"Fawns-Ritchie","given":"Chloe","non-dropping-particle":"","parse-names":false,"suffix":""},{"dropping-particle":"","family":"Deary","given":"Ian J.","non-dropping-particle":"","parse-names":false,"suffix":""}],"container-title":"PLOS ONE","editor":[{"dropping-particle":"","family":"Blanch","given":"Angel","non-dropping-particle":"","parse-names":false,"suffix":""}],"id":"ITEM-2","issue":"4","issued":{"date-parts":[["2020","4","20"]]},"page":"e0231627","publisher":"Public Library of Science","title":"Reliability and validity of the UK Biobank cognitive tests","type":"article-journal","volume":"15"},"uris":["http://www.mendeley.com/documents/?uuid=4ab7dcc3-7e5f-3d41-8d7d-68d79f1954eb"]}],"mendeley":{"formattedCitation":"&lt;sup&gt;14,15&lt;/sup&gt;","plainTextFormattedCitation":"14,15","previouslyFormattedCitation":"&lt;sup&gt;14,15&lt;/sup&gt;"},"properties":{"noteIndex":0},"schema":"https://github.com/citation-style-language/schema/raw/master/csl-citation.json"}</w:instrText>
      </w:r>
      <w:r w:rsidR="009555D0" w:rsidRPr="00F92FF9">
        <w:rPr>
          <w:color w:val="000000" w:themeColor="text1"/>
        </w:rPr>
        <w:fldChar w:fldCharType="separate"/>
      </w:r>
      <w:r w:rsidR="0096496B" w:rsidRPr="00F92FF9">
        <w:rPr>
          <w:noProof/>
          <w:color w:val="000000" w:themeColor="text1"/>
          <w:vertAlign w:val="superscript"/>
        </w:rPr>
        <w:t>14,15</w:t>
      </w:r>
      <w:r w:rsidR="009555D0" w:rsidRPr="00F92FF9">
        <w:rPr>
          <w:color w:val="000000" w:themeColor="text1"/>
        </w:rPr>
        <w:fldChar w:fldCharType="end"/>
      </w:r>
      <w:r w:rsidR="00DF7B24" w:rsidRPr="00F92FF9">
        <w:rPr>
          <w:color w:val="000000" w:themeColor="text1"/>
        </w:rPr>
        <w:t xml:space="preserve">. Furthermore, their availability for a large subset of the UK Biobank imaging cohort permits adequately powered analyses of associations with </w:t>
      </w:r>
      <w:r w:rsidR="00C33A80" w:rsidRPr="00F92FF9">
        <w:rPr>
          <w:color w:val="000000" w:themeColor="text1"/>
        </w:rPr>
        <w:t xml:space="preserve">CMR </w:t>
      </w:r>
      <w:r w:rsidR="00DF7B24" w:rsidRPr="00F92FF9">
        <w:rPr>
          <w:color w:val="000000" w:themeColor="text1"/>
        </w:rPr>
        <w:t>imaging phenotypes.</w:t>
      </w:r>
    </w:p>
    <w:p w14:paraId="48B6805B" w14:textId="77777777" w:rsidR="00D76A5B" w:rsidRPr="00F92FF9" w:rsidRDefault="00D76A5B" w:rsidP="00E53B2B">
      <w:pPr>
        <w:pStyle w:val="Heading2"/>
        <w:rPr>
          <w:i/>
          <w:iCs/>
          <w:color w:val="000000" w:themeColor="text1"/>
        </w:rPr>
      </w:pPr>
    </w:p>
    <w:p w14:paraId="008052C7" w14:textId="678732D8" w:rsidR="00570635" w:rsidRPr="00F92FF9" w:rsidRDefault="00570635" w:rsidP="00E53B2B">
      <w:pPr>
        <w:pStyle w:val="Heading2"/>
        <w:rPr>
          <w:i/>
          <w:iCs/>
          <w:color w:val="000000" w:themeColor="text1"/>
        </w:rPr>
      </w:pPr>
      <w:r w:rsidRPr="00F92FF9">
        <w:rPr>
          <w:i/>
          <w:iCs/>
          <w:color w:val="000000" w:themeColor="text1"/>
        </w:rPr>
        <w:t>Fluid intelligence</w:t>
      </w:r>
    </w:p>
    <w:p w14:paraId="55F4480D" w14:textId="7B4A7D0C" w:rsidR="00570635" w:rsidRPr="00F92FF9" w:rsidRDefault="009D794F" w:rsidP="00E53B2B">
      <w:pPr>
        <w:rPr>
          <w:color w:val="000000" w:themeColor="text1"/>
        </w:rPr>
      </w:pPr>
      <w:r w:rsidRPr="00F92FF9">
        <w:rPr>
          <w:color w:val="000000" w:themeColor="text1"/>
        </w:rPr>
        <w:t xml:space="preserve">Assessment of </w:t>
      </w:r>
      <w:r w:rsidR="0028091F" w:rsidRPr="00F92FF9">
        <w:rPr>
          <w:color w:val="000000" w:themeColor="text1"/>
        </w:rPr>
        <w:t>FI</w:t>
      </w:r>
      <w:r w:rsidR="002C4ECE" w:rsidRPr="00F92FF9">
        <w:rPr>
          <w:color w:val="000000" w:themeColor="text1"/>
        </w:rPr>
        <w:t xml:space="preserve"> consisted of </w:t>
      </w:r>
      <w:r w:rsidR="00570635" w:rsidRPr="00F92FF9">
        <w:rPr>
          <w:color w:val="000000" w:themeColor="text1"/>
        </w:rPr>
        <w:t xml:space="preserve">a series of 13 </w:t>
      </w:r>
      <w:r w:rsidR="002C4ECE" w:rsidRPr="00F92FF9">
        <w:rPr>
          <w:color w:val="000000" w:themeColor="text1"/>
        </w:rPr>
        <w:t xml:space="preserve">verbal-numeric reasoning questions completed </w:t>
      </w:r>
      <w:r w:rsidR="00570635" w:rsidRPr="00F92FF9">
        <w:rPr>
          <w:color w:val="000000" w:themeColor="text1"/>
        </w:rPr>
        <w:t>with</w:t>
      </w:r>
      <w:r w:rsidR="002C4ECE" w:rsidRPr="00F92FF9">
        <w:rPr>
          <w:color w:val="000000" w:themeColor="text1"/>
        </w:rPr>
        <w:t>in</w:t>
      </w:r>
      <w:r w:rsidR="00570635" w:rsidRPr="00F92FF9">
        <w:rPr>
          <w:color w:val="000000" w:themeColor="text1"/>
        </w:rPr>
        <w:t xml:space="preserve"> 2-minut</w:t>
      </w:r>
      <w:r w:rsidR="00327F66" w:rsidRPr="00F92FF9">
        <w:rPr>
          <w:color w:val="000000" w:themeColor="text1"/>
        </w:rPr>
        <w:t>es</w:t>
      </w:r>
      <w:r w:rsidR="00570635" w:rsidRPr="00F92FF9">
        <w:rPr>
          <w:color w:val="000000" w:themeColor="text1"/>
        </w:rPr>
        <w:t xml:space="preserve">. </w:t>
      </w:r>
      <w:r w:rsidR="002C4ECE" w:rsidRPr="00F92FF9">
        <w:rPr>
          <w:color w:val="000000" w:themeColor="text1"/>
        </w:rPr>
        <w:t>A point was awarded for each correct answer, i</w:t>
      </w:r>
      <w:r w:rsidR="00570635" w:rsidRPr="00F92FF9">
        <w:rPr>
          <w:color w:val="000000" w:themeColor="text1"/>
        </w:rPr>
        <w:t xml:space="preserve">ncorrect or </w:t>
      </w:r>
      <w:r w:rsidR="002C4ECE" w:rsidRPr="00F92FF9">
        <w:rPr>
          <w:color w:val="000000" w:themeColor="text1"/>
        </w:rPr>
        <w:t>unanswered</w:t>
      </w:r>
      <w:r w:rsidR="00570635" w:rsidRPr="00F92FF9">
        <w:rPr>
          <w:color w:val="000000" w:themeColor="text1"/>
        </w:rPr>
        <w:t xml:space="preserve"> questions receive</w:t>
      </w:r>
      <w:r w:rsidR="002C4ECE" w:rsidRPr="00F92FF9">
        <w:rPr>
          <w:color w:val="000000" w:themeColor="text1"/>
        </w:rPr>
        <w:t>d</w:t>
      </w:r>
      <w:r w:rsidR="00570635" w:rsidRPr="00F92FF9">
        <w:rPr>
          <w:color w:val="000000" w:themeColor="text1"/>
        </w:rPr>
        <w:t xml:space="preserve"> a score of zero. </w:t>
      </w:r>
      <w:r w:rsidR="002C4ECE" w:rsidRPr="00F92FF9">
        <w:rPr>
          <w:color w:val="000000" w:themeColor="text1"/>
        </w:rPr>
        <w:t>The final score was the sum of correct answers with a maximum score of 13. Thus, higher F</w:t>
      </w:r>
      <w:r w:rsidR="00D6524E" w:rsidRPr="00F92FF9">
        <w:rPr>
          <w:color w:val="000000" w:themeColor="text1"/>
        </w:rPr>
        <w:t>I</w:t>
      </w:r>
      <w:r w:rsidR="002C4ECE" w:rsidRPr="00F92FF9">
        <w:rPr>
          <w:color w:val="000000" w:themeColor="text1"/>
        </w:rPr>
        <w:t xml:space="preserve"> score</w:t>
      </w:r>
      <w:r w:rsidR="00CF083E" w:rsidRPr="00F92FF9">
        <w:rPr>
          <w:color w:val="000000" w:themeColor="text1"/>
        </w:rPr>
        <w:t>s</w:t>
      </w:r>
      <w:r w:rsidR="002C4ECE" w:rsidRPr="00F92FF9">
        <w:rPr>
          <w:color w:val="000000" w:themeColor="text1"/>
        </w:rPr>
        <w:t xml:space="preserve"> correspond to higher cognitive </w:t>
      </w:r>
      <w:r w:rsidR="00811BBA" w:rsidRPr="00F92FF9">
        <w:rPr>
          <w:color w:val="000000" w:themeColor="text1"/>
        </w:rPr>
        <w:t>performance.</w:t>
      </w:r>
      <w:r w:rsidR="002C4ECE" w:rsidRPr="00F92FF9">
        <w:rPr>
          <w:color w:val="000000" w:themeColor="text1"/>
        </w:rPr>
        <w:t xml:space="preserve"> </w:t>
      </w:r>
      <w:r w:rsidR="00D6524E" w:rsidRPr="00F92FF9">
        <w:rPr>
          <w:color w:val="000000" w:themeColor="text1"/>
        </w:rPr>
        <w:t>The Cronbach alpha reliability for this test is 0.62</w:t>
      </w:r>
      <w:r w:rsidR="00D6524E" w:rsidRPr="00F92FF9">
        <w:rPr>
          <w:color w:val="000000" w:themeColor="text1"/>
        </w:rPr>
        <w:fldChar w:fldCharType="begin" w:fldLock="1"/>
      </w:r>
      <w:r w:rsidR="009555D0" w:rsidRPr="00F92FF9">
        <w:rPr>
          <w:color w:val="000000" w:themeColor="text1"/>
        </w:rPr>
        <w:instrText>ADDIN CSL_CITATION {"citationItems":[{"id":"ITEM-1","itemData":{"DOI":"10.1038/mp.2015.225","ISSN":"14765578","PMID":"26809841","abstract":"Causes of the well-documented association between low levels of cognitive functioning and many adverse neuropsychiatric outcomes, poorer physical health and earlier death remain unknown. We used linkage disequilibrium regression and polygenic profile scoring to test for shared genetic aetiology between cognitive functions and neuropsychiatric disorders and physical health. Using information provided by many published genome-wide association study consortia, we created polygenic profile scores for 24 vascular-metabolic, neuropsychiatric, physiological-anthropometric and cognitive traits in the participants of UK Biobank, a very large population-based sample (N=112 151). Pleiotropy between cognitive and health traits was quantified by deriving genetic correlations using summary genome-wide association study statistics and to the method of linkage disequilibrium score regression. Substantial and significant genetic correlations were observed between cognitive test scores in the UK Biobank sample and many of the mental and physical health-related traits and disorders assessed here. In addition, highly significant associations were observed between the cognitive test scores in the UK Biobank sample and many polygenic profile scores, including coronary artery disease, stroke, Alzheimer's disease, schizophrenia, autism, major depressive disorder, body mass index, intracranial volume, infant head circumference and childhood cognitive ability. Where disease diagnosis was available for UK Biobank participants, we were able to show that these results were not confounded by those who had the relevant disease. These findings indicate that a substantial level of pleiotropy exists between cognitive abilities and many human mental and physical health disorders and traits and that it can be used to predict phenotypic variance across samples.","author":[{"dropping-particle":"","family":"Hagenaars","given":"S. P.","non-dropping-particle":"","parse-names":false,"suffix":""},{"dropping-particle":"","family":"Harris","given":"S. E.","non-dropping-particle":"","parse-names":false,"suffix":""},{"dropping-particle":"","family":"Davies","given":"G","non-dropping-particle":"","parse-names":false,"suffix":""},{"dropping-particle":"","family":"Hill","given":"W. D.","non-dropping-particle":"","parse-names":false,"suffix":""},{"dropping-particle":"","family":"Liewald","given":"D. C.M.","non-dropping-particle":"","parse-names":false,"suffix":""},{"dropping-particle":"","family":"Ritchie","given":"S. J.","non-dropping-particle":"","parse-names":false,"suffix":""},{"dropping-particle":"","family":"Marioni","given":"R. E.","non-dropping-particle":"","parse-names":false,"suffix":""},{"dropping-particle":"","family":"Fawns-Ritchie","given":"C","non-dropping-particle":"","parse-names":false,"suffix":""},{"dropping-particle":"","family":"Cullen","given":"B","non-dropping-particle":"","parse-names":false,"suffix":""},{"dropping-particle":"","family":"Malik","given":"R","non-dropping-particle":"","parse-names":false,"suffix":""},{"dropping-particle":"","family":"Worrall","given":"B. B.","non-dropping-particle":"","parse-names":false,"suffix":""},{"dropping-particle":"","family":"Sudlow","given":"C. L.M.","non-dropping-particle":"","parse-names":false,"suffix":""},{"dropping-particle":"","family":"Wardlaw","given":"J. M.","non-dropping-particle":"","parse-names":false,"suffix":""},{"dropping-particle":"","family":"Gallacher","given":"J.","non-dropping-particle":"","parse-names":false,"suffix":""},{"dropping-particle":"","family":"Pell","given":"J.","non-dropping-particle":"","parse-names":false,"suffix":""},{"dropping-particle":"","family":"McIntosh","given":"A. M.","non-dropping-particle":"","parse-names":false,"suffix":""},{"dropping-particle":"","family":"Smith","given":"D. J.","non-dropping-particle":"","parse-names":false,"suffix":""},{"dropping-particle":"","family":"Gale","given":"C. R.","non-dropping-particle":"","parse-names":false,"suffix":""},{"dropping-particle":"","family":"Deary","given":"I. J.","non-dropping-particle":"","parse-names":false,"suffix":""}],"container-title":"Molecular Psychiatry","id":"ITEM-1","issue":"11","issued":{"date-parts":[["2016"]]},"page":"1624-1632","title":"Shared genetic aetiology between cognitive functions and physical and mental health in UK Biobank (N=112 151) and 24 GWAS consortia","type":"article-journal","volume":"21"},"uris":["http://www.mendeley.com/documents/?uuid=88d9f7be-243d-3f1c-b794-59420d6c093c"]}],"mendeley":{"formattedCitation":"&lt;sup&gt;14&lt;/sup&gt;","plainTextFormattedCitation":"14","previouslyFormattedCitation":"&lt;sup&gt;14&lt;/sup&gt;"},"properties":{"noteIndex":0},"schema":"https://github.com/citation-style-language/schema/raw/master/csl-citation.json"}</w:instrText>
      </w:r>
      <w:r w:rsidR="00D6524E" w:rsidRPr="00F92FF9">
        <w:rPr>
          <w:color w:val="000000" w:themeColor="text1"/>
        </w:rPr>
        <w:fldChar w:fldCharType="separate"/>
      </w:r>
      <w:r w:rsidR="000E52CA" w:rsidRPr="00F92FF9">
        <w:rPr>
          <w:noProof/>
          <w:color w:val="000000" w:themeColor="text1"/>
          <w:vertAlign w:val="superscript"/>
        </w:rPr>
        <w:t>14</w:t>
      </w:r>
      <w:r w:rsidR="00D6524E" w:rsidRPr="00F92FF9">
        <w:rPr>
          <w:color w:val="000000" w:themeColor="text1"/>
        </w:rPr>
        <w:fldChar w:fldCharType="end"/>
      </w:r>
      <w:r w:rsidR="00D6524E" w:rsidRPr="00F92FF9">
        <w:rPr>
          <w:color w:val="000000" w:themeColor="text1"/>
        </w:rPr>
        <w:t xml:space="preserve">. </w:t>
      </w:r>
      <w:r w:rsidR="00570635" w:rsidRPr="00F92FF9">
        <w:rPr>
          <w:color w:val="000000" w:themeColor="text1"/>
        </w:rPr>
        <w:t xml:space="preserve">The full protocol </w:t>
      </w:r>
      <w:r w:rsidR="00D6524E" w:rsidRPr="00F92FF9">
        <w:rPr>
          <w:color w:val="000000" w:themeColor="text1"/>
        </w:rPr>
        <w:t xml:space="preserve">for </w:t>
      </w:r>
      <w:r w:rsidR="00CF083E" w:rsidRPr="00F92FF9">
        <w:rPr>
          <w:color w:val="000000" w:themeColor="text1"/>
        </w:rPr>
        <w:t>FI assessment i</w:t>
      </w:r>
      <w:r w:rsidR="00A247B3" w:rsidRPr="00F92FF9">
        <w:rPr>
          <w:color w:val="000000" w:themeColor="text1"/>
        </w:rPr>
        <w:t>n</w:t>
      </w:r>
      <w:r w:rsidR="00CF083E" w:rsidRPr="00F92FF9">
        <w:rPr>
          <w:color w:val="000000" w:themeColor="text1"/>
        </w:rPr>
        <w:t xml:space="preserve"> UK</w:t>
      </w:r>
      <w:r w:rsidR="00D76A5B" w:rsidRPr="00F92FF9">
        <w:rPr>
          <w:color w:val="000000" w:themeColor="text1"/>
        </w:rPr>
        <w:t xml:space="preserve"> </w:t>
      </w:r>
      <w:r w:rsidR="00CF083E" w:rsidRPr="00F92FF9">
        <w:rPr>
          <w:color w:val="000000" w:themeColor="text1"/>
        </w:rPr>
        <w:t>B</w:t>
      </w:r>
      <w:r w:rsidR="00D76A5B" w:rsidRPr="00F92FF9">
        <w:rPr>
          <w:color w:val="000000" w:themeColor="text1"/>
        </w:rPr>
        <w:t>iobank</w:t>
      </w:r>
      <w:r w:rsidR="00CF083E" w:rsidRPr="00F92FF9">
        <w:rPr>
          <w:color w:val="000000" w:themeColor="text1"/>
        </w:rPr>
        <w:t xml:space="preserve"> is</w:t>
      </w:r>
      <w:r w:rsidR="00570635" w:rsidRPr="00F92FF9">
        <w:rPr>
          <w:color w:val="000000" w:themeColor="text1"/>
        </w:rPr>
        <w:t xml:space="preserve"> published elsewhere</w:t>
      </w:r>
      <w:r w:rsidR="00570635" w:rsidRPr="00F92FF9">
        <w:rPr>
          <w:color w:val="000000" w:themeColor="text1"/>
        </w:rPr>
        <w:fldChar w:fldCharType="begin" w:fldLock="1"/>
      </w:r>
      <w:r w:rsidR="0069166F" w:rsidRPr="00F92FF9">
        <w:rPr>
          <w:color w:val="000000" w:themeColor="text1"/>
        </w:rPr>
        <w:instrText>ADDIN CSL_CITATION {"citationItems":[{"id":"ITEM-1","itemData":{"id":"ITEM-1","issued":{"date-parts":[["2012"]]},"title":"UK Biobank Fluid intelligence test UK Biobank Touch-screen Fluid intelligence test","type":"report"},"uris":["http://www.mendeley.com/documents/?uuid=8ead0dfa-142e-3e85-8490-afef0f77feaa"]}],"mendeley":{"formattedCitation":"&lt;sup&gt;16&lt;/sup&gt;","plainTextFormattedCitation":"16","previouslyFormattedCitation":"&lt;sup&gt;16&lt;/sup&gt;"},"properties":{"noteIndex":0},"schema":"https://github.com/citation-style-language/schema/raw/master/csl-citation.json"}</w:instrText>
      </w:r>
      <w:r w:rsidR="00570635" w:rsidRPr="00F92FF9">
        <w:rPr>
          <w:color w:val="000000" w:themeColor="text1"/>
        </w:rPr>
        <w:fldChar w:fldCharType="separate"/>
      </w:r>
      <w:r w:rsidR="006D5356" w:rsidRPr="00F92FF9">
        <w:rPr>
          <w:noProof/>
          <w:color w:val="000000" w:themeColor="text1"/>
          <w:vertAlign w:val="superscript"/>
        </w:rPr>
        <w:t>16</w:t>
      </w:r>
      <w:r w:rsidR="00570635" w:rsidRPr="00F92FF9">
        <w:rPr>
          <w:color w:val="000000" w:themeColor="text1"/>
        </w:rPr>
        <w:fldChar w:fldCharType="end"/>
      </w:r>
      <w:r w:rsidR="00CF083E" w:rsidRPr="00F92FF9">
        <w:rPr>
          <w:color w:val="000000" w:themeColor="text1"/>
        </w:rPr>
        <w:t>;</w:t>
      </w:r>
      <w:r w:rsidR="00570635" w:rsidRPr="00F92FF9">
        <w:rPr>
          <w:color w:val="000000" w:themeColor="text1"/>
        </w:rPr>
        <w:t xml:space="preserve"> we provide a summary of the questions in the supplement</w:t>
      </w:r>
      <w:r w:rsidR="0039583D" w:rsidRPr="00F92FF9">
        <w:rPr>
          <w:color w:val="000000" w:themeColor="text1"/>
        </w:rPr>
        <w:t>ary material</w:t>
      </w:r>
      <w:r w:rsidR="00570635" w:rsidRPr="00F92FF9">
        <w:rPr>
          <w:color w:val="000000" w:themeColor="text1"/>
        </w:rPr>
        <w:t xml:space="preserve"> (</w:t>
      </w:r>
      <w:r w:rsidR="00570635" w:rsidRPr="00F92FF9">
        <w:rPr>
          <w:b/>
          <w:bCs/>
          <w:color w:val="000000" w:themeColor="text1"/>
        </w:rPr>
        <w:t>Supplementary Table 1</w:t>
      </w:r>
      <w:r w:rsidR="00570635" w:rsidRPr="00F92FF9">
        <w:rPr>
          <w:color w:val="000000" w:themeColor="text1"/>
        </w:rPr>
        <w:t>).</w:t>
      </w:r>
      <w:r w:rsidR="006D5356" w:rsidRPr="00F92FF9">
        <w:rPr>
          <w:color w:val="000000" w:themeColor="text1"/>
        </w:rPr>
        <w:t xml:space="preserve"> As the FI variable in our sample was normally distributed, it was treated as a continuous numerical variable for purposes of modelling, as per established methods</w:t>
      </w:r>
      <w:r w:rsidR="006D5356" w:rsidRPr="00F92FF9">
        <w:rPr>
          <w:color w:val="000000" w:themeColor="text1"/>
        </w:rPr>
        <w:fldChar w:fldCharType="begin" w:fldLock="1"/>
      </w:r>
      <w:r w:rsidR="0069166F" w:rsidRPr="00F92FF9">
        <w:rPr>
          <w:color w:val="000000" w:themeColor="text1"/>
        </w:rPr>
        <w:instrText>ADDIN CSL_CITATION {"citationItems":[{"id":"ITEM-1","itemData":{"DOI":"10.1016/S0196-0644(05)82149-3","ISSN":"01960644","PMID":"2297161","abstract":"Statistical methods commonly used to analyze data presented in journal articles should be understood by both medical scientists and practicing clinicians. Inappropriate data analysis methods have been reported in 42% to 78% of original publications in critical reviews of selected medical journals. The only way to halt researchers' misuse of statistics and improve the clinician's knowledge of statistics is through education. This is the first of a six-part series of articles intended to provide the reader with a basic, yet fundamental knowledge of common biomedical statistical methods. The series will cover basic concepts of statistical analysis, descriptive statistics, statistical inference theory, comparison of means, χ2, and correlational and regression techniques. A conceptual explanation will accompany discussion of the appropriate use of these techniques. © 1990 American College of Emergency Physicians.","author":[{"dropping-particle":"","family":"Gaddis","given":"Monica L.","non-dropping-particle":"","parse-names":false,"suffix":""},{"dropping-particle":"","family":"Gaddis","given":"Gary M.","non-dropping-particle":"","parse-names":false,"suffix":""}],"container-title":"Annals of Emergency Medicine","id":"ITEM-1","issue":"1","issued":{"date-parts":[["1990"]]},"page":"86-89","title":"Introduction to biostatistics: Part 1, basic concepts","type":"article-journal","volume":"19"},"uris":["http://www.mendeley.com/documents/?uuid=f0297309-0782-4232-8d1a-550d245654eb"]}],"mendeley":{"formattedCitation":"&lt;sup&gt;17&lt;/sup&gt;","plainTextFormattedCitation":"17","previouslyFormattedCitation":"&lt;sup&gt;17&lt;/sup&gt;"},"properties":{"noteIndex":0},"schema":"https://github.com/citation-style-language/schema/raw/master/csl-citation.json"}</w:instrText>
      </w:r>
      <w:r w:rsidR="006D5356" w:rsidRPr="00F92FF9">
        <w:rPr>
          <w:color w:val="000000" w:themeColor="text1"/>
        </w:rPr>
        <w:fldChar w:fldCharType="separate"/>
      </w:r>
      <w:r w:rsidR="006D5356" w:rsidRPr="00F92FF9">
        <w:rPr>
          <w:noProof/>
          <w:color w:val="000000" w:themeColor="text1"/>
          <w:vertAlign w:val="superscript"/>
        </w:rPr>
        <w:t>17</w:t>
      </w:r>
      <w:r w:rsidR="006D5356" w:rsidRPr="00F92FF9">
        <w:rPr>
          <w:color w:val="000000" w:themeColor="text1"/>
        </w:rPr>
        <w:fldChar w:fldCharType="end"/>
      </w:r>
      <w:r w:rsidR="006D5356" w:rsidRPr="00F92FF9">
        <w:rPr>
          <w:color w:val="000000" w:themeColor="text1"/>
        </w:rPr>
        <w:t>.</w:t>
      </w:r>
    </w:p>
    <w:p w14:paraId="0A459858" w14:textId="2AF20FE8" w:rsidR="00CF5AB3" w:rsidRPr="00F92FF9" w:rsidRDefault="00CF5AB3" w:rsidP="00E53B2B">
      <w:pPr>
        <w:rPr>
          <w:color w:val="000000" w:themeColor="text1"/>
        </w:rPr>
      </w:pPr>
    </w:p>
    <w:p w14:paraId="29E19039" w14:textId="77777777" w:rsidR="00CF5AB3" w:rsidRPr="00F92FF9" w:rsidRDefault="00CF5AB3" w:rsidP="00CF5AB3">
      <w:pPr>
        <w:pStyle w:val="Heading2"/>
        <w:rPr>
          <w:i/>
          <w:iCs/>
          <w:color w:val="000000" w:themeColor="text1"/>
        </w:rPr>
      </w:pPr>
      <w:r w:rsidRPr="00F92FF9">
        <w:rPr>
          <w:i/>
          <w:iCs/>
          <w:color w:val="000000" w:themeColor="text1"/>
        </w:rPr>
        <w:t>Reaction time</w:t>
      </w:r>
    </w:p>
    <w:p w14:paraId="23590A01" w14:textId="3B8E1585" w:rsidR="00CF5AB3" w:rsidRPr="00F92FF9" w:rsidRDefault="00CF5AB3" w:rsidP="00E53B2B">
      <w:pPr>
        <w:rPr>
          <w:color w:val="000000" w:themeColor="text1"/>
        </w:rPr>
      </w:pPr>
      <w:r w:rsidRPr="00F92FF9">
        <w:rPr>
          <w:color w:val="000000" w:themeColor="text1"/>
        </w:rPr>
        <w:t>The RT test consisted of four rounds</w:t>
      </w:r>
      <w:r w:rsidR="00D76A5B" w:rsidRPr="00F92FF9">
        <w:rPr>
          <w:color w:val="000000" w:themeColor="text1"/>
        </w:rPr>
        <w:t xml:space="preserve"> of a pairs matching exercise.</w:t>
      </w:r>
      <w:r w:rsidRPr="00F92FF9">
        <w:rPr>
          <w:color w:val="000000" w:themeColor="text1"/>
        </w:rPr>
        <w:t xml:space="preserve"> </w:t>
      </w:r>
      <w:r w:rsidR="00D76A5B" w:rsidRPr="00F92FF9">
        <w:rPr>
          <w:color w:val="000000" w:themeColor="text1"/>
        </w:rPr>
        <w:t>I</w:t>
      </w:r>
      <w:r w:rsidRPr="00F92FF9">
        <w:rPr>
          <w:color w:val="000000" w:themeColor="text1"/>
        </w:rPr>
        <w:t xml:space="preserve">n each round, participants were shown 12 pairs of cards on a screen and asked to press a button as soon as a matched pair of cards appeared. The final RT score is calculated as the mean time </w:t>
      </w:r>
      <w:r w:rsidR="00811BBA" w:rsidRPr="00F92FF9">
        <w:rPr>
          <w:color w:val="000000" w:themeColor="text1"/>
        </w:rPr>
        <w:t>in milliseconds (</w:t>
      </w:r>
      <w:proofErr w:type="spellStart"/>
      <w:r w:rsidR="00811BBA" w:rsidRPr="00F92FF9">
        <w:rPr>
          <w:color w:val="000000" w:themeColor="text1"/>
        </w:rPr>
        <w:t>ms</w:t>
      </w:r>
      <w:proofErr w:type="spellEnd"/>
      <w:r w:rsidR="00811BBA" w:rsidRPr="00F92FF9">
        <w:rPr>
          <w:color w:val="000000" w:themeColor="text1"/>
        </w:rPr>
        <w:t xml:space="preserve">) </w:t>
      </w:r>
      <w:r w:rsidRPr="00F92FF9">
        <w:rPr>
          <w:color w:val="000000" w:themeColor="text1"/>
        </w:rPr>
        <w:t xml:space="preserve">to correctly identify matches over four rounds. </w:t>
      </w:r>
      <w:r w:rsidR="00D76A5B" w:rsidRPr="00F92FF9">
        <w:rPr>
          <w:color w:val="000000" w:themeColor="text1"/>
        </w:rPr>
        <w:t>S</w:t>
      </w:r>
      <w:r w:rsidRPr="00F92FF9">
        <w:rPr>
          <w:color w:val="000000" w:themeColor="text1"/>
        </w:rPr>
        <w:t xml:space="preserve">horter </w:t>
      </w:r>
      <w:r w:rsidR="00CF083E" w:rsidRPr="00F92FF9">
        <w:rPr>
          <w:color w:val="000000" w:themeColor="text1"/>
        </w:rPr>
        <w:t>RT</w:t>
      </w:r>
      <w:r w:rsidRPr="00F92FF9">
        <w:rPr>
          <w:color w:val="000000" w:themeColor="text1"/>
        </w:rPr>
        <w:t xml:space="preserve"> represents faster processing speed and better cognition. The Cronbach alpha reliability for this test is 0.85</w:t>
      </w:r>
      <w:r w:rsidRPr="00F92FF9">
        <w:rPr>
          <w:color w:val="000000" w:themeColor="text1"/>
          <w:vertAlign w:val="superscript"/>
        </w:rPr>
        <w:t>11</w:t>
      </w:r>
      <w:r w:rsidRPr="00F92FF9">
        <w:rPr>
          <w:color w:val="000000" w:themeColor="text1"/>
        </w:rPr>
        <w:t xml:space="preserve">.The full protocol </w:t>
      </w:r>
      <w:r w:rsidR="00D76A5B" w:rsidRPr="00F92FF9">
        <w:rPr>
          <w:color w:val="000000" w:themeColor="text1"/>
        </w:rPr>
        <w:t xml:space="preserve">for the RT test </w:t>
      </w:r>
      <w:r w:rsidRPr="00F92FF9">
        <w:rPr>
          <w:color w:val="000000" w:themeColor="text1"/>
        </w:rPr>
        <w:t>is available in a dedicated document</w:t>
      </w:r>
      <w:r w:rsidRPr="00F92FF9">
        <w:rPr>
          <w:color w:val="000000" w:themeColor="text1"/>
        </w:rPr>
        <w:fldChar w:fldCharType="begin" w:fldLock="1"/>
      </w:r>
      <w:r w:rsidR="006D5356" w:rsidRPr="00F92FF9">
        <w:rPr>
          <w:color w:val="000000" w:themeColor="text1"/>
        </w:rPr>
        <w:instrText>ADDIN CSL_CITATION {"citationItems":[{"id":"ITEM-1","itemData":{"author":[{"dropping-particle":"","family":"http","given":"","non-dropping-particle":"","parse-names":false,"suffix":""},{"dropping-particle":"","family":"wwwukbiobankacuk","given":"","non-dropping-particle":"","parse-names":false,"suffix":""}],"id":"ITEM-1","issued":{"date-parts":[["2015"]]},"title":"UK Biobank Touch-screen test of reaction time (Snap)","type":"report"},"uris":["http://www.mendeley.com/documents/?uuid=480644f4-4f58-3364-b316-de53d726ed93"]}],"mendeley":{"formattedCitation":"&lt;sup&gt;18&lt;/sup&gt;","plainTextFormattedCitation":"18","previouslyFormattedCitation":"&lt;sup&gt;18&lt;/sup&gt;"},"properties":{"noteIndex":0},"schema":"https://github.com/citation-style-language/schema/raw/master/csl-citation.json"}</w:instrText>
      </w:r>
      <w:r w:rsidRPr="00F92FF9">
        <w:rPr>
          <w:color w:val="000000" w:themeColor="text1"/>
        </w:rPr>
        <w:fldChar w:fldCharType="separate"/>
      </w:r>
      <w:r w:rsidR="006D5356" w:rsidRPr="00F92FF9">
        <w:rPr>
          <w:noProof/>
          <w:color w:val="000000" w:themeColor="text1"/>
          <w:vertAlign w:val="superscript"/>
        </w:rPr>
        <w:t>18</w:t>
      </w:r>
      <w:r w:rsidRPr="00F92FF9">
        <w:rPr>
          <w:color w:val="000000" w:themeColor="text1"/>
        </w:rPr>
        <w:fldChar w:fldCharType="end"/>
      </w:r>
      <w:r w:rsidRPr="00F92FF9">
        <w:rPr>
          <w:color w:val="000000" w:themeColor="text1"/>
        </w:rPr>
        <w:t xml:space="preserve">. </w:t>
      </w:r>
    </w:p>
    <w:p w14:paraId="47320CD5" w14:textId="77777777" w:rsidR="00AE4E07" w:rsidRPr="00F92FF9" w:rsidRDefault="00AE4E07">
      <w:pPr>
        <w:rPr>
          <w:color w:val="000000" w:themeColor="text1"/>
        </w:rPr>
      </w:pPr>
    </w:p>
    <w:p w14:paraId="64F78471" w14:textId="13E0C663" w:rsidR="00AE4E07" w:rsidRPr="00F92FF9" w:rsidRDefault="008F3F05" w:rsidP="00E53B2B">
      <w:pPr>
        <w:pStyle w:val="Heading2"/>
        <w:rPr>
          <w:color w:val="000000" w:themeColor="text1"/>
          <w:shd w:val="clear" w:color="auto" w:fill="FFFFFF"/>
        </w:rPr>
      </w:pPr>
      <w:r w:rsidRPr="00F92FF9">
        <w:rPr>
          <w:color w:val="000000" w:themeColor="text1"/>
          <w:shd w:val="clear" w:color="auto" w:fill="FFFFFF"/>
        </w:rPr>
        <w:t>CMR image acquisition and analysis</w:t>
      </w:r>
    </w:p>
    <w:p w14:paraId="06A0CA3B" w14:textId="710C504C" w:rsidR="00AE4E07" w:rsidRPr="00F92FF9" w:rsidRDefault="00AE4E07" w:rsidP="00EE3E89">
      <w:pPr>
        <w:rPr>
          <w:color w:val="000000" w:themeColor="text1"/>
        </w:rPr>
      </w:pPr>
      <w:r w:rsidRPr="00F92FF9">
        <w:rPr>
          <w:color w:val="000000" w:themeColor="text1"/>
        </w:rPr>
        <w:t>UK</w:t>
      </w:r>
      <w:r w:rsidR="00EE3E89" w:rsidRPr="00F92FF9">
        <w:rPr>
          <w:color w:val="000000" w:themeColor="text1"/>
        </w:rPr>
        <w:t xml:space="preserve"> </w:t>
      </w:r>
      <w:r w:rsidRPr="00F92FF9">
        <w:rPr>
          <w:color w:val="000000" w:themeColor="text1"/>
        </w:rPr>
        <w:t>B</w:t>
      </w:r>
      <w:r w:rsidR="00EE3E89" w:rsidRPr="00F92FF9">
        <w:rPr>
          <w:color w:val="000000" w:themeColor="text1"/>
        </w:rPr>
        <w:t>iobank</w:t>
      </w:r>
      <w:r w:rsidRPr="00F92FF9">
        <w:rPr>
          <w:color w:val="000000" w:themeColor="text1"/>
        </w:rPr>
        <w:t xml:space="preserve"> CMR scans are performed </w:t>
      </w:r>
      <w:r w:rsidR="008F3F05" w:rsidRPr="00F92FF9">
        <w:rPr>
          <w:color w:val="000000" w:themeColor="text1"/>
        </w:rPr>
        <w:t>using</w:t>
      </w:r>
      <w:r w:rsidRPr="00F92FF9">
        <w:rPr>
          <w:color w:val="000000" w:themeColor="text1"/>
        </w:rPr>
        <w:t xml:space="preserve"> 1.5 Tesla scanners (MAGNETOM Aera, </w:t>
      </w:r>
      <w:proofErr w:type="spellStart"/>
      <w:r w:rsidRPr="00F92FF9">
        <w:rPr>
          <w:color w:val="000000" w:themeColor="text1"/>
        </w:rPr>
        <w:t>Syngo</w:t>
      </w:r>
      <w:proofErr w:type="spellEnd"/>
      <w:r w:rsidRPr="00F92FF9">
        <w:rPr>
          <w:color w:val="000000" w:themeColor="text1"/>
        </w:rPr>
        <w:t xml:space="preserve"> Platform VD13A, Siemens Healthcare, Erlangen, Germany) </w:t>
      </w:r>
      <w:r w:rsidR="008F3F05" w:rsidRPr="00F92FF9">
        <w:rPr>
          <w:color w:val="000000" w:themeColor="text1"/>
        </w:rPr>
        <w:t>according to</w:t>
      </w:r>
      <w:r w:rsidRPr="00F92FF9">
        <w:rPr>
          <w:color w:val="000000" w:themeColor="text1"/>
        </w:rPr>
        <w:t xml:space="preserve"> a </w:t>
      </w:r>
      <w:r w:rsidR="008F3F05" w:rsidRPr="00F92FF9">
        <w:rPr>
          <w:color w:val="000000" w:themeColor="text1"/>
        </w:rPr>
        <w:t>standardised</w:t>
      </w:r>
      <w:r w:rsidRPr="00F92FF9">
        <w:rPr>
          <w:color w:val="000000" w:themeColor="text1"/>
        </w:rPr>
        <w:t xml:space="preserve"> </w:t>
      </w:r>
      <w:r w:rsidR="008F3F05" w:rsidRPr="00F92FF9">
        <w:rPr>
          <w:color w:val="000000" w:themeColor="text1"/>
        </w:rPr>
        <w:t>protocol</w:t>
      </w:r>
      <w:r w:rsidRPr="00F92FF9">
        <w:rPr>
          <w:color w:val="000000" w:themeColor="text1"/>
        </w:rPr>
        <w:fldChar w:fldCharType="begin" w:fldLock="1"/>
      </w:r>
      <w:r w:rsidR="006D5356" w:rsidRPr="00F92FF9">
        <w:rPr>
          <w:color w:val="000000" w:themeColor="text1"/>
        </w:rPr>
        <w:instrText>ADDIN CSL_CITATION {"citationItems":[{"id":"ITEM-1","itemData":{"DOI":"10.1186/s12968-016-0227-4","ISSN":"1532-429X","abstract":"UK Biobank’s ambitious aim is to perform cardiovascular magnetic resonance (CMR) in 100,000 people previously recruited into this prospective cohort study of half a million 40-69 year-olds.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This report will serve as a reference to researchers intending to use the UK Biobank resource or to replicate the UK Biobank cardiovascular magnetic resonance protocol in different settings.","author":[{"dropping-particle":"","family":"Petersen","given":"Steffen E.","non-dropping-particle":"","parse-names":false,"suffix":""},{"dropping-particle":"","family":"Matthews","given":"Paul M.","non-dropping-particle":"","parse-names":false,"suffix":""},{"dropping-particle":"","family":"Francis","given":"Jane M.","non-dropping-particle":"","parse-names":false,"suffix":""},{"dropping-particle":"","family":"Robson","given":"Matthew D.","non-dropping-particle":"","parse-names":false,"suffix":""},{"dropping-particle":"","family":"Zemrak","given":"Filip","non-dropping-particle":"","parse-names":false,"suffix":""},{"dropping-particle":"","family":"Boubertakh","given":"Redha","non-dropping-particle":"","parse-names":false,"suffix":""},{"dropping-particle":"","family":"Young","given":"Alistair A.","non-dropping-particle":"","parse-names":false,"suffix":""},{"dropping-particle":"","family":"Hudson","given":"Sarah","non-dropping-particle":"","parse-names":false,"suffix":""},{"dropping-particle":"","family":"Weale","given":"Peter","non-dropping-particle":"","parse-names":false,"suffix":""},{"dropping-particle":"","family":"Garratt","given":"Steve","non-dropping-particle":"","parse-names":false,"suffix":""},{"dropping-particle":"","family":"Collins","given":"Rory","non-dropping-particle":"","parse-names":false,"suffix":""},{"dropping-particle":"","family":"Piechnik","given":"Stefan","non-dropping-particle":"","parse-names":false,"suffix":""},{"dropping-particle":"","family":"Neubauer","given":"Stefan","non-dropping-particle":"","parse-names":false,"suffix":""}],"container-title":"Journal of Cardiovascular Magnetic Resonance","id":"ITEM-1","issue":"1","issued":{"date-parts":[["2015","12","1"]]},"page":"8","publisher":"BioMed Central","title":"UK Biobank’s cardiovascular magnetic resonance protocol","type":"article-journal","volume":"18"},"uris":["http://www.mendeley.com/documents/?uuid=8bee3010-88ca-3578-a84d-fb560cdba4b3"]}],"mendeley":{"formattedCitation":"&lt;sup&gt;19&lt;/sup&gt;","plainTextFormattedCitation":"19","previouslyFormattedCitation":"&lt;sup&gt;19&lt;/sup&gt;"},"properties":{"noteIndex":0},"schema":"https://github.com/citation-style-language/schema/raw/master/csl-citation.json"}</w:instrText>
      </w:r>
      <w:r w:rsidRPr="00F92FF9">
        <w:rPr>
          <w:color w:val="000000" w:themeColor="text1"/>
        </w:rPr>
        <w:fldChar w:fldCharType="separate"/>
      </w:r>
      <w:r w:rsidR="006D5356" w:rsidRPr="00F92FF9">
        <w:rPr>
          <w:noProof/>
          <w:color w:val="000000" w:themeColor="text1"/>
          <w:vertAlign w:val="superscript"/>
        </w:rPr>
        <w:t>19</w:t>
      </w:r>
      <w:r w:rsidRPr="00F92FF9">
        <w:rPr>
          <w:color w:val="000000" w:themeColor="text1"/>
        </w:rPr>
        <w:fldChar w:fldCharType="end"/>
      </w:r>
      <w:r w:rsidRPr="00F92FF9">
        <w:rPr>
          <w:color w:val="000000" w:themeColor="text1"/>
        </w:rPr>
        <w:t xml:space="preserve">. Assessment of the left and right ventricles (LV, RV) includes a complete short axis stack acquired using balanced steady-state free precession sequences. </w:t>
      </w:r>
      <w:r w:rsidR="00B439EF" w:rsidRPr="00F92FF9">
        <w:rPr>
          <w:color w:val="000000" w:themeColor="text1"/>
        </w:rPr>
        <w:t xml:space="preserve">Image analysis was performed using a fully automated </w:t>
      </w:r>
      <w:r w:rsidR="006D5356" w:rsidRPr="00F92FF9">
        <w:rPr>
          <w:color w:val="000000" w:themeColor="text1"/>
        </w:rPr>
        <w:t xml:space="preserve">quality controlled </w:t>
      </w:r>
      <w:r w:rsidR="00B439EF" w:rsidRPr="00F92FF9">
        <w:rPr>
          <w:color w:val="000000" w:themeColor="text1"/>
        </w:rPr>
        <w:t xml:space="preserve">pipeline previously developed </w:t>
      </w:r>
      <w:r w:rsidR="00EE3E89" w:rsidRPr="00F92FF9">
        <w:rPr>
          <w:color w:val="000000" w:themeColor="text1"/>
        </w:rPr>
        <w:t>and validated in a</w:t>
      </w:r>
      <w:r w:rsidR="00B439EF" w:rsidRPr="00F92FF9">
        <w:rPr>
          <w:color w:val="000000" w:themeColor="text1"/>
        </w:rPr>
        <w:t xml:space="preserve"> large subset of </w:t>
      </w:r>
      <w:r w:rsidR="00900BC4" w:rsidRPr="00F92FF9">
        <w:rPr>
          <w:color w:val="000000" w:themeColor="text1"/>
        </w:rPr>
        <w:t xml:space="preserve">the </w:t>
      </w:r>
      <w:r w:rsidR="002E1346" w:rsidRPr="00F92FF9">
        <w:rPr>
          <w:color w:val="000000" w:themeColor="text1"/>
        </w:rPr>
        <w:t>UK</w:t>
      </w:r>
      <w:r w:rsidR="00EE3E89" w:rsidRPr="00F92FF9">
        <w:rPr>
          <w:color w:val="000000" w:themeColor="text1"/>
        </w:rPr>
        <w:t xml:space="preserve"> </w:t>
      </w:r>
      <w:r w:rsidR="002E1346" w:rsidRPr="00F92FF9">
        <w:rPr>
          <w:color w:val="000000" w:themeColor="text1"/>
        </w:rPr>
        <w:t>B</w:t>
      </w:r>
      <w:r w:rsidR="00EE3E89" w:rsidRPr="00F92FF9">
        <w:rPr>
          <w:color w:val="000000" w:themeColor="text1"/>
        </w:rPr>
        <w:t>iobank</w:t>
      </w:r>
      <w:r w:rsidR="006D5356" w:rsidRPr="00F92FF9">
        <w:rPr>
          <w:color w:val="000000" w:themeColor="text1"/>
        </w:rPr>
        <w:t xml:space="preserve">, </w:t>
      </w:r>
      <w:r w:rsidR="00C33A80" w:rsidRPr="00F92FF9">
        <w:rPr>
          <w:color w:val="000000" w:themeColor="text1"/>
        </w:rPr>
        <w:t>as</w:t>
      </w:r>
      <w:r w:rsidR="006D5356" w:rsidRPr="00F92FF9">
        <w:rPr>
          <w:color w:val="000000" w:themeColor="text1"/>
        </w:rPr>
        <w:t xml:space="preserve"> detailed elsewhere</w:t>
      </w:r>
      <w:r w:rsidR="00B439EF" w:rsidRPr="00F92FF9">
        <w:rPr>
          <w:color w:val="000000" w:themeColor="text1"/>
        </w:rPr>
        <w:fldChar w:fldCharType="begin" w:fldLock="1"/>
      </w:r>
      <w:r w:rsidR="006D5356" w:rsidRPr="00F92FF9">
        <w:rPr>
          <w:color w:val="000000" w:themeColor="text1"/>
        </w:rPr>
        <w:instrText>ADDIN CSL_CITATION {"citationItems":[{"id":"ITEM-1","itemData":{"PMID":"31154149","abstract":"Population imaging studies generate data for developing and implementing personalised health strategies to prevent, or more effectively treat disease. Large prospective epidemiological studies acquire imaging for pre-symptomatic populations. These studies enable the early discovery of alterations due to impending disease, and enable early identification of individuals at risk. Such studies pose new challenges requiring automatic image analysis. To date, few large-scale population-level cardiac imaging studies have been conducted. One such study stands out for its sheer size, careful implementation, and availability of top quality expert annotation; the UK Biobank (UKB). The resulting massive imaging datasets (targeting ca. 100,000 subjects) has put published approaches for cardiac image quantification to the test. In this paper, we present and evaluate a cardiac magnetic resonance (CMR) image analysis pipeline that properly scales up and can provide a fully automatic analysis of the UKB CMR study. Without manual user interactions, our pipeline performs end-to-end image analytics from multi-view cine CMR images all the way to anatomical and functional bi-ventricular quantification. All this, while maintaining relevant quality controls of the CMR input images, and resulting image segmentations. To the best of our knowledge, this is the first published attempt to fully automate the extraction of global and regional reference ranges of all key functional cardiovascular indexes, from both left and right cardiac ventricles, for a population of 20,000 subjects imaged at 50 time frames per subject, for a total of one million CMR volumes. In addition, our pipeline provides 3D anatomical bi-ventricular models of the heart. These models enable the extraction of detailed information of the morphodynamics of the two ventricles for subsequent association to genetic, omics, lifestyle habits, exposure information, and other information provided in population imaging studies. We validated our proposed CMR analytics pipeline against manual expert readings on a reference cohort of 4620 subjects with contour delineations and corresponding clinical indexes. Our results show broad significant agreement between the manually obtained reference indexes, and those automatically computed via our framework. 80.67% of subjects were processed with mean contour distance of less than 1 pixel, and 17.50% with mean contour distance between 1 and 2 pixels. Finally, we compare our pipelin…","author":[{"dropping-particle":"","family":"Attar","given":"Rahman","non-dropping-particle":"","parse-names":false,"suffix":""},{"dropping-particle":"","family":"Pereañez","given":"Marco","non-dropping-particle":"","parse-names":false,"suffix":""},{"dropping-particle":"","family":"Gooya","given":"Ali","non-dropping-particle":"","parse-names":false,"suffix":""},{"dropping-particle":"","family":"Albà","given":"Xènia","non-dropping-particle":"","parse-names":false,"suffix":""},{"dropping-particle":"","family":"Zhang","given":"Le","non-dropping-particle":"","parse-names":false,"suffix":""},{"dropping-particle":"","family":"Vila","given":"Milton Hoz","non-dropping-particle":"de","parse-names":false,"suffix":""},{"dropping-particle":"","family":"Lee","given":"Aaron M.","non-dropping-particle":"","parse-names":false,"suffix":""},{"dropping-particle":"","family":"Aung","given":"Nay","non-dropping-particle":"","parse-names":false,"suffix":""},{"dropping-particle":"","family":"Lukaschuk","given":"Elena","non-dropping-particle":"","parse-names":false,"suffix":""},{"dropping-particle":"","family":"Sanghvi","given":"Mihir M.","non-dropping-particle":"","parse-names":false,"suffix":""},{"dropping-particle":"","family":"Fung","given":"Kenneth","non-dropping-particle":"","parse-names":false,"suffix":""},{"dropping-particle":"","family":"Paiva","given":"Jose Miguel","non-dropping-particle":"","parse-names":false,"suffix":""},{"dropping-particle":"","family":"Piechnik","given":"Stefan K.","non-dropping-particle":"","parse-names":false,"suffix":""},{"dropping-particle":"","family":"Neubauer","given":"Stefan","non-dropping-particle":"","parse-names":false,"suffix":""},{"dropping-particle":"","family":"Petersen","given":"Steffen E.","non-dropping-particle":"","parse-names":false,"suffix":""},{"dropping-particle":"","family":"Frangi","given":"Alejandro F.","non-dropping-particle":"","parse-names":false,"suffix":""}],"container-title":"Medical Image Analysis","id":"ITEM-1","issued":{"date-parts":[["2019","8","1"]]},"page":"26-42","publisher":"Elsevier","title":"Quantitative CMR population imaging on 20,000 subjects of the UK Biobank imaging study: LV/RV quantification pipeline and its evaluation","type":"article-journal","volume":"56"},"uris":["http://www.mendeley.com/documents/?uuid=23c76803-e74d-4b81-8edb-ef05298dafdb"]}],"mendeley":{"formattedCitation":"&lt;sup&gt;20&lt;/sup&gt;","plainTextFormattedCitation":"20","previouslyFormattedCitation":"&lt;sup&gt;20&lt;/sup&gt;"},"properties":{"noteIndex":0},"schema":"https://github.com/citation-style-language/schema/raw/master/csl-citation.json"}</w:instrText>
      </w:r>
      <w:r w:rsidR="00B439EF" w:rsidRPr="00F92FF9">
        <w:rPr>
          <w:color w:val="000000" w:themeColor="text1"/>
        </w:rPr>
        <w:fldChar w:fldCharType="separate"/>
      </w:r>
      <w:r w:rsidR="006D5356" w:rsidRPr="00F92FF9">
        <w:rPr>
          <w:noProof/>
          <w:color w:val="000000" w:themeColor="text1"/>
          <w:vertAlign w:val="superscript"/>
        </w:rPr>
        <w:t>20</w:t>
      </w:r>
      <w:r w:rsidR="00B439EF" w:rsidRPr="00F92FF9">
        <w:rPr>
          <w:color w:val="000000" w:themeColor="text1"/>
        </w:rPr>
        <w:fldChar w:fldCharType="end"/>
      </w:r>
      <w:r w:rsidR="00B439EF" w:rsidRPr="00F92FF9">
        <w:rPr>
          <w:color w:val="000000" w:themeColor="text1"/>
        </w:rPr>
        <w:t xml:space="preserve">. </w:t>
      </w:r>
      <w:r w:rsidR="006D5356" w:rsidRPr="00F92FF9">
        <w:rPr>
          <w:color w:val="000000" w:themeColor="text1"/>
        </w:rPr>
        <w:t xml:space="preserve">Aortic distensibility </w:t>
      </w:r>
      <w:r w:rsidR="00EE3E89" w:rsidRPr="00F92FF9">
        <w:rPr>
          <w:color w:val="000000" w:themeColor="text1"/>
        </w:rPr>
        <w:t xml:space="preserve">represents the relative change in area of the aorta (aortic strain) per unit pressure. Aortic strain was </w:t>
      </w:r>
      <w:r w:rsidR="006D5356" w:rsidRPr="00F92FF9">
        <w:rPr>
          <w:color w:val="000000" w:themeColor="text1"/>
        </w:rPr>
        <w:t xml:space="preserve">measured </w:t>
      </w:r>
      <w:r w:rsidR="00EE3E89" w:rsidRPr="00F92FF9">
        <w:rPr>
          <w:color w:val="000000" w:themeColor="text1"/>
        </w:rPr>
        <w:t>using</w:t>
      </w:r>
      <w:r w:rsidR="006D5356" w:rsidRPr="00F92FF9">
        <w:rPr>
          <w:color w:val="000000" w:themeColor="text1"/>
        </w:rPr>
        <w:t xml:space="preserve"> transverse cine images of the aorta</w:t>
      </w:r>
      <w:r w:rsidR="00EE3E89" w:rsidRPr="00F92FF9">
        <w:rPr>
          <w:color w:val="000000" w:themeColor="text1"/>
        </w:rPr>
        <w:t xml:space="preserve"> and divided by central pulse pressure from </w:t>
      </w:r>
      <w:proofErr w:type="spellStart"/>
      <w:r w:rsidR="00EE3E89" w:rsidRPr="00F92FF9">
        <w:rPr>
          <w:color w:val="000000" w:themeColor="text1"/>
        </w:rPr>
        <w:t>Vicorder</w:t>
      </w:r>
      <w:proofErr w:type="spellEnd"/>
      <w:r w:rsidR="00EE3E89" w:rsidRPr="00F92FF9">
        <w:rPr>
          <w:color w:val="000000" w:themeColor="text1"/>
        </w:rPr>
        <w:t xml:space="preserve"> ® readings at the time of imaging. Aortic </w:t>
      </w:r>
      <w:r w:rsidR="00EE3E89" w:rsidRPr="00F92FF9">
        <w:rPr>
          <w:color w:val="000000" w:themeColor="text1"/>
        </w:rPr>
        <w:lastRenderedPageBreak/>
        <w:t>distensibility r</w:t>
      </w:r>
      <w:r w:rsidR="00B21DBA" w:rsidRPr="00F92FF9">
        <w:rPr>
          <w:color w:val="000000" w:themeColor="text1"/>
        </w:rPr>
        <w:t xml:space="preserve">esults were obtained from </w:t>
      </w:r>
      <w:r w:rsidR="00EE3E89" w:rsidRPr="00F92FF9">
        <w:rPr>
          <w:color w:val="000000" w:themeColor="text1"/>
        </w:rPr>
        <w:t xml:space="preserve">a </w:t>
      </w:r>
      <w:r w:rsidR="00B21DBA" w:rsidRPr="00F92FF9">
        <w:rPr>
          <w:color w:val="000000" w:themeColor="text1"/>
        </w:rPr>
        <w:t>previous analysis</w:t>
      </w:r>
      <w:r w:rsidR="00EE3E89" w:rsidRPr="00F92FF9">
        <w:rPr>
          <w:color w:val="000000" w:themeColor="text1"/>
        </w:rPr>
        <w:t xml:space="preserve"> of UK Biobank scans </w:t>
      </w:r>
      <w:r w:rsidR="00B21DBA" w:rsidRPr="00F92FF9">
        <w:rPr>
          <w:color w:val="000000" w:themeColor="text1"/>
        </w:rPr>
        <w:t>using a</w:t>
      </w:r>
      <w:r w:rsidR="00996903" w:rsidRPr="00F92FF9">
        <w:rPr>
          <w:color w:val="000000" w:themeColor="text1"/>
        </w:rPr>
        <w:t xml:space="preserve"> purpose-designed</w:t>
      </w:r>
      <w:r w:rsidR="006D5356" w:rsidRPr="00F92FF9">
        <w:rPr>
          <w:color w:val="000000" w:themeColor="text1"/>
        </w:rPr>
        <w:t xml:space="preserve"> automated quality controlled tool</w:t>
      </w:r>
      <w:r w:rsidR="006D5356" w:rsidRPr="00F92FF9">
        <w:rPr>
          <w:color w:val="000000" w:themeColor="text1"/>
        </w:rPr>
        <w:fldChar w:fldCharType="begin" w:fldLock="1"/>
      </w:r>
      <w:r w:rsidR="0069166F" w:rsidRPr="00F92FF9">
        <w:rPr>
          <w:color w:val="000000" w:themeColor="text1"/>
        </w:rPr>
        <w:instrText>ADDIN CSL_CITATION {"citationItems":[{"id":"ITEM-1","itemData":{"DOI":"10.1371/journal.pone.0212272","ISSN":"19326203","abstract":"Introduction Aortic distensibility can be calculated using semi-automated methods to segment the aortic lumen on cine CMR (Cardiovascular Magnetic Resonance) images. However, these methods require visual quality control and manual localization of the region of interest (ROI) of ascending (AA) and proximal descending (PDA) aorta, which limit the analysis in large-scale population-based studies. Using 5100 scans from UK Biobank, this study sought to develop and validate a fully automated method to 1) detect and locate the ROIs of AA and PDA, and 2) provide a quality control mechanism. Methods The automated AA and PDA detection-localization algorithm followed these steps: 1) foreground segmentation; 2) detection of candidate ROIs by Circular Hough Transform (CHT); 3) spatial, histogram and shape feature extraction for candidate ROIs; 4) AA and PDA detection using Random Forest (RF); 5) quality control based on RF detection probability. To provide the ground truth, overall image quality (IQ = 0–3 from poor to good) and aortic locations were visually assessed by 13 observers. The automated algorithm was trained on 1200 scans and Dice Similarity Coefficient (DSC) was used to calculate the agreement between ground truth and automatically detected ROIs. Results The automated algorithm was tested on 3900 scans. Detection accuracy was 99.4% for AA and 99.8% for PDA. Aorta localization showed excellent agreement with the ground truth, with DSC 0.9 in 94.8% of AA (DSC = 0.97 ± 0.04) and 99.5% of PDA cases (DSC = 0.98 ± 0.03). AA×PDA detection probabilities could discriminate scans with IQ 1 from those severely corrupted by artefacts (AUC = 90.6%). If scans with detection probability &lt; 0.75 were excluded (350 scans), the algorithm was able to correctly detect and localize AA and PDA in all the remaining 3550 scans (100% accuracy). Conclusion The proposed method for automated AA and PDA localization was extremely accurate and the automatically derived detection probabilities provided a robust mechanism to detect low quality scans for further human review. Applying the proposed localization and quality control techniques promises at least a ten-fold reduction in human involvement without sacrificing any accuracy.","author":[{"dropping-particle":"","family":"Biasiolli","given":"Luca","non-dropping-particle":"","parse-names":false,"suffix":""},{"dropping-particle":"","family":"Hann","given":"Evan","non-dropping-particle":"","parse-names":false,"suffix":""},{"dropping-particle":"","family":"Lukaschuk","given":"Elena","non-dropping-particle":"","parse-names":false,"suffix":""},{"dropping-particle":"","family":"Carapella","given":"Valentina","non-dropping-particle":"","parse-names":false,"suffix":""},{"dropping-particle":"","family":"Paiva","given":"Jose M.","non-dropping-particle":"","parse-names":false,"suffix":""},{"dropping-particle":"","family":"Aung","given":"Nay","non-dropping-particle":"","parse-names":false,"suffix":""},{"dropping-particle":"","family":"Rayner","given":"Jennifer J.","non-dropping-particle":"","parse-names":false,"suffix":""},{"dropping-particle":"","family":"Werys","given":"Konrad","non-dropping-particle":"","parse-names":false,"suffix":""},{"dropping-particle":"","family":"Fung","given":"Kenneth","non-dropping-particle":"","parse-names":false,"suffix":""},{"dropping-particle":"","family":"Puchta","given":"Henrike","non-dropping-particle":"","parse-names":false,"suffix":""},{"dropping-particle":"","family":"Sanghvi","given":"Mihir M.","non-dropping-particle":"","parse-names":false,"suffix":""},{"dropping-particle":"","family":"Moon","given":"Niall O.","non-dropping-particle":"","parse-names":false,"suffix":""},{"dropping-particle":"","family":"Thomson","given":"Ross J.","non-dropping-particle":"","parse-names":false,"suffix":""},{"dropping-particle":"","family":"Thomas","given":"Katharine E.","non-dropping-particle":"","parse-names":false,"suffix":""},{"dropping-particle":"","family":"Robson","given":"Matthew D.","non-dropping-particle":"","parse-names":false,"suffix":""},{"dropping-particle":"","family":"Grau","given":"Vicente","non-dropping-particle":"","parse-names":false,"suffix":""},{"dropping-particle":"","family":"Petersen","given":"Steffen E.","non-dropping-particle":"","parse-names":false,"suffix":""},{"dropping-particle":"","family":"Neubauer","given":"Stefan","non-dropping-particle":"","parse-names":false,"suffix":""},{"dropping-particle":"","family":"Piechnik","given":"Stefan K.","non-dropping-particle":"","parse-names":false,"suffix":""}],"container-title":"PLoS ONE","id":"ITEM-1","issue":"2","issued":{"date-parts":[["2019","2","1"]]},"page":"e0212272","publisher":"Public Library of Science","title":"Automated localization and quality control of the aorta in cine CMR can significantly accelerate processing of the UK Biobank population data","type":"article-journal","volume":"14"},"uris":["http://www.mendeley.com/documents/?uuid=459fbc45-adc8-317f-a575-230b746cfa33"]}],"mendeley":{"formattedCitation":"&lt;sup&gt;21&lt;/sup&gt;","plainTextFormattedCitation":"21","previouslyFormattedCitation":"&lt;sup&gt;21&lt;/sup&gt;"},"properties":{"noteIndex":0},"schema":"https://github.com/citation-style-language/schema/raw/master/csl-citation.json"}</w:instrText>
      </w:r>
      <w:r w:rsidR="006D5356" w:rsidRPr="00F92FF9">
        <w:rPr>
          <w:color w:val="000000" w:themeColor="text1"/>
        </w:rPr>
        <w:fldChar w:fldCharType="separate"/>
      </w:r>
      <w:r w:rsidR="006D5356" w:rsidRPr="00F92FF9">
        <w:rPr>
          <w:noProof/>
          <w:color w:val="000000" w:themeColor="text1"/>
          <w:vertAlign w:val="superscript"/>
        </w:rPr>
        <w:t>21</w:t>
      </w:r>
      <w:r w:rsidR="006D5356" w:rsidRPr="00F92FF9">
        <w:rPr>
          <w:color w:val="000000" w:themeColor="text1"/>
        </w:rPr>
        <w:fldChar w:fldCharType="end"/>
      </w:r>
      <w:r w:rsidR="006D5356" w:rsidRPr="00F92FF9">
        <w:rPr>
          <w:color w:val="000000" w:themeColor="text1"/>
        </w:rPr>
        <w:t xml:space="preserve">. </w:t>
      </w:r>
      <w:r w:rsidR="00B21DBA" w:rsidRPr="00F92FF9">
        <w:rPr>
          <w:color w:val="000000" w:themeColor="text1"/>
        </w:rPr>
        <w:t xml:space="preserve">Thus, we </w:t>
      </w:r>
      <w:r w:rsidR="008F3F05" w:rsidRPr="00F92FF9">
        <w:rPr>
          <w:color w:val="000000" w:themeColor="text1"/>
        </w:rPr>
        <w:t xml:space="preserve">considered the following </w:t>
      </w:r>
      <w:r w:rsidR="00B21DBA" w:rsidRPr="00F92FF9">
        <w:rPr>
          <w:color w:val="000000" w:themeColor="text1"/>
        </w:rPr>
        <w:t>CMR measures</w:t>
      </w:r>
      <w:r w:rsidR="008F3F05" w:rsidRPr="00F92FF9">
        <w:rPr>
          <w:color w:val="000000" w:themeColor="text1"/>
        </w:rPr>
        <w:t>: LV/RV</w:t>
      </w:r>
      <w:r w:rsidRPr="00F92FF9">
        <w:rPr>
          <w:color w:val="000000" w:themeColor="text1"/>
        </w:rPr>
        <w:t xml:space="preserve"> volumes in end-diastole</w:t>
      </w:r>
      <w:r w:rsidR="008F3F05" w:rsidRPr="00F92FF9">
        <w:rPr>
          <w:color w:val="000000" w:themeColor="text1"/>
        </w:rPr>
        <w:t xml:space="preserve"> and end-systole</w:t>
      </w:r>
      <w:r w:rsidRPr="00F92FF9">
        <w:rPr>
          <w:color w:val="000000" w:themeColor="text1"/>
        </w:rPr>
        <w:t xml:space="preserve">, </w:t>
      </w:r>
      <w:r w:rsidR="00811BBA" w:rsidRPr="00F92FF9">
        <w:rPr>
          <w:color w:val="000000" w:themeColor="text1"/>
        </w:rPr>
        <w:t xml:space="preserve">LV/RV </w:t>
      </w:r>
      <w:r w:rsidRPr="00F92FF9">
        <w:rPr>
          <w:color w:val="000000" w:themeColor="text1"/>
        </w:rPr>
        <w:t>ejection fraction</w:t>
      </w:r>
      <w:r w:rsidR="008F3F05" w:rsidRPr="00F92FF9">
        <w:rPr>
          <w:color w:val="000000" w:themeColor="text1"/>
        </w:rPr>
        <w:t>,</w:t>
      </w:r>
      <w:r w:rsidRPr="00F92FF9">
        <w:rPr>
          <w:color w:val="000000" w:themeColor="text1"/>
        </w:rPr>
        <w:t xml:space="preserve"> </w:t>
      </w:r>
      <w:r w:rsidR="00811BBA" w:rsidRPr="00F92FF9">
        <w:rPr>
          <w:color w:val="000000" w:themeColor="text1"/>
        </w:rPr>
        <w:t xml:space="preserve">LV/RV </w:t>
      </w:r>
      <w:r w:rsidRPr="00F92FF9">
        <w:rPr>
          <w:color w:val="000000" w:themeColor="text1"/>
        </w:rPr>
        <w:t>stroke volume, LV mass</w:t>
      </w:r>
      <w:r w:rsidR="00B21DBA" w:rsidRPr="00F92FF9">
        <w:rPr>
          <w:color w:val="000000" w:themeColor="text1"/>
        </w:rPr>
        <w:t xml:space="preserve">, </w:t>
      </w:r>
      <w:r w:rsidR="004E3CA9" w:rsidRPr="00F92FF9">
        <w:rPr>
          <w:color w:val="000000" w:themeColor="text1"/>
        </w:rPr>
        <w:t>aortic distensibility</w:t>
      </w:r>
      <w:r w:rsidR="00B21DBA" w:rsidRPr="00F92FF9">
        <w:rPr>
          <w:color w:val="000000" w:themeColor="text1"/>
        </w:rPr>
        <w:t xml:space="preserve"> at the proximal descending aorta</w:t>
      </w:r>
      <w:r w:rsidRPr="00F92FF9">
        <w:rPr>
          <w:color w:val="000000" w:themeColor="text1"/>
        </w:rPr>
        <w:t>.</w:t>
      </w:r>
    </w:p>
    <w:p w14:paraId="44F1A825" w14:textId="05CC644B" w:rsidR="00AE4E07" w:rsidRPr="00F92FF9" w:rsidRDefault="00AE4E07">
      <w:pPr>
        <w:rPr>
          <w:color w:val="000000" w:themeColor="text1"/>
        </w:rPr>
      </w:pPr>
    </w:p>
    <w:p w14:paraId="11786532" w14:textId="77777777" w:rsidR="008643A7" w:rsidRPr="00F92FF9" w:rsidRDefault="008643A7" w:rsidP="009A0201">
      <w:pPr>
        <w:pStyle w:val="Heading2"/>
        <w:rPr>
          <w:color w:val="000000" w:themeColor="text1"/>
        </w:rPr>
      </w:pPr>
      <w:r w:rsidRPr="00F92FF9">
        <w:rPr>
          <w:color w:val="000000" w:themeColor="text1"/>
        </w:rPr>
        <w:t xml:space="preserve">Statistical analysis </w:t>
      </w:r>
    </w:p>
    <w:p w14:paraId="012BC607" w14:textId="2E0B0A6B" w:rsidR="00D82FC9" w:rsidRPr="00F92FF9" w:rsidRDefault="008643A7" w:rsidP="00CF083E">
      <w:pPr>
        <w:rPr>
          <w:rStyle w:val="Hyperlink"/>
          <w:rFonts w:ascii="Lucida Grande" w:hAnsi="Lucida Grande" w:cs="Lucida Grande"/>
          <w:color w:val="000000" w:themeColor="text1"/>
          <w:sz w:val="20"/>
          <w:szCs w:val="20"/>
          <w:u w:val="none"/>
          <w:shd w:val="clear" w:color="auto" w:fill="F3F4F4"/>
        </w:rPr>
      </w:pPr>
      <w:r w:rsidRPr="00F92FF9">
        <w:rPr>
          <w:color w:val="000000" w:themeColor="text1"/>
        </w:rPr>
        <w:t>Statistical analysis was performed using R version 3.6.2</w:t>
      </w:r>
      <w:r w:rsidRPr="00F92FF9">
        <w:rPr>
          <w:color w:val="000000" w:themeColor="text1"/>
        </w:rPr>
        <w:fldChar w:fldCharType="begin" w:fldLock="1"/>
      </w:r>
      <w:r w:rsidR="006D5356" w:rsidRPr="00F92FF9">
        <w:rPr>
          <w:color w:val="000000" w:themeColor="text1"/>
        </w:rPr>
        <w:instrText>ADDIN CSL_CITATION {"citationItems":[{"id":"ITEM-1","itemData":{"id":"ITEM-1","issued":{"date-parts":[["0"]]},"title":"R Core Team (2019). R: A language and environment for statistical computing. R Foundation for Statistical Computing, Vienna, Austria.","type":"article"},"uris":["http://www.mendeley.com/documents/?uuid=30a32421-bbe5-3b2e-8c69-6edc0c1dcc83"]}],"mendeley":{"formattedCitation":"&lt;sup&gt;22&lt;/sup&gt;","plainTextFormattedCitation":"22","previouslyFormattedCitation":"&lt;sup&gt;22&lt;/sup&gt;"},"properties":{"noteIndex":0},"schema":"https://github.com/citation-style-language/schema/raw/master/csl-citation.json"}</w:instrText>
      </w:r>
      <w:r w:rsidRPr="00F92FF9">
        <w:rPr>
          <w:color w:val="000000" w:themeColor="text1"/>
        </w:rPr>
        <w:fldChar w:fldCharType="separate"/>
      </w:r>
      <w:r w:rsidR="006D5356" w:rsidRPr="00F92FF9">
        <w:rPr>
          <w:noProof/>
          <w:color w:val="000000" w:themeColor="text1"/>
          <w:vertAlign w:val="superscript"/>
        </w:rPr>
        <w:t>22</w:t>
      </w:r>
      <w:r w:rsidRPr="00F92FF9">
        <w:rPr>
          <w:color w:val="000000" w:themeColor="text1"/>
        </w:rPr>
        <w:fldChar w:fldCharType="end"/>
      </w:r>
      <w:r w:rsidRPr="00F92FF9">
        <w:rPr>
          <w:color w:val="000000" w:themeColor="text1"/>
        </w:rPr>
        <w:t xml:space="preserve"> and RStudio Version 1.3.1093</w:t>
      </w:r>
      <w:r w:rsidRPr="00F92FF9">
        <w:rPr>
          <w:color w:val="000000" w:themeColor="text1"/>
        </w:rPr>
        <w:fldChar w:fldCharType="begin" w:fldLock="1"/>
      </w:r>
      <w:r w:rsidR="006D5356" w:rsidRPr="00F92FF9">
        <w:rPr>
          <w:color w:val="000000" w:themeColor="text1"/>
        </w:rPr>
        <w:instrText>ADDIN CSL_CITATION {"citationItems":[{"id":"ITEM-1","itemData":{"URL":"https://rstudio.com/","accessed":{"date-parts":[["2020","10","18"]]},"id":"ITEM-1","issued":{"date-parts":[["0"]]},"title":"RStudio: Integrated Development for R. RStudio, Inc., Boston, MA","type":"webpage"},"uris":["http://www.mendeley.com/documents/?uuid=084f004e-dfe9-30d2-bb89-c863b6085d6c"]}],"mendeley":{"formattedCitation":"&lt;sup&gt;23&lt;/sup&gt;","plainTextFormattedCitation":"23","previouslyFormattedCitation":"&lt;sup&gt;23&lt;/sup&gt;"},"properties":{"noteIndex":0},"schema":"https://github.com/citation-style-language/schema/raw/master/csl-citation.json"}</w:instrText>
      </w:r>
      <w:r w:rsidRPr="00F92FF9">
        <w:rPr>
          <w:color w:val="000000" w:themeColor="text1"/>
        </w:rPr>
        <w:fldChar w:fldCharType="separate"/>
      </w:r>
      <w:r w:rsidR="006D5356" w:rsidRPr="00F92FF9">
        <w:rPr>
          <w:noProof/>
          <w:color w:val="000000" w:themeColor="text1"/>
          <w:vertAlign w:val="superscript"/>
        </w:rPr>
        <w:t>23</w:t>
      </w:r>
      <w:r w:rsidRPr="00F92FF9">
        <w:rPr>
          <w:color w:val="000000" w:themeColor="text1"/>
        </w:rPr>
        <w:fldChar w:fldCharType="end"/>
      </w:r>
      <w:r w:rsidRPr="00F92FF9">
        <w:rPr>
          <w:color w:val="000000" w:themeColor="text1"/>
        </w:rPr>
        <w:t>.</w:t>
      </w:r>
      <w:r w:rsidRPr="00F92FF9">
        <w:rPr>
          <w:rStyle w:val="Hyperlink"/>
          <w:color w:val="000000" w:themeColor="text1"/>
          <w:u w:val="none"/>
          <w:bdr w:val="none" w:sz="0" w:space="0" w:color="auto" w:frame="1"/>
          <w:lang w:val="en"/>
        </w:rPr>
        <w:t xml:space="preserve"> </w:t>
      </w:r>
      <w:r w:rsidR="006654A0" w:rsidRPr="00F92FF9">
        <w:rPr>
          <w:rStyle w:val="Hyperlink"/>
          <w:color w:val="000000" w:themeColor="text1"/>
          <w:u w:val="none"/>
          <w:bdr w:val="none" w:sz="0" w:space="0" w:color="auto" w:frame="1"/>
          <w:lang w:val="en"/>
        </w:rPr>
        <w:t>We</w:t>
      </w:r>
      <w:r w:rsidR="00EA7255" w:rsidRPr="00F92FF9">
        <w:rPr>
          <w:rStyle w:val="Hyperlink"/>
          <w:color w:val="000000" w:themeColor="text1"/>
          <w:u w:val="none"/>
          <w:bdr w:val="none" w:sz="0" w:space="0" w:color="auto" w:frame="1"/>
          <w:lang w:val="en"/>
        </w:rPr>
        <w:t xml:space="preserve"> included all participants with CMR and </w:t>
      </w:r>
      <w:r w:rsidR="00D76A5B" w:rsidRPr="00F92FF9">
        <w:rPr>
          <w:rStyle w:val="Hyperlink"/>
          <w:color w:val="000000" w:themeColor="text1"/>
          <w:u w:val="none"/>
          <w:bdr w:val="none" w:sz="0" w:space="0" w:color="auto" w:frame="1"/>
          <w:lang w:val="en"/>
        </w:rPr>
        <w:t xml:space="preserve">at least one of </w:t>
      </w:r>
      <w:r w:rsidR="00EA7255" w:rsidRPr="00F92FF9">
        <w:rPr>
          <w:rStyle w:val="Hyperlink"/>
          <w:color w:val="000000" w:themeColor="text1"/>
          <w:u w:val="none"/>
          <w:bdr w:val="none" w:sz="0" w:space="0" w:color="auto" w:frame="1"/>
          <w:lang w:val="en"/>
        </w:rPr>
        <w:t>FI</w:t>
      </w:r>
      <w:r w:rsidR="00D76A5B" w:rsidRPr="00F92FF9">
        <w:rPr>
          <w:rStyle w:val="Hyperlink"/>
          <w:color w:val="000000" w:themeColor="text1"/>
          <w:u w:val="none"/>
          <w:bdr w:val="none" w:sz="0" w:space="0" w:color="auto" w:frame="1"/>
          <w:lang w:val="en"/>
        </w:rPr>
        <w:t xml:space="preserve"> or </w:t>
      </w:r>
      <w:r w:rsidR="00EA7255" w:rsidRPr="00F92FF9">
        <w:rPr>
          <w:rStyle w:val="Hyperlink"/>
          <w:color w:val="000000" w:themeColor="text1"/>
          <w:u w:val="none"/>
          <w:bdr w:val="none" w:sz="0" w:space="0" w:color="auto" w:frame="1"/>
          <w:lang w:val="en"/>
        </w:rPr>
        <w:t xml:space="preserve">RT. </w:t>
      </w:r>
      <w:r w:rsidR="00160DD3" w:rsidRPr="00F92FF9">
        <w:rPr>
          <w:rStyle w:val="Hyperlink"/>
          <w:color w:val="000000" w:themeColor="text1"/>
          <w:u w:val="none"/>
          <w:bdr w:val="none" w:sz="0" w:space="0" w:color="auto" w:frame="1"/>
          <w:lang w:val="en"/>
        </w:rPr>
        <w:t>P</w:t>
      </w:r>
      <w:r w:rsidR="00EA7255" w:rsidRPr="00F92FF9">
        <w:rPr>
          <w:rStyle w:val="Hyperlink"/>
          <w:color w:val="000000" w:themeColor="text1"/>
          <w:u w:val="none"/>
          <w:bdr w:val="none" w:sz="0" w:space="0" w:color="auto" w:frame="1"/>
          <w:lang w:val="en"/>
        </w:rPr>
        <w:t>articipants with dementia, ascertained from UK</w:t>
      </w:r>
      <w:r w:rsidR="00EB3872" w:rsidRPr="00F92FF9">
        <w:rPr>
          <w:rStyle w:val="Hyperlink"/>
          <w:color w:val="000000" w:themeColor="text1"/>
          <w:u w:val="none"/>
          <w:bdr w:val="none" w:sz="0" w:space="0" w:color="auto" w:frame="1"/>
          <w:lang w:val="en"/>
        </w:rPr>
        <w:t xml:space="preserve"> </w:t>
      </w:r>
      <w:r w:rsidR="00EA7255" w:rsidRPr="00F92FF9">
        <w:rPr>
          <w:rStyle w:val="Hyperlink"/>
          <w:color w:val="000000" w:themeColor="text1"/>
          <w:u w:val="none"/>
          <w:bdr w:val="none" w:sz="0" w:space="0" w:color="auto" w:frame="1"/>
          <w:lang w:val="en"/>
        </w:rPr>
        <w:t>B</w:t>
      </w:r>
      <w:r w:rsidR="00EB3872" w:rsidRPr="00F92FF9">
        <w:rPr>
          <w:rStyle w:val="Hyperlink"/>
          <w:color w:val="000000" w:themeColor="text1"/>
          <w:u w:val="none"/>
          <w:bdr w:val="none" w:sz="0" w:space="0" w:color="auto" w:frame="1"/>
          <w:lang w:val="en"/>
        </w:rPr>
        <w:t>iobank</w:t>
      </w:r>
      <w:r w:rsidR="00EA7255" w:rsidRPr="00F92FF9">
        <w:rPr>
          <w:rStyle w:val="Hyperlink"/>
          <w:color w:val="000000" w:themeColor="text1"/>
          <w:u w:val="none"/>
          <w:bdr w:val="none" w:sz="0" w:space="0" w:color="auto" w:frame="1"/>
          <w:lang w:val="en"/>
        </w:rPr>
        <w:t xml:space="preserve"> algorithmically defined health outcomes</w:t>
      </w:r>
      <w:r w:rsidR="00160DD3" w:rsidRPr="00F92FF9">
        <w:rPr>
          <w:rStyle w:val="Hyperlink"/>
          <w:color w:val="000000" w:themeColor="text1"/>
          <w:u w:val="none"/>
          <w:bdr w:val="none" w:sz="0" w:space="0" w:color="auto" w:frame="1"/>
          <w:lang w:val="en"/>
        </w:rPr>
        <w:t>, were excluded (n=13)</w:t>
      </w:r>
      <w:r w:rsidR="00EA7255" w:rsidRPr="00F92FF9">
        <w:rPr>
          <w:rStyle w:val="Hyperlink"/>
          <w:color w:val="000000" w:themeColor="text1"/>
          <w:u w:val="none"/>
          <w:bdr w:val="none" w:sz="0" w:space="0" w:color="auto" w:frame="1"/>
          <w:lang w:val="en"/>
        </w:rPr>
        <w:t>.</w:t>
      </w:r>
      <w:r w:rsidR="00160DD3" w:rsidRPr="00F92FF9">
        <w:rPr>
          <w:rStyle w:val="Hyperlink"/>
          <w:color w:val="000000" w:themeColor="text1"/>
          <w:u w:val="none"/>
          <w:bdr w:val="none" w:sz="0" w:space="0" w:color="auto" w:frame="1"/>
          <w:lang w:val="en"/>
        </w:rPr>
        <w:t xml:space="preserve"> </w:t>
      </w:r>
      <w:r w:rsidRPr="00F92FF9">
        <w:rPr>
          <w:rStyle w:val="Hyperlink"/>
          <w:color w:val="000000" w:themeColor="text1"/>
          <w:u w:val="none"/>
          <w:bdr w:val="none" w:sz="0" w:space="0" w:color="auto" w:frame="1"/>
          <w:lang w:val="en"/>
        </w:rPr>
        <w:t xml:space="preserve">We tested, in individual multivariable linear regression models, the association of CMR </w:t>
      </w:r>
      <w:r w:rsidR="00EB3872" w:rsidRPr="00F92FF9">
        <w:rPr>
          <w:rStyle w:val="Hyperlink"/>
          <w:color w:val="000000" w:themeColor="text1"/>
          <w:u w:val="none"/>
          <w:bdr w:val="none" w:sz="0" w:space="0" w:color="auto" w:frame="1"/>
          <w:lang w:val="en"/>
        </w:rPr>
        <w:t>metrics</w:t>
      </w:r>
      <w:r w:rsidRPr="00F92FF9">
        <w:rPr>
          <w:rStyle w:val="Hyperlink"/>
          <w:color w:val="000000" w:themeColor="text1"/>
          <w:u w:val="none"/>
          <w:bdr w:val="none" w:sz="0" w:space="0" w:color="auto" w:frame="1"/>
          <w:lang w:val="en"/>
        </w:rPr>
        <w:t xml:space="preserve"> with </w:t>
      </w:r>
      <w:r w:rsidR="00B21DBA" w:rsidRPr="00F92FF9">
        <w:rPr>
          <w:rStyle w:val="Hyperlink"/>
          <w:color w:val="000000" w:themeColor="text1"/>
          <w:u w:val="none"/>
          <w:bdr w:val="none" w:sz="0" w:space="0" w:color="auto" w:frame="1"/>
          <w:lang w:val="en"/>
        </w:rPr>
        <w:t xml:space="preserve">measures of </w:t>
      </w:r>
      <w:r w:rsidRPr="00F92FF9">
        <w:rPr>
          <w:rStyle w:val="Hyperlink"/>
          <w:color w:val="000000" w:themeColor="text1"/>
          <w:u w:val="none"/>
          <w:bdr w:val="none" w:sz="0" w:space="0" w:color="auto" w:frame="1"/>
          <w:lang w:val="en"/>
        </w:rPr>
        <w:t>cognitive performance (FI</w:t>
      </w:r>
      <w:r w:rsidR="00B21DBA" w:rsidRPr="00F92FF9">
        <w:rPr>
          <w:rStyle w:val="Hyperlink"/>
          <w:color w:val="000000" w:themeColor="text1"/>
          <w:u w:val="none"/>
          <w:bdr w:val="none" w:sz="0" w:space="0" w:color="auto" w:frame="1"/>
          <w:lang w:val="en"/>
        </w:rPr>
        <w:t xml:space="preserve"> and</w:t>
      </w:r>
      <w:r w:rsidRPr="00F92FF9">
        <w:rPr>
          <w:rStyle w:val="Hyperlink"/>
          <w:color w:val="000000" w:themeColor="text1"/>
          <w:u w:val="none"/>
          <w:bdr w:val="none" w:sz="0" w:space="0" w:color="auto" w:frame="1"/>
          <w:lang w:val="en"/>
        </w:rPr>
        <w:t xml:space="preserve"> RT). Based on existing literature and biological plausibility, we considered the following covariates</w:t>
      </w:r>
      <w:r w:rsidR="00B21DBA" w:rsidRPr="00F92FF9">
        <w:rPr>
          <w:rStyle w:val="Hyperlink"/>
          <w:color w:val="000000" w:themeColor="text1"/>
          <w:u w:val="none"/>
          <w:bdr w:val="none" w:sz="0" w:space="0" w:color="auto" w:frame="1"/>
          <w:lang w:val="en"/>
        </w:rPr>
        <w:t>, determined a priori</w:t>
      </w:r>
      <w:r w:rsidRPr="00F92FF9">
        <w:rPr>
          <w:rStyle w:val="Hyperlink"/>
          <w:color w:val="000000" w:themeColor="text1"/>
          <w:u w:val="none"/>
          <w:bdr w:val="none" w:sz="0" w:space="0" w:color="auto" w:frame="1"/>
          <w:lang w:val="en"/>
        </w:rPr>
        <w:t xml:space="preserve">: </w:t>
      </w:r>
      <w:r w:rsidRPr="00F92FF9">
        <w:rPr>
          <w:color w:val="000000" w:themeColor="text1"/>
        </w:rPr>
        <w:t>age, sex, smoking, alcohol intake, exercise level, education, deprivation, diabetes, hypertension, hypercholesterolaemia, and prior myocardial infarction</w:t>
      </w:r>
      <w:r w:rsidRPr="00F92FF9">
        <w:rPr>
          <w:rStyle w:val="Hyperlink"/>
          <w:color w:val="000000" w:themeColor="text1"/>
          <w:u w:val="none"/>
          <w:bdr w:val="none" w:sz="0" w:space="0" w:color="auto" w:frame="1"/>
          <w:lang w:val="en"/>
        </w:rPr>
        <w:t xml:space="preserve">. There was no evidence of multicollinearity based on a conservative variance inflation factor (VIF) threshold of &lt;2. </w:t>
      </w:r>
      <w:r w:rsidRPr="00F92FF9">
        <w:rPr>
          <w:color w:val="000000" w:themeColor="text1"/>
        </w:rPr>
        <w:t>For ease of interpretation and to allow comparison of magnitude of effects across CMR measures, we report standardised beta-coefficients with corresponding 95% confidence intervals and p-values</w:t>
      </w:r>
      <w:r w:rsidRPr="00F92FF9">
        <w:rPr>
          <w:rStyle w:val="Hyperlink"/>
          <w:color w:val="000000" w:themeColor="text1"/>
          <w:u w:val="none"/>
          <w:bdr w:val="none" w:sz="0" w:space="0" w:color="auto" w:frame="1"/>
          <w:lang w:val="en"/>
        </w:rPr>
        <w:t>.</w:t>
      </w:r>
      <w:r w:rsidR="002A1F63" w:rsidRPr="00F92FF9">
        <w:rPr>
          <w:rStyle w:val="Hyperlink"/>
          <w:color w:val="000000" w:themeColor="text1"/>
          <w:u w:val="none"/>
          <w:bdr w:val="none" w:sz="0" w:space="0" w:color="auto" w:frame="1"/>
          <w:lang w:val="en"/>
        </w:rPr>
        <w:t xml:space="preserve"> </w:t>
      </w:r>
      <w:r w:rsidRPr="00F92FF9">
        <w:rPr>
          <w:rStyle w:val="Hyperlink"/>
          <w:color w:val="000000" w:themeColor="text1"/>
          <w:u w:val="none"/>
          <w:bdr w:val="none" w:sz="0" w:space="0" w:color="auto" w:frame="1"/>
          <w:lang w:val="en"/>
        </w:rPr>
        <w:t xml:space="preserve">Thus, results are standard deviation change in FI/RT per one standard deviation increase in CMR measure. </w:t>
      </w:r>
      <w:r w:rsidR="002A1F63" w:rsidRPr="00F92FF9">
        <w:rPr>
          <w:color w:val="000000" w:themeColor="text1"/>
        </w:rPr>
        <w:t>P-values are adjusted by Benjamin Hochberg method</w:t>
      </w:r>
      <w:r w:rsidR="006654A0" w:rsidRPr="00F92FF9">
        <w:rPr>
          <w:color w:val="000000" w:themeColor="text1"/>
        </w:rPr>
        <w:t>,</w:t>
      </w:r>
      <w:r w:rsidR="002A1F63" w:rsidRPr="00F92FF9">
        <w:rPr>
          <w:color w:val="000000" w:themeColor="text1"/>
        </w:rPr>
        <w:t xml:space="preserve"> where all CMR-related p-values across the set of models are adjusted together</w:t>
      </w:r>
      <w:r w:rsidR="006654A0" w:rsidRPr="00F92FF9">
        <w:rPr>
          <w:color w:val="000000" w:themeColor="text1"/>
        </w:rPr>
        <w:t>,</w:t>
      </w:r>
      <w:r w:rsidR="002A1F63" w:rsidRPr="00F92FF9">
        <w:rPr>
          <w:color w:val="000000" w:themeColor="text1"/>
        </w:rPr>
        <w:t xml:space="preserve"> setting </w:t>
      </w:r>
      <w:r w:rsidR="00AF3625" w:rsidRPr="00F92FF9">
        <w:rPr>
          <w:color w:val="000000" w:themeColor="text1"/>
        </w:rPr>
        <w:t xml:space="preserve">a conservative false discovery rate of </w:t>
      </w:r>
      <w:r w:rsidR="002A1F63" w:rsidRPr="00F92FF9">
        <w:rPr>
          <w:color w:val="000000" w:themeColor="text1"/>
        </w:rPr>
        <w:t>&lt;</w:t>
      </w:r>
      <w:r w:rsidR="00962C04" w:rsidRPr="00F92FF9">
        <w:rPr>
          <w:color w:val="000000" w:themeColor="text1"/>
        </w:rPr>
        <w:t>5</w:t>
      </w:r>
      <w:r w:rsidR="002A1F63" w:rsidRPr="00F92FF9">
        <w:rPr>
          <w:color w:val="000000" w:themeColor="text1"/>
        </w:rPr>
        <w:t>%</w:t>
      </w:r>
      <w:r w:rsidR="00AF3625" w:rsidRPr="00F92FF9">
        <w:rPr>
          <w:color w:val="000000" w:themeColor="text1"/>
        </w:rPr>
        <w:fldChar w:fldCharType="begin" w:fldLock="1"/>
      </w:r>
      <w:r w:rsidR="006D5356" w:rsidRPr="00F92FF9">
        <w:rPr>
          <w:color w:val="000000" w:themeColor="text1"/>
        </w:rPr>
        <w:instrText>ADDIN CSL_CITATION {"citationItems":[{"id":"ITEM-1","itemData":{"author":[{"dropping-particle":"","family":"Benjamini","given":"Yoav","non-dropping-particle":"","parse-names":false,"suffix":""},{"dropping-particle":"","family":"Hochberg","given":"Yosef","non-dropping-particle":"","parse-names":false,"suffix":""}],"container-title":"Source: Journal of the Royal Statistical Society. Series B (Methodological)","id":"ITEM-1","issue":"1","issued":{"date-parts":[["1995"]]},"page":"289-300","title":"Controlling the False Discovery Rate: A Practical and Powerful Approach to Multiple Testing","type":"article-journal","volume":"57"},"uris":["http://www.mendeley.com/documents/?uuid=09962760-592a-3299-8943-491893426cb7"]}],"mendeley":{"formattedCitation":"&lt;sup&gt;24&lt;/sup&gt;","plainTextFormattedCitation":"24","previouslyFormattedCitation":"&lt;sup&gt;24&lt;/sup&gt;"},"properties":{"noteIndex":0},"schema":"https://github.com/citation-style-language/schema/raw/master/csl-citation.json"}</w:instrText>
      </w:r>
      <w:r w:rsidR="00AF3625" w:rsidRPr="00F92FF9">
        <w:rPr>
          <w:color w:val="000000" w:themeColor="text1"/>
        </w:rPr>
        <w:fldChar w:fldCharType="separate"/>
      </w:r>
      <w:r w:rsidR="006D5356" w:rsidRPr="00F92FF9">
        <w:rPr>
          <w:noProof/>
          <w:color w:val="000000" w:themeColor="text1"/>
          <w:vertAlign w:val="superscript"/>
        </w:rPr>
        <w:t>24</w:t>
      </w:r>
      <w:r w:rsidR="00AF3625" w:rsidRPr="00F92FF9">
        <w:rPr>
          <w:color w:val="000000" w:themeColor="text1"/>
        </w:rPr>
        <w:fldChar w:fldCharType="end"/>
      </w:r>
      <w:r w:rsidR="002A1F63" w:rsidRPr="00F92FF9">
        <w:rPr>
          <w:color w:val="000000" w:themeColor="text1"/>
        </w:rPr>
        <w:t>.</w:t>
      </w:r>
      <w:r w:rsidR="002A1F63" w:rsidRPr="00F92FF9">
        <w:rPr>
          <w:rStyle w:val="Hyperlink"/>
          <w:color w:val="000000" w:themeColor="text1"/>
          <w:u w:val="none"/>
          <w:bdr w:val="none" w:sz="0" w:space="0" w:color="auto" w:frame="1"/>
          <w:lang w:val="en"/>
        </w:rPr>
        <w:t xml:space="preserve"> </w:t>
      </w:r>
      <w:r w:rsidRPr="00F92FF9">
        <w:rPr>
          <w:color w:val="000000" w:themeColor="text1"/>
        </w:rPr>
        <w:t xml:space="preserve">We </w:t>
      </w:r>
      <w:r w:rsidR="002A1F63" w:rsidRPr="00F92FF9">
        <w:rPr>
          <w:color w:val="000000" w:themeColor="text1"/>
        </w:rPr>
        <w:t xml:space="preserve">performed </w:t>
      </w:r>
      <w:r w:rsidR="006654A0" w:rsidRPr="00F92FF9">
        <w:rPr>
          <w:color w:val="000000" w:themeColor="text1"/>
        </w:rPr>
        <w:t>sex-</w:t>
      </w:r>
      <w:r w:rsidR="002A1F63" w:rsidRPr="00F92FF9">
        <w:rPr>
          <w:color w:val="000000" w:themeColor="text1"/>
        </w:rPr>
        <w:t xml:space="preserve">stratified analyses </w:t>
      </w:r>
      <w:r w:rsidR="006654A0" w:rsidRPr="00F92FF9">
        <w:rPr>
          <w:color w:val="000000" w:themeColor="text1"/>
        </w:rPr>
        <w:t>and tested for interaction effects by age and sex</w:t>
      </w:r>
      <w:r w:rsidR="002A1F63" w:rsidRPr="00F92FF9">
        <w:rPr>
          <w:color w:val="000000" w:themeColor="text1"/>
        </w:rPr>
        <w:t>.</w:t>
      </w:r>
      <w:r w:rsidR="007C5025" w:rsidRPr="00F92FF9">
        <w:rPr>
          <w:color w:val="000000" w:themeColor="text1"/>
        </w:rPr>
        <w:t xml:space="preserve"> All models were </w:t>
      </w:r>
      <w:r w:rsidR="00EB3872" w:rsidRPr="00F92FF9">
        <w:rPr>
          <w:color w:val="000000" w:themeColor="text1"/>
        </w:rPr>
        <w:t xml:space="preserve">assessed </w:t>
      </w:r>
      <w:r w:rsidR="007C5025" w:rsidRPr="00F92FF9">
        <w:rPr>
          <w:color w:val="000000" w:themeColor="text1"/>
        </w:rPr>
        <w:t>for potential non-linearity using squared and cubic polynomial terms.</w:t>
      </w:r>
    </w:p>
    <w:p w14:paraId="6F91AD91" w14:textId="4099A494" w:rsidR="00D82FC9" w:rsidRPr="00F92FF9" w:rsidRDefault="00D82FC9">
      <w:pPr>
        <w:rPr>
          <w:rStyle w:val="Hyperlink"/>
          <w:color w:val="000000" w:themeColor="text1"/>
          <w:u w:val="none"/>
          <w:bdr w:val="none" w:sz="0" w:space="0" w:color="auto" w:frame="1"/>
          <w:lang w:val="en"/>
        </w:rPr>
      </w:pPr>
    </w:p>
    <w:p w14:paraId="67A82BD5" w14:textId="62EB2820" w:rsidR="00D82FC9" w:rsidRPr="00F92FF9" w:rsidRDefault="00D82FC9" w:rsidP="001C5040">
      <w:pPr>
        <w:rPr>
          <w:rStyle w:val="Hyperlink"/>
          <w:b/>
          <w:bCs/>
          <w:i/>
          <w:iCs/>
          <w:color w:val="000000" w:themeColor="text1"/>
          <w:u w:val="none"/>
          <w:bdr w:val="none" w:sz="0" w:space="0" w:color="auto" w:frame="1"/>
          <w:lang w:val="en"/>
        </w:rPr>
      </w:pPr>
      <w:r w:rsidRPr="00F92FF9">
        <w:rPr>
          <w:rStyle w:val="Hyperlink"/>
          <w:b/>
          <w:bCs/>
          <w:i/>
          <w:iCs/>
          <w:color w:val="000000" w:themeColor="text1"/>
          <w:u w:val="none"/>
          <w:bdr w:val="none" w:sz="0" w:space="0" w:color="auto" w:frame="1"/>
          <w:lang w:val="en"/>
        </w:rPr>
        <w:t>Ascertainment of covariates</w:t>
      </w:r>
    </w:p>
    <w:p w14:paraId="22546265" w14:textId="4EA1EEC3" w:rsidR="007B67DC" w:rsidRPr="00F92FF9" w:rsidRDefault="00F8075D" w:rsidP="00AF3625">
      <w:pPr>
        <w:jc w:val="both"/>
        <w:rPr>
          <w:rStyle w:val="Hyperlink"/>
          <w:color w:val="000000" w:themeColor="text1"/>
          <w:u w:val="none"/>
          <w:shd w:val="clear" w:color="auto" w:fill="FFFFFF"/>
        </w:rPr>
      </w:pPr>
      <w:r w:rsidRPr="00F92FF9">
        <w:rPr>
          <w:rStyle w:val="Hyperlink"/>
          <w:color w:val="000000" w:themeColor="text1"/>
          <w:u w:val="none"/>
          <w:bdr w:val="none" w:sz="0" w:space="0" w:color="auto" w:frame="1"/>
          <w:lang w:val="en"/>
        </w:rPr>
        <w:t xml:space="preserve">We used age at </w:t>
      </w:r>
      <w:r w:rsidR="00EA7255" w:rsidRPr="00F92FF9">
        <w:rPr>
          <w:rStyle w:val="Hyperlink"/>
          <w:color w:val="000000" w:themeColor="text1"/>
          <w:u w:val="none"/>
          <w:bdr w:val="none" w:sz="0" w:space="0" w:color="auto" w:frame="1"/>
          <w:lang w:val="en"/>
        </w:rPr>
        <w:t xml:space="preserve">the </w:t>
      </w:r>
      <w:r w:rsidRPr="00F92FF9">
        <w:rPr>
          <w:rStyle w:val="Hyperlink"/>
          <w:color w:val="000000" w:themeColor="text1"/>
          <w:u w:val="none"/>
          <w:bdr w:val="none" w:sz="0" w:space="0" w:color="auto" w:frame="1"/>
          <w:lang w:val="en"/>
        </w:rPr>
        <w:t xml:space="preserve">imaging visit. </w:t>
      </w:r>
      <w:r w:rsidR="006654A0" w:rsidRPr="00F92FF9">
        <w:rPr>
          <w:rStyle w:val="Hyperlink"/>
          <w:color w:val="000000" w:themeColor="text1"/>
          <w:u w:val="none"/>
          <w:bdr w:val="none" w:sz="0" w:space="0" w:color="auto" w:frame="1"/>
          <w:lang w:val="en"/>
        </w:rPr>
        <w:t xml:space="preserve">Sex was taken as recorded at baseline. </w:t>
      </w:r>
      <w:r w:rsidR="00E54F90" w:rsidRPr="00F92FF9">
        <w:rPr>
          <w:color w:val="000000" w:themeColor="text1"/>
        </w:rPr>
        <w:t>Educational level, smoking status</w:t>
      </w:r>
      <w:r w:rsidR="007C5025" w:rsidRPr="00F92FF9">
        <w:rPr>
          <w:color w:val="000000" w:themeColor="text1"/>
        </w:rPr>
        <w:t xml:space="preserve"> (current vs never/previous)</w:t>
      </w:r>
      <w:r w:rsidR="00E54F90" w:rsidRPr="00F92FF9">
        <w:rPr>
          <w:color w:val="000000" w:themeColor="text1"/>
        </w:rPr>
        <w:t>, and alcohol intake</w:t>
      </w:r>
      <w:r w:rsidR="007C5025" w:rsidRPr="00F92FF9">
        <w:rPr>
          <w:color w:val="000000" w:themeColor="text1"/>
        </w:rPr>
        <w:t xml:space="preserve"> (intake frequency)</w:t>
      </w:r>
      <w:r w:rsidR="00E54F90" w:rsidRPr="00F92FF9">
        <w:rPr>
          <w:color w:val="000000" w:themeColor="text1"/>
        </w:rPr>
        <w:t xml:space="preserve"> were based on self-report. Material deprivation is reported as the Townsend </w:t>
      </w:r>
      <w:r w:rsidR="00D933A7" w:rsidRPr="00F92FF9">
        <w:rPr>
          <w:color w:val="000000" w:themeColor="text1"/>
        </w:rPr>
        <w:t>index</w:t>
      </w:r>
      <w:r w:rsidR="00413717" w:rsidRPr="00F92FF9">
        <w:rPr>
          <w:color w:val="000000" w:themeColor="text1"/>
        </w:rPr>
        <w:t>, a measure of material deprivation</w:t>
      </w:r>
      <w:r w:rsidR="00CB2ABD" w:rsidRPr="00F92FF9">
        <w:rPr>
          <w:color w:val="000000" w:themeColor="text1"/>
        </w:rPr>
        <w:t xml:space="preserve"> relative to national averages</w:t>
      </w:r>
      <w:r w:rsidR="00453DB5" w:rsidRPr="00F92FF9">
        <w:rPr>
          <w:color w:val="000000" w:themeColor="text1"/>
        </w:rPr>
        <w:fldChar w:fldCharType="begin" w:fldLock="1"/>
      </w:r>
      <w:r w:rsidR="006D5356" w:rsidRPr="00F92FF9">
        <w:rPr>
          <w:color w:val="000000" w:themeColor="text1"/>
        </w:rPr>
        <w:instrText>ADDIN CSL_CITATION {"citationItems":[{"id":"ITEM-1","itemData":{"DOI":"10.7748/ns.2.17.34.s66","ISSN":"0029-6570","abstract":"Definitions of health range from absence of disease [Illegible Word] state of complete men™ physical and social well being. Are they individual? To what extent do wider social problems, eg. employment status, affect health Is health related to material deprivation? If so, how do we measure it?","author":[{"dropping-particle":"","family":"Townsend","given":"P","non-dropping-particle":"","parse-names":false,"suffix":""},{"dropping-particle":"","family":"Phillimore","given":"P","non-dropping-particle":"","parse-names":false,"suffix":""},{"dropping-particle":"","family":"Beattie","given":"A","non-dropping-particle":"","parse-names":false,"suffix":""}],"container-title":"Nursing Standard","id":"ITEM-1","issue":"17","issued":{"date-parts":[["1988","1","30"]]},"page":"34-34","publisher":"RCN Publishing Ltd.","title":"Health and Deprivation: Inequality and the North","type":"article-journal","volume":"2"},"uris":["http://www.mendeley.com/documents/?uuid=16e18d0b-a829-3058-aad9-75db7328af12"]}],"mendeley":{"formattedCitation":"&lt;sup&gt;25&lt;/sup&gt;","plainTextFormattedCitation":"25","previouslyFormattedCitation":"&lt;sup&gt;25&lt;/sup&gt;"},"properties":{"noteIndex":0},"schema":"https://github.com/citation-style-language/schema/raw/master/csl-citation.json"}</w:instrText>
      </w:r>
      <w:r w:rsidR="00453DB5" w:rsidRPr="00F92FF9">
        <w:rPr>
          <w:color w:val="000000" w:themeColor="text1"/>
        </w:rPr>
        <w:fldChar w:fldCharType="separate"/>
      </w:r>
      <w:r w:rsidR="006D5356" w:rsidRPr="00F92FF9">
        <w:rPr>
          <w:noProof/>
          <w:color w:val="000000" w:themeColor="text1"/>
          <w:vertAlign w:val="superscript"/>
        </w:rPr>
        <w:t>25</w:t>
      </w:r>
      <w:r w:rsidR="00453DB5" w:rsidRPr="00F92FF9">
        <w:rPr>
          <w:color w:val="000000" w:themeColor="text1"/>
        </w:rPr>
        <w:fldChar w:fldCharType="end"/>
      </w:r>
      <w:r w:rsidR="00413717" w:rsidRPr="00F92FF9">
        <w:rPr>
          <w:color w:val="000000" w:themeColor="text1"/>
        </w:rPr>
        <w:t>.</w:t>
      </w:r>
      <w:r w:rsidR="00E54F90" w:rsidRPr="00F92FF9">
        <w:rPr>
          <w:color w:val="000000" w:themeColor="text1"/>
          <w:shd w:val="clear" w:color="auto" w:fill="FFFFFF"/>
        </w:rPr>
        <w:t xml:space="preserve"> A continuous value for the amount of physical activity measured in metabolic </w:t>
      </w:r>
      <w:r w:rsidR="00E54F90" w:rsidRPr="00F92FF9">
        <w:rPr>
          <w:color w:val="000000" w:themeColor="text1"/>
          <w:shd w:val="clear" w:color="auto" w:fill="FFFFFF"/>
        </w:rPr>
        <w:lastRenderedPageBreak/>
        <w:t>equivalent (MET) minutes/week was calculated by weighting different types of activity (walking, moderate or vigorous) by its energy requirements using values derived from the International Physical Activity Questionnaire study</w:t>
      </w:r>
      <w:r w:rsidR="00E54F90" w:rsidRPr="00F92FF9">
        <w:rPr>
          <w:color w:val="000000" w:themeColor="text1"/>
          <w:shd w:val="clear" w:color="auto" w:fill="FFFFFF"/>
        </w:rPr>
        <w:fldChar w:fldCharType="begin" w:fldLock="1"/>
      </w:r>
      <w:r w:rsidR="006D5356" w:rsidRPr="00F92FF9">
        <w:rPr>
          <w:color w:val="000000" w:themeColor="text1"/>
          <w:shd w:val="clear" w:color="auto" w:fill="FFFFFF"/>
        </w:rPr>
        <w:instrText>ADDIN CSL_CITATION {"citationItems":[{"id":"ITEM-1","itemData":{"DOI":"10.1249/01.MSS.0000078924.61453.FB","ISSN":"0195-9131","PMID":"12900694","abstract":"BACKGROUND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\"last 7 d\" or a \"usual week\"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rho clustered around 0.8), with comparable data from short and long forms. Criterion validity had a median rho of about 0.30, which was comparable to most other self-report validation studies. The \"usual week\" and \"last 7 d\"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 to 65-yr-old adults in diverse settings. The short IPAQ form \"last 7 d recall\" is recommended for national monitoring and the long form for research requiring more detailed assessment.","author":[{"dropping-particle":"","family":"Craig","given":"Cora L","non-dropping-particle":"","parse-names":false,"suffix":""},{"dropping-particle":"","family":"Marshall","given":"Alison L","non-dropping-particle":"","parse-names":false,"suffix":""},{"dropping-particle":"","family":"Sjöström","given":"Michael","non-dropping-particle":"","parse-names":false,"suffix":""},{"dropping-particle":"","family":"Bauman","given":"Adrian E","non-dropping-particle":"","parse-names":false,"suffix":""},{"dropping-particle":"","family":"Booth","given":"Michael L","non-dropping-particle":"","parse-names":false,"suffix":""},{"dropping-particle":"","family":"Ainsworth","given":"Barbara E","non-dropping-particle":"","parse-names":false,"suffix":""},{"dropping-particle":"","family":"Pratt","given":"Michael","non-dropping-particle":"","parse-names":false,"suffix":""},{"dropping-particle":"","family":"Ekelund","given":"Ulf","non-dropping-particle":"","parse-names":false,"suffix":""},{"dropping-particle":"","family":"Yngve","given":"Agneta","non-dropping-particle":"","parse-names":false,"suffix":""},{"dropping-particle":"","family":"Sallis","given":"James F","non-dropping-particle":"","parse-names":false,"suffix":""},{"dropping-particle":"","family":"Oja","given":"Pekka","non-dropping-particle":"","parse-names":false,"suffix":""}],"container-title":"Medicine and science in sports and exercise","id":"ITEM-1","issue":"8","issued":{"date-parts":[["2003","8"]]},"page":"1381-95","title":"International physical activity questionnaire: 12-country reliability and validity.","type":"article-journal","volume":"35"},"uris":["http://www.mendeley.com/documents/?uuid=a668e849-410d-38ee-8b0d-c077d81cb6c8"]}],"mendeley":{"formattedCitation":"&lt;sup&gt;26&lt;/sup&gt;","plainTextFormattedCitation":"26","previouslyFormattedCitation":"&lt;sup&gt;26&lt;/sup&gt;"},"properties":{"noteIndex":0},"schema":"https://github.com/citation-style-language/schema/raw/master/csl-citation.json"}</w:instrText>
      </w:r>
      <w:r w:rsidR="00E54F90" w:rsidRPr="00F92FF9">
        <w:rPr>
          <w:color w:val="000000" w:themeColor="text1"/>
          <w:shd w:val="clear" w:color="auto" w:fill="FFFFFF"/>
        </w:rPr>
        <w:fldChar w:fldCharType="separate"/>
      </w:r>
      <w:r w:rsidR="006D5356" w:rsidRPr="00F92FF9">
        <w:rPr>
          <w:noProof/>
          <w:color w:val="000000" w:themeColor="text1"/>
          <w:shd w:val="clear" w:color="auto" w:fill="FFFFFF"/>
          <w:vertAlign w:val="superscript"/>
        </w:rPr>
        <w:t>26</w:t>
      </w:r>
      <w:r w:rsidR="00E54F90" w:rsidRPr="00F92FF9">
        <w:rPr>
          <w:color w:val="000000" w:themeColor="text1"/>
          <w:shd w:val="clear" w:color="auto" w:fill="FFFFFF"/>
        </w:rPr>
        <w:fldChar w:fldCharType="end"/>
      </w:r>
      <w:r w:rsidR="00E54F90" w:rsidRPr="00F92FF9">
        <w:rPr>
          <w:color w:val="000000" w:themeColor="text1"/>
          <w:shd w:val="clear" w:color="auto" w:fill="FFFFFF"/>
        </w:rPr>
        <w:t>. Diabetes</w:t>
      </w:r>
      <w:r w:rsidR="00EB3872" w:rsidRPr="00F92FF9">
        <w:rPr>
          <w:color w:val="000000" w:themeColor="text1"/>
          <w:shd w:val="clear" w:color="auto" w:fill="FFFFFF"/>
        </w:rPr>
        <w:t xml:space="preserve"> </w:t>
      </w:r>
      <w:r w:rsidR="00CB2ABD" w:rsidRPr="00F92FF9">
        <w:rPr>
          <w:color w:val="000000" w:themeColor="text1"/>
          <w:shd w:val="clear" w:color="auto" w:fill="FFFFFF"/>
        </w:rPr>
        <w:t>was coded based on self-report of the diagnosis, self-reported use of “medication for diabetes”, or serum glycosylated haemoglobin &gt;48mmol/mol. Hypertension was coded based on self-report of the diagnosis or self-reported use of “medication for high blood pressure”. H</w:t>
      </w:r>
      <w:r w:rsidR="00E54F90" w:rsidRPr="00F92FF9">
        <w:rPr>
          <w:color w:val="000000" w:themeColor="text1"/>
          <w:shd w:val="clear" w:color="auto" w:fill="FFFFFF"/>
        </w:rPr>
        <w:t xml:space="preserve">ypercholesterolaemia </w:t>
      </w:r>
      <w:r w:rsidR="00CB2ABD" w:rsidRPr="00F92FF9">
        <w:rPr>
          <w:color w:val="000000" w:themeColor="text1"/>
          <w:shd w:val="clear" w:color="auto" w:fill="FFFFFF"/>
        </w:rPr>
        <w:t xml:space="preserve">was coded based on self-report of the diagnosis, self-reported use of “medication for high cholesterol”, or serum </w:t>
      </w:r>
      <w:r w:rsidR="00E54F90" w:rsidRPr="00F92FF9">
        <w:rPr>
          <w:color w:val="000000" w:themeColor="text1"/>
          <w:shd w:val="clear" w:color="auto" w:fill="FFFFFF"/>
        </w:rPr>
        <w:t xml:space="preserve">total cholesterol </w:t>
      </w:r>
      <w:r w:rsidR="00E54F90" w:rsidRPr="00F92FF9">
        <w:rPr>
          <w:color w:val="000000" w:themeColor="text1"/>
        </w:rPr>
        <w:t>&gt;7mmol/L</w:t>
      </w:r>
      <w:r w:rsidR="00E54F90" w:rsidRPr="00F92FF9">
        <w:rPr>
          <w:color w:val="000000" w:themeColor="text1"/>
          <w:shd w:val="clear" w:color="auto" w:fill="FFFFFF"/>
        </w:rPr>
        <w:t>. Prior myocardial infarction was ascertained from UK</w:t>
      </w:r>
      <w:r w:rsidR="00D76A5B" w:rsidRPr="00F92FF9">
        <w:rPr>
          <w:color w:val="000000" w:themeColor="text1"/>
          <w:shd w:val="clear" w:color="auto" w:fill="FFFFFF"/>
        </w:rPr>
        <w:t xml:space="preserve"> </w:t>
      </w:r>
      <w:r w:rsidR="00E54F90" w:rsidRPr="00F92FF9">
        <w:rPr>
          <w:color w:val="000000" w:themeColor="text1"/>
          <w:shd w:val="clear" w:color="auto" w:fill="FFFFFF"/>
        </w:rPr>
        <w:t>B</w:t>
      </w:r>
      <w:r w:rsidR="00D76A5B" w:rsidRPr="00F92FF9">
        <w:rPr>
          <w:color w:val="000000" w:themeColor="text1"/>
          <w:shd w:val="clear" w:color="auto" w:fill="FFFFFF"/>
        </w:rPr>
        <w:t>iobank</w:t>
      </w:r>
      <w:r w:rsidR="00E54F90" w:rsidRPr="00F92FF9">
        <w:rPr>
          <w:color w:val="000000" w:themeColor="text1"/>
          <w:shd w:val="clear" w:color="auto" w:fill="FFFFFF"/>
        </w:rPr>
        <w:t xml:space="preserve"> algorithmically defined outcome data</w:t>
      </w:r>
      <w:r w:rsidR="0069166F" w:rsidRPr="00F92FF9">
        <w:rPr>
          <w:color w:val="000000" w:themeColor="text1"/>
          <w:shd w:val="clear" w:color="auto" w:fill="FFFFFF"/>
        </w:rPr>
        <w:fldChar w:fldCharType="begin" w:fldLock="1"/>
      </w:r>
      <w:r w:rsidR="00E226A1" w:rsidRPr="00F92FF9">
        <w:rPr>
          <w:color w:val="000000" w:themeColor="text1"/>
          <w:shd w:val="clear" w:color="auto" w:fill="FFFFFF"/>
        </w:rPr>
        <w:instrText>ADDIN CSL_CITATION {"citationItems":[{"id":"ITEM-1","itemData":{"URL":"https://biobank.ctsu.ox.ac.uk/crystal/crystal/docs/alg_outcome_main.pdf","accessed":{"date-parts":[["2020","3","27"]]},"author":[{"dropping-particle":"","family":"Schnier","given":"Christian","non-dropping-particle":"","parse-names":false,"suffix":""},{"dropping-particle":"","family":"Sudlow Biobank","given":"Cathie UK","non-dropping-particle":"","parse-names":false,"suffix":""}],"id":"ITEM-1","issued":{"date-parts":[["2017"]]},"title":"Algorithmically-defined health outcomes (Chief Scientist), with input from members of the UK Biobank Follow-up and Outcomes Adjudication Group","type":"webpage"},"uris":["http://www.mendeley.com/documents/?uuid=4b10956c-e319-3dce-a26a-5a5c5ecbcff0"]}],"mendeley":{"formattedCitation":"&lt;sup&gt;27&lt;/sup&gt;","plainTextFormattedCitation":"27","previouslyFormattedCitation":"&lt;sup&gt;27&lt;/sup&gt;"},"properties":{"noteIndex":0},"schema":"https://github.com/citation-style-language/schema/raw/master/csl-citation.json"}</w:instrText>
      </w:r>
      <w:r w:rsidR="0069166F" w:rsidRPr="00F92FF9">
        <w:rPr>
          <w:color w:val="000000" w:themeColor="text1"/>
          <w:shd w:val="clear" w:color="auto" w:fill="FFFFFF"/>
        </w:rPr>
        <w:fldChar w:fldCharType="separate"/>
      </w:r>
      <w:r w:rsidR="0069166F" w:rsidRPr="00F92FF9">
        <w:rPr>
          <w:noProof/>
          <w:color w:val="000000" w:themeColor="text1"/>
          <w:shd w:val="clear" w:color="auto" w:fill="FFFFFF"/>
          <w:vertAlign w:val="superscript"/>
        </w:rPr>
        <w:t>27</w:t>
      </w:r>
      <w:r w:rsidR="0069166F" w:rsidRPr="00F92FF9">
        <w:rPr>
          <w:color w:val="000000" w:themeColor="text1"/>
          <w:shd w:val="clear" w:color="auto" w:fill="FFFFFF"/>
        </w:rPr>
        <w:fldChar w:fldCharType="end"/>
      </w:r>
      <w:r w:rsidR="00E54F90" w:rsidRPr="00F92FF9">
        <w:rPr>
          <w:color w:val="000000" w:themeColor="text1"/>
          <w:shd w:val="clear" w:color="auto" w:fill="FFFFFF"/>
        </w:rPr>
        <w:t>.</w:t>
      </w:r>
    </w:p>
    <w:p w14:paraId="7C9B309E" w14:textId="77777777" w:rsidR="00EA7255" w:rsidRPr="00F92FF9" w:rsidRDefault="00EA7255" w:rsidP="00E53B2B">
      <w:pPr>
        <w:pStyle w:val="Heading2"/>
        <w:rPr>
          <w:color w:val="000000" w:themeColor="text1"/>
        </w:rPr>
      </w:pPr>
      <w:r w:rsidRPr="00F92FF9">
        <w:rPr>
          <w:color w:val="000000" w:themeColor="text1"/>
        </w:rPr>
        <w:br w:type="page"/>
      </w:r>
    </w:p>
    <w:p w14:paraId="3FCEB7D2" w14:textId="5D5E1010" w:rsidR="002A3674" w:rsidRPr="00F92FF9" w:rsidRDefault="001C5040" w:rsidP="00E53B2B">
      <w:pPr>
        <w:pStyle w:val="Heading2"/>
        <w:rPr>
          <w:color w:val="000000" w:themeColor="text1"/>
        </w:rPr>
      </w:pPr>
      <w:r w:rsidRPr="00F92FF9">
        <w:rPr>
          <w:color w:val="000000" w:themeColor="text1"/>
        </w:rPr>
        <w:lastRenderedPageBreak/>
        <w:t>Results</w:t>
      </w:r>
    </w:p>
    <w:p w14:paraId="39828DAF" w14:textId="473A67E9" w:rsidR="0037429A" w:rsidRPr="00F92FF9" w:rsidRDefault="008507CA" w:rsidP="00AE022C">
      <w:pPr>
        <w:pStyle w:val="Heading2"/>
        <w:rPr>
          <w:color w:val="000000" w:themeColor="text1"/>
        </w:rPr>
      </w:pPr>
      <w:r w:rsidRPr="00F92FF9">
        <w:rPr>
          <w:color w:val="000000" w:themeColor="text1"/>
        </w:rPr>
        <w:t xml:space="preserve">Baseline population characteristics </w:t>
      </w:r>
    </w:p>
    <w:p w14:paraId="0282FD1E" w14:textId="31765AD9" w:rsidR="00182DED" w:rsidRPr="00F92FF9" w:rsidRDefault="0043628F">
      <w:pPr>
        <w:rPr>
          <w:color w:val="000000" w:themeColor="text1"/>
        </w:rPr>
      </w:pPr>
      <w:r w:rsidRPr="00F92FF9">
        <w:rPr>
          <w:color w:val="000000" w:themeColor="text1"/>
        </w:rPr>
        <w:t xml:space="preserve">There were </w:t>
      </w:r>
      <w:r w:rsidR="00373E1C" w:rsidRPr="00F92FF9">
        <w:rPr>
          <w:color w:val="000000" w:themeColor="text1"/>
        </w:rPr>
        <w:t>32,107</w:t>
      </w:r>
      <w:r w:rsidR="00BD5C9F" w:rsidRPr="00F92FF9">
        <w:rPr>
          <w:color w:val="000000" w:themeColor="text1"/>
        </w:rPr>
        <w:t xml:space="preserve"> </w:t>
      </w:r>
      <w:r w:rsidRPr="00F92FF9">
        <w:rPr>
          <w:color w:val="000000" w:themeColor="text1"/>
        </w:rPr>
        <w:t xml:space="preserve">participants with CMR </w:t>
      </w:r>
      <w:r w:rsidR="00373E1C" w:rsidRPr="00F92FF9">
        <w:rPr>
          <w:color w:val="000000" w:themeColor="text1"/>
        </w:rPr>
        <w:t xml:space="preserve">measures </w:t>
      </w:r>
      <w:r w:rsidR="006654A0" w:rsidRPr="00F92FF9">
        <w:rPr>
          <w:color w:val="000000" w:themeColor="text1"/>
        </w:rPr>
        <w:t>and without dementia</w:t>
      </w:r>
      <w:r w:rsidRPr="00F92FF9">
        <w:rPr>
          <w:color w:val="000000" w:themeColor="text1"/>
        </w:rPr>
        <w:t>, of these, FI and RT were available for 29,2</w:t>
      </w:r>
      <w:r w:rsidR="00BD5C9F" w:rsidRPr="00F92FF9">
        <w:rPr>
          <w:color w:val="000000" w:themeColor="text1"/>
        </w:rPr>
        <w:t>4</w:t>
      </w:r>
      <w:r w:rsidR="00A67FB3" w:rsidRPr="00F92FF9">
        <w:rPr>
          <w:color w:val="000000" w:themeColor="text1"/>
        </w:rPr>
        <w:t>3</w:t>
      </w:r>
      <w:r w:rsidRPr="00F92FF9">
        <w:rPr>
          <w:color w:val="000000" w:themeColor="text1"/>
        </w:rPr>
        <w:t xml:space="preserve"> and 29,6</w:t>
      </w:r>
      <w:r w:rsidR="00373E1C" w:rsidRPr="00F92FF9">
        <w:rPr>
          <w:color w:val="000000" w:themeColor="text1"/>
        </w:rPr>
        <w:t>8</w:t>
      </w:r>
      <w:r w:rsidR="00A67FB3" w:rsidRPr="00F92FF9">
        <w:rPr>
          <w:color w:val="000000" w:themeColor="text1"/>
        </w:rPr>
        <w:t>3</w:t>
      </w:r>
      <w:r w:rsidRPr="00F92FF9">
        <w:rPr>
          <w:color w:val="000000" w:themeColor="text1"/>
        </w:rPr>
        <w:t xml:space="preserve"> participants respectively</w:t>
      </w:r>
      <w:r w:rsidR="00AE022C" w:rsidRPr="00F92FF9">
        <w:rPr>
          <w:color w:val="000000" w:themeColor="text1"/>
        </w:rPr>
        <w:t>.</w:t>
      </w:r>
      <w:r w:rsidR="00C07FDA" w:rsidRPr="00F92FF9">
        <w:rPr>
          <w:color w:val="000000" w:themeColor="text1"/>
        </w:rPr>
        <w:t xml:space="preserve"> Overall, there were 29,763 participants with CMR data and at least one cognitive function measure (</w:t>
      </w:r>
      <w:r w:rsidR="00C07FDA" w:rsidRPr="00F92FF9">
        <w:rPr>
          <w:b/>
          <w:bCs/>
          <w:color w:val="000000" w:themeColor="text1"/>
        </w:rPr>
        <w:t>Figure 1</w:t>
      </w:r>
      <w:r w:rsidR="00C07FDA" w:rsidRPr="00F92FF9">
        <w:rPr>
          <w:color w:val="000000" w:themeColor="text1"/>
        </w:rPr>
        <w:t>).</w:t>
      </w:r>
      <w:r w:rsidR="00AE022C" w:rsidRPr="00F92FF9">
        <w:rPr>
          <w:color w:val="000000" w:themeColor="text1"/>
        </w:rPr>
        <w:t xml:space="preserve"> </w:t>
      </w:r>
      <w:r w:rsidR="00C07FDA" w:rsidRPr="00F92FF9">
        <w:rPr>
          <w:color w:val="000000" w:themeColor="text1"/>
        </w:rPr>
        <w:t xml:space="preserve">The analysis sample comprised 14,379 men and 15,384 women. </w:t>
      </w:r>
      <w:r w:rsidR="00AE022C" w:rsidRPr="00F92FF9">
        <w:rPr>
          <w:color w:val="000000" w:themeColor="text1"/>
        </w:rPr>
        <w:t xml:space="preserve">Mean age was </w:t>
      </w:r>
      <w:r w:rsidR="00BD5C9F" w:rsidRPr="00F92FF9">
        <w:rPr>
          <w:color w:val="000000" w:themeColor="text1"/>
        </w:rPr>
        <w:t>63.0</w:t>
      </w:r>
      <w:r w:rsidR="00AE022C" w:rsidRPr="00F92FF9">
        <w:rPr>
          <w:color w:val="000000" w:themeColor="text1"/>
        </w:rPr>
        <w:t xml:space="preserve"> (± 7.5) years. Rates of diabetes, hypertension, hypercholesterolaemia, and smoking were 3.0%, 13.5%, 22.3%, and 6.2% respectively, with greater burden in men</w:t>
      </w:r>
      <w:r w:rsidR="00753A79" w:rsidRPr="00F92FF9">
        <w:rPr>
          <w:color w:val="000000" w:themeColor="text1"/>
        </w:rPr>
        <w:t xml:space="preserve"> (</w:t>
      </w:r>
      <w:r w:rsidR="00753A79" w:rsidRPr="00F92FF9">
        <w:rPr>
          <w:b/>
          <w:bCs/>
          <w:color w:val="000000" w:themeColor="text1"/>
        </w:rPr>
        <w:t>Table 1</w:t>
      </w:r>
      <w:r w:rsidR="00753A79" w:rsidRPr="00F92FF9">
        <w:rPr>
          <w:color w:val="000000" w:themeColor="text1"/>
        </w:rPr>
        <w:t>)</w:t>
      </w:r>
      <w:r w:rsidR="00C14235" w:rsidRPr="00F92FF9">
        <w:rPr>
          <w:color w:val="000000" w:themeColor="text1"/>
        </w:rPr>
        <w:t xml:space="preserve">. </w:t>
      </w:r>
      <w:r w:rsidR="00C07FDA" w:rsidRPr="00F92FF9">
        <w:rPr>
          <w:color w:val="000000" w:themeColor="text1"/>
        </w:rPr>
        <w:t>Overall, the analysis sample w</w:t>
      </w:r>
      <w:r w:rsidR="001249A3" w:rsidRPr="00F92FF9">
        <w:rPr>
          <w:color w:val="000000" w:themeColor="text1"/>
        </w:rPr>
        <w:t>as</w:t>
      </w:r>
      <w:r w:rsidR="00C07FDA" w:rsidRPr="00F92FF9">
        <w:rPr>
          <w:color w:val="000000" w:themeColor="text1"/>
        </w:rPr>
        <w:t xml:space="preserve"> healthier and more affluent than UK national averages. </w:t>
      </w:r>
      <w:r w:rsidR="00182DED" w:rsidRPr="00F92FF9">
        <w:rPr>
          <w:color w:val="000000" w:themeColor="text1"/>
        </w:rPr>
        <w:t xml:space="preserve">Average FI </w:t>
      </w:r>
      <w:r w:rsidR="00CA4BB9" w:rsidRPr="00F92FF9">
        <w:rPr>
          <w:color w:val="000000" w:themeColor="text1"/>
        </w:rPr>
        <w:t xml:space="preserve">and RT </w:t>
      </w:r>
      <w:r w:rsidR="00182DED" w:rsidRPr="00F92FF9">
        <w:rPr>
          <w:color w:val="000000" w:themeColor="text1"/>
        </w:rPr>
        <w:t xml:space="preserve">were 6.7 (± 2.1) </w:t>
      </w:r>
      <w:r w:rsidR="004C1CF3" w:rsidRPr="00F92FF9">
        <w:rPr>
          <w:color w:val="000000" w:themeColor="text1"/>
        </w:rPr>
        <w:t xml:space="preserve">items </w:t>
      </w:r>
      <w:r w:rsidR="00182DED" w:rsidRPr="00F92FF9">
        <w:rPr>
          <w:color w:val="000000" w:themeColor="text1"/>
        </w:rPr>
        <w:t>and 5</w:t>
      </w:r>
      <w:r w:rsidR="00C07FDA" w:rsidRPr="00F92FF9">
        <w:rPr>
          <w:color w:val="000000" w:themeColor="text1"/>
        </w:rPr>
        <w:t>73 [518, 644]</w:t>
      </w:r>
      <w:r w:rsidR="00182DED" w:rsidRPr="00F92FF9">
        <w:rPr>
          <w:color w:val="000000" w:themeColor="text1"/>
        </w:rPr>
        <w:t xml:space="preserve"> </w:t>
      </w:r>
      <w:proofErr w:type="spellStart"/>
      <w:r w:rsidR="00182DED" w:rsidRPr="00F92FF9">
        <w:rPr>
          <w:color w:val="000000" w:themeColor="text1"/>
        </w:rPr>
        <w:t>ms</w:t>
      </w:r>
      <w:proofErr w:type="spellEnd"/>
      <w:r w:rsidR="00182DED" w:rsidRPr="00F92FF9">
        <w:rPr>
          <w:color w:val="000000" w:themeColor="text1"/>
        </w:rPr>
        <w:t xml:space="preserve"> respectively, as measured at the imaging visit.</w:t>
      </w:r>
      <w:r w:rsidR="00AF3625" w:rsidRPr="00F92FF9">
        <w:rPr>
          <w:color w:val="000000" w:themeColor="text1"/>
        </w:rPr>
        <w:t xml:space="preserve"> </w:t>
      </w:r>
    </w:p>
    <w:p w14:paraId="26933282" w14:textId="09E1740B" w:rsidR="00C36A97" w:rsidRPr="00F92FF9" w:rsidRDefault="00C36A97" w:rsidP="00C36A97">
      <w:pPr>
        <w:rPr>
          <w:color w:val="000000" w:themeColor="text1"/>
        </w:rPr>
      </w:pPr>
    </w:p>
    <w:p w14:paraId="097C5670" w14:textId="44864F9E" w:rsidR="0004249C" w:rsidRPr="00F92FF9" w:rsidRDefault="0004249C" w:rsidP="00E53B2B">
      <w:pPr>
        <w:pStyle w:val="Heading2"/>
        <w:rPr>
          <w:color w:val="000000" w:themeColor="text1"/>
        </w:rPr>
      </w:pPr>
      <w:r w:rsidRPr="00F92FF9">
        <w:rPr>
          <w:color w:val="000000" w:themeColor="text1"/>
        </w:rPr>
        <w:t xml:space="preserve">Association of </w:t>
      </w:r>
      <w:r w:rsidR="00CA4BB9" w:rsidRPr="00F92FF9">
        <w:rPr>
          <w:color w:val="000000" w:themeColor="text1"/>
        </w:rPr>
        <w:t xml:space="preserve">CMR </w:t>
      </w:r>
      <w:r w:rsidR="004F2700" w:rsidRPr="00F92FF9">
        <w:rPr>
          <w:color w:val="000000" w:themeColor="text1"/>
        </w:rPr>
        <w:t>indices</w:t>
      </w:r>
      <w:r w:rsidRPr="00F92FF9">
        <w:rPr>
          <w:color w:val="000000" w:themeColor="text1"/>
        </w:rPr>
        <w:t xml:space="preserve"> </w:t>
      </w:r>
      <w:r w:rsidR="00182DED" w:rsidRPr="00F92FF9">
        <w:rPr>
          <w:color w:val="000000" w:themeColor="text1"/>
        </w:rPr>
        <w:t xml:space="preserve">with </w:t>
      </w:r>
      <w:r w:rsidR="00CA4BB9" w:rsidRPr="00F92FF9">
        <w:rPr>
          <w:color w:val="000000" w:themeColor="text1"/>
        </w:rPr>
        <w:t>fluid intelligence</w:t>
      </w:r>
      <w:r w:rsidR="00594F15" w:rsidRPr="00F92FF9">
        <w:rPr>
          <w:color w:val="000000" w:themeColor="text1"/>
        </w:rPr>
        <w:t xml:space="preserve"> (FI)</w:t>
      </w:r>
    </w:p>
    <w:p w14:paraId="344B308C" w14:textId="236D4DC1" w:rsidR="00182DED" w:rsidRPr="00F92FF9" w:rsidRDefault="00C07FDA" w:rsidP="00182DED">
      <w:pPr>
        <w:rPr>
          <w:color w:val="000000" w:themeColor="text1"/>
        </w:rPr>
      </w:pPr>
      <w:r w:rsidRPr="00F92FF9">
        <w:rPr>
          <w:color w:val="000000" w:themeColor="text1"/>
        </w:rPr>
        <w:t xml:space="preserve">In fully adjusted models, higher FI </w:t>
      </w:r>
      <w:r w:rsidR="004E3CA9" w:rsidRPr="00F92FF9">
        <w:rPr>
          <w:color w:val="000000" w:themeColor="text1"/>
        </w:rPr>
        <w:t xml:space="preserve">(better cognition) </w:t>
      </w:r>
      <w:r w:rsidRPr="00F92FF9">
        <w:rPr>
          <w:color w:val="000000" w:themeColor="text1"/>
        </w:rPr>
        <w:t>w</w:t>
      </w:r>
      <w:r w:rsidR="00F57EBE" w:rsidRPr="00F92FF9">
        <w:rPr>
          <w:color w:val="000000" w:themeColor="text1"/>
        </w:rPr>
        <w:t>as</w:t>
      </w:r>
      <w:r w:rsidRPr="00F92FF9">
        <w:rPr>
          <w:color w:val="000000" w:themeColor="text1"/>
        </w:rPr>
        <w:t xml:space="preserve"> associated with</w:t>
      </w:r>
      <w:r w:rsidR="00EC5E2F" w:rsidRPr="00F92FF9">
        <w:rPr>
          <w:color w:val="000000" w:themeColor="text1"/>
        </w:rPr>
        <w:t xml:space="preserve"> </w:t>
      </w:r>
      <w:r w:rsidRPr="00F92FF9">
        <w:rPr>
          <w:color w:val="000000" w:themeColor="text1"/>
        </w:rPr>
        <w:t>larger LV volumes in end-diastole and end-systole</w:t>
      </w:r>
      <w:r w:rsidR="004E3CA9" w:rsidRPr="00F92FF9">
        <w:rPr>
          <w:color w:val="000000" w:themeColor="text1"/>
        </w:rPr>
        <w:t>, higher LV stroke volume, and greater LV mass (</w:t>
      </w:r>
      <w:r w:rsidR="004E3CA9" w:rsidRPr="00F92FF9">
        <w:rPr>
          <w:b/>
          <w:bCs/>
          <w:color w:val="000000" w:themeColor="text1"/>
        </w:rPr>
        <w:t>Table 2, Figure 2</w:t>
      </w:r>
      <w:r w:rsidR="004E3CA9" w:rsidRPr="00F92FF9">
        <w:rPr>
          <w:color w:val="000000" w:themeColor="text1"/>
        </w:rPr>
        <w:t xml:space="preserve">). The association with LV ejection fraction was not statistically significant. Higher FI was associated with </w:t>
      </w:r>
      <w:r w:rsidR="002A75F1" w:rsidRPr="00F92FF9">
        <w:rPr>
          <w:color w:val="000000" w:themeColor="text1"/>
        </w:rPr>
        <w:t xml:space="preserve">greater </w:t>
      </w:r>
      <w:r w:rsidR="004E3CA9" w:rsidRPr="00F92FF9">
        <w:rPr>
          <w:color w:val="000000" w:themeColor="text1"/>
        </w:rPr>
        <w:t>aortic distensibility (</w:t>
      </w:r>
      <w:r w:rsidR="004E3CA9" w:rsidRPr="00F92FF9">
        <w:rPr>
          <w:b/>
          <w:bCs/>
          <w:color w:val="000000" w:themeColor="text1"/>
        </w:rPr>
        <w:t>Table 2, Figure 2</w:t>
      </w:r>
      <w:r w:rsidR="004E3CA9" w:rsidRPr="00F92FF9">
        <w:rPr>
          <w:color w:val="000000" w:themeColor="text1"/>
        </w:rPr>
        <w:t xml:space="preserve">). Higher FI was </w:t>
      </w:r>
      <w:r w:rsidR="00A60CB0" w:rsidRPr="00F92FF9">
        <w:rPr>
          <w:color w:val="000000" w:themeColor="text1"/>
        </w:rPr>
        <w:t xml:space="preserve">also </w:t>
      </w:r>
      <w:r w:rsidR="004E3CA9" w:rsidRPr="00F92FF9">
        <w:rPr>
          <w:color w:val="000000" w:themeColor="text1"/>
        </w:rPr>
        <w:t>associated with larger RV volumes in end-diastole and end-systole, and with larger RV stroke volumes (</w:t>
      </w:r>
      <w:r w:rsidR="004E3CA9" w:rsidRPr="00F92FF9">
        <w:rPr>
          <w:b/>
          <w:bCs/>
          <w:color w:val="000000" w:themeColor="text1"/>
        </w:rPr>
        <w:t>Supplementary Table 2</w:t>
      </w:r>
      <w:r w:rsidR="004E3CA9" w:rsidRPr="00F92FF9">
        <w:rPr>
          <w:color w:val="000000" w:themeColor="text1"/>
        </w:rPr>
        <w:t>). All associations were consistent for both men and women (</w:t>
      </w:r>
      <w:r w:rsidR="004E3CA9" w:rsidRPr="00F92FF9">
        <w:rPr>
          <w:b/>
          <w:bCs/>
          <w:color w:val="000000" w:themeColor="text1"/>
        </w:rPr>
        <w:t>Table 2, Supplementary Table 2</w:t>
      </w:r>
      <w:r w:rsidR="004E3CA9" w:rsidRPr="00F92FF9">
        <w:rPr>
          <w:color w:val="000000" w:themeColor="text1"/>
        </w:rPr>
        <w:t xml:space="preserve">) </w:t>
      </w:r>
      <w:r w:rsidR="00AB161B" w:rsidRPr="00F92FF9">
        <w:rPr>
          <w:color w:val="000000" w:themeColor="text1"/>
        </w:rPr>
        <w:t>There was no evidence of interaction effect with sex or age</w:t>
      </w:r>
      <w:r w:rsidR="001C5373" w:rsidRPr="00F92FF9">
        <w:rPr>
          <w:color w:val="000000" w:themeColor="text1"/>
        </w:rPr>
        <w:t xml:space="preserve"> in relationships with</w:t>
      </w:r>
      <w:r w:rsidR="00EC5E2F" w:rsidRPr="00F92FF9">
        <w:rPr>
          <w:color w:val="000000" w:themeColor="text1"/>
        </w:rPr>
        <w:t xml:space="preserve"> the LV</w:t>
      </w:r>
      <w:r w:rsidR="001C5373" w:rsidRPr="00F92FF9">
        <w:rPr>
          <w:color w:val="000000" w:themeColor="text1"/>
        </w:rPr>
        <w:t xml:space="preserve"> or </w:t>
      </w:r>
      <w:r w:rsidR="00EC5E2F" w:rsidRPr="00F92FF9">
        <w:rPr>
          <w:color w:val="000000" w:themeColor="text1"/>
        </w:rPr>
        <w:t>RV me</w:t>
      </w:r>
      <w:r w:rsidR="001C5373" w:rsidRPr="00F92FF9">
        <w:rPr>
          <w:color w:val="000000" w:themeColor="text1"/>
        </w:rPr>
        <w:t xml:space="preserve">asures </w:t>
      </w:r>
      <w:r w:rsidR="00AB161B" w:rsidRPr="00F92FF9">
        <w:rPr>
          <w:color w:val="000000" w:themeColor="text1"/>
        </w:rPr>
        <w:t>(</w:t>
      </w:r>
      <w:r w:rsidR="00AB161B" w:rsidRPr="00F92FF9">
        <w:rPr>
          <w:b/>
          <w:bCs/>
          <w:color w:val="000000" w:themeColor="text1"/>
        </w:rPr>
        <w:t xml:space="preserve">Supplementary Table </w:t>
      </w:r>
      <w:r w:rsidR="004E3CA9" w:rsidRPr="00F92FF9">
        <w:rPr>
          <w:b/>
          <w:bCs/>
          <w:color w:val="000000" w:themeColor="text1"/>
        </w:rPr>
        <w:t>3</w:t>
      </w:r>
      <w:r w:rsidR="00AB161B" w:rsidRPr="00F92FF9">
        <w:rPr>
          <w:color w:val="000000" w:themeColor="text1"/>
        </w:rPr>
        <w:t>).</w:t>
      </w:r>
      <w:r w:rsidR="00EC5E2F" w:rsidRPr="00F92FF9">
        <w:rPr>
          <w:color w:val="000000" w:themeColor="text1"/>
        </w:rPr>
        <w:t xml:space="preserve"> There was a significant interaction effect with age for the association between FI and aortic distensibility</w:t>
      </w:r>
      <w:r w:rsidR="004C396D" w:rsidRPr="00F92FF9">
        <w:rPr>
          <w:color w:val="000000" w:themeColor="text1"/>
        </w:rPr>
        <w:t xml:space="preserve"> (</w:t>
      </w:r>
      <w:r w:rsidR="004C396D" w:rsidRPr="00F92FF9">
        <w:rPr>
          <w:b/>
          <w:bCs/>
          <w:color w:val="000000" w:themeColor="text1"/>
        </w:rPr>
        <w:t>Supplementary Table 3</w:t>
      </w:r>
      <w:r w:rsidR="004C396D" w:rsidRPr="00F92FF9">
        <w:rPr>
          <w:color w:val="000000" w:themeColor="text1"/>
        </w:rPr>
        <w:t>)</w:t>
      </w:r>
      <w:r w:rsidR="00EC5E2F" w:rsidRPr="00F92FF9">
        <w:rPr>
          <w:color w:val="000000" w:themeColor="text1"/>
        </w:rPr>
        <w:t xml:space="preserve">, with participants with higher distensibility </w:t>
      </w:r>
      <w:r w:rsidR="004C396D" w:rsidRPr="00F92FF9">
        <w:rPr>
          <w:color w:val="000000" w:themeColor="text1"/>
        </w:rPr>
        <w:t xml:space="preserve">showing less rapid </w:t>
      </w:r>
      <w:r w:rsidR="001C5373" w:rsidRPr="00F92FF9">
        <w:rPr>
          <w:color w:val="000000" w:themeColor="text1"/>
        </w:rPr>
        <w:t xml:space="preserve">age-related </w:t>
      </w:r>
      <w:r w:rsidR="004C396D" w:rsidRPr="00F92FF9">
        <w:rPr>
          <w:color w:val="000000" w:themeColor="text1"/>
        </w:rPr>
        <w:t>decline in FI</w:t>
      </w:r>
      <w:r w:rsidR="001C5373" w:rsidRPr="00F92FF9">
        <w:rPr>
          <w:color w:val="000000" w:themeColor="text1"/>
        </w:rPr>
        <w:t xml:space="preserve"> (</w:t>
      </w:r>
      <w:r w:rsidR="001C5373" w:rsidRPr="00F92FF9">
        <w:rPr>
          <w:b/>
          <w:bCs/>
          <w:color w:val="000000" w:themeColor="text1"/>
        </w:rPr>
        <w:t>Supplementary Figure 1</w:t>
      </w:r>
      <w:r w:rsidR="001C5373" w:rsidRPr="00F92FF9">
        <w:rPr>
          <w:color w:val="000000" w:themeColor="text1"/>
        </w:rPr>
        <w:t>)</w:t>
      </w:r>
      <w:r w:rsidR="004C396D" w:rsidRPr="00F92FF9">
        <w:rPr>
          <w:color w:val="000000" w:themeColor="text1"/>
        </w:rPr>
        <w:t xml:space="preserve">. </w:t>
      </w:r>
    </w:p>
    <w:p w14:paraId="5E50EDF7" w14:textId="77777777" w:rsidR="00182DED" w:rsidRPr="00F92FF9" w:rsidRDefault="00182DED" w:rsidP="00182DED">
      <w:pPr>
        <w:rPr>
          <w:color w:val="000000" w:themeColor="text1"/>
        </w:rPr>
      </w:pPr>
    </w:p>
    <w:p w14:paraId="723EA41F" w14:textId="2C20DCF6" w:rsidR="00CF401C" w:rsidRPr="00F92FF9" w:rsidRDefault="00CF401C" w:rsidP="00CF401C">
      <w:pPr>
        <w:pStyle w:val="Heading2"/>
        <w:rPr>
          <w:color w:val="000000" w:themeColor="text1"/>
        </w:rPr>
      </w:pPr>
      <w:r w:rsidRPr="00F92FF9">
        <w:rPr>
          <w:color w:val="000000" w:themeColor="text1"/>
        </w:rPr>
        <w:t>Association of CMR indices</w:t>
      </w:r>
      <w:r w:rsidR="00BD5ACC" w:rsidRPr="00F92FF9">
        <w:rPr>
          <w:color w:val="000000" w:themeColor="text1"/>
        </w:rPr>
        <w:t xml:space="preserve"> with reaction time</w:t>
      </w:r>
      <w:r w:rsidRPr="00F92FF9">
        <w:rPr>
          <w:color w:val="000000" w:themeColor="text1"/>
        </w:rPr>
        <w:t xml:space="preserve"> </w:t>
      </w:r>
      <w:r w:rsidR="0016623D" w:rsidRPr="00F92FF9">
        <w:rPr>
          <w:color w:val="000000" w:themeColor="text1"/>
        </w:rPr>
        <w:t>(RT)</w:t>
      </w:r>
    </w:p>
    <w:p w14:paraId="337C9C60" w14:textId="0DEE2320" w:rsidR="00AC6948" w:rsidRPr="00F92FF9" w:rsidRDefault="001807BF">
      <w:pPr>
        <w:rPr>
          <w:color w:val="000000" w:themeColor="text1"/>
        </w:rPr>
      </w:pPr>
      <w:r w:rsidRPr="00F92FF9">
        <w:rPr>
          <w:color w:val="000000" w:themeColor="text1"/>
        </w:rPr>
        <w:t xml:space="preserve">In fully adjusted models, </w:t>
      </w:r>
      <w:r w:rsidR="006B5AA5" w:rsidRPr="00F92FF9">
        <w:rPr>
          <w:color w:val="000000" w:themeColor="text1"/>
        </w:rPr>
        <w:t>lower RT (better cognition) w</w:t>
      </w:r>
      <w:r w:rsidR="00F57EBE" w:rsidRPr="00F92FF9">
        <w:rPr>
          <w:color w:val="000000" w:themeColor="text1"/>
        </w:rPr>
        <w:t>as</w:t>
      </w:r>
      <w:r w:rsidR="006B5AA5" w:rsidRPr="00F92FF9">
        <w:rPr>
          <w:color w:val="000000" w:themeColor="text1"/>
        </w:rPr>
        <w:t xml:space="preserve"> associated with </w:t>
      </w:r>
      <w:r w:rsidR="00F57EBE" w:rsidRPr="00F92FF9">
        <w:rPr>
          <w:color w:val="000000" w:themeColor="text1"/>
        </w:rPr>
        <w:t>l</w:t>
      </w:r>
      <w:r w:rsidR="00BD5ACC" w:rsidRPr="00F92FF9">
        <w:rPr>
          <w:color w:val="000000" w:themeColor="text1"/>
        </w:rPr>
        <w:t xml:space="preserve">arger LV volumes in end-diastole, higher LV </w:t>
      </w:r>
      <w:r w:rsidR="00F57EBE" w:rsidRPr="00F92FF9">
        <w:rPr>
          <w:color w:val="000000" w:themeColor="text1"/>
        </w:rPr>
        <w:t xml:space="preserve">stroke volume, </w:t>
      </w:r>
      <w:r w:rsidR="00A52850" w:rsidRPr="00F92FF9">
        <w:rPr>
          <w:color w:val="000000" w:themeColor="text1"/>
        </w:rPr>
        <w:t xml:space="preserve">and </w:t>
      </w:r>
      <w:r w:rsidR="00BD5ACC" w:rsidRPr="00F92FF9">
        <w:rPr>
          <w:color w:val="000000" w:themeColor="text1"/>
        </w:rPr>
        <w:t xml:space="preserve">greater LV </w:t>
      </w:r>
      <w:r w:rsidR="00F57EBE" w:rsidRPr="00F92FF9">
        <w:rPr>
          <w:color w:val="000000" w:themeColor="text1"/>
        </w:rPr>
        <w:t>mass</w:t>
      </w:r>
      <w:r w:rsidR="00BD5ACC" w:rsidRPr="00F92FF9">
        <w:rPr>
          <w:color w:val="000000" w:themeColor="text1"/>
        </w:rPr>
        <w:t xml:space="preserve"> </w:t>
      </w:r>
      <w:r w:rsidR="00F57EBE" w:rsidRPr="00F92FF9">
        <w:rPr>
          <w:color w:val="000000" w:themeColor="text1"/>
        </w:rPr>
        <w:t>(</w:t>
      </w:r>
      <w:r w:rsidR="00F57EBE" w:rsidRPr="00F92FF9">
        <w:rPr>
          <w:b/>
          <w:bCs/>
          <w:color w:val="000000" w:themeColor="text1"/>
        </w:rPr>
        <w:t>Table 2</w:t>
      </w:r>
      <w:r w:rsidR="00931B97" w:rsidRPr="00F92FF9">
        <w:rPr>
          <w:b/>
          <w:bCs/>
          <w:color w:val="000000" w:themeColor="text1"/>
        </w:rPr>
        <w:t>, Figure 3</w:t>
      </w:r>
      <w:r w:rsidR="00BD5ACC" w:rsidRPr="00F92FF9">
        <w:rPr>
          <w:color w:val="000000" w:themeColor="text1"/>
        </w:rPr>
        <w:t xml:space="preserve">). </w:t>
      </w:r>
      <w:r w:rsidR="00D76A5B" w:rsidRPr="00F92FF9">
        <w:rPr>
          <w:color w:val="000000" w:themeColor="text1"/>
        </w:rPr>
        <w:t>Lower RT was also associated with greater aortic distensibility, but this relationship</w:t>
      </w:r>
      <w:r w:rsidR="00F57EBE" w:rsidRPr="00F92FF9">
        <w:rPr>
          <w:color w:val="000000" w:themeColor="text1"/>
        </w:rPr>
        <w:t xml:space="preserve"> was not statistically significant. Overall, associations were consistent for both men and women (</w:t>
      </w:r>
      <w:r w:rsidR="00F57EBE" w:rsidRPr="00F92FF9">
        <w:rPr>
          <w:b/>
          <w:bCs/>
          <w:color w:val="000000" w:themeColor="text1"/>
        </w:rPr>
        <w:t>Table 2</w:t>
      </w:r>
      <w:r w:rsidR="00F57EBE" w:rsidRPr="00F92FF9">
        <w:rPr>
          <w:color w:val="000000" w:themeColor="text1"/>
        </w:rPr>
        <w:t>).</w:t>
      </w:r>
      <w:r w:rsidR="00931B97" w:rsidRPr="00F92FF9">
        <w:rPr>
          <w:color w:val="000000" w:themeColor="text1"/>
        </w:rPr>
        <w:t xml:space="preserve"> </w:t>
      </w:r>
      <w:r w:rsidR="00BC0FE7" w:rsidRPr="00F92FF9">
        <w:rPr>
          <w:color w:val="000000" w:themeColor="text1"/>
        </w:rPr>
        <w:t xml:space="preserve">There was no evidence of </w:t>
      </w:r>
      <w:r w:rsidR="00BC0FE7" w:rsidRPr="00F92FF9">
        <w:rPr>
          <w:color w:val="000000" w:themeColor="text1"/>
        </w:rPr>
        <w:lastRenderedPageBreak/>
        <w:t xml:space="preserve">interaction effect with sex or age </w:t>
      </w:r>
      <w:r w:rsidR="001C5373" w:rsidRPr="00F92FF9">
        <w:rPr>
          <w:color w:val="000000" w:themeColor="text1"/>
        </w:rPr>
        <w:t xml:space="preserve">in relationships with the LV or RV measures </w:t>
      </w:r>
      <w:r w:rsidR="00BC0FE7" w:rsidRPr="00F92FF9">
        <w:rPr>
          <w:color w:val="000000" w:themeColor="text1"/>
        </w:rPr>
        <w:t>(</w:t>
      </w:r>
      <w:r w:rsidR="00BC0FE7" w:rsidRPr="00F92FF9">
        <w:rPr>
          <w:b/>
          <w:bCs/>
          <w:color w:val="000000" w:themeColor="text1"/>
        </w:rPr>
        <w:t xml:space="preserve">Supplementary Table </w:t>
      </w:r>
      <w:r w:rsidR="001C5373" w:rsidRPr="00F92FF9">
        <w:rPr>
          <w:b/>
          <w:bCs/>
          <w:color w:val="000000" w:themeColor="text1"/>
        </w:rPr>
        <w:t>3</w:t>
      </w:r>
      <w:r w:rsidR="00BC0FE7" w:rsidRPr="00F92FF9">
        <w:rPr>
          <w:color w:val="000000" w:themeColor="text1"/>
        </w:rPr>
        <w:t>).</w:t>
      </w:r>
    </w:p>
    <w:p w14:paraId="577AA361" w14:textId="36FF6AB2" w:rsidR="00F57EBE" w:rsidRPr="00F92FF9" w:rsidRDefault="00F57EBE">
      <w:pPr>
        <w:rPr>
          <w:color w:val="000000" w:themeColor="text1"/>
        </w:rPr>
      </w:pPr>
    </w:p>
    <w:p w14:paraId="7FAD0B0C" w14:textId="3FB61234" w:rsidR="00F57EBE" w:rsidRPr="00F92FF9" w:rsidRDefault="00931B97">
      <w:pPr>
        <w:rPr>
          <w:b/>
          <w:bCs/>
          <w:color w:val="000000" w:themeColor="text1"/>
        </w:rPr>
      </w:pPr>
      <w:r w:rsidRPr="00F92FF9">
        <w:rPr>
          <w:b/>
          <w:bCs/>
          <w:color w:val="000000" w:themeColor="text1"/>
        </w:rPr>
        <w:t>Non-linearity of relationships</w:t>
      </w:r>
    </w:p>
    <w:p w14:paraId="60AD4241" w14:textId="0B927AAA" w:rsidR="003B2631" w:rsidRPr="00F92FF9" w:rsidRDefault="001C5373">
      <w:pPr>
        <w:rPr>
          <w:color w:val="000000" w:themeColor="text1"/>
        </w:rPr>
      </w:pPr>
      <w:r w:rsidRPr="00F92FF9">
        <w:rPr>
          <w:color w:val="000000" w:themeColor="text1"/>
        </w:rPr>
        <w:t>All models were screened for non-linearity with cubic and squared polynomials. For both FI and RT, in fully adjusted models, there was a trend towards attenuation of associations at the high extremes of the distribution for LV volumes and mass (very high volumes and mass). This appeared most convincing for the relationship between FI and LV end-systolic volume, where there was suggestion of attenuation and possible reversal of the direction of association at the very high extremes of the distribution (</w:t>
      </w:r>
      <w:r w:rsidRPr="00F92FF9">
        <w:rPr>
          <w:b/>
          <w:bCs/>
          <w:color w:val="000000" w:themeColor="text1"/>
        </w:rPr>
        <w:t>Supplementary Figure 2</w:t>
      </w:r>
      <w:r w:rsidRPr="00F92FF9">
        <w:rPr>
          <w:color w:val="000000" w:themeColor="text1"/>
        </w:rPr>
        <w:t>). However, nested model testing indicated that none of the non-linear models showed a statistically significant improvement upon linear model fits</w:t>
      </w:r>
      <w:r w:rsidR="0038511F" w:rsidRPr="00F92FF9">
        <w:rPr>
          <w:color w:val="000000" w:themeColor="text1"/>
        </w:rPr>
        <w:t xml:space="preserve"> (</w:t>
      </w:r>
      <w:r w:rsidR="0038511F" w:rsidRPr="00F92FF9">
        <w:rPr>
          <w:b/>
          <w:bCs/>
          <w:color w:val="000000" w:themeColor="text1"/>
        </w:rPr>
        <w:t xml:space="preserve">Supplementary </w:t>
      </w:r>
      <w:r w:rsidR="00797CAB" w:rsidRPr="00F92FF9">
        <w:rPr>
          <w:b/>
          <w:bCs/>
          <w:color w:val="000000" w:themeColor="text1"/>
        </w:rPr>
        <w:t>Table</w:t>
      </w:r>
      <w:r w:rsidR="0038511F" w:rsidRPr="00F92FF9">
        <w:rPr>
          <w:b/>
          <w:bCs/>
          <w:color w:val="000000" w:themeColor="text1"/>
        </w:rPr>
        <w:t xml:space="preserve"> 4</w:t>
      </w:r>
      <w:r w:rsidR="0038511F" w:rsidRPr="00F92FF9">
        <w:rPr>
          <w:color w:val="000000" w:themeColor="text1"/>
        </w:rPr>
        <w:t>).</w:t>
      </w:r>
      <w:r w:rsidR="003B2631" w:rsidRPr="00F92FF9">
        <w:rPr>
          <w:color w:val="000000" w:themeColor="text1"/>
        </w:rPr>
        <w:br w:type="page"/>
      </w:r>
    </w:p>
    <w:p w14:paraId="4C28E67C" w14:textId="48BFBE9C" w:rsidR="00AC6948" w:rsidRPr="00F92FF9" w:rsidRDefault="00AC6948">
      <w:pPr>
        <w:rPr>
          <w:color w:val="000000" w:themeColor="text1"/>
        </w:rPr>
      </w:pPr>
      <w:r w:rsidRPr="00F92FF9">
        <w:rPr>
          <w:b/>
          <w:bCs/>
          <w:color w:val="000000" w:themeColor="text1"/>
        </w:rPr>
        <w:lastRenderedPageBreak/>
        <w:t>Discussion</w:t>
      </w:r>
    </w:p>
    <w:p w14:paraId="543E0909" w14:textId="55B2E706" w:rsidR="00332561" w:rsidRPr="00F92FF9" w:rsidRDefault="00332561">
      <w:pPr>
        <w:rPr>
          <w:b/>
          <w:bCs/>
          <w:color w:val="000000" w:themeColor="text1"/>
        </w:rPr>
      </w:pPr>
      <w:r w:rsidRPr="00F92FF9">
        <w:rPr>
          <w:b/>
          <w:bCs/>
          <w:color w:val="000000" w:themeColor="text1"/>
        </w:rPr>
        <w:t>Summary of findings</w:t>
      </w:r>
    </w:p>
    <w:p w14:paraId="3BE4AAA2" w14:textId="5F652C7F" w:rsidR="00CC1E9C" w:rsidRPr="00F92FF9" w:rsidRDefault="00A15ACE" w:rsidP="00CC1E9C">
      <w:pPr>
        <w:rPr>
          <w:color w:val="000000" w:themeColor="text1"/>
        </w:rPr>
      </w:pPr>
      <w:r w:rsidRPr="00F92FF9">
        <w:rPr>
          <w:color w:val="000000" w:themeColor="text1"/>
        </w:rPr>
        <w:t xml:space="preserve">In </w:t>
      </w:r>
      <w:r w:rsidR="008D49FC" w:rsidRPr="00F92FF9">
        <w:rPr>
          <w:color w:val="000000" w:themeColor="text1"/>
        </w:rPr>
        <w:t xml:space="preserve">this </w:t>
      </w:r>
      <w:r w:rsidR="00931B97" w:rsidRPr="00F92FF9">
        <w:rPr>
          <w:color w:val="000000" w:themeColor="text1"/>
        </w:rPr>
        <w:t xml:space="preserve">predominantly healthy </w:t>
      </w:r>
      <w:r w:rsidR="008D49FC" w:rsidRPr="00F92FF9">
        <w:rPr>
          <w:color w:val="000000" w:themeColor="text1"/>
        </w:rPr>
        <w:t>cohort of 15,38</w:t>
      </w:r>
      <w:r w:rsidR="00931B97" w:rsidRPr="00F92FF9">
        <w:rPr>
          <w:color w:val="000000" w:themeColor="text1"/>
        </w:rPr>
        <w:t>4</w:t>
      </w:r>
      <w:r w:rsidR="008D49FC" w:rsidRPr="00F92FF9">
        <w:rPr>
          <w:color w:val="000000" w:themeColor="text1"/>
        </w:rPr>
        <w:t xml:space="preserve"> women and 14,3</w:t>
      </w:r>
      <w:r w:rsidR="00453DB5" w:rsidRPr="00F92FF9">
        <w:rPr>
          <w:color w:val="000000" w:themeColor="text1"/>
        </w:rPr>
        <w:t>7</w:t>
      </w:r>
      <w:r w:rsidR="00931B97" w:rsidRPr="00F92FF9">
        <w:rPr>
          <w:color w:val="000000" w:themeColor="text1"/>
        </w:rPr>
        <w:t>9</w:t>
      </w:r>
      <w:r w:rsidR="00453DB5" w:rsidRPr="00F92FF9">
        <w:rPr>
          <w:color w:val="000000" w:themeColor="text1"/>
        </w:rPr>
        <w:t xml:space="preserve"> </w:t>
      </w:r>
      <w:r w:rsidR="008D49FC" w:rsidRPr="00F92FF9">
        <w:rPr>
          <w:color w:val="000000" w:themeColor="text1"/>
        </w:rPr>
        <w:t>men from the UK</w:t>
      </w:r>
      <w:r w:rsidR="00931B97" w:rsidRPr="00F92FF9">
        <w:rPr>
          <w:color w:val="000000" w:themeColor="text1"/>
        </w:rPr>
        <w:t xml:space="preserve"> </w:t>
      </w:r>
      <w:r w:rsidR="008D49FC" w:rsidRPr="00F92FF9">
        <w:rPr>
          <w:color w:val="000000" w:themeColor="text1"/>
        </w:rPr>
        <w:t>B</w:t>
      </w:r>
      <w:r w:rsidR="00931B97" w:rsidRPr="00F92FF9">
        <w:rPr>
          <w:color w:val="000000" w:themeColor="text1"/>
        </w:rPr>
        <w:t>iobank</w:t>
      </w:r>
      <w:r w:rsidRPr="00F92FF9">
        <w:rPr>
          <w:color w:val="000000" w:themeColor="text1"/>
        </w:rPr>
        <w:t>, w</w:t>
      </w:r>
      <w:r w:rsidR="008A63F7" w:rsidRPr="00F92FF9">
        <w:rPr>
          <w:color w:val="000000" w:themeColor="text1"/>
        </w:rPr>
        <w:t>e demonstrate</w:t>
      </w:r>
      <w:r w:rsidR="00C2663E" w:rsidRPr="00F92FF9">
        <w:rPr>
          <w:color w:val="000000" w:themeColor="text1"/>
        </w:rPr>
        <w:t>d</w:t>
      </w:r>
      <w:r w:rsidR="008A63F7" w:rsidRPr="00F92FF9">
        <w:rPr>
          <w:color w:val="000000" w:themeColor="text1"/>
        </w:rPr>
        <w:t xml:space="preserve"> association of </w:t>
      </w:r>
      <w:r w:rsidRPr="00F92FF9">
        <w:rPr>
          <w:color w:val="000000" w:themeColor="text1"/>
        </w:rPr>
        <w:t xml:space="preserve">better </w:t>
      </w:r>
      <w:r w:rsidR="00D86811" w:rsidRPr="00F92FF9">
        <w:rPr>
          <w:color w:val="000000" w:themeColor="text1"/>
        </w:rPr>
        <w:t>cognitive performance with</w:t>
      </w:r>
      <w:r w:rsidRPr="00F92FF9">
        <w:rPr>
          <w:color w:val="000000" w:themeColor="text1"/>
        </w:rPr>
        <w:t xml:space="preserve"> </w:t>
      </w:r>
      <w:r w:rsidR="00A60CB0" w:rsidRPr="00F92FF9">
        <w:rPr>
          <w:color w:val="000000" w:themeColor="text1"/>
        </w:rPr>
        <w:t xml:space="preserve">CMR measures likely representing a </w:t>
      </w:r>
      <w:r w:rsidRPr="00F92FF9">
        <w:rPr>
          <w:color w:val="000000" w:themeColor="text1"/>
        </w:rPr>
        <w:t xml:space="preserve">healthier </w:t>
      </w:r>
      <w:r w:rsidR="00931B97" w:rsidRPr="00F92FF9">
        <w:rPr>
          <w:color w:val="000000" w:themeColor="text1"/>
        </w:rPr>
        <w:t xml:space="preserve">cardiovascular </w:t>
      </w:r>
      <w:r w:rsidR="00D86811" w:rsidRPr="00F92FF9">
        <w:rPr>
          <w:color w:val="000000" w:themeColor="text1"/>
        </w:rPr>
        <w:t>phenotype</w:t>
      </w:r>
      <w:r w:rsidR="00A60CB0" w:rsidRPr="00F92FF9">
        <w:rPr>
          <w:color w:val="000000" w:themeColor="text1"/>
        </w:rPr>
        <w:t>,</w:t>
      </w:r>
      <w:r w:rsidR="00CC1E9C" w:rsidRPr="00F92FF9">
        <w:rPr>
          <w:color w:val="000000" w:themeColor="text1"/>
        </w:rPr>
        <w:t xml:space="preserve"> independent of a range of lifestyle, demographic</w:t>
      </w:r>
      <w:r w:rsidR="008D49FC" w:rsidRPr="00F92FF9">
        <w:rPr>
          <w:color w:val="000000" w:themeColor="text1"/>
        </w:rPr>
        <w:t>, and vascular risk factors</w:t>
      </w:r>
      <w:r w:rsidR="00CC1E9C" w:rsidRPr="00F92FF9">
        <w:rPr>
          <w:color w:val="000000" w:themeColor="text1"/>
        </w:rPr>
        <w:t xml:space="preserve">. Specifically, better cognitive performance (higher FI, lower RT) was associated with larger LV and RV volumes, greater </w:t>
      </w:r>
      <w:r w:rsidR="00C2663E" w:rsidRPr="00F92FF9">
        <w:rPr>
          <w:color w:val="000000" w:themeColor="text1"/>
        </w:rPr>
        <w:t xml:space="preserve">LV and RV </w:t>
      </w:r>
      <w:r w:rsidR="00CC1E9C" w:rsidRPr="00F92FF9">
        <w:rPr>
          <w:color w:val="000000" w:themeColor="text1"/>
        </w:rPr>
        <w:t>stroke volume</w:t>
      </w:r>
      <w:r w:rsidR="00C2663E" w:rsidRPr="00F92FF9">
        <w:rPr>
          <w:color w:val="000000" w:themeColor="text1"/>
        </w:rPr>
        <w:t>s</w:t>
      </w:r>
      <w:r w:rsidR="00931B97" w:rsidRPr="00F92FF9">
        <w:rPr>
          <w:color w:val="000000" w:themeColor="text1"/>
        </w:rPr>
        <w:t>, higher LV mass, and greater aortic distensibility</w:t>
      </w:r>
      <w:r w:rsidR="00CC1E9C" w:rsidRPr="00F92FF9">
        <w:rPr>
          <w:color w:val="000000" w:themeColor="text1"/>
        </w:rPr>
        <w:t>.</w:t>
      </w:r>
      <w:r w:rsidR="00931B97" w:rsidRPr="00F92FF9">
        <w:rPr>
          <w:color w:val="000000" w:themeColor="text1"/>
        </w:rPr>
        <w:t xml:space="preserve"> </w:t>
      </w:r>
      <w:r w:rsidR="00F6210E" w:rsidRPr="00F92FF9">
        <w:rPr>
          <w:color w:val="000000" w:themeColor="text1"/>
        </w:rPr>
        <w:t>The</w:t>
      </w:r>
      <w:r w:rsidR="00FE6FB7" w:rsidRPr="00F92FF9">
        <w:rPr>
          <w:color w:val="000000" w:themeColor="text1"/>
        </w:rPr>
        <w:t>re</w:t>
      </w:r>
      <w:r w:rsidR="00F6210E" w:rsidRPr="00F92FF9">
        <w:rPr>
          <w:color w:val="000000" w:themeColor="text1"/>
        </w:rPr>
        <w:t xml:space="preserve"> was </w:t>
      </w:r>
      <w:r w:rsidR="003B0D86" w:rsidRPr="00F92FF9">
        <w:rPr>
          <w:color w:val="000000" w:themeColor="text1"/>
        </w:rPr>
        <w:t xml:space="preserve">some </w:t>
      </w:r>
      <w:r w:rsidR="00F6210E" w:rsidRPr="00F92FF9">
        <w:rPr>
          <w:color w:val="000000" w:themeColor="text1"/>
        </w:rPr>
        <w:t>evidence of non-linearity for the relationship between FI and LV end-systolic volume, with a trend towards reversal of the direction of association at the high extremes of the distribution (very high volumes).</w:t>
      </w:r>
      <w:r w:rsidR="003B0D86" w:rsidRPr="00F92FF9">
        <w:rPr>
          <w:color w:val="000000" w:themeColor="text1"/>
        </w:rPr>
        <w:t xml:space="preserve"> Associations</w:t>
      </w:r>
      <w:r w:rsidR="00453DB5" w:rsidRPr="00F92FF9">
        <w:rPr>
          <w:color w:val="000000" w:themeColor="text1"/>
        </w:rPr>
        <w:t xml:space="preserve"> appeared consistent </w:t>
      </w:r>
      <w:r w:rsidR="001C459A" w:rsidRPr="00F92FF9">
        <w:rPr>
          <w:color w:val="000000" w:themeColor="text1"/>
        </w:rPr>
        <w:t>for</w:t>
      </w:r>
      <w:r w:rsidR="00453DB5" w:rsidRPr="00F92FF9">
        <w:rPr>
          <w:color w:val="000000" w:themeColor="text1"/>
        </w:rPr>
        <w:t xml:space="preserve"> men and women and </w:t>
      </w:r>
      <w:r w:rsidR="001C459A" w:rsidRPr="00F92FF9">
        <w:rPr>
          <w:color w:val="000000" w:themeColor="text1"/>
        </w:rPr>
        <w:t>with age.</w:t>
      </w:r>
      <w:r w:rsidR="00DC1E83" w:rsidRPr="00F92FF9">
        <w:rPr>
          <w:color w:val="000000" w:themeColor="text1"/>
        </w:rPr>
        <w:t xml:space="preserve"> For the relationship with FI, there was there was significant interaction between aortic distensibility and age, with participants with higher distensibility showing less rapid age-related decline in FI.</w:t>
      </w:r>
    </w:p>
    <w:p w14:paraId="0333C585" w14:textId="742D2EE5" w:rsidR="0043628F" w:rsidRPr="00F92FF9" w:rsidRDefault="0043628F" w:rsidP="00CC1E9C">
      <w:pPr>
        <w:rPr>
          <w:color w:val="000000" w:themeColor="text1"/>
        </w:rPr>
      </w:pPr>
    </w:p>
    <w:p w14:paraId="21A1A53F" w14:textId="157A5230" w:rsidR="007A3FC5" w:rsidRPr="00F92FF9" w:rsidRDefault="007A3FC5" w:rsidP="007A3FC5">
      <w:pPr>
        <w:rPr>
          <w:b/>
          <w:bCs/>
          <w:color w:val="000000" w:themeColor="text1"/>
        </w:rPr>
      </w:pPr>
      <w:r w:rsidRPr="00F92FF9">
        <w:rPr>
          <w:b/>
          <w:bCs/>
          <w:color w:val="000000" w:themeColor="text1"/>
        </w:rPr>
        <w:t>Interpretation of cardiovascular phenotypes</w:t>
      </w:r>
    </w:p>
    <w:p w14:paraId="0BFC336F" w14:textId="1EE0645E" w:rsidR="00402168" w:rsidRPr="00F92FF9" w:rsidRDefault="00F6210E" w:rsidP="007A3FC5">
      <w:pPr>
        <w:rPr>
          <w:color w:val="000000" w:themeColor="text1"/>
        </w:rPr>
      </w:pPr>
      <w:r w:rsidRPr="00F92FF9">
        <w:rPr>
          <w:color w:val="000000" w:themeColor="text1"/>
        </w:rPr>
        <w:t xml:space="preserve">Although there was no prerequisite for healthy status for recruitment into UK Biobank, there is a significant healthy participant effect, as such, our results reflect trends within a spectrum of normality. This means that in this analysis, </w:t>
      </w:r>
      <w:r w:rsidR="00973DEC" w:rsidRPr="00F92FF9">
        <w:rPr>
          <w:color w:val="000000" w:themeColor="text1"/>
        </w:rPr>
        <w:t xml:space="preserve">for the most part, </w:t>
      </w:r>
      <w:r w:rsidRPr="00F92FF9">
        <w:rPr>
          <w:color w:val="000000" w:themeColor="text1"/>
        </w:rPr>
        <w:t xml:space="preserve">we do not report transitions from health to “disease”, but rather trends within a predominantly healthy sample. </w:t>
      </w:r>
      <w:r w:rsidR="007A3FC5" w:rsidRPr="00F92FF9">
        <w:rPr>
          <w:color w:val="000000" w:themeColor="text1"/>
        </w:rPr>
        <w:t xml:space="preserve">It is </w:t>
      </w:r>
      <w:r w:rsidRPr="00F92FF9">
        <w:rPr>
          <w:color w:val="000000" w:themeColor="text1"/>
        </w:rPr>
        <w:t xml:space="preserve">also </w:t>
      </w:r>
      <w:r w:rsidR="007A3FC5" w:rsidRPr="00F92FF9">
        <w:rPr>
          <w:color w:val="000000" w:themeColor="text1"/>
        </w:rPr>
        <w:t>essential that interpretation of the nature of cardiac phenotypes considers</w:t>
      </w:r>
      <w:r w:rsidR="00FE21F2" w:rsidRPr="00F92FF9">
        <w:rPr>
          <w:color w:val="000000" w:themeColor="text1"/>
        </w:rPr>
        <w:t>,</w:t>
      </w:r>
      <w:r w:rsidR="007A3FC5" w:rsidRPr="00F92FF9">
        <w:rPr>
          <w:color w:val="000000" w:themeColor="text1"/>
        </w:rPr>
        <w:t xml:space="preserve"> the overall pattern of associations, as interpretation of single </w:t>
      </w:r>
      <w:r w:rsidR="00970221" w:rsidRPr="00F92FF9">
        <w:rPr>
          <w:color w:val="000000" w:themeColor="text1"/>
        </w:rPr>
        <w:t xml:space="preserve">CMR </w:t>
      </w:r>
      <w:r w:rsidR="007A3FC5" w:rsidRPr="00F92FF9">
        <w:rPr>
          <w:color w:val="000000" w:themeColor="text1"/>
        </w:rPr>
        <w:t>metrics in isolation</w:t>
      </w:r>
      <w:r w:rsidRPr="00F92FF9">
        <w:rPr>
          <w:color w:val="000000" w:themeColor="text1"/>
        </w:rPr>
        <w:t>, outside the context of the other metrics,</w:t>
      </w:r>
      <w:r w:rsidR="007A3FC5" w:rsidRPr="00F92FF9">
        <w:rPr>
          <w:color w:val="000000" w:themeColor="text1"/>
        </w:rPr>
        <w:t xml:space="preserve"> may be misleading</w:t>
      </w:r>
      <w:r w:rsidR="00970221" w:rsidRPr="00F92FF9">
        <w:rPr>
          <w:color w:val="000000" w:themeColor="text1"/>
        </w:rPr>
        <w:t>.</w:t>
      </w:r>
    </w:p>
    <w:p w14:paraId="773934D9" w14:textId="77777777" w:rsidR="00402168" w:rsidRPr="00F92FF9" w:rsidRDefault="00402168" w:rsidP="007A3FC5">
      <w:pPr>
        <w:rPr>
          <w:color w:val="000000" w:themeColor="text1"/>
        </w:rPr>
      </w:pPr>
    </w:p>
    <w:p w14:paraId="514D31AF" w14:textId="4A9BB879" w:rsidR="007A3FC5" w:rsidRPr="00F92FF9" w:rsidRDefault="007A3FC5" w:rsidP="007A3FC5">
      <w:pPr>
        <w:rPr>
          <w:color w:val="000000" w:themeColor="text1"/>
        </w:rPr>
      </w:pPr>
      <w:r w:rsidRPr="00F92FF9">
        <w:rPr>
          <w:color w:val="000000" w:themeColor="text1"/>
        </w:rPr>
        <w:t xml:space="preserve">Our findings demonstrate association of better cognitive performance with larger ventricular cavity volumes, </w:t>
      </w:r>
      <w:r w:rsidR="00F6210E" w:rsidRPr="00F92FF9">
        <w:rPr>
          <w:color w:val="000000" w:themeColor="text1"/>
        </w:rPr>
        <w:t>larger</w:t>
      </w:r>
      <w:r w:rsidRPr="00F92FF9">
        <w:rPr>
          <w:color w:val="000000" w:themeColor="text1"/>
        </w:rPr>
        <w:t xml:space="preserve"> LV and RV stroke volumes</w:t>
      </w:r>
      <w:r w:rsidR="00F6210E" w:rsidRPr="00F92FF9">
        <w:rPr>
          <w:color w:val="000000" w:themeColor="text1"/>
        </w:rPr>
        <w:t xml:space="preserve">, </w:t>
      </w:r>
      <w:r w:rsidR="00973DEC" w:rsidRPr="00F92FF9">
        <w:rPr>
          <w:color w:val="000000" w:themeColor="text1"/>
        </w:rPr>
        <w:t xml:space="preserve">and </w:t>
      </w:r>
      <w:r w:rsidR="00F6210E" w:rsidRPr="00F92FF9">
        <w:rPr>
          <w:color w:val="000000" w:themeColor="text1"/>
        </w:rPr>
        <w:t>higher LV mass</w:t>
      </w:r>
      <w:r w:rsidRPr="00F92FF9">
        <w:rPr>
          <w:color w:val="000000" w:themeColor="text1"/>
        </w:rPr>
        <w:t>. This pattern of associations is indicative of better right and left ventricular contractile function (higher stroke volumes) and a pattern of ventricular remodelling</w:t>
      </w:r>
      <w:r w:rsidR="00DC3758" w:rsidRPr="00F92FF9">
        <w:rPr>
          <w:color w:val="000000" w:themeColor="text1"/>
        </w:rPr>
        <w:t xml:space="preserve">, </w:t>
      </w:r>
      <w:r w:rsidR="00973DEC" w:rsidRPr="00F92FF9">
        <w:rPr>
          <w:color w:val="000000" w:themeColor="text1"/>
        </w:rPr>
        <w:t>interpreted within the spectrum of normality</w:t>
      </w:r>
      <w:r w:rsidR="00DC3758" w:rsidRPr="00F92FF9">
        <w:rPr>
          <w:color w:val="000000" w:themeColor="text1"/>
        </w:rPr>
        <w:t>,</w:t>
      </w:r>
      <w:r w:rsidRPr="00F92FF9">
        <w:rPr>
          <w:color w:val="000000" w:themeColor="text1"/>
        </w:rPr>
        <w:t xml:space="preserve"> akin to </w:t>
      </w:r>
      <w:r w:rsidR="00DC1E83" w:rsidRPr="00F92FF9">
        <w:rPr>
          <w:color w:val="000000" w:themeColor="text1"/>
        </w:rPr>
        <w:t>decelerated heart aging (</w:t>
      </w:r>
      <w:r w:rsidR="00F6210E" w:rsidRPr="00F92FF9">
        <w:rPr>
          <w:color w:val="000000" w:themeColor="text1"/>
        </w:rPr>
        <w:t xml:space="preserve">reverse </w:t>
      </w:r>
      <w:r w:rsidR="007F7303" w:rsidRPr="00F92FF9">
        <w:rPr>
          <w:color w:val="000000" w:themeColor="text1"/>
        </w:rPr>
        <w:t xml:space="preserve">of </w:t>
      </w:r>
      <w:r w:rsidR="00F6210E" w:rsidRPr="00F92FF9">
        <w:rPr>
          <w:color w:val="000000" w:themeColor="text1"/>
        </w:rPr>
        <w:t>alteration</w:t>
      </w:r>
      <w:r w:rsidR="00F953E7" w:rsidRPr="00F92FF9">
        <w:rPr>
          <w:color w:val="000000" w:themeColor="text1"/>
        </w:rPr>
        <w:t>s</w:t>
      </w:r>
      <w:r w:rsidR="00F6210E" w:rsidRPr="00F92FF9">
        <w:rPr>
          <w:color w:val="000000" w:themeColor="text1"/>
        </w:rPr>
        <w:t xml:space="preserve"> seen in healthy aging</w:t>
      </w:r>
      <w:r w:rsidR="00DC1E83" w:rsidRPr="00F92FF9">
        <w:rPr>
          <w:color w:val="000000" w:themeColor="text1"/>
        </w:rPr>
        <w:t>) or an athletic cardiac phenotype</w:t>
      </w:r>
      <w:r w:rsidRPr="00F92FF9">
        <w:rPr>
          <w:color w:val="000000" w:themeColor="text1"/>
        </w:rPr>
        <w:t xml:space="preserve">. </w:t>
      </w:r>
      <w:r w:rsidR="00C34FAA" w:rsidRPr="00F92FF9">
        <w:rPr>
          <w:color w:val="000000" w:themeColor="text1"/>
        </w:rPr>
        <w:t xml:space="preserve">There was some </w:t>
      </w:r>
      <w:r w:rsidR="00C34FAA" w:rsidRPr="00F92FF9">
        <w:rPr>
          <w:color w:val="000000" w:themeColor="text1"/>
        </w:rPr>
        <w:lastRenderedPageBreak/>
        <w:t>evidence of reversal of the direction of associations between FI and LV end-systolic volume at the high extremes of the distribution (very high volumes), suggesting that LV volumes larger than the normal range are linked with poorer cognition. However, within our analysis sample, the non-linear models did not show a statistically significant improvement upon linear model fits. This may be because there were few participants with extreme values in our sample.</w:t>
      </w:r>
      <w:r w:rsidR="00C34FAA" w:rsidRPr="00F92FF9">
        <w:rPr>
          <w:i/>
          <w:iCs/>
          <w:color w:val="000000" w:themeColor="text1"/>
        </w:rPr>
        <w:t xml:space="preserve"> </w:t>
      </w:r>
      <w:r w:rsidR="00F953E7" w:rsidRPr="00F92FF9">
        <w:rPr>
          <w:color w:val="000000" w:themeColor="text1"/>
        </w:rPr>
        <w:t xml:space="preserve">Better cognitive performance was also linked to greater aortic distensibility (statistically significant for FI). Aortic distensibility is a measure of local aortic compliance and maker of aortic bio-elastic function, with higher distensibility values indicating better vascular health. </w:t>
      </w:r>
      <w:r w:rsidRPr="00F92FF9">
        <w:rPr>
          <w:color w:val="000000" w:themeColor="text1"/>
        </w:rPr>
        <w:t xml:space="preserve">Conversely, poorer cognitive function was associated with smaller ventricular volumes and lower LV mass, together with </w:t>
      </w:r>
      <w:r w:rsidR="00B35FCD" w:rsidRPr="00F92FF9">
        <w:rPr>
          <w:color w:val="000000" w:themeColor="text1"/>
        </w:rPr>
        <w:t>smaller</w:t>
      </w:r>
      <w:r w:rsidRPr="00F92FF9">
        <w:rPr>
          <w:color w:val="000000" w:themeColor="text1"/>
        </w:rPr>
        <w:t xml:space="preserve"> LV and RV stroke volumes</w:t>
      </w:r>
      <w:r w:rsidR="00D32D73" w:rsidRPr="00F92FF9">
        <w:rPr>
          <w:color w:val="000000" w:themeColor="text1"/>
        </w:rPr>
        <w:t xml:space="preserve"> and lower aortic compliance</w:t>
      </w:r>
      <w:r w:rsidRPr="00F92FF9">
        <w:rPr>
          <w:color w:val="000000" w:themeColor="text1"/>
        </w:rPr>
        <w:t xml:space="preserve">. Overall, this presents </w:t>
      </w:r>
      <w:r w:rsidR="00B35FCD" w:rsidRPr="00F92FF9">
        <w:rPr>
          <w:color w:val="000000" w:themeColor="text1"/>
        </w:rPr>
        <w:t>a</w:t>
      </w:r>
      <w:r w:rsidRPr="00F92FF9">
        <w:rPr>
          <w:color w:val="000000" w:themeColor="text1"/>
        </w:rPr>
        <w:t xml:space="preserve"> picture of a cardiac phenotype with poorer myocardial </w:t>
      </w:r>
      <w:r w:rsidR="00F6210E" w:rsidRPr="00F92FF9">
        <w:rPr>
          <w:color w:val="000000" w:themeColor="text1"/>
        </w:rPr>
        <w:t>function</w:t>
      </w:r>
      <w:r w:rsidR="00F953E7" w:rsidRPr="00F92FF9">
        <w:rPr>
          <w:color w:val="000000" w:themeColor="text1"/>
        </w:rPr>
        <w:t>,</w:t>
      </w:r>
      <w:r w:rsidRPr="00F92FF9">
        <w:rPr>
          <w:color w:val="000000" w:themeColor="text1"/>
        </w:rPr>
        <w:t xml:space="preserve"> small, perhaps stiff, ventricles</w:t>
      </w:r>
      <w:r w:rsidR="00F6210E" w:rsidRPr="00F92FF9">
        <w:rPr>
          <w:color w:val="000000" w:themeColor="text1"/>
        </w:rPr>
        <w:t>, and higher aortic stiffness</w:t>
      </w:r>
      <w:r w:rsidRPr="00F92FF9">
        <w:rPr>
          <w:color w:val="000000" w:themeColor="text1"/>
        </w:rPr>
        <w:t>. This suggests that poorer cognition is associated with adverse cardi</w:t>
      </w:r>
      <w:r w:rsidR="00F953E7" w:rsidRPr="00F92FF9">
        <w:rPr>
          <w:color w:val="000000" w:themeColor="text1"/>
        </w:rPr>
        <w:t>ovascular</w:t>
      </w:r>
      <w:r w:rsidRPr="00F92FF9">
        <w:rPr>
          <w:color w:val="000000" w:themeColor="text1"/>
        </w:rPr>
        <w:t xml:space="preserve"> phenotypes, </w:t>
      </w:r>
      <w:r w:rsidR="003428C6" w:rsidRPr="00F92FF9">
        <w:rPr>
          <w:color w:val="000000" w:themeColor="text1"/>
        </w:rPr>
        <w:t>perhaps</w:t>
      </w:r>
      <w:r w:rsidRPr="00F92FF9">
        <w:rPr>
          <w:color w:val="000000" w:themeColor="text1"/>
        </w:rPr>
        <w:t xml:space="preserve"> resembl</w:t>
      </w:r>
      <w:r w:rsidR="003428C6" w:rsidRPr="00F92FF9">
        <w:rPr>
          <w:color w:val="000000" w:themeColor="text1"/>
        </w:rPr>
        <w:t>ing</w:t>
      </w:r>
      <w:r w:rsidRPr="00F92FF9">
        <w:rPr>
          <w:color w:val="000000" w:themeColor="text1"/>
        </w:rPr>
        <w:t xml:space="preserve"> a heart failure preserved ejection fraction </w:t>
      </w:r>
      <w:r w:rsidR="009536BD" w:rsidRPr="00F92FF9">
        <w:rPr>
          <w:color w:val="000000" w:themeColor="text1"/>
        </w:rPr>
        <w:t>(</w:t>
      </w:r>
      <w:proofErr w:type="spellStart"/>
      <w:r w:rsidR="00DC3758" w:rsidRPr="00F92FF9">
        <w:rPr>
          <w:color w:val="000000" w:themeColor="text1"/>
        </w:rPr>
        <w:t>HFpEF</w:t>
      </w:r>
      <w:proofErr w:type="spellEnd"/>
      <w:r w:rsidR="009536BD" w:rsidRPr="00F92FF9">
        <w:rPr>
          <w:color w:val="000000" w:themeColor="text1"/>
        </w:rPr>
        <w:t xml:space="preserve">) </w:t>
      </w:r>
      <w:r w:rsidRPr="00F92FF9">
        <w:rPr>
          <w:color w:val="000000" w:themeColor="text1"/>
        </w:rPr>
        <w:t>phenotype</w:t>
      </w:r>
      <w:r w:rsidR="00F6210E" w:rsidRPr="00F92FF9">
        <w:rPr>
          <w:color w:val="000000" w:themeColor="text1"/>
        </w:rPr>
        <w:t>.</w:t>
      </w:r>
    </w:p>
    <w:p w14:paraId="1CDEC9C5" w14:textId="77777777" w:rsidR="00BD5C9F" w:rsidRPr="00F92FF9" w:rsidRDefault="00BD5C9F" w:rsidP="007A3FC5">
      <w:pPr>
        <w:rPr>
          <w:color w:val="000000" w:themeColor="text1"/>
        </w:rPr>
      </w:pPr>
    </w:p>
    <w:p w14:paraId="33323219" w14:textId="2E9969D9" w:rsidR="00332561" w:rsidRPr="00F92FF9" w:rsidRDefault="00332561">
      <w:pPr>
        <w:rPr>
          <w:b/>
          <w:bCs/>
          <w:color w:val="000000" w:themeColor="text1"/>
        </w:rPr>
      </w:pPr>
      <w:r w:rsidRPr="00F92FF9">
        <w:rPr>
          <w:b/>
          <w:bCs/>
          <w:color w:val="000000" w:themeColor="text1"/>
        </w:rPr>
        <w:t>Comparison with existing literature</w:t>
      </w:r>
    </w:p>
    <w:p w14:paraId="45C8841A" w14:textId="77777777" w:rsidR="008A63F7" w:rsidRPr="00F92FF9" w:rsidDel="05726F41" w:rsidRDefault="008A63F7">
      <w:pPr>
        <w:rPr>
          <w:snapToGrid w:val="0"/>
          <w:color w:val="000000" w:themeColor="text1"/>
          <w:w w:val="0"/>
          <w:sz w:val="0"/>
          <w:szCs w:val="11"/>
          <w:u w:color="000000"/>
          <w:bdr w:val="none" w:sz="0" w:space="0" w:color="000000"/>
          <w:shd w:val="clear" w:color="000000" w:fill="000000"/>
          <w:lang w:val="x-none" w:eastAsia="x-none" w:bidi="x-none"/>
          <w14:props3d w14:extrusionH="12" w14:contourW="-2147483648" w14:prstMaterial="warmMatte">
            <w14:bevelT w14:w="0" w14:h="482" w14:prst="circle"/>
            <w14:bevelB w14:w="1143" w14:h="0" w14:prst="circle"/>
            <w14:contourClr>
              <w14:srgbClr w14:val="000000">
                <w14:alpha w14:val="145602160"/>
              </w14:srgbClr>
            </w14:contourClr>
          </w14:props3d>
          <w14:stylisticSets>
            <w14:styleSet w14:id="2"/>
            <w14:styleSet w14:id="6"/>
            <w14:styleSet w14:id="8"/>
            <w14:styleSet w14:id="9"/>
            <w14:styleSet w14:id="10"/>
            <w14:styleSet w14:id="11"/>
            <w14:styleSet w14:id="12"/>
            <w14:styleSet w14:id="13"/>
            <w14:styleSet w14:id="14"/>
            <w14:styleSet w14:id="15"/>
          </w14:stylisticSets>
          <w14:cntxtAlts/>
        </w:rPr>
      </w:pPr>
    </w:p>
    <w:p w14:paraId="587B8525" w14:textId="16FC0883" w:rsidR="00C0397A" w:rsidRPr="00F92FF9" w:rsidRDefault="00E226A1" w:rsidP="006F6F7E">
      <w:pPr>
        <w:rPr>
          <w:color w:val="000000" w:themeColor="text1"/>
        </w:rPr>
      </w:pPr>
      <w:r w:rsidRPr="00F92FF9">
        <w:rPr>
          <w:color w:val="000000" w:themeColor="text1"/>
        </w:rPr>
        <w:t>M</w:t>
      </w:r>
      <w:r w:rsidR="00DC3758" w:rsidRPr="00F92FF9">
        <w:rPr>
          <w:color w:val="000000" w:themeColor="text1"/>
        </w:rPr>
        <w:t xml:space="preserve">ultiple studies report associations between poorer cognition and heart failure, in particular </w:t>
      </w:r>
      <w:proofErr w:type="spellStart"/>
      <w:r w:rsidR="00DC3758" w:rsidRPr="00F92FF9">
        <w:rPr>
          <w:color w:val="000000" w:themeColor="text1"/>
        </w:rPr>
        <w:t>HFpEF</w:t>
      </w:r>
      <w:proofErr w:type="spellEnd"/>
      <w:r w:rsidR="00DC3758" w:rsidRPr="00F92FF9">
        <w:rPr>
          <w:color w:val="000000" w:themeColor="text1"/>
        </w:rPr>
        <w:t xml:space="preserve"> phenotypes. </w:t>
      </w:r>
      <w:r w:rsidR="001A21C2" w:rsidRPr="00F92FF9">
        <w:rPr>
          <w:color w:val="000000" w:themeColor="text1"/>
        </w:rPr>
        <w:t>Existing evidence is limited to small cohorts of select populations with high</w:t>
      </w:r>
      <w:r w:rsidR="001B187E" w:rsidRPr="00F92FF9">
        <w:rPr>
          <w:color w:val="000000" w:themeColor="text1"/>
        </w:rPr>
        <w:t>ly variable study designs</w:t>
      </w:r>
      <w:r w:rsidR="00B80EF4" w:rsidRPr="00F92FF9">
        <w:rPr>
          <w:color w:val="000000" w:themeColor="text1"/>
        </w:rPr>
        <w:t xml:space="preserve">. </w:t>
      </w:r>
      <w:r w:rsidR="001A21C2" w:rsidRPr="00F92FF9">
        <w:rPr>
          <w:color w:val="000000" w:themeColor="text1"/>
        </w:rPr>
        <w:t xml:space="preserve">Several studies </w:t>
      </w:r>
      <w:r w:rsidR="005B294F" w:rsidRPr="00F92FF9">
        <w:rPr>
          <w:color w:val="000000" w:themeColor="text1"/>
        </w:rPr>
        <w:t xml:space="preserve">report poorer </w:t>
      </w:r>
      <w:r w:rsidR="001A21C2" w:rsidRPr="00F92FF9">
        <w:rPr>
          <w:color w:val="000000" w:themeColor="text1"/>
        </w:rPr>
        <w:t xml:space="preserve">cognitive </w:t>
      </w:r>
      <w:r w:rsidR="005B294F" w:rsidRPr="00F92FF9">
        <w:rPr>
          <w:color w:val="000000" w:themeColor="text1"/>
        </w:rPr>
        <w:t xml:space="preserve">function </w:t>
      </w:r>
      <w:r w:rsidR="001A21C2" w:rsidRPr="00F92FF9">
        <w:rPr>
          <w:color w:val="000000" w:themeColor="text1"/>
        </w:rPr>
        <w:t xml:space="preserve">indices in </w:t>
      </w:r>
      <w:r w:rsidR="005B294F" w:rsidRPr="00F92FF9">
        <w:rPr>
          <w:color w:val="000000" w:themeColor="text1"/>
        </w:rPr>
        <w:t xml:space="preserve">small </w:t>
      </w:r>
      <w:r w:rsidR="001A21C2" w:rsidRPr="00F92FF9">
        <w:rPr>
          <w:color w:val="000000" w:themeColor="text1"/>
        </w:rPr>
        <w:t xml:space="preserve">heart failure </w:t>
      </w:r>
      <w:r w:rsidR="005B294F" w:rsidRPr="00F92FF9">
        <w:rPr>
          <w:color w:val="000000" w:themeColor="text1"/>
        </w:rPr>
        <w:t xml:space="preserve">cohorts. </w:t>
      </w:r>
      <w:proofErr w:type="spellStart"/>
      <w:r w:rsidR="00802047" w:rsidRPr="00F92FF9">
        <w:rPr>
          <w:color w:val="000000" w:themeColor="text1"/>
        </w:rPr>
        <w:t>Zuccala</w:t>
      </w:r>
      <w:proofErr w:type="spellEnd"/>
      <w:r w:rsidR="00802047" w:rsidRPr="00F92FF9">
        <w:rPr>
          <w:color w:val="000000" w:themeColor="text1"/>
        </w:rPr>
        <w:t>’ et al.</w:t>
      </w:r>
      <w:r w:rsidR="00802047" w:rsidRPr="00F92FF9">
        <w:rPr>
          <w:color w:val="000000" w:themeColor="text1"/>
        </w:rPr>
        <w:fldChar w:fldCharType="begin" w:fldLock="1"/>
      </w:r>
      <w:r w:rsidRPr="00F92FF9">
        <w:rPr>
          <w:color w:val="000000" w:themeColor="text1"/>
        </w:rPr>
        <w:instrText>ADDIN CSL_CITATION {"citationItems":[{"id":"ITEM-1","itemData":{"DOI":"10.1136/jnnp.63.4.509","ISSN":"00223050","abstract":"Objectives - Cognitive impairment has been reported in middle aged patients with end stage heart failure. This cross sectional study assessed the prevalence and determinants of cognitive dysfunction in older patients with mild to moderate heart failure. Methods - 57 consecutive patients (mean age 76.7 years) with chronic heart failure underwent physical examination, blood chemistry, urinalysis, chest radiography EGG, Doppler echocardiography, and the mini mental state examination (MMSE), mental deterioration battery, depression scale of the Center for Epidemiological Studies (CES-D), Katz activities of daily living, and instrumental activities of daily living 24 hours before hospital discharge. Results - MMSE scores &lt; 24 were found in 53% of participants. The MMSE score was associated with left ventricular ejection fraction according to a non-linear correlation, so that cognitive performance was significantly lower in subjects with left ventricular ejection fraction ≤ 30%. The same pattern of correlation was evidenced between left ventricular ejection fraction and both the attention sub-item of MMSE and the Raven test score. In a multivariate linear regression model, after adjusting for age, sex, and a series of clinical data and objective tests, both age (P = -0.30; P = 0.038) and the natural log of left ventricular ejection fraction (P = 0.58; P = 0.001) were associated with the MMSE score. Conclusion - Cognitive impairment in older patients with chronic heart failure is common, and independently associated with lower left ventricular ejection fraction. Given the overwhelming incidence and prevalence of heart failure in older populations, early detection of cognitive impairment in these subjects with prompt, intensive treatment of left ventricular systolic dysfunction may prevent or delay a remarkable proportion of dementia in advanced age.","author":[{"dropping-particle":"","family":"Zuccalà","given":"Giuseppe","non-dropping-particle":"","parse-names":false,"suffix":""},{"dropping-particle":"","family":"Cattel","given":"Caterina","non-dropping-particle":"","parse-names":false,"suffix":""},{"dropping-particle":"","family":"Manes-Gravina","given":"Ester","non-dropping-particle":"","parse-names":false,"suffix":""},{"dropping-particle":"","family":"Niro","given":"Maria G.","non-dropping-particle":"Di","parse-names":false,"suffix":""},{"dropping-particle":"","family":"Cocchi","given":"Alberto","non-dropping-particle":"","parse-names":false,"suffix":""},{"dropping-particle":"","family":"Bernabei","given":"Roberto","non-dropping-particle":"","parse-names":false,"suffix":""}],"container-title":"Journal of Neurology Neurosurgery and Psychiatry","id":"ITEM-1","issue":"4","issued":{"date-parts":[["1997"]]},"page":"509-512","publisher":"BMJ Publishing Group","title":"Left ventricular dysfunction: A clue to cognitive impairment in older patients with heart failure","type":"article-journal","volume":"63"},"uris":["http://www.mendeley.com/documents/?uuid=518a1926-0f44-38c6-bd58-e4f44d91237e"]}],"mendeley":{"formattedCitation":"&lt;sup&gt;28&lt;/sup&gt;","plainTextFormattedCitation":"28","previouslyFormattedCitation":"&lt;sup&gt;28&lt;/sup&gt;"},"properties":{"noteIndex":0},"schema":"https://github.com/citation-style-language/schema/raw/master/csl-citation.json"}</w:instrText>
      </w:r>
      <w:r w:rsidR="00802047" w:rsidRPr="00F92FF9">
        <w:rPr>
          <w:color w:val="000000" w:themeColor="text1"/>
        </w:rPr>
        <w:fldChar w:fldCharType="separate"/>
      </w:r>
      <w:r w:rsidR="0069166F" w:rsidRPr="00F92FF9">
        <w:rPr>
          <w:noProof/>
          <w:color w:val="000000" w:themeColor="text1"/>
          <w:vertAlign w:val="superscript"/>
        </w:rPr>
        <w:t>28</w:t>
      </w:r>
      <w:r w:rsidR="00802047" w:rsidRPr="00F92FF9">
        <w:rPr>
          <w:color w:val="000000" w:themeColor="text1"/>
        </w:rPr>
        <w:fldChar w:fldCharType="end"/>
      </w:r>
      <w:r w:rsidR="00802047" w:rsidRPr="00F92FF9">
        <w:rPr>
          <w:color w:val="000000" w:themeColor="text1"/>
        </w:rPr>
        <w:t xml:space="preserve"> report an independent association between poorer LV function on echocardiography and worse performance in a number of cognitive tests</w:t>
      </w:r>
      <w:r w:rsidR="008B23F8" w:rsidRPr="00F92FF9">
        <w:rPr>
          <w:color w:val="000000" w:themeColor="text1"/>
        </w:rPr>
        <w:t xml:space="preserve"> (mini mental state examination, Raven score)</w:t>
      </w:r>
      <w:r w:rsidR="005B294F" w:rsidRPr="00F92FF9">
        <w:rPr>
          <w:color w:val="000000" w:themeColor="text1"/>
        </w:rPr>
        <w:t xml:space="preserve"> in 57 patients</w:t>
      </w:r>
      <w:r w:rsidR="001B187E" w:rsidRPr="00F92FF9">
        <w:rPr>
          <w:color w:val="000000" w:themeColor="text1"/>
        </w:rPr>
        <w:t xml:space="preserve"> with heart failure</w:t>
      </w:r>
      <w:r w:rsidR="00802047" w:rsidRPr="00F92FF9">
        <w:rPr>
          <w:color w:val="000000" w:themeColor="text1"/>
        </w:rPr>
        <w:t xml:space="preserve">. </w:t>
      </w:r>
      <w:r w:rsidR="006F6F7E" w:rsidRPr="00F92FF9">
        <w:rPr>
          <w:color w:val="000000" w:themeColor="text1"/>
        </w:rPr>
        <w:t xml:space="preserve">In a study of structural brain abnormalities in heart failure patients, </w:t>
      </w:r>
      <w:proofErr w:type="spellStart"/>
      <w:r w:rsidR="006F6F7E" w:rsidRPr="00F92FF9">
        <w:rPr>
          <w:color w:val="000000" w:themeColor="text1"/>
        </w:rPr>
        <w:t>Vogels</w:t>
      </w:r>
      <w:proofErr w:type="spellEnd"/>
      <w:r w:rsidR="006F6F7E" w:rsidRPr="00F92FF9">
        <w:rPr>
          <w:color w:val="000000" w:themeColor="text1"/>
        </w:rPr>
        <w:t xml:space="preserve"> et al.</w:t>
      </w:r>
      <w:r w:rsidR="006F6F7E" w:rsidRPr="00F92FF9">
        <w:rPr>
          <w:color w:val="000000" w:themeColor="text1"/>
        </w:rPr>
        <w:fldChar w:fldCharType="begin" w:fldLock="1"/>
      </w:r>
      <w:r w:rsidRPr="00F92FF9">
        <w:rPr>
          <w:color w:val="000000" w:themeColor="text1"/>
        </w:rPr>
        <w:instrText>ADDIN CSL_CITATION {"citationItems":[{"id":"ITEM-1","itemData":{"DOI":"10.1016/j.ejheart.2007.07.006","ISSN":"13889842","abstract":"Background: Although heart failure (HF) is a common cardiovascular disorder, to date little research has been conducted into possible associations between HF and structural abnormalities of the brain. Aims: To determine the frequency and pattern of magnetic resonance imaging (MRI) abnormalities in outpatients with chronic HF, and to identify any demographic and clinical correlates. Methods: Brain MRI scans were compared between a sample of 58 HF patients, 48 controls diagnosed with cardiovascular disease uncomplicated by HF (cardiac controls) and 42 healthy controls. Deep, periventricular and total white matter hyperintensities (WMH), lacunar and cortical infarcts, global and medial temporal lobe atrophy (MTA) were investigated. Results: Compared to cardiac and healthy controls, HF patients had significantly more WMH, lacunar infarcts and MTA, whereas cardiac controls only had more MTA, compared to healthy controls. Age and left ventricular ejection fraction (LVEF) were independently associated with total WMH. Age and systolic hypotension were associated with MTA in HF patients and cardiac controls. Conclusion: Our results suggest that cardiac dysfunction contributes independently to the development of cerebral MRI abnormalities in patients with HF. Age and low LVEF are the principal predictors of cerebral WMH in patients with HF and in cardiac controls. © 2007 European Society of Cardiology.","author":[{"dropping-particle":"","family":"Vogels","given":"Raymond L.C.","non-dropping-particle":"","parse-names":false,"suffix":""},{"dropping-particle":"","family":"Flier","given":"Wiesje M.","non-dropping-particle":"van der","parse-names":false,"suffix":""},{"dropping-particle":"","family":"Harten","given":"Barbera","non-dropping-particle":"van","parse-names":false,"suffix":""},{"dropping-particle":"","family":"Gouw","given":"Alida A.","non-dropping-particle":"","parse-names":false,"suffix":""},{"dropping-particle":"","family":"Scheltens","given":"Philip","non-dropping-particle":"","parse-names":false,"suffix":""},{"dropping-particle":"","family":"Schroeder-Tanka","given":"Jutta M.","non-dropping-particle":"","parse-names":false,"suffix":""},{"dropping-particle":"","family":"Weinstein","given":"Henry C.","non-dropping-particle":"","parse-names":false,"suffix":""}],"container-title":"European Journal of Heart Failure","id":"ITEM-1","issue":"10","issued":{"date-parts":[["2007","10"]]},"page":"1003-1009","publisher":"Eur J Heart Fail","title":"Brain magnetic resonance imaging abnormalities in patients with heart failure","type":"article-journal","volume":"9"},"uris":["http://www.mendeley.com/documents/?uuid=69981e9a-4fc4-3f13-b84c-de8f26bbaa91"]}],"mendeley":{"formattedCitation":"&lt;sup&gt;29&lt;/sup&gt;","plainTextFormattedCitation":"29","previouslyFormattedCitation":"&lt;sup&gt;29&lt;/sup&gt;"},"properties":{"noteIndex":0},"schema":"https://github.com/citation-style-language/schema/raw/master/csl-citation.json"}</w:instrText>
      </w:r>
      <w:r w:rsidR="006F6F7E" w:rsidRPr="00F92FF9">
        <w:rPr>
          <w:color w:val="000000" w:themeColor="text1"/>
        </w:rPr>
        <w:fldChar w:fldCharType="separate"/>
      </w:r>
      <w:r w:rsidR="0069166F" w:rsidRPr="00F92FF9">
        <w:rPr>
          <w:noProof/>
          <w:color w:val="000000" w:themeColor="text1"/>
          <w:vertAlign w:val="superscript"/>
        </w:rPr>
        <w:t>29</w:t>
      </w:r>
      <w:r w:rsidR="006F6F7E" w:rsidRPr="00F92FF9">
        <w:rPr>
          <w:color w:val="000000" w:themeColor="text1"/>
        </w:rPr>
        <w:fldChar w:fldCharType="end"/>
      </w:r>
      <w:r w:rsidR="006F6F7E" w:rsidRPr="00F92FF9">
        <w:rPr>
          <w:color w:val="000000" w:themeColor="text1"/>
        </w:rPr>
        <w:t xml:space="preserve"> report greater periventricular and white matter hyperintensities, lacunar and cortical infarcts, </w:t>
      </w:r>
      <w:r w:rsidR="005B294F" w:rsidRPr="00F92FF9">
        <w:rPr>
          <w:color w:val="000000" w:themeColor="text1"/>
        </w:rPr>
        <w:t xml:space="preserve">and </w:t>
      </w:r>
      <w:r w:rsidR="006F6F7E" w:rsidRPr="00F92FF9">
        <w:rPr>
          <w:color w:val="000000" w:themeColor="text1"/>
        </w:rPr>
        <w:t xml:space="preserve">global and medial temporal lobe atrophy in </w:t>
      </w:r>
      <w:r w:rsidR="001B187E" w:rsidRPr="00F92FF9">
        <w:rPr>
          <w:color w:val="000000" w:themeColor="text1"/>
        </w:rPr>
        <w:t xml:space="preserve">58 </w:t>
      </w:r>
      <w:r w:rsidR="006F6F7E" w:rsidRPr="00F92FF9">
        <w:rPr>
          <w:color w:val="000000" w:themeColor="text1"/>
        </w:rPr>
        <w:t>patients with heart failure</w:t>
      </w:r>
      <w:r w:rsidR="001B187E" w:rsidRPr="00F92FF9">
        <w:rPr>
          <w:color w:val="000000" w:themeColor="text1"/>
        </w:rPr>
        <w:t xml:space="preserve"> </w:t>
      </w:r>
      <w:r w:rsidR="006F6F7E" w:rsidRPr="00F92FF9">
        <w:rPr>
          <w:color w:val="000000" w:themeColor="text1"/>
        </w:rPr>
        <w:t>compared to control</w:t>
      </w:r>
      <w:r w:rsidR="005B294F" w:rsidRPr="00F92FF9">
        <w:rPr>
          <w:color w:val="000000" w:themeColor="text1"/>
        </w:rPr>
        <w:t>s</w:t>
      </w:r>
      <w:r w:rsidR="006F6F7E" w:rsidRPr="00F92FF9">
        <w:rPr>
          <w:color w:val="000000" w:themeColor="text1"/>
        </w:rPr>
        <w:fldChar w:fldCharType="begin" w:fldLock="1"/>
      </w:r>
      <w:r w:rsidRPr="00F92FF9">
        <w:rPr>
          <w:color w:val="000000" w:themeColor="text1"/>
        </w:rPr>
        <w:instrText>ADDIN CSL_CITATION {"citationItems":[{"id":"ITEM-1","itemData":{"DOI":"10.3233/JAD-2010-100081","ISSN":"13872877","PMID":"20413856","abstract":"Heart failure has served as a clinically useful model for understanding how cardiac dysfunction is associated with neuroanatomic and neuropsychological changes in aging adults, theoretically because systemic hypoperfusion disrupts cerebral perfusion, contributing to clinical brain injury. This review summarizes more recent data suggesting that subtle cardiac dysfunction or low normal levels of cardiac function, as quantified by cardiac output, are related to cognitive and neuroimaging markers of abnormal brain aging in the absence of heart failure or severe cardiomyopathy. Additional work is required, but such associations suggest that reduced cardiac output may be a risk factor for Alzheimer's disease (AD) and abnormal brain aging through the propagation or exacerbation of neurovascular processes, microembolism due to thrombosis, and AD neuropathological processes. Such mechanistic pathways are discussed in the context of a theoretical model that posits a direct pathway of injury between cardiac output and abnormal brain aging (i.e., reduced systemic blood flow disrupts cerebral blood flow homeostasis), contributing to clinical brain injury, independent of shared risk factors for both cardiac dysfunction and abnormal brain aging. © 2010 - IOS Press and the authors.","author":[{"dropping-particle":"","family":"Jefferson","given":"Angela L.","non-dropping-particle":"","parse-names":false,"suffix":""}],"container-title":"Journal of Alzheimer's Disease","id":"ITEM-1","issue":"3","issued":{"date-parts":[["2010"]]},"page":"813-821","publisher":"IOS Press","title":"Cardiac output as a potential risk factor for abnormal brain aging","type":"article-journal","volume":"20"},"uris":["http://www.mendeley.com/documents/?uuid=f5177400-2423-3f57-8294-5b2fcb49538b"]}],"mendeley":{"formattedCitation":"&lt;sup&gt;30&lt;/sup&gt;","plainTextFormattedCitation":"30","previouslyFormattedCitation":"&lt;sup&gt;30&lt;/sup&gt;"},"properties":{"noteIndex":0},"schema":"https://github.com/citation-style-language/schema/raw/master/csl-citation.json"}</w:instrText>
      </w:r>
      <w:r w:rsidR="006F6F7E" w:rsidRPr="00F92FF9">
        <w:rPr>
          <w:color w:val="000000" w:themeColor="text1"/>
        </w:rPr>
        <w:fldChar w:fldCharType="separate"/>
      </w:r>
      <w:r w:rsidR="0069166F" w:rsidRPr="00F92FF9">
        <w:rPr>
          <w:noProof/>
          <w:color w:val="000000" w:themeColor="text1"/>
          <w:vertAlign w:val="superscript"/>
        </w:rPr>
        <w:t>30</w:t>
      </w:r>
      <w:r w:rsidR="006F6F7E" w:rsidRPr="00F92FF9">
        <w:rPr>
          <w:color w:val="000000" w:themeColor="text1"/>
        </w:rPr>
        <w:fldChar w:fldCharType="end"/>
      </w:r>
      <w:r w:rsidR="006F6F7E" w:rsidRPr="00F92FF9">
        <w:rPr>
          <w:color w:val="000000" w:themeColor="text1"/>
        </w:rPr>
        <w:t xml:space="preserve">. </w:t>
      </w:r>
      <w:r w:rsidR="00100AF0" w:rsidRPr="00F92FF9">
        <w:rPr>
          <w:color w:val="000000" w:themeColor="text1"/>
        </w:rPr>
        <w:t>Similarly, studies in dementia cohorts demonstrate links with adverse cardiovascular phenotypes.</w:t>
      </w:r>
      <w:r w:rsidR="006721D5" w:rsidRPr="00F92FF9">
        <w:rPr>
          <w:color w:val="000000" w:themeColor="text1"/>
        </w:rPr>
        <w:t xml:space="preserve"> </w:t>
      </w:r>
      <w:r w:rsidR="00AC1871" w:rsidRPr="00F92FF9">
        <w:rPr>
          <w:color w:val="000000" w:themeColor="text1"/>
        </w:rPr>
        <w:t>Oh et al</w:t>
      </w:r>
      <w:r w:rsidR="00D86811" w:rsidRPr="00F92FF9">
        <w:rPr>
          <w:color w:val="000000" w:themeColor="text1"/>
        </w:rPr>
        <w:t>.</w:t>
      </w:r>
      <w:r w:rsidR="00D86811" w:rsidRPr="00F92FF9">
        <w:rPr>
          <w:color w:val="000000" w:themeColor="text1"/>
        </w:rPr>
        <w:fldChar w:fldCharType="begin" w:fldLock="1"/>
      </w:r>
      <w:r w:rsidRPr="00F92FF9">
        <w:rPr>
          <w:color w:val="000000" w:themeColor="text1"/>
          <w:lang w:val="de-DE"/>
        </w:rPr>
        <w:instrText>ADDIN CSL_CITATION {"citationItems":[{"id":"ITEM-1","itemData":{"DOI":"10.3988/jcn.2012.8.2.123","ISSN":"20055013","abstract":"Background and Purpose Cardiovascular risk factors are considered to also be risk factors for dementia. Recent studies have shown that the prevalence of cognitive dysfunction is high in patients with cardiac diseases. However, few studies have investigated the influence of cardiac function on cognition and brain structural changes in dementia. The aims of this study were to determine the relationship between cardiac and cognitive function, and to characterize any structural changes in the brain that could be caused by cardiac function in patients with dementia. Methods Dementia patients (n=93) were recruited prospectively with checking for the presence of vascular risk factors such as hypertension. Cognitive function was measured by the Mini-Mental State Examination, modified Mini-Mental State test, and Korean version of the Dementia Rating Scale. Brain magnetic resonance imaging was conducted to evaluate the cerebral white-matter changes (WMC), ventricular dilation, and cortical and hippocampal atrophy. Cardiac function was evaluated using two-dimensional echocardiography. We divided the patients into two groups according to the presence (+) or absence (-) of WMC. Results In the entire cohort, the size of the left atrium (LA) was positively correlated with the degree of WMC, irrespective of age (p&lt;0.05). The LA was larger in the WMC (+) group (n=42) than in the WMC (-) group. General cognitive function was significantly lower in the WMC (+) group than in the WMC (-) group. Subjects with an enlarged LA tended to exhibit lower cognitive function and more-severe cerebral WMC. Conclusions Cardiac dysfunction represented by LA enlargement could be related to cognitive decline and WMC of the brain resulting from impairment of the cerebral hemodynamic process in dementia. © Korean Neurological Association.","author":[{"dropping-particle":"","family":"Oh","given":"Ji Eun","non-dropping-particle":"","parse-names":false,"suffix":""},{"dropping-particle":"","family":"Shin","given":"Jong Wook","non-dropping-particle":"","parse-names":false,"suffix":""},{"dropping-particle":"","family":"Sohn","given":"Eun Hee","non-dropping-particle":"","parse-names":false,"suffix":""},{"dropping-particle":"","family":"Jung","given":"Jin Ok","non-dropping-particle":"","parse-names":false,"suffix":""},{"dropping-particle":"","family":"Jeong","given":"Seong Hae","non-dropping-particle":"","parse-names":false,"suffix":""},{"dropping-particle":"","family":"Song","given":"Hee Jung","non-dropping-particle":"","parse-names":false,"suffix":""},{"dropping-particle":"","family":"Kim","given":"Jae Moon","non-dropping-particle":"","parse-names":false,"suffix":""},{"dropping-particle":"","family":"Lee","given":"Ae Young","non-dropping-particle":"","parse-names":false,"suffix":""}],"container-title":"Journal of Clinical Neurology (Korea)","id":"ITEM-1","issue":"2","issued":{"date-parts":[["2012"]]},"page":"123-129","publisher":"Korean Neurological Association","title":"Effect of cardiac function on cognition and brain structural changes in dementia","type":"article-journal","volume":"8"},"uris":["http://www.mendeley.com/documents/?uuid=7bebfc31-e093-31c8-b124-4bad66f0a3cf"]}],"mendeley":{"formattedCitation":"&lt;sup&gt;31&lt;/sup&gt;","plainTextFormattedCitation":"31","previouslyFormattedCitation":"&lt;sup&gt;31&lt;/sup&gt;"},"properties":{"noteIndex":0},"schema":"https://github.com/citation-style-language/schema/raw/master/csl-citation.json"}</w:instrText>
      </w:r>
      <w:r w:rsidR="00D86811" w:rsidRPr="00F92FF9">
        <w:rPr>
          <w:color w:val="000000" w:themeColor="text1"/>
        </w:rPr>
        <w:fldChar w:fldCharType="separate"/>
      </w:r>
      <w:r w:rsidR="0069166F" w:rsidRPr="00F92FF9">
        <w:rPr>
          <w:noProof/>
          <w:color w:val="000000" w:themeColor="text1"/>
          <w:vertAlign w:val="superscript"/>
        </w:rPr>
        <w:t>31</w:t>
      </w:r>
      <w:r w:rsidR="00D86811" w:rsidRPr="00F92FF9">
        <w:rPr>
          <w:color w:val="000000" w:themeColor="text1"/>
        </w:rPr>
        <w:fldChar w:fldCharType="end"/>
      </w:r>
      <w:r w:rsidR="00AC1871" w:rsidRPr="00F92FF9">
        <w:rPr>
          <w:color w:val="000000" w:themeColor="text1"/>
        </w:rPr>
        <w:t xml:space="preserve"> describe </w:t>
      </w:r>
      <w:r w:rsidR="00A660BC" w:rsidRPr="00F92FF9">
        <w:rPr>
          <w:color w:val="000000" w:themeColor="text1"/>
        </w:rPr>
        <w:t>a correlation between</w:t>
      </w:r>
      <w:r w:rsidR="00AC1871" w:rsidRPr="00F92FF9">
        <w:rPr>
          <w:color w:val="000000" w:themeColor="text1"/>
        </w:rPr>
        <w:t xml:space="preserve"> </w:t>
      </w:r>
      <w:r w:rsidR="00014E2F" w:rsidRPr="00F92FF9">
        <w:rPr>
          <w:color w:val="000000" w:themeColor="text1"/>
        </w:rPr>
        <w:t xml:space="preserve">greater </w:t>
      </w:r>
      <w:r w:rsidR="00DC4AC2" w:rsidRPr="00F92FF9">
        <w:rPr>
          <w:color w:val="000000" w:themeColor="text1"/>
        </w:rPr>
        <w:t>left atrial</w:t>
      </w:r>
      <w:r w:rsidR="00AC1871" w:rsidRPr="00F92FF9">
        <w:rPr>
          <w:color w:val="000000" w:themeColor="text1"/>
        </w:rPr>
        <w:t xml:space="preserve"> enlargement</w:t>
      </w:r>
      <w:r w:rsidR="001B187E" w:rsidRPr="00F92FF9">
        <w:rPr>
          <w:color w:val="000000" w:themeColor="text1"/>
        </w:rPr>
        <w:t xml:space="preserve"> on echocardiography (an early indicator of raised filling pressures and diastolic dysfunction)</w:t>
      </w:r>
      <w:r w:rsidR="00AC1871" w:rsidRPr="00F92FF9">
        <w:rPr>
          <w:color w:val="000000" w:themeColor="text1"/>
        </w:rPr>
        <w:t xml:space="preserve"> </w:t>
      </w:r>
      <w:r w:rsidR="00A660BC" w:rsidRPr="00F92FF9">
        <w:rPr>
          <w:color w:val="000000" w:themeColor="text1"/>
        </w:rPr>
        <w:t>and</w:t>
      </w:r>
      <w:r w:rsidR="00AC1871" w:rsidRPr="00F92FF9">
        <w:rPr>
          <w:color w:val="000000" w:themeColor="text1"/>
        </w:rPr>
        <w:t xml:space="preserve"> </w:t>
      </w:r>
      <w:r w:rsidR="00802047" w:rsidRPr="00F92FF9">
        <w:rPr>
          <w:color w:val="000000" w:themeColor="text1"/>
        </w:rPr>
        <w:t>adverse</w:t>
      </w:r>
      <w:r w:rsidR="00AC1871" w:rsidRPr="00F92FF9">
        <w:rPr>
          <w:color w:val="000000" w:themeColor="text1"/>
        </w:rPr>
        <w:t xml:space="preserve"> white matter changes on brain </w:t>
      </w:r>
      <w:r w:rsidR="007F7303" w:rsidRPr="00F92FF9">
        <w:rPr>
          <w:color w:val="000000" w:themeColor="text1"/>
        </w:rPr>
        <w:t>magnetic resonance imaging</w:t>
      </w:r>
      <w:r w:rsidR="00014E2F" w:rsidRPr="00F92FF9">
        <w:rPr>
          <w:color w:val="000000" w:themeColor="text1"/>
        </w:rPr>
        <w:t xml:space="preserve"> in 93 patients with dementia</w:t>
      </w:r>
      <w:r w:rsidR="00AC1871" w:rsidRPr="00F92FF9">
        <w:rPr>
          <w:color w:val="000000" w:themeColor="text1"/>
        </w:rPr>
        <w:t xml:space="preserve">. </w:t>
      </w:r>
      <w:r w:rsidR="006721D5" w:rsidRPr="00F92FF9">
        <w:rPr>
          <w:color w:val="000000" w:themeColor="text1"/>
        </w:rPr>
        <w:t>T</w:t>
      </w:r>
      <w:r w:rsidR="00100AF0" w:rsidRPr="00F92FF9">
        <w:rPr>
          <w:color w:val="000000" w:themeColor="text1"/>
        </w:rPr>
        <w:t xml:space="preserve">wo </w:t>
      </w:r>
      <w:r w:rsidR="006721D5" w:rsidRPr="00F92FF9">
        <w:rPr>
          <w:color w:val="000000" w:themeColor="text1"/>
        </w:rPr>
        <w:t>other</w:t>
      </w:r>
      <w:r w:rsidR="00100AF0" w:rsidRPr="00F92FF9">
        <w:rPr>
          <w:color w:val="000000" w:themeColor="text1"/>
        </w:rPr>
        <w:t xml:space="preserve"> cohort studies demonstrate greater prevalence of diastolic dysfunction (assessed by echocardiography) </w:t>
      </w:r>
      <w:r w:rsidR="00100AF0" w:rsidRPr="00F92FF9">
        <w:rPr>
          <w:color w:val="000000" w:themeColor="text1"/>
        </w:rPr>
        <w:lastRenderedPageBreak/>
        <w:t>in individuals with Alzheimer’s disease compared to controls</w:t>
      </w:r>
      <w:r w:rsidR="00100AF0" w:rsidRPr="00F92FF9">
        <w:rPr>
          <w:color w:val="000000" w:themeColor="text1"/>
        </w:rPr>
        <w:fldChar w:fldCharType="begin" w:fldLock="1"/>
      </w:r>
      <w:r w:rsidRPr="00F92FF9">
        <w:rPr>
          <w:color w:val="000000" w:themeColor="text1"/>
        </w:rPr>
        <w:instrText>ADDIN CSL_CITATION {"citationItems":[{"id":"ITEM-1","itemData":{"DOI":"10.1016/j.jchf.2018.10.022","ISSN":"22131779","abstract":"Objectives: This case control study sought to assess the presence and characteristics of cardiac abnormalities in patients with Alzheimer disease (AD). Background: Protein misfolding is involved in the pathophysiology of neurodegenerative disorders such as AD. Recently, amyloid-beta (Aβ) aggregates were identified within the cardiomyocytes and interstitium of patients with AD, suggesting that Aβ oligomers may reach and damage the heart. Methods: The authors studied 32 patients with AD and 34 controls matched by age and sex, all of whom were free from cardiac or systemic diseases. A clinical evaluation, an electrocardiogram, and an echocardiogram were performed in all subjects. Furthermore, patients with AD underwent genetic analyses (of the PSEN1, PSEN2, APP, and APOE genes). Results: Compared to the control group, patients with AD had a higher prevalence of low-voltage electrocardiographic QRS complexes (28% vs. 3%, respectively; p = 0.004), a lower voltage/mass ratio (p = 0.05), a greater echocardiographic interventricular septum (10.1 ± 1.3 mm vs. 9.3 ± 1.1 mm, respectively; p = 0.01), a greater maximum wall thickness (10.8 ± 1.7 mm vs. 9.3 ± 1.1 mm, respectively; p = 0.0001), and a 2-fold higher prevalence of diastolic dysfunction (70% vs. 35%, respectively; p = 0.007). Symptoms and signs of heart failure were absent in all patients with AD. Conclusions: This study shows that electrocardiographic and echocardiographic abnormalities, including diastolic dysfunction, are present in patients with AD and that these studies reproduce the pattern of cardiac amyloidosis. These findings suggest that, in AD, there may be subclinical cardiac involvement likely associated with Aβ amyloid deposition. The clinical relevance of these cardiac abnormalities should be evaluated in larger prospective studies.","author":[{"dropping-particle":"","family":"Sanna","given":"Giuseppe D.","non-dropping-particle":"","parse-names":false,"suffix":""},{"dropping-particle":"","family":"Nusdeo","given":"Giuseppe","non-dropping-particle":"","parse-names":false,"suffix":""},{"dropping-particle":"","family":"Piras","given":"Maria Rita","non-dropping-particle":"","parse-names":false,"suffix":""},{"dropping-particle":"","family":"Forteleoni","given":"Antonietta","non-dropping-particle":"","parse-names":false,"suffix":""},{"dropping-particle":"","family":"Murru","given":"Maria Rita","non-dropping-particle":"","parse-names":false,"suffix":""},{"dropping-particle":"","family":"Saba","given":"Pier Sergio","non-dropping-particle":"","parse-names":false,"suffix":""},{"dropping-particle":"","family":"Dore","given":"Simone","non-dropping-particle":"","parse-names":false,"suffix":""},{"dropping-particle":"","family":"Sotgiu","given":"Giovanni","non-dropping-particle":"","parse-names":false,"suffix":""},{"dropping-particle":"","family":"Parodi","given":"Guido","non-dropping-particle":"","parse-names":false,"suffix":""},{"dropping-particle":"","family":"Ganau","given":"Antonello","non-dropping-particle":"","parse-names":false,"suffix":""}],"container-title":"JACC: Heart Failure","id":"ITEM-1","issue":"2","issued":{"date-parts":[["2019"]]},"page":"121-128","title":"Cardiac Abnormalities in Alzheimer Disease: Clinical Relevance Beyond Pathophysiological Rationale and Instrumental Findings?","type":"article-journal","volume":"7"},"uris":["http://www.mendeley.com/documents/?uuid=5af537e3-23a4-4faf-b0a6-197e1cb27854"]},{"id":"ITEM-2","itemData":{"DOI":"10.1016/j.jacc.2016.08.073","ISSN":"15583597","abstract":"Background Individually, heart failure (HF) and Alzheimer's disease (AD) are severe threats to population health, and their potential coexistence is an alarming prospect. In addition to sharing analogous epidemiological and genetic profiles, biochemical characteristics, and common triggers, the authors recently recognized common molecular and pathological features between the 2 conditions. Whereas cognitive impairment has been linked to HF through perfusion defects, angiopathy, and inflammation, whether patients with AD present with myocardial dysfunction, and if the 2 conditions bear a common pathogenesis as neglected siblings are unknown. Objectives Here, the authors investigated whether amyloid beta (Aβ) protein aggregates are present in the hearts of patients with a primary diagnosis of AD, affecting myocardial function. Methods The authors examined myocardial function in a retrospective cross-sectional study from a cohort of AD patients and age-matched controls. Imaging and proteomics approaches were used to identify and quantify Aβ deposits in AD heart and brain specimens compared with controls. Cell shortening and calcium transients were measured on isolated adult cardiomyocytes. Results Echocardiographic measurements of myocardial function suggest that patients with AD present with an anticipated diastolic dysfunction. As in the brain, Aβ40 and Aβ42 are present in the heart, and their expression is increased in AD. Conclusions Here, the authors provide the first report of the presence of compromised myocardial function and intramyocardial deposits of Aβ in AD patients. The findings depict a novel biological framework in which AD may be viewed either as a systemic disease or as a metastatic disorder leading to heart, and possibly multiorgan failure. AD and HF are both debilitating and life-threatening conditions, affecting enormous patient populations. Our findings underline a previously dismissed problem of a magnitude that will require new diagnostic approaches and treatments for brain and heart disease, and their combination.","author":[{"dropping-particle":"","family":"Troncone","given":"Luca","non-dropping-particle":"","parse-names":false,"suffix":""},{"dropping-particle":"","family":"Luciani","given":"Marco","non-dropping-particle":"","parse-names":false,"suffix":""},{"dropping-particle":"","family":"Coggins","given":"Matthew","non-dropping-particle":"","parse-names":false,"suffix":""},{"dropping-particle":"","family":"Wilker","given":"Elissa H.","non-dropping-particle":"","parse-names":false,"suffix":""},{"dropping-particle":"","family":"Ho","given":"Cheng Ying","non-dropping-particle":"","parse-names":false,"suffix":""},{"dropping-particle":"","family":"Codispoti","given":"Kari Elise","non-dropping-particle":"","parse-names":false,"suffix":""},{"dropping-particle":"","family":"Frosch","given":"Matthew P.","non-dropping-particle":"","parse-names":false,"suffix":""},{"dropping-particle":"","family":"Kayed","given":"Rakez","non-dropping-particle":"","parse-names":false,"suffix":""},{"dropping-particle":"","family":"Monte","given":"Federica","non-dropping-particle":"del","parse-names":false,"suffix":""}],"container-title":"Journal of the American College of Cardiology","id":"ITEM-2","issue":"22","issued":{"date-parts":[["2016","12","6"]]},"page":"2395-2407","publisher":"Elsevier USA","title":"Aβ Amyloid Pathology Affects the Hearts of Patients With Alzheimer's Disease: Mind the Heart","type":"article-journal","volume":"68"},"uris":["http://www.mendeley.com/documents/?uuid=dbfd761f-0f40-3001-97de-9bdd863e7d17"]}],"mendeley":{"formattedCitation":"&lt;sup&gt;32,33&lt;/sup&gt;","plainTextFormattedCitation":"32,33","previouslyFormattedCitation":"&lt;sup&gt;32,33&lt;/sup&gt;"},"properties":{"noteIndex":0},"schema":"https://github.com/citation-style-language/schema/raw/master/csl-citation.json"}</w:instrText>
      </w:r>
      <w:r w:rsidR="00100AF0" w:rsidRPr="00F92FF9">
        <w:rPr>
          <w:color w:val="000000" w:themeColor="text1"/>
        </w:rPr>
        <w:fldChar w:fldCharType="separate"/>
      </w:r>
      <w:r w:rsidR="0069166F" w:rsidRPr="00F92FF9">
        <w:rPr>
          <w:noProof/>
          <w:color w:val="000000" w:themeColor="text1"/>
          <w:vertAlign w:val="superscript"/>
        </w:rPr>
        <w:t>32,33</w:t>
      </w:r>
      <w:r w:rsidR="00100AF0" w:rsidRPr="00F92FF9">
        <w:rPr>
          <w:color w:val="000000" w:themeColor="text1"/>
        </w:rPr>
        <w:fldChar w:fldCharType="end"/>
      </w:r>
      <w:r w:rsidR="00100AF0" w:rsidRPr="00F92FF9">
        <w:rPr>
          <w:color w:val="000000" w:themeColor="text1"/>
        </w:rPr>
        <w:t xml:space="preserve">. Limited studies have examined associations with other cardiovascular phenotypes. </w:t>
      </w:r>
      <w:r w:rsidR="005B294F" w:rsidRPr="00F92FF9">
        <w:rPr>
          <w:color w:val="000000" w:themeColor="text1"/>
        </w:rPr>
        <w:t xml:space="preserve">In a cohort of 303 participants, </w:t>
      </w:r>
      <w:proofErr w:type="spellStart"/>
      <w:r w:rsidR="00C2378F" w:rsidRPr="00F92FF9">
        <w:rPr>
          <w:color w:val="000000" w:themeColor="text1"/>
        </w:rPr>
        <w:t>Manolio</w:t>
      </w:r>
      <w:proofErr w:type="spellEnd"/>
      <w:r w:rsidR="00C2378F" w:rsidRPr="00F92FF9">
        <w:rPr>
          <w:color w:val="000000" w:themeColor="text1"/>
        </w:rPr>
        <w:t xml:space="preserve"> et al.</w:t>
      </w:r>
      <w:r w:rsidR="00C2378F" w:rsidRPr="00F92FF9">
        <w:rPr>
          <w:color w:val="000000" w:themeColor="text1"/>
        </w:rPr>
        <w:fldChar w:fldCharType="begin" w:fldLock="1"/>
      </w:r>
      <w:r w:rsidRPr="00F92FF9">
        <w:rPr>
          <w:color w:val="000000" w:themeColor="text1"/>
        </w:rPr>
        <w:instrText>ADDIN CSL_CITATION {"citationItems":[{"id":"ITEM-1","itemData":{"DOI":"10.1161/01.STR.25.2.318","ISSN":"15244628","abstract":"Background and PurposeCerebral magnetic resonance imaging often detects abnormalities whose significance is unknown. The prevalence and correlates of findings such as ventricular enlargement, sulcal widening, and increased white matter signal intensity were examined in 303 men and women aged 65 to 95 years participating in a multicenter study of cardiovascular disease. MethodsCerebral magnetic resonance imaging was performed and interpreted according to a standard protocol, and findings were correlated with measures of cardiovascular disease and its risk factors. ResultsMeasures of cerebral atrophy increased with age and were greater in men than in women (each P&lt;.01). Ventricular enlargement and sulcal widening were associated with prior stroke, hypertension, diabetes, and white race (each P&lt;.03). Extent of white matter hyperintensity was associated with age, prior stroke, hypertension, and use of diuretics (each P&lt;.004). On multivariate analysis, age, male gender, white race, and prior stroke retained strong associations with increased ventricular and sulcal scores. After adjustment for age, prior stroke, and other risk factors, white matter hyperintensity was associated with atherosclerosis as measured by increased internal carotid artery thickness on ultrasound. ConclusionsCerebral atrophy and white matter hyperintensity are common in the elderly and are associated with age, prior stroke, and known cardiovascular risk factors. Though these findings have been suggested to represent normal aging, their wide variability and associations with cardiovascular disease argue against their inevitability with advancing age and support the need to identify modifiable risk factors for these abnormalities. (Stroke. 1994;25:318-327.). © 1994, Stroke. All Right Reserved.","author":[{"dropping-particle":"","family":"Manolio","given":"Teri A.","non-dropping-particle":"","parse-names":false,"suffix":""},{"dropping-particle":"","family":"Kronmal","given":"Richard A.","non-dropping-particle":"","parse-names":false,"suffix":""},{"dropping-particle":"","family":"Burke","given":"Gregory L.","non-dropping-particle":"","parse-names":false,"suffix":""},{"dropping-particle":"","family":"Poirier","given":"Virginia","non-dropping-particle":"","parse-names":false,"suffix":""},{"dropping-particle":"","family":"O’Leary","given":"Daniel H.","non-dropping-particle":"","parse-names":false,"suffix":""},{"dropping-particle":"","family":"Gardin","given":"Julius M.","non-dropping-particle":"","parse-names":false,"suffix":""},{"dropping-particle":"","family":"Fried","given":"Linda P.","non-dropping-particle":"","parse-names":false,"suffix":""},{"dropping-particle":"","family":"Steinberg","given":"Earl P.","non-dropping-particle":"","parse-names":false,"suffix":""},{"dropping-particle":"","family":"Bryan","given":"R. Nick","non-dropping-particle":"","parse-names":false,"suffix":""}],"container-title":"Stroke","id":"ITEM-1","issue":"2","issued":{"date-parts":[["1994"]]},"page":"318-327","publisher":"Stroke","title":"Magnetic resonance abnormalities and cardiovascular disease in older adults the cardiovascular health study","type":"article-journal","volume":"25"},"uris":["http://www.mendeley.com/documents/?uuid=f06fcdf2-ae21-37da-8f9e-b0037ed963a2"]}],"mendeley":{"formattedCitation":"&lt;sup&gt;34&lt;/sup&gt;","plainTextFormattedCitation":"34","previouslyFormattedCitation":"&lt;sup&gt;34&lt;/sup&gt;"},"properties":{"noteIndex":0},"schema":"https://github.com/citation-style-language/schema/raw/master/csl-citation.json"}</w:instrText>
      </w:r>
      <w:r w:rsidR="00C2378F" w:rsidRPr="00F92FF9">
        <w:rPr>
          <w:color w:val="000000" w:themeColor="text1"/>
        </w:rPr>
        <w:fldChar w:fldCharType="separate"/>
      </w:r>
      <w:r w:rsidR="0069166F" w:rsidRPr="00F92FF9">
        <w:rPr>
          <w:noProof/>
          <w:color w:val="000000" w:themeColor="text1"/>
          <w:vertAlign w:val="superscript"/>
        </w:rPr>
        <w:t>34</w:t>
      </w:r>
      <w:r w:rsidR="00C2378F" w:rsidRPr="00F92FF9">
        <w:rPr>
          <w:color w:val="000000" w:themeColor="text1"/>
        </w:rPr>
        <w:fldChar w:fldCharType="end"/>
      </w:r>
      <w:r w:rsidR="00C2378F" w:rsidRPr="00F92FF9">
        <w:rPr>
          <w:color w:val="000000" w:themeColor="text1"/>
        </w:rPr>
        <w:t xml:space="preserve"> </w:t>
      </w:r>
      <w:r w:rsidR="00802047" w:rsidRPr="00F92FF9">
        <w:rPr>
          <w:color w:val="000000" w:themeColor="text1"/>
        </w:rPr>
        <w:t xml:space="preserve">report </w:t>
      </w:r>
      <w:r w:rsidR="00C2378F" w:rsidRPr="00F92FF9">
        <w:rPr>
          <w:color w:val="000000" w:themeColor="text1"/>
        </w:rPr>
        <w:t>a</w:t>
      </w:r>
      <w:r w:rsidR="00802047" w:rsidRPr="00F92FF9">
        <w:rPr>
          <w:color w:val="000000" w:themeColor="text1"/>
        </w:rPr>
        <w:t>ssociation of</w:t>
      </w:r>
      <w:r w:rsidR="00C2378F" w:rsidRPr="00F92FF9">
        <w:rPr>
          <w:color w:val="000000" w:themeColor="text1"/>
        </w:rPr>
        <w:t xml:space="preserve"> </w:t>
      </w:r>
      <w:r w:rsidR="005B294F" w:rsidRPr="00F92FF9">
        <w:rPr>
          <w:color w:val="000000" w:themeColor="text1"/>
        </w:rPr>
        <w:t xml:space="preserve">greater </w:t>
      </w:r>
      <w:r w:rsidR="00C2378F" w:rsidRPr="00F92FF9">
        <w:rPr>
          <w:color w:val="000000" w:themeColor="text1"/>
        </w:rPr>
        <w:t xml:space="preserve">cerebral atrophy on brain MRI with </w:t>
      </w:r>
      <w:r w:rsidR="005B294F" w:rsidRPr="00F92FF9">
        <w:rPr>
          <w:color w:val="000000" w:themeColor="text1"/>
        </w:rPr>
        <w:t xml:space="preserve">greater </w:t>
      </w:r>
      <w:r w:rsidR="00C2378F" w:rsidRPr="00F92FF9">
        <w:rPr>
          <w:color w:val="000000" w:themeColor="text1"/>
        </w:rPr>
        <w:t>internal carotid artery thickness on ultrasound (a marker of atherosclerosis risk).</w:t>
      </w:r>
      <w:r w:rsidR="00802047" w:rsidRPr="00F92FF9">
        <w:rPr>
          <w:color w:val="000000" w:themeColor="text1"/>
        </w:rPr>
        <w:t xml:space="preserve"> </w:t>
      </w:r>
    </w:p>
    <w:p w14:paraId="0FF984F4" w14:textId="77777777" w:rsidR="00C0397A" w:rsidRPr="00F92FF9" w:rsidRDefault="00C0397A" w:rsidP="006F6F7E">
      <w:pPr>
        <w:rPr>
          <w:color w:val="000000" w:themeColor="text1"/>
        </w:rPr>
      </w:pPr>
    </w:p>
    <w:p w14:paraId="39309392" w14:textId="546249FB" w:rsidR="006F6F7E" w:rsidRPr="00F92FF9" w:rsidRDefault="006F6F7E" w:rsidP="006F6F7E">
      <w:pPr>
        <w:rPr>
          <w:color w:val="000000" w:themeColor="text1"/>
        </w:rPr>
      </w:pPr>
      <w:r w:rsidRPr="00F92FF9">
        <w:rPr>
          <w:color w:val="000000" w:themeColor="text1"/>
        </w:rPr>
        <w:t>Whilst direct comparisons with our study are not possible, in general, existing work supports associations between adverse cardiovascular phenotypes and poorer cognitive function metrics. In particular, there is evidence to support association of poor</w:t>
      </w:r>
      <w:r w:rsidR="00C1537A" w:rsidRPr="00F92FF9">
        <w:rPr>
          <w:color w:val="000000" w:themeColor="text1"/>
        </w:rPr>
        <w:t>er</w:t>
      </w:r>
      <w:r w:rsidRPr="00F92FF9">
        <w:rPr>
          <w:color w:val="000000" w:themeColor="text1"/>
        </w:rPr>
        <w:t xml:space="preserve"> cognitive function </w:t>
      </w:r>
      <w:r w:rsidR="00C1537A" w:rsidRPr="00F92FF9">
        <w:rPr>
          <w:color w:val="000000" w:themeColor="text1"/>
        </w:rPr>
        <w:t>indices with</w:t>
      </w:r>
      <w:r w:rsidRPr="00F92FF9">
        <w:rPr>
          <w:color w:val="000000" w:themeColor="text1"/>
        </w:rPr>
        <w:t xml:space="preserve"> heart failure, which is </w:t>
      </w:r>
      <w:r w:rsidR="001B187E" w:rsidRPr="00F92FF9">
        <w:rPr>
          <w:color w:val="000000" w:themeColor="text1"/>
        </w:rPr>
        <w:t>perhaps</w:t>
      </w:r>
      <w:r w:rsidRPr="00F92FF9">
        <w:rPr>
          <w:color w:val="000000" w:themeColor="text1"/>
        </w:rPr>
        <w:t xml:space="preserve"> more pronounced in those with diastolic heart failure</w:t>
      </w:r>
      <w:r w:rsidRPr="00F92FF9">
        <w:rPr>
          <w:color w:val="000000" w:themeColor="text1"/>
        </w:rPr>
        <w:fldChar w:fldCharType="begin" w:fldLock="1"/>
      </w:r>
      <w:r w:rsidR="00E226A1" w:rsidRPr="00F92FF9">
        <w:rPr>
          <w:color w:val="000000" w:themeColor="text1"/>
        </w:rPr>
        <w:instrText>ADDIN CSL_CITATION {"citationItems":[{"id":"ITEM-1","itemData":{"DOI":"10.1016/j.ijcard.2008.04.099","ISSN":"01675273","abstract":"Objective: The relationship between left ventricular (LV) systolic dysfunction and cognitive impairment (CI) has been discussed. The present study was performed to elucidate the relation between cognitive function and LV diastolic dysfunction in patients with various cardiovascular diseases. Methods and results: The Mini-Mental State Examination (MMSE) and echocardiography with tissue Doppler analysis were performed in 81 patients with various cardiovascular diseases and preserved LV ejection fraction (EF &gt; 40%). Among them, 13 patients exhibited CI (MMSE score &lt; 24) and the remaining 68 did not (MMSE score ≥ 24). Brain natriuretic peptide (BNP) levels were elevated in those with CI, compared with those without (CI: 137 ± 142 pg/ml vs. no CI: 60 ± 49 pg/ml, p &lt; 0.007). The ratio of early diastolic mitral inflow velocity to early mitral annular myocardial velocity by tissue Doppler was elevated in those with CI, compared with those without (CI: 6.1 ± 1.3 vs. no CI: 4.6 ± 1.3, p &lt; 0.0003). The prevalence of diabetes mellitus was also higher in those with CI (CI: 46% vs. no CI: 18%, p &lt; 0.025). Conclusions: The occurrence of cognitive impairment increased with the prevalence of diabetes in elderly patients with cardiovascular diseases and deteriorated LV diastolic dysfunction. © 2008 Elsevier Ireland Ltd. All rights reserved.","author":[{"dropping-particle":"","family":"Suwa","given":"Michihiro","non-dropping-particle":"","parse-names":false,"suffix":""},{"dropping-particle":"","family":"Ito","given":"Takahide","non-dropping-particle":"","parse-names":false,"suffix":""}],"container-title":"International Journal of Cardiology","id":"ITEM-1","issue":"3","issued":{"date-parts":[["2009","8","21"]]},"page":"351-354","publisher":"Int J Cardiol","title":"Correlation between cognitive impairment and left ventricular diastolic dysfunction in patients with cardiovascular diseases","type":"article-journal","volume":"136"},"uris":["http://www.mendeley.com/documents/?uuid=52a6287c-a5c8-3962-b998-b9a338e99071"]}],"mendeley":{"formattedCitation":"&lt;sup&gt;35&lt;/sup&gt;","plainTextFormattedCitation":"35","previouslyFormattedCitation":"&lt;sup&gt;35&lt;/sup&gt;"},"properties":{"noteIndex":0},"schema":"https://github.com/citation-style-language/schema/raw/master/csl-citation.json"}</w:instrText>
      </w:r>
      <w:r w:rsidRPr="00F92FF9">
        <w:rPr>
          <w:color w:val="000000" w:themeColor="text1"/>
        </w:rPr>
        <w:fldChar w:fldCharType="separate"/>
      </w:r>
      <w:r w:rsidR="0069166F" w:rsidRPr="00F92FF9">
        <w:rPr>
          <w:noProof/>
          <w:color w:val="000000" w:themeColor="text1"/>
          <w:vertAlign w:val="superscript"/>
        </w:rPr>
        <w:t>35</w:t>
      </w:r>
      <w:r w:rsidRPr="00F92FF9">
        <w:rPr>
          <w:color w:val="000000" w:themeColor="text1"/>
        </w:rPr>
        <w:fldChar w:fldCharType="end"/>
      </w:r>
      <w:r w:rsidRPr="00F92FF9">
        <w:rPr>
          <w:color w:val="000000" w:themeColor="text1"/>
        </w:rPr>
        <w:t xml:space="preserve">. </w:t>
      </w:r>
      <w:r w:rsidR="005B294F" w:rsidRPr="00F92FF9">
        <w:rPr>
          <w:color w:val="000000" w:themeColor="text1"/>
        </w:rPr>
        <w:t>This is c</w:t>
      </w:r>
      <w:r w:rsidRPr="00F92FF9">
        <w:rPr>
          <w:color w:val="000000" w:themeColor="text1"/>
        </w:rPr>
        <w:t xml:space="preserve">onsistent with </w:t>
      </w:r>
      <w:r w:rsidR="005B294F" w:rsidRPr="00F92FF9">
        <w:rPr>
          <w:color w:val="000000" w:themeColor="text1"/>
        </w:rPr>
        <w:t>our</w:t>
      </w:r>
      <w:r w:rsidRPr="00F92FF9">
        <w:rPr>
          <w:color w:val="000000" w:themeColor="text1"/>
        </w:rPr>
        <w:t xml:space="preserve"> findings</w:t>
      </w:r>
      <w:r w:rsidR="005B294F" w:rsidRPr="00F92FF9">
        <w:rPr>
          <w:color w:val="000000" w:themeColor="text1"/>
        </w:rPr>
        <w:t xml:space="preserve"> demonstrating </w:t>
      </w:r>
      <w:r w:rsidRPr="00F92FF9">
        <w:rPr>
          <w:color w:val="000000" w:themeColor="text1"/>
        </w:rPr>
        <w:t>association of poorer cognitive function with smaller LV</w:t>
      </w:r>
      <w:r w:rsidR="003C3BEF" w:rsidRPr="00F92FF9">
        <w:rPr>
          <w:color w:val="000000" w:themeColor="text1"/>
        </w:rPr>
        <w:t>/</w:t>
      </w:r>
      <w:r w:rsidRPr="00F92FF9">
        <w:rPr>
          <w:color w:val="000000" w:themeColor="text1"/>
        </w:rPr>
        <w:t>RV cavities and lower LV/RV stroke volumes</w:t>
      </w:r>
      <w:r w:rsidR="005B294F" w:rsidRPr="00F92FF9">
        <w:rPr>
          <w:color w:val="000000" w:themeColor="text1"/>
        </w:rPr>
        <w:t>. Overall, this patte</w:t>
      </w:r>
      <w:r w:rsidR="001F3A32" w:rsidRPr="00F92FF9">
        <w:rPr>
          <w:color w:val="000000" w:themeColor="text1"/>
        </w:rPr>
        <w:t>r</w:t>
      </w:r>
      <w:r w:rsidR="005B294F" w:rsidRPr="00F92FF9">
        <w:rPr>
          <w:color w:val="000000" w:themeColor="text1"/>
        </w:rPr>
        <w:t>n of association</w:t>
      </w:r>
      <w:r w:rsidR="00E2502B" w:rsidRPr="00F92FF9">
        <w:rPr>
          <w:color w:val="000000" w:themeColor="text1"/>
        </w:rPr>
        <w:t>s</w:t>
      </w:r>
      <w:r w:rsidR="005B294F" w:rsidRPr="00F92FF9">
        <w:rPr>
          <w:color w:val="000000" w:themeColor="text1"/>
        </w:rPr>
        <w:t xml:space="preserve"> is suggestive of </w:t>
      </w:r>
      <w:r w:rsidRPr="00F92FF9">
        <w:rPr>
          <w:color w:val="000000" w:themeColor="text1"/>
        </w:rPr>
        <w:t>an adverse remodelling phenotype</w:t>
      </w:r>
      <w:r w:rsidR="005B294F" w:rsidRPr="00F92FF9">
        <w:rPr>
          <w:color w:val="000000" w:themeColor="text1"/>
        </w:rPr>
        <w:t xml:space="preserve"> most in keeping with </w:t>
      </w:r>
      <w:r w:rsidRPr="00F92FF9">
        <w:rPr>
          <w:color w:val="000000" w:themeColor="text1"/>
        </w:rPr>
        <w:t xml:space="preserve">a </w:t>
      </w:r>
      <w:proofErr w:type="spellStart"/>
      <w:r w:rsidR="00850E81" w:rsidRPr="00F92FF9">
        <w:rPr>
          <w:color w:val="000000" w:themeColor="text1"/>
        </w:rPr>
        <w:t>HF</w:t>
      </w:r>
      <w:r w:rsidR="00A60CB0" w:rsidRPr="00F92FF9">
        <w:rPr>
          <w:color w:val="000000" w:themeColor="text1"/>
        </w:rPr>
        <w:t>p</w:t>
      </w:r>
      <w:r w:rsidR="00850E81" w:rsidRPr="00F92FF9">
        <w:rPr>
          <w:color w:val="000000" w:themeColor="text1"/>
        </w:rPr>
        <w:t>EF</w:t>
      </w:r>
      <w:proofErr w:type="spellEnd"/>
      <w:r w:rsidRPr="00F92FF9">
        <w:rPr>
          <w:color w:val="000000" w:themeColor="text1"/>
        </w:rPr>
        <w:t xml:space="preserve"> pattern of dysfunction</w:t>
      </w:r>
      <w:r w:rsidR="005B294F" w:rsidRPr="00F92FF9">
        <w:rPr>
          <w:color w:val="000000" w:themeColor="text1"/>
        </w:rPr>
        <w:t xml:space="preserve">, in which diastolic impairment is </w:t>
      </w:r>
      <w:r w:rsidR="001B187E" w:rsidRPr="00F92FF9">
        <w:rPr>
          <w:color w:val="000000" w:themeColor="text1"/>
        </w:rPr>
        <w:t xml:space="preserve">a </w:t>
      </w:r>
      <w:r w:rsidR="005B294F" w:rsidRPr="00F92FF9">
        <w:rPr>
          <w:color w:val="000000" w:themeColor="text1"/>
        </w:rPr>
        <w:t>prominent</w:t>
      </w:r>
      <w:r w:rsidR="001B187E" w:rsidRPr="00F92FF9">
        <w:rPr>
          <w:color w:val="000000" w:themeColor="text1"/>
        </w:rPr>
        <w:t xml:space="preserve"> feature</w:t>
      </w:r>
      <w:r w:rsidR="005B294F" w:rsidRPr="00F92FF9">
        <w:rPr>
          <w:color w:val="000000" w:themeColor="text1"/>
        </w:rPr>
        <w:t xml:space="preserve">. </w:t>
      </w:r>
    </w:p>
    <w:p w14:paraId="5254D3B3" w14:textId="77777777" w:rsidR="00F953E7" w:rsidRPr="00F92FF9" w:rsidRDefault="00F953E7">
      <w:pPr>
        <w:rPr>
          <w:b/>
          <w:bCs/>
          <w:color w:val="000000" w:themeColor="text1"/>
        </w:rPr>
      </w:pPr>
    </w:p>
    <w:p w14:paraId="21C4D727" w14:textId="397B82C7" w:rsidR="00594F15" w:rsidRPr="00F92FF9" w:rsidRDefault="00594F15">
      <w:pPr>
        <w:rPr>
          <w:b/>
          <w:bCs/>
          <w:color w:val="000000" w:themeColor="text1"/>
        </w:rPr>
      </w:pPr>
      <w:r w:rsidRPr="00F92FF9">
        <w:rPr>
          <w:b/>
          <w:bCs/>
          <w:color w:val="000000" w:themeColor="text1"/>
        </w:rPr>
        <w:t>Potential underlying mechanisms</w:t>
      </w:r>
    </w:p>
    <w:p w14:paraId="6E3FCDF0" w14:textId="414D7183" w:rsidR="000048DF" w:rsidRPr="00F92FF9" w:rsidRDefault="00590209" w:rsidP="000048DF">
      <w:pPr>
        <w:rPr>
          <w:color w:val="000000" w:themeColor="text1"/>
        </w:rPr>
      </w:pPr>
      <w:r w:rsidRPr="00F92FF9">
        <w:rPr>
          <w:color w:val="000000" w:themeColor="text1"/>
        </w:rPr>
        <w:t>Numerous studies highlight links between individual cardiovascular risk factors (diabetes, high cholesterol, smoking, hypertension, obesity) and worse cognitive performance</w:t>
      </w:r>
      <w:r w:rsidRPr="00F92FF9">
        <w:rPr>
          <w:color w:val="000000" w:themeColor="text1"/>
        </w:rPr>
        <w:fldChar w:fldCharType="begin" w:fldLock="1"/>
      </w:r>
      <w:r w:rsidR="00E226A1" w:rsidRPr="00F92FF9">
        <w:rPr>
          <w:color w:val="000000" w:themeColor="text1"/>
        </w:rPr>
        <w:instrText>ADDIN CSL_CITATION {"citationItems":[{"id":"ITEM-1","itemData":{"DOI":"10.1371/journal.pone.0004144","ISSN":"19326203","PMID":"19127292","abstract":"Background: Observational studies suggested an association between diabetes and the risk of various geriatric conditions (i.e., cognitive impairment, dementia, depression, mobility impairment, disability, falls, and urinary incontinence). However, the magnitude and impact of diabetes on older adults have not been reviewed. Methodology/Principal Findings: MEDLINE and PSYCINFO databases were searched through November 2007 for published studies, supplemented by manual searches of bibliographies of key articles. Population-based, prospective cohort studies that reported risk of geriatric outcomes in relation to diabetes status at baseline were selected. Two authors independently extracted the data, including study population and follow-up duration, ascertainment of diabetes status at baseline, outcomes of interest and their ascertainment, adjusted covariates, measures of association, and brief results. Fifteen studies examined the association of DM with cognitive dysfunction. DM was associated with a faster decline in cognitive function among older adults. The pooled adjusted risk ratio (RR) for all dementia when persons with DM were compared to those without was 1.47 (95% CI, 1.25 to 1.73). Summary RRs for Alzheimer's disease and vascular dementia comparing persons with DM to those without were 1.39 (CI, 1.16 to 1.66) and 2.38 (CI, 1.79 to 3.18), respectively. Four of 5 studies found significant association of DM with faster mobility decline and incident disability. Two studies examined the association of diabetes with falls in older women. Both found statistically significant associations. Insulin users had higher RR for recurrent falls. One study for urinary incontinence in older women found statistically significant associations. Two studies for depression did not suggest that DM was an independent predictor of incident depression. Conclusions/Significance: Current evidence supports that DM is associated with increased risk for selected geriatric conditions. Clinicians should increase their awareness and provide appropriate care. Future research is required to elucidate the underlying pathological pathway. © 2009 Lu et al.","author":[{"dropping-particle":"","family":"Lu","given":"Feng Ping","non-dropping-particle":"","parse-names":false,"suffix":""},{"dropping-particle":"","family":"Lin","given":"Kun Pei","non-dropping-particle":"","parse-names":false,"suffix":""},{"dropping-particle":"","family":"Kuo","given":"Hsu Ko","non-dropping-particle":"","parse-names":false,"suffix":""}],"container-title":"PLoS ONE","id":"ITEM-1","issue":"1","issued":{"date-parts":[["2009","1","7"]]},"publisher":"PLoS One","title":"Diabetes and the risk of multi-system aging phenotypes: A systematic review and meta-analysis","type":"article-journal","volume":"4"},"uris":["http://www.mendeley.com/documents/?uuid=4ef55843-db0c-3673-9ff4-ac23fddb70ae"]},{"id":"ITEM-2","itemData":{"DOI":"10.1186/1471-2318-8-36","ISSN":"14712318","PMID":"19105840","abstract":"Background. Nicotine may aid reaction time, learning and memory, but smoking increases cardiovascular risk. Cardiovascular risk factors have been linked to increased risk of dementia. A previous meta-analysis found that current smokers were at higher risk of subsequent dementia, Alzheimer's disease, vascular dementia and cognitive decline. Methods. In order to update and examine this further a systematic review and meta-analysis was carried out using different search and inclusion criteria, database selection and more recent publications. Both reviews were restricted to those aged 65 and over. Results. The review reported here found a significantly increased risk of Alzheimer's disease with current smoking and a likely but not significantly increased risk of vascular dementia, dementia unspecified and cognitive decline. Neither review found clear relationships with former smoking. Conclusion. Current smoking increases risk of Alzheimer's disease and may increase risk of other dementias. This reinforces need for smoking cessation, particularly aged 65 and over. Nicotine alone needs further investigation. © 2008 Peters et al; licensee BioMed Central Ltd.","author":[{"dropping-particle":"","family":"Peters","given":"Ruth","non-dropping-particle":"","parse-names":false,"suffix":""},{"dropping-particle":"","family":"Poulter","given":"Ruth","non-dropping-particle":"","parse-names":false,"suffix":""},{"dropping-particle":"","family":"Warner","given":"James","non-dropping-particle":"","parse-names":false,"suffix":""},{"dropping-particle":"","family":"Beckett","given":"Nigel","non-dropping-particle":"","parse-names":false,"suffix":""},{"dropping-particle":"","family":"Burch","given":"Lisa","non-dropping-particle":"","parse-names":false,"suffix":""},{"dropping-particle":"","family":"Bulpitt","given":"Chris","non-dropping-particle":"","parse-names":false,"suffix":""}],"container-title":"BMC Geriatrics","id":"ITEM-2","issued":{"date-parts":[["2008"]]},"page":"36","publisher":"BMC Geriatr","title":"Smoking, dementia and cognitive decline in the elderly, a systematic review","type":"article-journal","volume":"8"},"uris":["http://www.mendeley.com/documents/?uuid=2209596b-c08a-3177-a690-019f1b1d7e3d"]},{"id":"ITEM-3","itemData":{"DOI":"10.1097/jgp.0b013e31816b72d4","ISSN":"1064-7481","abstract":"The relationships between total serum cholesterol (TC) and dementia and between TC and cognitive decline were investigated in a systematic review of 18 prospective studies. Follow-ups ranged from 3 to 29 years, and included a total of 14,331 participants evaluated for Alzheimer disease (AD), 9,458 participants evaluated for Vascular dementia (VaD), 1,893 participants evaluated for cognitive decline, and 4,793 participants evaluated for cognitive impairment. Compatible results were pooled using meta-analysis. Consistent associations between high midlife TC and increased risk of AD, and high midlife TC and increased risk of any dementia were found. There was no evidence supporting an association between late-life TC and AD, or between late-life TC and any dementia. No study reported a significant association between TC (measured in midlife or late-life) and VaD. An association between high midlife TC and cognitive impairment was found but there was only weak evidence for an association between TC and cognitive decline. Two of seven studies reporting data on the interaction between TC and apolipoprotein e4-allele had significant effects. Results suggest the effect of TC on dementia risk occurs in midlife but not late-life, and that there may be different cardiovascular risk factor profiles for AD and VaD. Results from additional studies involving long-term follow-up of midlife samples will allow for clarification of the association between age, TC and risk of specific types of dementia. These data are required to inform recommendations of modulation of cholesterol to reduce or delay dementia risk.","author":[{"dropping-particle":"","family":"Anstey","given":"K. J.","non-dropping-particle":"","parse-names":false,"suffix":""},{"dropping-particle":"","family":"Lipnicki","given":"D. M.","non-dropping-particle":"","parse-names":false,"suffix":""},{"dropping-particle":"","family":"Low","given":"L.-F.","non-dropping-particle":"","parse-names":false,"suffix":""}],"container-title":"American Journal of Geriatric Psychiatry","id":"ITEM-3","issue":"5","issued":{"date-parts":[["2008","5","1"]]},"page":"343-354","publisher":"Elsevier BV","title":"Cholesterol as a Risk Factor for Dementia and Cognitive Decline: A Systematic Review of Prospective Studies With Meta-Analysis","type":"article-journal","volume":"16"},"uris":["http://www.mendeley.com/documents/?uuid=24fb1e3d-2416-3247-9d10-11aa697d08ab"]},{"id":"ITEM-4","itemData":{"DOI":"10.1038/nrcardio.2010.161","ISSN":"17595002","PMID":"20978471","abstract":"The relationship between blood pressure (BP) and cognitive outcomes in elderly adults has implications for global health care. Both hypertension and hypotension affect brain perfusion and worsen cognitive outcomes. The presence of hypertension and other vascular risk factors has been associated with decreased performance in executive function and attention tests. Cerebrovascular reserve has emerged as a potential biomarker for monitoring pressure-perfusion-cognition relationships. A decline in vascular reserve capacity can lead to impaired neurovascular coupling and decreased cognitive ability. Endothelial dysfunction, microvascular disease, and mascrovascular disease in midlife could also have an important role in the manifestations and severity of multiple medical conditions underlying cognitive decline late in life. However, questions remain about the role of antihypertensive therapies for long-term prevention of cognitive decline. In this Review, we address the underlying pathophysiology and the existing evidence supporting the role of vascular factors in late-life cognitive decline. © 2010 Macmillan Publishers Limited. All rights reserved.","author":[{"dropping-particle":"","family":"Novak","given":"Vera","non-dropping-particle":"","parse-names":false,"suffix":""},{"dropping-particle":"","family":"Hajjar","given":"Ihab","non-dropping-particle":"","parse-names":false,"suffix":""}],"container-title":"Nature Reviews Cardiology","id":"ITEM-4","issue":"12","issued":{"date-parts":[["2010","12"]]},"page":"686-698","publisher":"Nat Rev Cardiol","title":"The relationship between blood pressure and cognitive function","type":"article-journal","volume":"7"},"uris":["http://www.mendeley.com/documents/?uuid=614aaa3e-5307-34f3-8dff-72269aa49a04"]},{"id":"ITEM-5","itemData":{"DOI":"10.1111/j.1467-789X.2010.00825.x","ISSN":"1467789X","PMID":"21348917","abstract":"The relationship between body mass index (BMI) (in midlife and late-life) and dementia was investigated in meta-analyses of 16 articles reporting on 15 prospective studies. Follow-ups ranged from 3.2 to 36.0 years. Meta-analyses were conducted on samples including 25624 participants evaluated for Alzheimer's disease (AD), 15435 participants evaluated for vascular dementia (VaD) and 30470 followed for any type of dementia (Any Dementia). Low BMI in midlife was associated with 1.96 [95% confidence interval (CI): 1.32, 2.92] times the risk of developing AD. The pooled relative risks for AD, VaD and Any Dementia for overweight BMI in midlife compared with normal BMI were 1.35 (95% CI:1.19, 1.54), 1.33 (95% CI: 1.02, 1.75) and 1.26 (95% CI: 1.10, 1.44), respectively. The pooled relative risks of AD and Any Dementia for obese BMI in midlife compared to normal BMI were 2.04 (95% CI: 1.59, 2.62) and 1.64 (95% CI: 1.34, 2.00), respectively. Continuous BMI in late-life was not associated with dementia. Small numbers of studies included in pooled analyses reduce generalizability of findings, and emphasize the need for publication of additional findings. We conclude that underweight, overweight and obesity in midlife increase dementia risk. Further research evaluating late-life BMI and dementia is required. © 2011 The Authors. obesity reviews © 2011 International Association for the Study of Obesity.","author":[{"dropping-particle":"","family":"Anstey","given":"K. J.","non-dropping-particle":"","parse-names":false,"suffix":""},{"dropping-particle":"","family":"Cherbuin","given":"N.","non-dropping-particle":"","parse-names":false,"suffix":""},{"dropping-particle":"","family":"Budge","given":"M.","non-dropping-particle":"","parse-names":false,"suffix":""},{"dropping-particle":"","family":"Young","given":"J.","non-dropping-particle":"","parse-names":false,"suffix":""}],"container-title":"Obesity Reviews","id":"ITEM-5","issue":"5","issued":{"date-parts":[["2011"]]},"publisher":"Blackwell Publishing Ltd","title":"Body mass index in midlife and late-life as a risk factor for dementia: A meta-analysis of prospective studies","type":"article-journal","volume":"12"},"uris":["http://www.mendeley.com/documents/?uuid=d907ef51-2c0b-32ba-93ad-19be91df1660"]}],"mendeley":{"formattedCitation":"&lt;sup&gt;36–40&lt;/sup&gt;","plainTextFormattedCitation":"36–40","previouslyFormattedCitation":"&lt;sup&gt;36–40&lt;/sup&gt;"},"properties":{"noteIndex":0},"schema":"https://github.com/citation-style-language/schema/raw/master/csl-citation.json"}</w:instrText>
      </w:r>
      <w:r w:rsidRPr="00F92FF9">
        <w:rPr>
          <w:color w:val="000000" w:themeColor="text1"/>
        </w:rPr>
        <w:fldChar w:fldCharType="separate"/>
      </w:r>
      <w:r w:rsidR="0069166F" w:rsidRPr="00F92FF9">
        <w:rPr>
          <w:noProof/>
          <w:color w:val="000000" w:themeColor="text1"/>
          <w:vertAlign w:val="superscript"/>
        </w:rPr>
        <w:t>36–40</w:t>
      </w:r>
      <w:r w:rsidRPr="00F92FF9">
        <w:rPr>
          <w:color w:val="000000" w:themeColor="text1"/>
        </w:rPr>
        <w:fldChar w:fldCharType="end"/>
      </w:r>
      <w:r w:rsidRPr="00F92FF9">
        <w:rPr>
          <w:color w:val="000000" w:themeColor="text1"/>
        </w:rPr>
        <w:t xml:space="preserve">. </w:t>
      </w:r>
      <w:r w:rsidR="00201AC1" w:rsidRPr="00F92FF9">
        <w:rPr>
          <w:color w:val="000000" w:themeColor="text1"/>
        </w:rPr>
        <w:t>Furthermore, association of cardiovascular risk factors and subclinical cardiovascular disease with worse cognition and dementia has been demonstrated in m</w:t>
      </w:r>
      <w:r w:rsidR="006571C9" w:rsidRPr="00F92FF9">
        <w:rPr>
          <w:color w:val="000000" w:themeColor="text1"/>
        </w:rPr>
        <w:t>ultiple large epidemiological studies</w:t>
      </w:r>
      <w:r w:rsidR="00E226A1" w:rsidRPr="00F92FF9">
        <w:rPr>
          <w:color w:val="000000" w:themeColor="text1"/>
        </w:rPr>
        <w:fldChar w:fldCharType="begin" w:fldLock="1"/>
      </w:r>
      <w:r w:rsidR="000048DF" w:rsidRPr="00F92FF9">
        <w:rPr>
          <w:color w:val="000000" w:themeColor="text1"/>
        </w:rPr>
        <w:instrText>ADDIN CSL_CITATION {"citationItems":[{"id":"ITEM-1","itemData":{"DOI":"10.1093/eurheartj/ehz100","ISSN":"0195-668X","author":[{"dropping-particle":"","family":"Cox","given":"Simon R","non-dropping-particle":"","parse-names":false,"suffix":""},{"dropping-particle":"","family":"Lyall","given":"Donald M","non-dropping-particle":"","parse-names":false,"suffix":""},{"dropping-particle":"","family":"Ritchie","given":"Stuart J","non-dropping-particle":"","parse-names":false,"suffix":""},{"dropping-particle":"","family":"Bastin","given":"Mark E","non-dropping-particle":"","parse-names":false,"suffix":""},{"dropping-particle":"","family":"Harris","given":"Mathew A","non-dropping-particle":"","parse-names":false,"suffix":""},{"dropping-particle":"","family":"Buchanan","given":"Colin R","non-dropping-particle":"","parse-names":false,"suffix":""},{"dropping-particle":"","family":"Fawns-Ritchie","given":"Chloe","non-dropping-particle":"","parse-names":false,"suffix":""},{"dropping-particle":"","family":"Barbu","given":"Miruna C","non-dropping-particle":"","parse-names":false,"suffix":""},{"dropping-particle":"","family":"Nooij","given":"Laura","non-dropping-particle":"de","parse-names":false,"suffix":""},{"dropping-particle":"","family":"Reus","given":"Lianne M","non-dropping-particle":"","parse-names":false,"suffix":""},{"dropping-particle":"","family":"Alloza","given":"Clara","non-dropping-particle":"","parse-names":false,"suffix":""},{"dropping-particle":"","family":"Shen","given":"Xueyi","non-dropping-particle":"","parse-names":false,"suffix":""},{"dropping-particle":"","family":"Neilson","given":"Emma","non-dropping-particle":"","parse-names":false,"suffix":""},{"dropping-particle":"","family":"Alderson","given":"Helen L","non-dropping-particle":"","parse-names":false,"suffix":""},{"dropping-particle":"","family":"Hunter","given":"Stuart","non-dropping-particle":"","parse-names":false,"suffix":""},{"dropping-particle":"","family":"Liewald","given":"David C","non-dropping-particle":"","parse-names":false,"suffix":""},{"dropping-particle":"","family":"Whalley","given":"Heather C","non-dropping-particle":"","parse-names":false,"suffix":""},{"dropping-particle":"","family":"McIntosh","given":"Andrew M","non-dropping-particle":"","parse-names":false,"suffix":""},{"dropping-particle":"","family":"Lawrie","given":"Stephen M","non-dropping-particle":"","parse-names":false,"suffix":""},{"dropping-particle":"","family":"Pell","given":"Jill P","non-dropping-particle":"","parse-names":false,"suffix":""},{"dropping-particle":"","family":"Tucker-Drob","given":"Elliot M","non-dropping-particle":"","parse-names":false,"suffix":""},{"dropping-particle":"","family":"Wardlaw","given":"Joanna M","non-dropping-particle":"","parse-names":false,"suffix":""},{"dropping-particle":"","family":"Gale","given":"Catharine R","non-dropping-particle":"","parse-names":false,"suffix":""},{"dropping-particle":"","family":"Deary","given":"Ian J","non-dropping-particle":"","parse-names":false,"suffix":""}],"container-title":"European Heart Journal","id":"ITEM-1","issue":"28","issued":{"date-parts":[["2019","7","21"]]},"page":"2290-2300","publisher":"Narnia","title":"Associations between vascular risk factors and brain MRI indices in UK Biobank","type":"article-journal","volume":"40"},"uris":["http://www.mendeley.com/documents/?uuid=2468a0da-4e83-3f70-8db2-76c1a900542c"]},{"id":"ITEM-2","itemData":{"DOI":"10.1001/archneurol.2011.977","ISSN":"00039942","PMID":"22213410","abstract":"The Framingham Heart Study, the longest-running prospective epidemiologic study in history, was initiated in 1948 in response to the rising toll of coronary heart disease and hypertension. During the ensuing decades, the study of other diseases, notably stroke and dementia, was added. In 1971, 5124 offspring of the original cohort of 5209 men and women were added, and a third generation of 4095 men and women were added in 2002. The 3-generation structure was used to relate a host of risk factors measured in mid and late life to the subsequent development of stroke, dementia, and cognitive decline. It has also facilitated studies of family occurrence of disease over generations particularly for genomic research. Dementia and Alzheimer disease research has proceeded from the determination of risk factors for at least moderately severe Alzheimer disease in the first generation to mild cognitive impairment and mild Alzheimer disease in the offspring and to studies of the third generation for detection of pre-mild cognitive impairment and indicators of cognitive decline in mid life. These research efforts have been facilitated by genome-wide association studies, biomarkers, and multiple measures of subclinical vascular disease. The tempo of decline has been documented by serial quantitative measures of brain structure on magnetic resonance imaging and cognitive performance by neuropsychological testing. Clinical correlation with systematic neuropathological examinations of more than 150 brains has provided important confirmation of cerebrovascular and brain tissue indices of disease. Identification of persons at heightened risk for stroke, mild cognitive impairment, Alzheimer disease, and cognitive decline years prior to disease onset may facilitate delay in disease onset and prevention.","author":[{"dropping-particle":"","family":"Wolf","given":"Philip A.","non-dropping-particle":"","parse-names":false,"suffix":""}],"container-title":"Archives of Neurology","id":"ITEM-2","issue":"5","issued":{"date-parts":[["2012","5"]]},"page":"567-571","publisher":"NIH Public Access","title":"Contributions of the framingham heart study to stroke and dementia epidemiologic research at 60 years","type":"article-journal","volume":"69"},"uris":["http://www.mendeley.com/documents/?uuid=e00ac6b2-0e1b-3ae2-b3c7-01d052e9069a"]},{"id":"ITEM-3","itemData":{"DOI":"10.1111/j.1076-7460.2004.02120.x","ISSN":"10767460","PMID":"15133417","abstract":"Knowledge about the epidemiology of subclinical cardiovascular disease (SCVD) in older adults may hold the key for improved opportunities for primary prevention of cardiovascular disease (CVD), a top clinical and public health priority. This review reports findings on the prevalence of SCVD and the ability of SCVD measures to predict incident and adverse outcomes from one of the largest (N=5888) and most comprehensive prospective observational studies on SCVD in older adults, the Cardiovascular Health Study. According to a composite index that combined SCVD measures from different vascular beds, the overall prevalence of SCVD was 37%, making it as common as clinically overt CVD in older adults. SCVD measures strongly predicted incident CVD, stroke, mortality, frailty, and physical and cognitive decline, even after adjustment for traditional CVD risk factors. Ongoing research will address the potential use of SCVD for clinical decision making in older adults.","author":[{"dropping-particle":"","family":"Chaves","given":"Paulo H.M.","non-dropping-particle":"","parse-names":false,"suffix":""},{"dropping-particle":"","family":"Kuller","given":"Lewis H.","non-dropping-particle":"","parse-names":false,"suffix":""},{"dropping-particle":"","family":"O'Leary","given":"Daniel H.","non-dropping-particle":"","parse-names":false,"suffix":""},{"dropping-particle":"","family":"Manolio","given":"Teri A.","non-dropping-particle":"","parse-names":false,"suffix":""},{"dropping-particle":"","family":"Newman","given":"Anne B.","non-dropping-particle":"","parse-names":false,"suffix":""}],"container-title":"The American journal of geriatric cardiology","id":"ITEM-3","issue":"3","issued":{"date-parts":[["2004"]]},"page":"137-149","publisher":"Am J Geriatr Cardiol","title":"Subclinical cardiovascular disease in older adults: insights from the Cardiovascular Health Study.","type":"article-journal","volume":"13"},"uris":["http://www.mendeley.com/documents/?uuid=396dc2b5-8865-3c32-b250-2ecacba3353e"]}],"mendeley":{"formattedCitation":"&lt;sup&gt;9,41,42&lt;/sup&gt;","plainTextFormattedCitation":"9,41,42","previouslyFormattedCitation":"&lt;sup&gt;9,41,42&lt;/sup&gt;"},"properties":{"noteIndex":0},"schema":"https://github.com/citation-style-language/schema/raw/master/csl-citation.json"}</w:instrText>
      </w:r>
      <w:r w:rsidR="00E226A1" w:rsidRPr="00F92FF9">
        <w:rPr>
          <w:color w:val="000000" w:themeColor="text1"/>
        </w:rPr>
        <w:fldChar w:fldCharType="separate"/>
      </w:r>
      <w:r w:rsidR="00E226A1" w:rsidRPr="00F92FF9">
        <w:rPr>
          <w:noProof/>
          <w:color w:val="000000" w:themeColor="text1"/>
          <w:vertAlign w:val="superscript"/>
        </w:rPr>
        <w:t>9,41,42</w:t>
      </w:r>
      <w:r w:rsidR="00E226A1" w:rsidRPr="00F92FF9">
        <w:rPr>
          <w:color w:val="000000" w:themeColor="text1"/>
        </w:rPr>
        <w:fldChar w:fldCharType="end"/>
      </w:r>
      <w:r w:rsidR="00E226A1" w:rsidRPr="00F92FF9">
        <w:rPr>
          <w:color w:val="000000" w:themeColor="text1"/>
        </w:rPr>
        <w:t xml:space="preserve">. </w:t>
      </w:r>
      <w:r w:rsidRPr="00F92FF9">
        <w:rPr>
          <w:color w:val="000000" w:themeColor="text1"/>
        </w:rPr>
        <w:t>More specific associations between cardiac risk factors and both vascular and Alzheimer’s disease have also been demonstrated in large cohorts</w:t>
      </w:r>
      <w:r w:rsidRPr="00F92FF9">
        <w:rPr>
          <w:color w:val="000000" w:themeColor="text1"/>
        </w:rPr>
        <w:fldChar w:fldCharType="begin" w:fldLock="1"/>
      </w:r>
      <w:r w:rsidR="00E226A1" w:rsidRPr="00F92FF9">
        <w:rPr>
          <w:color w:val="000000" w:themeColor="text1"/>
        </w:rPr>
        <w:instrText>ADDIN CSL_CITATION {"citationItems":[{"id":"ITEM-1","itemData":{"DOI":"10.3233/JAD-132363","ISSN":"18758908","abstract":"Background: Many cardiovascular risk factors are shown to increase the risk of dementia and Alzheimer's disease (AD), but the impact of heart disease on later development of dementia is still unclear. Objective: The aim of the study was to investigate the long-term risk of dementia and Alzheimer's disease (AD) related to midlife and late-life atrial fibrillation (AF), heart failure (HF), and coronary artery disease (CAD) in a population-based study with a follow-up of over 25 years. Methods: Cardiovascular Risk Factors, Aging and Dementia (CAIDE) study includes 2000 participants who were randomly selected from four separate, population-based samples originally studied in midlife (1972, 1977, 1982, or 1987). Re-examinations were carried out in 1998 and 2005-2008. Altogether 1,510 (75.5%) persons participated in at least one re-examination, and 127 (8.4%) persons were diagnosed with dementia (of which 102 had AD). Results: AF in late-life was an independent risk factor for dementia (HR 2.61, 95% CI 1.05-6.47; p = 0.039) and AD (HR 2.54, 95% CI 1.04-6.16; p = 0.040) in the fully adjusted analyses. The association was even stronger among the apolipoprotein E (APOE) ε4 non-carriers. Late-life HF, but not CAD, tended to increase the risks as well. Heart diseases diagnosed at midlife did not increase the risk of later dementia and AD. Conclusion: Late-life heart diseases increase the subsequent risk of dementia and AD. Prevention and effective treatment of heart diseases may be important also from the perspective of brain health and cognitive functioning.","author":[{"dropping-particle":"","family":"Rusanen","given":"Minna","non-dropping-particle":"","parse-names":false,"suffix":""},{"dropping-particle":"","family":"Kivipelto","given":"Miia","non-dropping-particle":"","parse-names":false,"suffix":""},{"dropping-particle":"","family":"Levälahti","given":"Esko","non-dropping-particle":"","parse-names":false,"suffix":""},{"dropping-particle":"","family":"Laatikainen","given":"Tiina","non-dropping-particle":"","parse-names":false,"suffix":""},{"dropping-particle":"","family":"Tuomilehto","given":"Jaakko","non-dropping-particle":"","parse-names":false,"suffix":""},{"dropping-particle":"","family":"Soininen","given":"Hilkka","non-dropping-particle":"","parse-names":false,"suffix":""},{"dropping-particle":"","family":"Ngandu","given":"Tiia","non-dropping-particle":"","parse-names":false,"suffix":""}],"container-title":"Journal of Alzheimer's Disease","id":"ITEM-1","issue":"1","issued":{"date-parts":[["2014","1","1"]]},"page":"183-191","publisher":"IOS Press","title":"Heart Diseases and Long-Term Risk of Dementia and Alzheimer's Disease: A Population-Based CAIDE Study","type":"article-journal","volume":"42"},"uris":["http://www.mendeley.com/documents/?uuid=b26c6c32-7ff5-3dfa-bc0d-bd9a1a57d4b8"]},{"id":"ITEM-2","itemData":{"DOI":"10.2174/156720512801322618","ISSN":"1875-5828","PMID":"22471866","abstract":"The Honolulu-Asia Aging Study (HAAS) is a longitudinal epidemiologic investigation of rates, risk factors, and neuropathologic abnormalities associated with cognitive decline and dementia in aged Japanese-American men. The project was established in 1991 and will be brought to closure in 2012. Age-specific rates of total dementia and the major specific types of dementia in HAAS participants are generally similar to those reported from other geographic, cultural, and ethnic populations. Risk factors for dementia in the HAAS include midlife hypertension and other factors previously shown to influence cardiovascular disease. The autopsy component of the project has yielded novel findings, the most illuminating of which is the demonstration of 5 important lesion types linked independently to cognitive impairment. While one of these--generalized atrophy--is strongly associated with both Alzheimer lesions and microinfarcts, it also occurs in the absence of these lesions and is independently correlated with dementia. Each lesion type is viewed as representing a distinct underlying pathogenic process. Their summed influences is an especially robust correlate of dementia in the months and years prior to death.","author":[{"dropping-particle":"","family":"Gelber","given":"Rebecca P","non-dropping-particle":"","parse-names":false,"suffix":""},{"dropping-particle":"","family":"Launer","given":"Lenore J","non-dropping-particle":"","parse-names":false,"suffix":""},{"dropping-particle":"","family":"White","given":"Lon R","non-dropping-particle":"","parse-names":false,"suffix":""}],"container-title":"Current Alzheimer research","id":"ITEM-2","issue":"6","issued":{"date-parts":[["2012","7"]]},"page":"664-72","publisher":"NIH Public Access","title":"The Honolulu-Asia Aging Study: epidemiologic and neuropathologic research on cognitive impairment.","type":"article-journal","volume":"9"},"uris":["http://www.mendeley.com/documents/?uuid=a9ae14db-556d-317c-b9bf-b4e94a7910d1"]},{"id":"ITEM-3","itemData":{"DOI":"10.1016/j.physbeh.2007.05.059","ISSN":"00319384","PMID":"17588621","abstract":"The aging of the population is a worldwide phenomenon, and studying age-related diseases has become a relevant issue from both a scientific and a public health perspective. This review summarises the major findings concerning prevention of Alzheimer's disease (AD) and other dementias from a population-based study, the Kungsholmen Project. The study addresses risk- and protective factors for AD and dementia from a lifetime perspective: at birth, during childhood, in adult life, and in old age. Although many aspects of the dementias are still unclear, some risk factors have been identified and interesting hypotheses have been suggested for other putative risk or protective factors. At the moment it is also possible to delineate some preventative strategies for dementia. © 2007 Elsevier Inc. All rights reserved.","author":[{"dropping-particle":"","family":"Fratiglioni","given":"Laura","non-dropping-particle":"","parse-names":false,"suffix":""},{"dropping-particle":"","family":"Winblad","given":"Bengt","non-dropping-particle":"","parse-names":false,"suffix":""},{"dropping-particle":"","family":"Strauss","given":"Eva","non-dropping-particle":"von","parse-names":false,"suffix":""}],"container-title":"Physiology and Behavior","id":"ITEM-3","issue":"1-2","issued":{"date-parts":[["2007"]]},"page":"98-104","publisher":"Elsevier Inc.","title":"Prevention of Alzheimer's disease and dementia. Major findings from the Kungsholmen Project","type":"article-journal","volume":"92"},"uris":["http://www.mendeley.com/documents/?uuid=94dc858e-0449-3545-b023-5cf91b2511d7"]}],"mendeley":{"formattedCitation":"&lt;sup&gt;7,43,44&lt;/sup&gt;","plainTextFormattedCitation":"7,43,44","previouslyFormattedCitation":"&lt;sup&gt;7,43,44&lt;/sup&gt;"},"properties":{"noteIndex":0},"schema":"https://github.com/citation-style-language/schema/raw/master/csl-citation.json"}</w:instrText>
      </w:r>
      <w:r w:rsidRPr="00F92FF9">
        <w:rPr>
          <w:color w:val="000000" w:themeColor="text1"/>
        </w:rPr>
        <w:fldChar w:fldCharType="separate"/>
      </w:r>
      <w:r w:rsidR="0069166F" w:rsidRPr="00F92FF9">
        <w:rPr>
          <w:noProof/>
          <w:color w:val="000000" w:themeColor="text1"/>
          <w:vertAlign w:val="superscript"/>
        </w:rPr>
        <w:t>7,43,44</w:t>
      </w:r>
      <w:r w:rsidRPr="00F92FF9">
        <w:rPr>
          <w:color w:val="000000" w:themeColor="text1"/>
        </w:rPr>
        <w:fldChar w:fldCharType="end"/>
      </w:r>
      <w:r w:rsidRPr="00F92FF9">
        <w:rPr>
          <w:color w:val="000000" w:themeColor="text1"/>
        </w:rPr>
        <w:t>.</w:t>
      </w:r>
      <w:r w:rsidR="006571C9" w:rsidRPr="00F92FF9">
        <w:rPr>
          <w:color w:val="000000" w:themeColor="text1"/>
        </w:rPr>
        <w:t xml:space="preserve"> The systemic </w:t>
      </w:r>
      <w:r w:rsidR="00E226A1" w:rsidRPr="00F92FF9">
        <w:rPr>
          <w:color w:val="000000" w:themeColor="text1"/>
        </w:rPr>
        <w:t xml:space="preserve">atherosclerotic </w:t>
      </w:r>
      <w:r w:rsidR="006571C9" w:rsidRPr="00F92FF9">
        <w:rPr>
          <w:color w:val="000000" w:themeColor="text1"/>
        </w:rPr>
        <w:t xml:space="preserve">arterial disease that occurs as a consequence of these vascular risk factors may have direct adverse impact on both cardiovascular and brain health through </w:t>
      </w:r>
      <w:r w:rsidR="00BB4411" w:rsidRPr="00F92FF9">
        <w:rPr>
          <w:color w:val="000000" w:themeColor="text1"/>
        </w:rPr>
        <w:t xml:space="preserve">local </w:t>
      </w:r>
      <w:r w:rsidR="006571C9" w:rsidRPr="00F92FF9">
        <w:rPr>
          <w:color w:val="000000" w:themeColor="text1"/>
        </w:rPr>
        <w:t xml:space="preserve">hypoperfusion and </w:t>
      </w:r>
      <w:r w:rsidR="00E226A1" w:rsidRPr="00F92FF9">
        <w:rPr>
          <w:color w:val="000000" w:themeColor="text1"/>
        </w:rPr>
        <w:t>systemic</w:t>
      </w:r>
      <w:r w:rsidR="006571C9" w:rsidRPr="00F92FF9">
        <w:rPr>
          <w:color w:val="000000" w:themeColor="text1"/>
        </w:rPr>
        <w:t xml:space="preserve"> embolic phenomena</w:t>
      </w:r>
      <w:r w:rsidR="00BB4411" w:rsidRPr="00F92FF9">
        <w:rPr>
          <w:color w:val="000000" w:themeColor="text1"/>
        </w:rPr>
        <w:t xml:space="preserve"> (</w:t>
      </w:r>
      <w:r w:rsidR="00BB4411" w:rsidRPr="00F92FF9">
        <w:rPr>
          <w:b/>
          <w:bCs/>
          <w:color w:val="000000" w:themeColor="text1"/>
        </w:rPr>
        <w:t xml:space="preserve">Figure </w:t>
      </w:r>
      <w:r w:rsidR="00827F81" w:rsidRPr="00F92FF9">
        <w:rPr>
          <w:b/>
          <w:bCs/>
          <w:color w:val="000000" w:themeColor="text1"/>
        </w:rPr>
        <w:t>4</w:t>
      </w:r>
      <w:r w:rsidR="00BB4411" w:rsidRPr="00F92FF9">
        <w:rPr>
          <w:color w:val="000000" w:themeColor="text1"/>
        </w:rPr>
        <w:t>)</w:t>
      </w:r>
      <w:r w:rsidR="006571C9" w:rsidRPr="00F92FF9">
        <w:rPr>
          <w:color w:val="000000" w:themeColor="text1"/>
        </w:rPr>
        <w:t>.</w:t>
      </w:r>
    </w:p>
    <w:p w14:paraId="6F9712D0" w14:textId="77777777" w:rsidR="000048DF" w:rsidRPr="00F92FF9" w:rsidRDefault="000048DF" w:rsidP="002C2A6C">
      <w:pPr>
        <w:rPr>
          <w:color w:val="000000" w:themeColor="text1"/>
        </w:rPr>
      </w:pPr>
    </w:p>
    <w:p w14:paraId="7151B2A1" w14:textId="1C3348F4" w:rsidR="00436381" w:rsidRPr="00F92FF9" w:rsidRDefault="00E226A1" w:rsidP="000048DF">
      <w:pPr>
        <w:rPr>
          <w:color w:val="000000" w:themeColor="text1"/>
        </w:rPr>
      </w:pPr>
      <w:r w:rsidRPr="00F92FF9">
        <w:rPr>
          <w:color w:val="000000" w:themeColor="text1"/>
        </w:rPr>
        <w:t xml:space="preserve">Associations between cognitive function and cardiovascular phenotypes </w:t>
      </w:r>
      <w:r w:rsidR="00A849A1" w:rsidRPr="00F92FF9">
        <w:rPr>
          <w:color w:val="000000" w:themeColor="text1"/>
        </w:rPr>
        <w:t xml:space="preserve">in the present study were not attenuated by adjustment for a wide range of vascular risk factors. This raises the possibility of </w:t>
      </w:r>
      <w:r w:rsidR="00CD570F" w:rsidRPr="00F92FF9">
        <w:rPr>
          <w:color w:val="000000" w:themeColor="text1"/>
        </w:rPr>
        <w:t xml:space="preserve">alternative </w:t>
      </w:r>
      <w:r w:rsidR="00A849A1" w:rsidRPr="00F92FF9">
        <w:rPr>
          <w:color w:val="000000" w:themeColor="text1"/>
        </w:rPr>
        <w:t xml:space="preserve">disease mechanisms contributing to heart-brain associations. </w:t>
      </w:r>
      <w:r w:rsidR="00CD570F" w:rsidRPr="00F92FF9">
        <w:rPr>
          <w:color w:val="000000" w:themeColor="text1"/>
        </w:rPr>
        <w:t xml:space="preserve">For instance, limited </w:t>
      </w:r>
      <w:r w:rsidR="00436381" w:rsidRPr="00F92FF9">
        <w:rPr>
          <w:color w:val="000000" w:themeColor="text1"/>
        </w:rPr>
        <w:t>studies propose that A</w:t>
      </w:r>
      <m:oMath>
        <m:r>
          <w:rPr>
            <w:rFonts w:ascii="Cambria Math" w:hAnsi="Cambria Math"/>
            <w:color w:val="000000" w:themeColor="text1"/>
          </w:rPr>
          <m:t>β</m:t>
        </m:r>
      </m:oMath>
      <w:r w:rsidR="00436381" w:rsidRPr="00F92FF9">
        <w:rPr>
          <w:color w:val="000000" w:themeColor="text1"/>
        </w:rPr>
        <w:t xml:space="preserve"> deposition</w:t>
      </w:r>
      <w:r w:rsidR="00A849A1" w:rsidRPr="00F92FF9">
        <w:rPr>
          <w:color w:val="000000" w:themeColor="text1"/>
        </w:rPr>
        <w:t>,</w:t>
      </w:r>
      <w:r w:rsidR="00436381" w:rsidRPr="00F92FF9">
        <w:rPr>
          <w:color w:val="000000" w:themeColor="text1"/>
        </w:rPr>
        <w:t xml:space="preserve"> which is </w:t>
      </w:r>
      <w:r w:rsidR="006F1430" w:rsidRPr="00F92FF9">
        <w:rPr>
          <w:color w:val="000000" w:themeColor="text1"/>
        </w:rPr>
        <w:t xml:space="preserve">hallmark of </w:t>
      </w:r>
      <w:r w:rsidR="00436381" w:rsidRPr="00F92FF9">
        <w:rPr>
          <w:color w:val="000000" w:themeColor="text1"/>
        </w:rPr>
        <w:t>Alzheimer’s disease</w:t>
      </w:r>
      <w:r w:rsidR="00A849A1" w:rsidRPr="00F92FF9">
        <w:rPr>
          <w:color w:val="000000" w:themeColor="text1"/>
        </w:rPr>
        <w:t>,</w:t>
      </w:r>
      <w:r w:rsidR="00436381" w:rsidRPr="00F92FF9">
        <w:rPr>
          <w:color w:val="000000" w:themeColor="text1"/>
        </w:rPr>
        <w:t xml:space="preserve"> may also be pathologically </w:t>
      </w:r>
      <w:r w:rsidR="00436381" w:rsidRPr="00F92FF9">
        <w:rPr>
          <w:color w:val="000000" w:themeColor="text1"/>
        </w:rPr>
        <w:lastRenderedPageBreak/>
        <w:t>deposited in the myocardium</w:t>
      </w:r>
      <w:r w:rsidR="000048DF" w:rsidRPr="00F92FF9">
        <w:rPr>
          <w:color w:val="000000" w:themeColor="text1"/>
        </w:rPr>
        <w:fldChar w:fldCharType="begin" w:fldLock="1"/>
      </w:r>
      <w:r w:rsidR="00CF17A4" w:rsidRPr="00F92FF9">
        <w:rPr>
          <w:color w:val="000000" w:themeColor="text1"/>
        </w:rPr>
        <w:instrText>ADDIN CSL_CITATION {"citationItems":[{"id":"ITEM-1","itemData":{"DOI":"10.1016/j.jacc.2016.08.073","ISSN":"15583597","abstract":"Background Individually, heart failure (HF) and Alzheimer's disease (AD) are severe threats to population health, and their potential coexistence is an alarming prospect. In addition to sharing analogous epidemiological and genetic profiles, biochemical characteristics, and common triggers, the authors recently recognized common molecular and pathological features between the 2 conditions. Whereas cognitive impairment has been linked to HF through perfusion defects, angiopathy, and inflammation, whether patients with AD present with myocardial dysfunction, and if the 2 conditions bear a common pathogenesis as neglected siblings are unknown. Objectives Here, the authors investigated whether amyloid beta (Aβ) protein aggregates are present in the hearts of patients with a primary diagnosis of AD, affecting myocardial function. Methods The authors examined myocardial function in a retrospective cross-sectional study from a cohort of AD patients and age-matched controls. Imaging and proteomics approaches were used to identify and quantify Aβ deposits in AD heart and brain specimens compared with controls. Cell shortening and calcium transients were measured on isolated adult cardiomyocytes. Results Echocardiographic measurements of myocardial function suggest that patients with AD present with an anticipated diastolic dysfunction. As in the brain, Aβ40 and Aβ42 are present in the heart, and their expression is increased in AD. Conclusions Here, the authors provide the first report of the presence of compromised myocardial function and intramyocardial deposits of Aβ in AD patients. The findings depict a novel biological framework in which AD may be viewed either as a systemic disease or as a metastatic disorder leading to heart, and possibly multiorgan failure. AD and HF are both debilitating and life-threatening conditions, affecting enormous patient populations. Our findings underline a previously dismissed problem of a magnitude that will require new diagnostic approaches and treatments for brain and heart disease, and their combination.","author":[{"dropping-particle":"","family":"Troncone","given":"Luca","non-dropping-particle":"","parse-names":false,"suffix":""},{"dropping-particle":"","family":"Luciani","given":"Marco","non-dropping-particle":"","parse-names":false,"suffix":""},{"dropping-particle":"","family":"Coggins","given":"Matthew","non-dropping-particle":"","parse-names":false,"suffix":""},{"dropping-particle":"","family":"Wilker","given":"Elissa H.","non-dropping-particle":"","parse-names":false,"suffix":""},{"dropping-particle":"","family":"Ho","given":"Cheng Ying","non-dropping-particle":"","parse-names":false,"suffix":""},{"dropping-particle":"","family":"Codispoti","given":"Kari Elise","non-dropping-particle":"","parse-names":false,"suffix":""},{"dropping-particle":"","family":"Frosch","given":"Matthew P.","non-dropping-particle":"","parse-names":false,"suffix":""},{"dropping-particle":"","family":"Kayed","given":"Rakez","non-dropping-particle":"","parse-names":false,"suffix":""},{"dropping-particle":"","family":"Monte","given":"Federica","non-dropping-particle":"del","parse-names":false,"suffix":""}],"container-title":"Journal of the American College of Cardiology","id":"ITEM-1","issue":"22","issued":{"date-parts":[["2016","12","6"]]},"page":"2395-2407","publisher":"Elsevier USA","title":"Aβ Amyloid Pathology Affects the Hearts of Patients With Alzheimer's Disease: Mind the Heart","type":"article-journal","volume":"68"},"uris":["http://www.mendeley.com/documents/?uuid=dbfd761f-0f40-3001-97de-9bdd863e7d17"]}],"mendeley":{"formattedCitation":"&lt;sup&gt;33&lt;/sup&gt;","plainTextFormattedCitation":"33","previouslyFormattedCitation":"&lt;sup&gt;33&lt;/sup&gt;"},"properties":{"noteIndex":0},"schema":"https://github.com/citation-style-language/schema/raw/master/csl-citation.json"}</w:instrText>
      </w:r>
      <w:r w:rsidR="000048DF" w:rsidRPr="00F92FF9">
        <w:rPr>
          <w:color w:val="000000" w:themeColor="text1"/>
        </w:rPr>
        <w:fldChar w:fldCharType="separate"/>
      </w:r>
      <w:r w:rsidR="000048DF" w:rsidRPr="00F92FF9">
        <w:rPr>
          <w:noProof/>
          <w:color w:val="000000" w:themeColor="text1"/>
          <w:vertAlign w:val="superscript"/>
        </w:rPr>
        <w:t>33</w:t>
      </w:r>
      <w:r w:rsidR="000048DF" w:rsidRPr="00F92FF9">
        <w:rPr>
          <w:color w:val="000000" w:themeColor="text1"/>
        </w:rPr>
        <w:fldChar w:fldCharType="end"/>
      </w:r>
      <w:r w:rsidR="000048DF" w:rsidRPr="00F92FF9">
        <w:rPr>
          <w:color w:val="000000" w:themeColor="text1"/>
        </w:rPr>
        <w:t xml:space="preserve"> producing </w:t>
      </w:r>
      <w:r w:rsidR="00436381" w:rsidRPr="00F92FF9">
        <w:rPr>
          <w:color w:val="000000" w:themeColor="text1"/>
        </w:rPr>
        <w:t xml:space="preserve">electrographic and echocardiographic </w:t>
      </w:r>
      <w:r w:rsidR="000048DF" w:rsidRPr="00F92FF9">
        <w:rPr>
          <w:color w:val="000000" w:themeColor="text1"/>
        </w:rPr>
        <w:t xml:space="preserve">manifestations typical of </w:t>
      </w:r>
      <w:r w:rsidR="00436381" w:rsidRPr="00F92FF9">
        <w:rPr>
          <w:color w:val="000000" w:themeColor="text1"/>
        </w:rPr>
        <w:t xml:space="preserve">cardiac amyloid . </w:t>
      </w:r>
      <w:r w:rsidR="00295F36" w:rsidRPr="00F92FF9">
        <w:rPr>
          <w:color w:val="000000" w:themeColor="text1"/>
        </w:rPr>
        <w:t>C</w:t>
      </w:r>
      <w:r w:rsidR="002C0DBE" w:rsidRPr="00F92FF9">
        <w:rPr>
          <w:color w:val="000000" w:themeColor="text1"/>
        </w:rPr>
        <w:t xml:space="preserve">ardiac amyloid is </w:t>
      </w:r>
      <w:r w:rsidR="00295F36" w:rsidRPr="00F92FF9">
        <w:rPr>
          <w:color w:val="000000" w:themeColor="text1"/>
        </w:rPr>
        <w:t xml:space="preserve">characteristically associated with </w:t>
      </w:r>
      <w:r w:rsidR="002C0DBE" w:rsidRPr="00F92FF9">
        <w:rPr>
          <w:color w:val="000000" w:themeColor="text1"/>
        </w:rPr>
        <w:t xml:space="preserve">a </w:t>
      </w:r>
      <w:proofErr w:type="spellStart"/>
      <w:r w:rsidRPr="00F92FF9">
        <w:rPr>
          <w:color w:val="000000" w:themeColor="text1"/>
        </w:rPr>
        <w:t>HFpEF</w:t>
      </w:r>
      <w:proofErr w:type="spellEnd"/>
      <w:r w:rsidRPr="00F92FF9">
        <w:rPr>
          <w:color w:val="000000" w:themeColor="text1"/>
        </w:rPr>
        <w:t xml:space="preserve"> </w:t>
      </w:r>
      <w:r w:rsidR="002C0DBE" w:rsidRPr="00F92FF9">
        <w:rPr>
          <w:color w:val="000000" w:themeColor="text1"/>
        </w:rPr>
        <w:t>pattern of dysfunction.</w:t>
      </w:r>
      <w:r w:rsidR="00CD570F" w:rsidRPr="00F92FF9">
        <w:rPr>
          <w:color w:val="000000" w:themeColor="text1"/>
        </w:rPr>
        <w:t xml:space="preserve"> This is consistent with the cardiac phenotype most consistently linked with cognitive impairment and in keeping also with observations in the present study. However, these phenotypes are not specific to cardiac amyloid and may be seen with a wide range of other exposures. </w:t>
      </w:r>
      <w:r w:rsidR="000713B6" w:rsidRPr="00F92FF9">
        <w:rPr>
          <w:color w:val="000000" w:themeColor="text1"/>
        </w:rPr>
        <w:t xml:space="preserve">Another possibility is that </w:t>
      </w:r>
      <w:r w:rsidR="00CD570F" w:rsidRPr="00F92FF9">
        <w:rPr>
          <w:color w:val="000000" w:themeColor="text1"/>
        </w:rPr>
        <w:t xml:space="preserve">poorer </w:t>
      </w:r>
      <w:r w:rsidR="000048DF" w:rsidRPr="00F92FF9">
        <w:rPr>
          <w:color w:val="000000" w:themeColor="text1"/>
        </w:rPr>
        <w:t>brain and cardiovascular health</w:t>
      </w:r>
      <w:r w:rsidR="000713B6" w:rsidRPr="00F92FF9">
        <w:rPr>
          <w:color w:val="000000" w:themeColor="text1"/>
        </w:rPr>
        <w:t xml:space="preserve"> may both be a consequence of accelerated multisystem aging</w:t>
      </w:r>
      <w:r w:rsidR="00A249F1" w:rsidRPr="00F92FF9">
        <w:rPr>
          <w:color w:val="000000" w:themeColor="text1"/>
        </w:rPr>
        <w:t xml:space="preserve">. </w:t>
      </w:r>
      <w:r w:rsidR="002C2A6C" w:rsidRPr="00F92FF9">
        <w:rPr>
          <w:color w:val="000000" w:themeColor="text1"/>
        </w:rPr>
        <w:t xml:space="preserve">For instance, persistently </w:t>
      </w:r>
      <w:r w:rsidR="000048DF" w:rsidRPr="00F92FF9">
        <w:rPr>
          <w:color w:val="000000" w:themeColor="text1"/>
        </w:rPr>
        <w:t>elevated</w:t>
      </w:r>
      <w:r w:rsidR="002C2A6C" w:rsidRPr="00F92FF9">
        <w:rPr>
          <w:color w:val="000000" w:themeColor="text1"/>
        </w:rPr>
        <w:t xml:space="preserve"> inflammatory cytokines</w:t>
      </w:r>
      <w:r w:rsidR="00D96C55" w:rsidRPr="00F92FF9">
        <w:rPr>
          <w:color w:val="000000" w:themeColor="text1"/>
        </w:rPr>
        <w:t>, which</w:t>
      </w:r>
      <w:r w:rsidR="002C2A6C" w:rsidRPr="00F92FF9">
        <w:rPr>
          <w:color w:val="000000" w:themeColor="text1"/>
        </w:rPr>
        <w:t xml:space="preserve"> </w:t>
      </w:r>
      <w:r w:rsidR="00D96C55" w:rsidRPr="00F92FF9">
        <w:rPr>
          <w:color w:val="000000" w:themeColor="text1"/>
        </w:rPr>
        <w:t>is a</w:t>
      </w:r>
      <w:r w:rsidR="002C2A6C" w:rsidRPr="00F92FF9">
        <w:rPr>
          <w:color w:val="000000" w:themeColor="text1"/>
        </w:rPr>
        <w:t xml:space="preserve"> proposed </w:t>
      </w:r>
      <w:r w:rsidR="00D96C55" w:rsidRPr="00F92FF9">
        <w:rPr>
          <w:color w:val="000000" w:themeColor="text1"/>
        </w:rPr>
        <w:t>driver of</w:t>
      </w:r>
      <w:r w:rsidR="002C2A6C" w:rsidRPr="00F92FF9">
        <w:rPr>
          <w:color w:val="000000" w:themeColor="text1"/>
        </w:rPr>
        <w:t xml:space="preserve"> accelerated aging</w:t>
      </w:r>
      <w:r w:rsidR="00D96C55" w:rsidRPr="00F92FF9">
        <w:rPr>
          <w:color w:val="000000" w:themeColor="text1"/>
        </w:rPr>
        <w:t>,</w:t>
      </w:r>
      <w:r w:rsidR="002C2A6C" w:rsidRPr="00F92FF9">
        <w:rPr>
          <w:color w:val="000000" w:themeColor="text1"/>
        </w:rPr>
        <w:t xml:space="preserve"> has been linked to both cardiovascular disease and Alzheimer’s disease</w:t>
      </w:r>
      <w:r w:rsidR="002C2A6C" w:rsidRPr="00F92FF9">
        <w:rPr>
          <w:color w:val="000000" w:themeColor="text1"/>
        </w:rPr>
        <w:fldChar w:fldCharType="begin" w:fldLock="1"/>
      </w:r>
      <w:r w:rsidRPr="00F92FF9">
        <w:rPr>
          <w:color w:val="000000" w:themeColor="text1"/>
        </w:rPr>
        <w:instrText>ADDIN CSL_CITATION {"citationItems":[{"id":"ITEM-1","itemData":{"DOI":"10.1007/978-3-030-33330-0_7","ISSN":"22148019","PMID":"31894547","abstract":"Chronic inflammation, which is called “inflamm-aging”, is characterized by an increased level of inflammatory cytokines in response to physiological and environmental stressors, and causes the immune system to function consistently at a low level, even though it is not effective. Possible causes of inflammaging include genetic susceptibility, visceral obesity, changes in gut microbiota and permeability, chronic infections and cellular senescence. Inflammation has a role in the development of many age-related diseases, such as frailty. Low grade chronic inflammation can also increase the risk of atherosclerosis and insulin resistance which are the leading mechanisms in the development of cardiovascular diseases (CVD). As it is well known that the risk of CVD is higher in older people with frailty and the risk of frailty is higher in patients with CVD, there may be relationship between inflammation and the development of CVD and frailty. Therefore, this important issue will be discussed in this chapter.","author":[{"dropping-particle":"","family":"Soysal","given":"Pinar","non-dropping-particle":"","parse-names":false,"suffix":""},{"dropping-particle":"","family":"Arik","given":"Ferhat","non-dropping-particle":"","parse-names":false,"suffix":""},{"dropping-particle":"","family":"Smith","given":"Lee","non-dropping-particle":"","parse-names":false,"suffix":""},{"dropping-particle":"","family":"Jackson","given":"Sarah E.","non-dropping-particle":"","parse-names":false,"suffix":""},{"dropping-particle":"","family":"Isik","given":"Ahmet Turan","non-dropping-particle":"","parse-names":false,"suffix":""}],"container-title":"Advances in Experimental Medicine and Biology","id":"ITEM-1","issued":{"date-parts":[["2020"]]},"page":"55-64","publisher":"Springer","title":"Inflammation, Frailty and Cardiovascular Disease","type":"article-journal","volume":"1216"},"uris":["http://www.mendeley.com/documents/?uuid=857ccf43-da2f-3e92-a82f-47dacfb1374f"]},{"id":"ITEM-2","itemData":{"DOI":"10.1016/S1474-4422(18)30450-2","ISSN":"14744465","PMID":"30661858","abstract":"Nearly half of all adults older than 60 years of age report sleep disturbance, as characterised either by reports of insomnia complaints with daytime consequences, dissatisfaction with sleep quality or quantity, or the diagnosis of insomnia disorder. Accumulating evidence shows that sleep disturbance contributes to cognitive decline and might also increase the risk of Alzheimer's disease dementia by increasing β-amyloid burden. That sleep disturbance would be a candidate risk factor for Alzheimer's disease might seem surprising, given that disturbed sleep is usually considered a consequence of Alzheimer's disease. However, a bidirectional relationship between sleep and Alzheimer's disease is supported by advances in our understanding of sleep disturbance-induced increases in systemic inflammation, which can be viewed as an early event in the course of Alzheimer's disease. Inflammation increases β-amyloid burden and is thought to drive Alzheimer's disease pathogenesis. Improved understanding of the mechanisms linking sleep disturbance and Alzheimer's disease risk could facilitate the identification of targets for prevention, given that both sleep disturbance and inflammatory activation might be modifiable risk factors for Alzheimer's disease.","author":[{"dropping-particle":"","family":"Irwin","given":"Michael R.","non-dropping-particle":"","parse-names":false,"suffix":""},{"dropping-particle":"V.","family":"Vitiello","given":"Michael","non-dropping-particle":"","parse-names":false,"suffix":""}],"container-title":"The Lancet Neurology","id":"ITEM-2","issue":"3","issued":{"date-parts":[["2019","3","1"]]},"page":"296-306","publisher":"Lancet Publishing Group","title":"Implications of sleep disturbance and inflammation for Alzheimer's disease dementia","type":"article","volume":"18"},"uris":["http://www.mendeley.com/documents/?uuid=2bf792bf-ca4f-33de-933c-2acf1607adb5"]}],"mendeley":{"formattedCitation":"&lt;sup&gt;45,46&lt;/sup&gt;","plainTextFormattedCitation":"45,46","previouslyFormattedCitation":"&lt;sup&gt;45,46&lt;/sup&gt;"},"properties":{"noteIndex":0},"schema":"https://github.com/citation-style-language/schema/raw/master/csl-citation.json"}</w:instrText>
      </w:r>
      <w:r w:rsidR="002C2A6C" w:rsidRPr="00F92FF9">
        <w:rPr>
          <w:color w:val="000000" w:themeColor="text1"/>
        </w:rPr>
        <w:fldChar w:fldCharType="separate"/>
      </w:r>
      <w:r w:rsidR="0069166F" w:rsidRPr="00F92FF9">
        <w:rPr>
          <w:noProof/>
          <w:color w:val="000000" w:themeColor="text1"/>
          <w:vertAlign w:val="superscript"/>
        </w:rPr>
        <w:t>45,46</w:t>
      </w:r>
      <w:r w:rsidR="002C2A6C" w:rsidRPr="00F92FF9">
        <w:rPr>
          <w:color w:val="000000" w:themeColor="text1"/>
        </w:rPr>
        <w:fldChar w:fldCharType="end"/>
      </w:r>
      <w:r w:rsidR="002C2A6C" w:rsidRPr="00F92FF9">
        <w:rPr>
          <w:color w:val="000000" w:themeColor="text1"/>
          <w:shd w:val="clear" w:color="auto" w:fill="FFFFFF"/>
        </w:rPr>
        <w:t xml:space="preserve">. </w:t>
      </w:r>
      <w:r w:rsidR="00A249F1" w:rsidRPr="00F92FF9">
        <w:rPr>
          <w:color w:val="000000" w:themeColor="text1"/>
        </w:rPr>
        <w:t xml:space="preserve">Regardless of the underlying cause, it seems likely that these pathways </w:t>
      </w:r>
      <w:r w:rsidR="00A849A1" w:rsidRPr="00F92FF9">
        <w:rPr>
          <w:color w:val="000000" w:themeColor="text1"/>
        </w:rPr>
        <w:t xml:space="preserve">initiate a positive feedback cycle of adverse heart-brain interactions with cardiac dysfunction resulting in </w:t>
      </w:r>
      <w:r w:rsidR="00A249F1" w:rsidRPr="00F92FF9">
        <w:rPr>
          <w:color w:val="000000" w:themeColor="text1"/>
        </w:rPr>
        <w:t xml:space="preserve">chronic </w:t>
      </w:r>
      <w:r w:rsidR="00A849A1" w:rsidRPr="00F92FF9">
        <w:rPr>
          <w:color w:val="000000" w:themeColor="text1"/>
        </w:rPr>
        <w:t>systemic hypoperfusion</w:t>
      </w:r>
      <w:r w:rsidR="00A249F1" w:rsidRPr="00F92FF9">
        <w:rPr>
          <w:color w:val="000000" w:themeColor="text1"/>
        </w:rPr>
        <w:t>,</w:t>
      </w:r>
      <w:r w:rsidR="00A849A1" w:rsidRPr="00F92FF9">
        <w:rPr>
          <w:color w:val="000000" w:themeColor="text1"/>
        </w:rPr>
        <w:t xml:space="preserve"> disruptions to cerebral perfusion</w:t>
      </w:r>
      <w:r w:rsidR="00A249F1" w:rsidRPr="00F92FF9">
        <w:rPr>
          <w:color w:val="000000" w:themeColor="text1"/>
        </w:rPr>
        <w:t>, and</w:t>
      </w:r>
      <w:r w:rsidR="00A849A1" w:rsidRPr="00F92FF9">
        <w:rPr>
          <w:color w:val="000000" w:themeColor="text1"/>
        </w:rPr>
        <w:t xml:space="preserve"> further exacerbati</w:t>
      </w:r>
      <w:r w:rsidR="00A249F1" w:rsidRPr="00F92FF9">
        <w:rPr>
          <w:color w:val="000000" w:themeColor="text1"/>
        </w:rPr>
        <w:t>on of</w:t>
      </w:r>
      <w:r w:rsidR="00A849A1" w:rsidRPr="00F92FF9">
        <w:rPr>
          <w:color w:val="000000" w:themeColor="text1"/>
        </w:rPr>
        <w:t xml:space="preserve"> brain injuries</w:t>
      </w:r>
      <w:r w:rsidR="00BF5170" w:rsidRPr="00F92FF9">
        <w:rPr>
          <w:color w:val="000000" w:themeColor="text1"/>
        </w:rPr>
        <w:t xml:space="preserve"> (</w:t>
      </w:r>
      <w:r w:rsidR="00BF5170" w:rsidRPr="00F92FF9">
        <w:rPr>
          <w:b/>
          <w:bCs/>
          <w:color w:val="000000" w:themeColor="text1"/>
        </w:rPr>
        <w:t xml:space="preserve">Figure </w:t>
      </w:r>
      <w:r w:rsidR="00827F81" w:rsidRPr="00F92FF9">
        <w:rPr>
          <w:b/>
          <w:bCs/>
          <w:color w:val="000000" w:themeColor="text1"/>
        </w:rPr>
        <w:t>4</w:t>
      </w:r>
      <w:r w:rsidR="00BF5170" w:rsidRPr="00F92FF9">
        <w:rPr>
          <w:color w:val="000000" w:themeColor="text1"/>
        </w:rPr>
        <w:t>)</w:t>
      </w:r>
      <w:r w:rsidR="00A849A1" w:rsidRPr="00F92FF9">
        <w:rPr>
          <w:color w:val="000000" w:themeColor="text1"/>
        </w:rPr>
        <w:t>.</w:t>
      </w:r>
    </w:p>
    <w:p w14:paraId="3203CE2E" w14:textId="77777777" w:rsidR="00A249F1" w:rsidRPr="00F92FF9" w:rsidRDefault="00A249F1" w:rsidP="002C2A6C">
      <w:pPr>
        <w:rPr>
          <w:color w:val="000000" w:themeColor="text1"/>
        </w:rPr>
      </w:pPr>
    </w:p>
    <w:p w14:paraId="5088A733" w14:textId="5613006A" w:rsidR="001B2A1C" w:rsidRPr="00F92FF9" w:rsidRDefault="00856E60" w:rsidP="002C2A6C">
      <w:pPr>
        <w:rPr>
          <w:color w:val="000000" w:themeColor="text1"/>
        </w:rPr>
      </w:pPr>
      <w:r w:rsidRPr="00F92FF9">
        <w:rPr>
          <w:color w:val="000000" w:themeColor="text1"/>
        </w:rPr>
        <w:t>Whatever the underlying mechanisms, our findings suggest links between cardiovascular and cognitive health which might, with further investigation and validation, underpin novel clinical approaches to risk assessment for associated outcomes such as myocardial infarction and dementia.</w:t>
      </w:r>
    </w:p>
    <w:p w14:paraId="373AE5C4" w14:textId="140AA6B0" w:rsidR="001B2A1C" w:rsidRPr="00F92FF9" w:rsidRDefault="001B2A1C">
      <w:pPr>
        <w:rPr>
          <w:color w:val="000000" w:themeColor="text1"/>
        </w:rPr>
      </w:pPr>
    </w:p>
    <w:p w14:paraId="77A96CA6" w14:textId="757B5D09" w:rsidR="00FD0A02" w:rsidRPr="00F92FF9" w:rsidRDefault="00FD0A02">
      <w:pPr>
        <w:rPr>
          <w:b/>
          <w:bCs/>
          <w:color w:val="000000" w:themeColor="text1"/>
        </w:rPr>
      </w:pPr>
      <w:r w:rsidRPr="00F92FF9">
        <w:rPr>
          <w:b/>
          <w:bCs/>
          <w:color w:val="000000" w:themeColor="text1"/>
        </w:rPr>
        <w:t>Strengths and limitations</w:t>
      </w:r>
    </w:p>
    <w:p w14:paraId="5F09B1CA" w14:textId="118B0560" w:rsidR="001A69FE" w:rsidRPr="00F92FF9" w:rsidRDefault="00D96C55">
      <w:pPr>
        <w:rPr>
          <w:color w:val="000000" w:themeColor="text1"/>
        </w:rPr>
      </w:pPr>
      <w:r w:rsidRPr="00F92FF9">
        <w:rPr>
          <w:color w:val="000000" w:themeColor="text1"/>
        </w:rPr>
        <w:t xml:space="preserve">In this study, we made use of the large and standardised UK Biobank dataset to </w:t>
      </w:r>
      <w:r w:rsidR="00AD313E" w:rsidRPr="00F92FF9">
        <w:rPr>
          <w:color w:val="000000" w:themeColor="text1"/>
        </w:rPr>
        <w:t>describe novel</w:t>
      </w:r>
      <w:r w:rsidRPr="00F92FF9">
        <w:rPr>
          <w:color w:val="000000" w:themeColor="text1"/>
        </w:rPr>
        <w:t xml:space="preserve"> associations between cognitive function and CMR phenotypes. The </w:t>
      </w:r>
      <w:r w:rsidR="00CB72B7" w:rsidRPr="00F92FF9">
        <w:rPr>
          <w:color w:val="000000" w:themeColor="text1"/>
        </w:rPr>
        <w:t xml:space="preserve">extensive </w:t>
      </w:r>
      <w:r w:rsidR="00DD4B39" w:rsidRPr="00F92FF9">
        <w:rPr>
          <w:color w:val="000000" w:themeColor="text1"/>
        </w:rPr>
        <w:t>algorithm-coded morbidity, demographic</w:t>
      </w:r>
      <w:r w:rsidRPr="00F92FF9">
        <w:rPr>
          <w:color w:val="000000" w:themeColor="text1"/>
        </w:rPr>
        <w:t>,</w:t>
      </w:r>
      <w:r w:rsidR="00DD4B39" w:rsidRPr="00F92FF9">
        <w:rPr>
          <w:color w:val="000000" w:themeColor="text1"/>
        </w:rPr>
        <w:t xml:space="preserve"> and lifestyle </w:t>
      </w:r>
      <w:r w:rsidR="00CB72B7" w:rsidRPr="00F92FF9">
        <w:rPr>
          <w:color w:val="000000" w:themeColor="text1"/>
        </w:rPr>
        <w:t xml:space="preserve">data </w:t>
      </w:r>
      <w:r w:rsidR="000713B6" w:rsidRPr="00F92FF9">
        <w:rPr>
          <w:color w:val="000000" w:themeColor="text1"/>
        </w:rPr>
        <w:t xml:space="preserve">available </w:t>
      </w:r>
      <w:r w:rsidR="00CB72B7" w:rsidRPr="00F92FF9">
        <w:rPr>
          <w:color w:val="000000" w:themeColor="text1"/>
        </w:rPr>
        <w:t>permitted</w:t>
      </w:r>
      <w:r w:rsidR="00DD4B39" w:rsidRPr="00F92FF9">
        <w:rPr>
          <w:color w:val="000000" w:themeColor="text1"/>
        </w:rPr>
        <w:t xml:space="preserve"> </w:t>
      </w:r>
      <w:r w:rsidR="006F1430" w:rsidRPr="00F92FF9">
        <w:rPr>
          <w:color w:val="000000" w:themeColor="text1"/>
        </w:rPr>
        <w:t xml:space="preserve">adjustment for </w:t>
      </w:r>
      <w:r w:rsidR="00DD4B39" w:rsidRPr="00F92FF9">
        <w:rPr>
          <w:color w:val="000000" w:themeColor="text1"/>
        </w:rPr>
        <w:t>a wide range of covariates</w:t>
      </w:r>
      <w:r w:rsidR="00CB72B7" w:rsidRPr="00F92FF9">
        <w:rPr>
          <w:color w:val="000000" w:themeColor="text1"/>
        </w:rPr>
        <w:t xml:space="preserve">. </w:t>
      </w:r>
      <w:r w:rsidR="00CF17A4" w:rsidRPr="00F92FF9">
        <w:rPr>
          <w:color w:val="000000" w:themeColor="text1"/>
        </w:rPr>
        <w:t xml:space="preserve">However, inherent to the observational cross-sectional study design, the possibility of residual confounding cannot be </w:t>
      </w:r>
      <w:r w:rsidR="005C678C" w:rsidRPr="00F92FF9">
        <w:rPr>
          <w:color w:val="000000" w:themeColor="text1"/>
        </w:rPr>
        <w:t>excluded,</w:t>
      </w:r>
      <w:r w:rsidR="00CF17A4" w:rsidRPr="00F92FF9">
        <w:rPr>
          <w:color w:val="000000" w:themeColor="text1"/>
        </w:rPr>
        <w:t xml:space="preserve"> and it is not possible to establish a strict causal relationship from the results. </w:t>
      </w:r>
      <w:r w:rsidR="00591763" w:rsidRPr="00F92FF9">
        <w:rPr>
          <w:color w:val="000000" w:themeColor="text1"/>
        </w:rPr>
        <w:t xml:space="preserve">Further, the large sample size in this study may reveal statistically, but not clinically relevant associations. With this in mind, we have taken a strict hypothesis based approach to the analysis, applied conservative correction of p-value thresholds, and consider biological (rather than clinical) interpretation of the findings. </w:t>
      </w:r>
      <w:r w:rsidR="00CB72B7" w:rsidRPr="00F92FF9">
        <w:rPr>
          <w:color w:val="000000" w:themeColor="text1"/>
        </w:rPr>
        <w:t>C</w:t>
      </w:r>
      <w:r w:rsidR="00CA78FD" w:rsidRPr="00F92FF9">
        <w:rPr>
          <w:color w:val="000000" w:themeColor="text1"/>
        </w:rPr>
        <w:t xml:space="preserve">ommon to all research in the field of cognitive performance and dementia, the questionnaires and scoring systems used to quantify cognitive performance </w:t>
      </w:r>
      <w:r w:rsidR="00CB72B7" w:rsidRPr="00F92FF9">
        <w:rPr>
          <w:color w:val="000000" w:themeColor="text1"/>
        </w:rPr>
        <w:t xml:space="preserve">may not </w:t>
      </w:r>
      <w:r w:rsidR="00CB72B7" w:rsidRPr="00F92FF9">
        <w:rPr>
          <w:color w:val="000000" w:themeColor="text1"/>
        </w:rPr>
        <w:lastRenderedPageBreak/>
        <w:t>accurately reflect global cognitive ability and may be subject to bias depending on underlying educational status and other factors.</w:t>
      </w:r>
      <w:r w:rsidR="000A28AF" w:rsidRPr="00F92FF9">
        <w:rPr>
          <w:color w:val="000000" w:themeColor="text1"/>
        </w:rPr>
        <w:t xml:space="preserve"> In addition, there is, as is expected with such cohorts, evidence of healthy selection in UK</w:t>
      </w:r>
      <w:r w:rsidR="00CF17A4" w:rsidRPr="00F92FF9">
        <w:rPr>
          <w:color w:val="000000" w:themeColor="text1"/>
        </w:rPr>
        <w:t xml:space="preserve"> </w:t>
      </w:r>
      <w:r w:rsidR="000A28AF" w:rsidRPr="00F92FF9">
        <w:rPr>
          <w:color w:val="000000" w:themeColor="text1"/>
        </w:rPr>
        <w:t>B</w:t>
      </w:r>
      <w:r w:rsidR="00CF17A4" w:rsidRPr="00F92FF9">
        <w:rPr>
          <w:color w:val="000000" w:themeColor="text1"/>
        </w:rPr>
        <w:t>iobank</w:t>
      </w:r>
      <w:r w:rsidR="00CF17A4" w:rsidRPr="00F92FF9">
        <w:rPr>
          <w:color w:val="000000" w:themeColor="text1"/>
        </w:rPr>
        <w:fldChar w:fldCharType="begin" w:fldLock="1"/>
      </w:r>
      <w:r w:rsidR="00CF17A4" w:rsidRPr="00F92FF9">
        <w:rPr>
          <w:color w:val="000000" w:themeColor="text1"/>
        </w:rPr>
        <w:instrText>ADDIN CSL_CITATION {"citationItems":[{"id":"ITEM-1","itemData":{"DOI":"10.1136/bmj.m131","ISSN":"17561833","PMID":"32051121","abstract":"Objective To compare established associations between risk factors and mortality in UK Biobank, a study with an exceptionally low rate of response to its baseline survey, against those from representative studies that have conventional response rates. Design Prospective cohort study alongside individual participant meta-analysis of other cohort studies. Setting United Kingdom. Participants Analytical sample of 499 701 people (response rate 5.5%) in analyses in UK Biobank; pooled data from the Health Surveys for England (HSE) and the Scottish Health Surveys (SHS), including 18 studies and 89 895 people (mean response rate 68%). Both study populations were linked to the same nationwide mortality registries, and the baseline age range was aligned at 40-69 years. Main outcome measure Death from cardiovascular disease, selected malignancies, and suicide. To quantify the difference between hazard ratios in the two studies, a ratio of the hazard ratios was used with HSE-SHS as the referent. Results Risk factor levels and mortality rates were typically more favourable in UK Biobank participants relative to the HSE-SHS consortium. For the associations between risk factors and mortality endpoints, however, close agreement was seen between studies. Based on 14 288 deaths during an average of 7.0 years of follow-up in UK Biobank and 7861 deaths over 10 years of mortality surveillance in HSE-SHS, for cardiovascular disease mortality, for instance, the age and sex adjusted hazard ratio for ever having smoked cigarettes (versus never) was 2.04 (95% confidence interval 1.87 to 2.24) in UK Biobank and 1.99 (1.78 to 2.23) in HSE-SHS, yielding a ratio of hazard ratios close to unity (1.02, 0.88 to 1.19). The overall pattern of agreement between studies was essentially unchanged when results were compared separately by sex and when baseline years and censoring dates were aligned. Conclusion Despite a very low response rate, risk factor associations in the UK Biobank seem to be generalisable.","author":[{"dropping-particle":"","family":"Batty","given":"G. David","non-dropping-particle":"","parse-names":false,"suffix":""},{"dropping-particle":"","family":"Gale","given":"Catharine R.","non-dropping-particle":"","parse-names":false,"suffix":""},{"dropping-particle":"","family":"Kivimäki","given":"Mika","non-dropping-particle":"","parse-names":false,"suffix":""},{"dropping-particle":"","family":"Deary","given":"Ian J.","non-dropping-particle":"","parse-names":false,"suffix":""},{"dropping-particle":"","family":"Bell","given":"Steven","non-dropping-particle":"","parse-names":false,"suffix":""}],"container-title":"The BMJ","id":"ITEM-1","issued":{"date-parts":[["2020"]]},"page":"1-8","title":"Comparison of risk factor associations in UK Biobank against representative, general population based studies with conventional response rates: prospective cohort study and individual participant meta-analysis","type":"article-journal","volume":"368"},"uris":["http://www.mendeley.com/documents/?uuid=b6650d5b-6577-49c0-a557-c2a142d2c63d"]}],"mendeley":{"formattedCitation":"&lt;sup&gt;47&lt;/sup&gt;","plainTextFormattedCitation":"47","previouslyFormattedCitation":"&lt;sup&gt;49&lt;/sup&gt;"},"properties":{"noteIndex":0},"schema":"https://github.com/citation-style-language/schema/raw/master/csl-citation.json"}</w:instrText>
      </w:r>
      <w:r w:rsidR="00CF17A4" w:rsidRPr="00F92FF9">
        <w:rPr>
          <w:color w:val="000000" w:themeColor="text1"/>
        </w:rPr>
        <w:fldChar w:fldCharType="separate"/>
      </w:r>
      <w:r w:rsidR="00CF17A4" w:rsidRPr="00F92FF9">
        <w:rPr>
          <w:noProof/>
          <w:color w:val="000000" w:themeColor="text1"/>
          <w:vertAlign w:val="superscript"/>
        </w:rPr>
        <w:t>47</w:t>
      </w:r>
      <w:r w:rsidR="00CF17A4" w:rsidRPr="00F92FF9">
        <w:rPr>
          <w:color w:val="000000" w:themeColor="text1"/>
        </w:rPr>
        <w:fldChar w:fldCharType="end"/>
      </w:r>
      <w:r w:rsidR="00CF17A4" w:rsidRPr="00F92FF9">
        <w:rPr>
          <w:color w:val="000000" w:themeColor="text1"/>
        </w:rPr>
        <w:t>, thus the associations observed in this study describe, predominantly, relationships within the limits of healthy populations. Th</w:t>
      </w:r>
      <w:r w:rsidR="00D56F96" w:rsidRPr="00F92FF9">
        <w:rPr>
          <w:color w:val="000000" w:themeColor="text1"/>
        </w:rPr>
        <w:t>erefore</w:t>
      </w:r>
      <w:r w:rsidR="00CF17A4" w:rsidRPr="00F92FF9">
        <w:rPr>
          <w:color w:val="000000" w:themeColor="text1"/>
        </w:rPr>
        <w:t xml:space="preserve">, the pattern of associations observed may not be directly applicable to disease cohorts. </w:t>
      </w:r>
      <w:r w:rsidR="00190399" w:rsidRPr="00F92FF9">
        <w:rPr>
          <w:color w:val="000000" w:themeColor="text1"/>
        </w:rPr>
        <w:t>Another limitation of our work is that</w:t>
      </w:r>
      <w:r w:rsidR="00996903" w:rsidRPr="00F92FF9">
        <w:rPr>
          <w:color w:val="000000" w:themeColor="text1"/>
        </w:rPr>
        <w:t xml:space="preserve"> despite considering the potential confounding effect of an extensive range of exposure variables,</w:t>
      </w:r>
      <w:r w:rsidR="00190399" w:rsidRPr="00F92FF9">
        <w:rPr>
          <w:color w:val="000000" w:themeColor="text1"/>
        </w:rPr>
        <w:t xml:space="preserve"> we do not identify the underlying mechanism for the observed associations</w:t>
      </w:r>
      <w:r w:rsidR="000A785C" w:rsidRPr="00F92FF9">
        <w:rPr>
          <w:color w:val="000000" w:themeColor="text1"/>
        </w:rPr>
        <w:t xml:space="preserve">. In a separate analysis, addition of body mass index as covariate to fully adjusted models did not alter observed associations. </w:t>
      </w:r>
      <w:r w:rsidR="00190399" w:rsidRPr="00F92FF9">
        <w:rPr>
          <w:color w:val="000000" w:themeColor="text1"/>
        </w:rPr>
        <w:t>Future work dedicated to exploring underlying mechanisms is needed to better understand the links between brain and heart health</w:t>
      </w:r>
      <w:r w:rsidR="00F52A55" w:rsidRPr="00F92FF9">
        <w:rPr>
          <w:color w:val="000000" w:themeColor="text1"/>
        </w:rPr>
        <w:t>.</w:t>
      </w:r>
    </w:p>
    <w:p w14:paraId="1E4E9B89" w14:textId="77777777" w:rsidR="004457F2" w:rsidRPr="00F92FF9" w:rsidRDefault="004457F2">
      <w:pPr>
        <w:rPr>
          <w:color w:val="000000" w:themeColor="text1"/>
        </w:rPr>
      </w:pPr>
    </w:p>
    <w:p w14:paraId="33E2C192" w14:textId="71D3B185" w:rsidR="00AC6948" w:rsidRPr="00F92FF9" w:rsidRDefault="00AC6948">
      <w:pPr>
        <w:rPr>
          <w:b/>
          <w:bCs/>
          <w:color w:val="000000" w:themeColor="text1"/>
        </w:rPr>
      </w:pPr>
      <w:r w:rsidRPr="00F92FF9">
        <w:rPr>
          <w:b/>
          <w:bCs/>
          <w:color w:val="000000" w:themeColor="text1"/>
        </w:rPr>
        <w:t>Conclusions</w:t>
      </w:r>
    </w:p>
    <w:p w14:paraId="12BC109C" w14:textId="7F68C7E5" w:rsidR="00FD0A02" w:rsidRPr="00F92FF9" w:rsidRDefault="00CA78FD">
      <w:pPr>
        <w:rPr>
          <w:color w:val="000000" w:themeColor="text1"/>
        </w:rPr>
      </w:pPr>
      <w:r w:rsidRPr="00F92FF9">
        <w:rPr>
          <w:color w:val="000000" w:themeColor="text1"/>
        </w:rPr>
        <w:t xml:space="preserve">In this </w:t>
      </w:r>
      <w:r w:rsidR="00CB72B7" w:rsidRPr="00F92FF9">
        <w:rPr>
          <w:color w:val="000000" w:themeColor="text1"/>
        </w:rPr>
        <w:t xml:space="preserve">cohort </w:t>
      </w:r>
      <w:r w:rsidR="006874DB" w:rsidRPr="00F92FF9">
        <w:rPr>
          <w:color w:val="000000" w:themeColor="text1"/>
        </w:rPr>
        <w:t xml:space="preserve">of </w:t>
      </w:r>
      <w:r w:rsidR="00CB72B7" w:rsidRPr="00F92FF9">
        <w:rPr>
          <w:color w:val="000000" w:themeColor="text1"/>
        </w:rPr>
        <w:t>29,7</w:t>
      </w:r>
      <w:r w:rsidR="00CF17A4" w:rsidRPr="00F92FF9">
        <w:rPr>
          <w:color w:val="000000" w:themeColor="text1"/>
        </w:rPr>
        <w:t>63</w:t>
      </w:r>
      <w:r w:rsidR="00CB72B7" w:rsidRPr="00F92FF9">
        <w:rPr>
          <w:color w:val="000000" w:themeColor="text1"/>
        </w:rPr>
        <w:t xml:space="preserve"> </w:t>
      </w:r>
      <w:r w:rsidRPr="00F92FF9">
        <w:rPr>
          <w:color w:val="000000" w:themeColor="text1"/>
        </w:rPr>
        <w:t xml:space="preserve">UK Biobank </w:t>
      </w:r>
      <w:r w:rsidR="00CB72B7" w:rsidRPr="00F92FF9">
        <w:rPr>
          <w:color w:val="000000" w:themeColor="text1"/>
        </w:rPr>
        <w:t>participants</w:t>
      </w:r>
      <w:r w:rsidRPr="00F92FF9">
        <w:rPr>
          <w:color w:val="000000" w:themeColor="text1"/>
        </w:rPr>
        <w:t xml:space="preserve">, </w:t>
      </w:r>
      <w:r w:rsidR="00CB72B7" w:rsidRPr="00F92FF9">
        <w:rPr>
          <w:color w:val="000000" w:themeColor="text1"/>
        </w:rPr>
        <w:t xml:space="preserve">better </w:t>
      </w:r>
      <w:r w:rsidRPr="00F92FF9">
        <w:rPr>
          <w:color w:val="000000" w:themeColor="text1"/>
        </w:rPr>
        <w:t xml:space="preserve">cognitive performance was associated with </w:t>
      </w:r>
      <w:r w:rsidR="002B24BB" w:rsidRPr="00F92FF9">
        <w:rPr>
          <w:color w:val="000000" w:themeColor="text1"/>
        </w:rPr>
        <w:t>CMR and aortic distensibility measures which are likely to represent a</w:t>
      </w:r>
      <w:r w:rsidRPr="00F92FF9">
        <w:rPr>
          <w:color w:val="000000" w:themeColor="text1"/>
        </w:rPr>
        <w:t xml:space="preserve"> healthier </w:t>
      </w:r>
      <w:r w:rsidR="00CF17A4" w:rsidRPr="00F92FF9">
        <w:rPr>
          <w:color w:val="000000" w:themeColor="text1"/>
        </w:rPr>
        <w:t>cardiovascular</w:t>
      </w:r>
      <w:r w:rsidRPr="00F92FF9">
        <w:rPr>
          <w:color w:val="000000" w:themeColor="text1"/>
        </w:rPr>
        <w:t xml:space="preserve"> phenotype. The associations </w:t>
      </w:r>
      <w:r w:rsidR="00CF0970" w:rsidRPr="00F92FF9">
        <w:rPr>
          <w:color w:val="000000" w:themeColor="text1"/>
        </w:rPr>
        <w:t xml:space="preserve">were in general consistent between men and </w:t>
      </w:r>
      <w:r w:rsidR="00594F15" w:rsidRPr="00F92FF9">
        <w:rPr>
          <w:color w:val="000000" w:themeColor="text1"/>
        </w:rPr>
        <w:t>women and</w:t>
      </w:r>
      <w:r w:rsidR="00CF0970" w:rsidRPr="00F92FF9">
        <w:rPr>
          <w:color w:val="000000" w:themeColor="text1"/>
        </w:rPr>
        <w:t xml:space="preserve"> </w:t>
      </w:r>
      <w:r w:rsidRPr="00F92FF9">
        <w:rPr>
          <w:color w:val="000000" w:themeColor="text1"/>
        </w:rPr>
        <w:t xml:space="preserve">remained </w:t>
      </w:r>
      <w:r w:rsidR="00CB01BD" w:rsidRPr="00F92FF9">
        <w:rPr>
          <w:color w:val="000000" w:themeColor="text1"/>
        </w:rPr>
        <w:t xml:space="preserve">robust </w:t>
      </w:r>
      <w:r w:rsidR="00CB72B7" w:rsidRPr="00F92FF9">
        <w:rPr>
          <w:color w:val="000000" w:themeColor="text1"/>
        </w:rPr>
        <w:t>after</w:t>
      </w:r>
      <w:r w:rsidRPr="00F92FF9">
        <w:rPr>
          <w:color w:val="000000" w:themeColor="text1"/>
        </w:rPr>
        <w:t xml:space="preserve"> adjustment for </w:t>
      </w:r>
      <w:r w:rsidR="00CB72B7" w:rsidRPr="00F92FF9">
        <w:rPr>
          <w:color w:val="000000" w:themeColor="text1"/>
        </w:rPr>
        <w:t>a range of lifestyle, demographic, and vascular risk factors</w:t>
      </w:r>
      <w:r w:rsidRPr="00F92FF9">
        <w:rPr>
          <w:color w:val="000000" w:themeColor="text1"/>
        </w:rPr>
        <w:t xml:space="preserve">, implying a potential </w:t>
      </w:r>
      <w:r w:rsidR="00CF17A4" w:rsidRPr="00F92FF9">
        <w:rPr>
          <w:color w:val="000000" w:themeColor="text1"/>
        </w:rPr>
        <w:t xml:space="preserve">importance of alternative </w:t>
      </w:r>
      <w:r w:rsidRPr="00F92FF9">
        <w:rPr>
          <w:color w:val="000000" w:themeColor="text1"/>
        </w:rPr>
        <w:t>underlying mechanism.</w:t>
      </w:r>
      <w:r w:rsidR="00CF0970" w:rsidRPr="00F92FF9">
        <w:rPr>
          <w:color w:val="000000" w:themeColor="text1"/>
        </w:rPr>
        <w:t xml:space="preserve"> These findings</w:t>
      </w:r>
      <w:r w:rsidR="00856E60" w:rsidRPr="00F92FF9">
        <w:rPr>
          <w:color w:val="000000" w:themeColor="text1"/>
        </w:rPr>
        <w:t xml:space="preserve"> thus</w:t>
      </w:r>
      <w:r w:rsidR="00CF0970" w:rsidRPr="00F92FF9">
        <w:rPr>
          <w:color w:val="000000" w:themeColor="text1"/>
        </w:rPr>
        <w:t xml:space="preserve"> support links between cardiovascular and cognitive health, </w:t>
      </w:r>
      <w:r w:rsidR="00856E60" w:rsidRPr="00F92FF9">
        <w:rPr>
          <w:color w:val="000000" w:themeColor="text1"/>
        </w:rPr>
        <w:t>inform</w:t>
      </w:r>
      <w:r w:rsidR="00CF0970" w:rsidRPr="00F92FF9">
        <w:rPr>
          <w:color w:val="000000" w:themeColor="text1"/>
        </w:rPr>
        <w:t xml:space="preserve"> understanding of </w:t>
      </w:r>
      <w:r w:rsidR="00856E60" w:rsidRPr="00F92FF9">
        <w:rPr>
          <w:color w:val="000000" w:themeColor="text1"/>
        </w:rPr>
        <w:t>associated mechanisms</w:t>
      </w:r>
      <w:r w:rsidR="00CF17A4" w:rsidRPr="00F92FF9">
        <w:rPr>
          <w:color w:val="000000" w:themeColor="text1"/>
        </w:rPr>
        <w:t>,</w:t>
      </w:r>
      <w:r w:rsidR="00856E60" w:rsidRPr="00F92FF9">
        <w:rPr>
          <w:color w:val="000000" w:themeColor="text1"/>
        </w:rPr>
        <w:t xml:space="preserve"> </w:t>
      </w:r>
      <w:r w:rsidR="00CF0970" w:rsidRPr="00F92FF9">
        <w:rPr>
          <w:color w:val="000000" w:themeColor="text1"/>
        </w:rPr>
        <w:t xml:space="preserve">and </w:t>
      </w:r>
      <w:r w:rsidR="00856E60" w:rsidRPr="00F92FF9">
        <w:rPr>
          <w:color w:val="000000" w:themeColor="text1"/>
        </w:rPr>
        <w:t>suggest a rationale for</w:t>
      </w:r>
      <w:r w:rsidR="00CF0970" w:rsidRPr="00F92FF9">
        <w:rPr>
          <w:color w:val="000000" w:themeColor="text1"/>
        </w:rPr>
        <w:t xml:space="preserve"> </w:t>
      </w:r>
      <w:r w:rsidR="00856E60" w:rsidRPr="00F92FF9">
        <w:rPr>
          <w:color w:val="000000" w:themeColor="text1"/>
        </w:rPr>
        <w:t>a cross-system approach to risk assessment for associated disease outcomes.</w:t>
      </w:r>
    </w:p>
    <w:p w14:paraId="6D97A5F4" w14:textId="4DD8D6FA" w:rsidR="003B2631" w:rsidRPr="00F92FF9" w:rsidRDefault="003B2631">
      <w:pPr>
        <w:rPr>
          <w:color w:val="000000" w:themeColor="text1"/>
        </w:rPr>
      </w:pPr>
      <w:r w:rsidRPr="00F92FF9">
        <w:rPr>
          <w:color w:val="000000" w:themeColor="text1"/>
        </w:rPr>
        <w:br w:type="page"/>
      </w:r>
    </w:p>
    <w:p w14:paraId="1F86E854" w14:textId="19E9F5AF" w:rsidR="00AC6948" w:rsidRPr="00F92FF9" w:rsidRDefault="009D6DBB">
      <w:pPr>
        <w:rPr>
          <w:b/>
          <w:bCs/>
          <w:color w:val="000000" w:themeColor="text1"/>
        </w:rPr>
      </w:pPr>
      <w:r w:rsidRPr="00F92FF9">
        <w:rPr>
          <w:b/>
          <w:bCs/>
          <w:color w:val="000000" w:themeColor="text1"/>
        </w:rPr>
        <w:lastRenderedPageBreak/>
        <w:t>Funding statement</w:t>
      </w:r>
    </w:p>
    <w:p w14:paraId="14687A79" w14:textId="3F82F877" w:rsidR="00C72333" w:rsidRPr="00F92FF9" w:rsidRDefault="0062170E" w:rsidP="00C72333">
      <w:pPr>
        <w:rPr>
          <w:color w:val="000000" w:themeColor="text1"/>
        </w:rPr>
      </w:pPr>
      <w:r w:rsidRPr="00F92FF9">
        <w:rPr>
          <w:color w:val="000000" w:themeColor="text1"/>
        </w:rPr>
        <w:t>This study was conducted using the UK Biobank resource under access application 2964. Z.R.E. was supported by British Heart Foundation Clinical Research Training Fellowship No. FS/17/81/33318. SEP acknowledges support from and from the “</w:t>
      </w:r>
      <w:proofErr w:type="spellStart"/>
      <w:r w:rsidRPr="00F92FF9">
        <w:rPr>
          <w:color w:val="000000" w:themeColor="text1"/>
        </w:rPr>
        <w:t>SmartHeart</w:t>
      </w:r>
      <w:proofErr w:type="spellEnd"/>
      <w:r w:rsidRPr="00F92FF9">
        <w:rPr>
          <w:color w:val="000000" w:themeColor="text1"/>
        </w:rPr>
        <w:t>” EPSRC programme grant (www.nihr.ac.uk; EP/P001009/1). S.E.P. also acknowledges support from the CAP-AI programme, London’s first AI enabling programme focused on stimulating growth in the capital’s AI Sector. CAP-AI is led by Capital Enterprise in partnership with Barts Health NHS Trust and Digital Catapult and is funded by the European Regional Development Fund and Barts Charity. </w:t>
      </w:r>
      <w:r w:rsidR="00CF0970" w:rsidRPr="00F92FF9">
        <w:rPr>
          <w:color w:val="000000" w:themeColor="text1"/>
        </w:rPr>
        <w:t xml:space="preserve">NCH acknowledges support from the UK Medical Research Council (MRC #405050259; #U105960371), NIHR Southampton Biomedical Research Centre, University of Southampton and University Hospital Southampton. EMC was supported by the Wellcome Trust (#201268/Z/16/Z). </w:t>
      </w:r>
      <w:r w:rsidRPr="00F92FF9">
        <w:rPr>
          <w:color w:val="000000" w:themeColor="text1"/>
        </w:rPr>
        <w:t>SEP and SN acknowledge the British Heart Foundation for funding the manual analysis to create a cardiovascular magnetic resonance imaging reference standard for the UK Biobank imaging resource in 5000 CMR scans (www.bhf.org.uk; PG/14/89/31194).  SN</w:t>
      </w:r>
      <w:r w:rsidR="00352674" w:rsidRPr="00F92FF9">
        <w:rPr>
          <w:color w:val="000000" w:themeColor="text1"/>
        </w:rPr>
        <w:t>, CM</w:t>
      </w:r>
      <w:r w:rsidR="003B0D86" w:rsidRPr="00F92FF9">
        <w:rPr>
          <w:color w:val="000000" w:themeColor="text1"/>
        </w:rPr>
        <w:t>,</w:t>
      </w:r>
      <w:r w:rsidR="00352674" w:rsidRPr="00F92FF9">
        <w:rPr>
          <w:color w:val="000000" w:themeColor="text1"/>
        </w:rPr>
        <w:t xml:space="preserve"> </w:t>
      </w:r>
      <w:r w:rsidR="00293717" w:rsidRPr="00F92FF9">
        <w:rPr>
          <w:color w:val="000000" w:themeColor="text1"/>
        </w:rPr>
        <w:t xml:space="preserve">and AM’C were </w:t>
      </w:r>
      <w:r w:rsidRPr="00F92FF9">
        <w:rPr>
          <w:color w:val="000000" w:themeColor="text1"/>
        </w:rPr>
        <w:t xml:space="preserve">supported by the Oxford NIHR Biomedical Research Centre and </w:t>
      </w:r>
      <w:r w:rsidR="00293717" w:rsidRPr="00F92FF9">
        <w:rPr>
          <w:color w:val="000000" w:themeColor="text1"/>
        </w:rPr>
        <w:t xml:space="preserve">SN by </w:t>
      </w:r>
      <w:r w:rsidRPr="00F92FF9">
        <w:rPr>
          <w:color w:val="000000" w:themeColor="text1"/>
        </w:rPr>
        <w:t>the Oxford British Heart Foundation Centre of Research Excellence. N.A. recognises the National Institute for Health Research (NIHR) Integrated Academic Training programme which supports his Academic Clinical Lectureship post.</w:t>
      </w:r>
      <w:r w:rsidR="00512D74" w:rsidRPr="00F92FF9">
        <w:rPr>
          <w:color w:val="000000" w:themeColor="text1"/>
        </w:rPr>
        <w:t xml:space="preserve"> </w:t>
      </w:r>
      <w:r w:rsidR="004A3003" w:rsidRPr="00F92FF9">
        <w:rPr>
          <w:color w:val="000000" w:themeColor="text1"/>
        </w:rPr>
        <w:t xml:space="preserve">CEM and SS are supported by the NIHR Oxford Health Biomedical Research Centre and the Wellcome Centre for Integrative Neuroimaging. </w:t>
      </w:r>
      <w:r w:rsidR="00512D74" w:rsidRPr="00F92FF9">
        <w:rPr>
          <w:color w:val="000000" w:themeColor="text1"/>
        </w:rPr>
        <w:t>SS is funded by a UK Alzheimer’s Society Research Fellowship (Grant 441).</w:t>
      </w:r>
    </w:p>
    <w:p w14:paraId="6C9348E4" w14:textId="0D1A5503" w:rsidR="009D6DBB" w:rsidRPr="00F92FF9" w:rsidRDefault="009D6DBB" w:rsidP="00C72333">
      <w:pPr>
        <w:rPr>
          <w:color w:val="000000" w:themeColor="text1"/>
        </w:rPr>
      </w:pPr>
    </w:p>
    <w:p w14:paraId="6F093FE9" w14:textId="53A1B8FA" w:rsidR="003B2631" w:rsidRPr="00F92FF9" w:rsidRDefault="003B2631" w:rsidP="005C678C">
      <w:pPr>
        <w:rPr>
          <w:color w:val="000000" w:themeColor="text1"/>
        </w:rPr>
      </w:pPr>
      <w:r w:rsidRPr="00F92FF9">
        <w:rPr>
          <w:color w:val="000000" w:themeColor="text1"/>
        </w:rPr>
        <w:br w:type="page"/>
      </w:r>
    </w:p>
    <w:p w14:paraId="26DAAE0C" w14:textId="1E82C86C" w:rsidR="00242098" w:rsidRPr="00F92FF9" w:rsidRDefault="001B47C2">
      <w:pPr>
        <w:rPr>
          <w:b/>
          <w:bCs/>
          <w:color w:val="000000" w:themeColor="text1"/>
        </w:rPr>
      </w:pPr>
      <w:r w:rsidRPr="00F92FF9">
        <w:rPr>
          <w:b/>
          <w:bCs/>
          <w:color w:val="000000" w:themeColor="text1"/>
        </w:rPr>
        <w:lastRenderedPageBreak/>
        <w:t>References</w:t>
      </w:r>
    </w:p>
    <w:p w14:paraId="74EAD3E5" w14:textId="458C2C5B" w:rsidR="00CF17A4" w:rsidRPr="00F92FF9" w:rsidRDefault="00131F30" w:rsidP="00CF17A4">
      <w:pPr>
        <w:widowControl w:val="0"/>
        <w:autoSpaceDE w:val="0"/>
        <w:autoSpaceDN w:val="0"/>
        <w:adjustRightInd w:val="0"/>
        <w:ind w:left="640" w:hanging="640"/>
        <w:rPr>
          <w:noProof/>
          <w:color w:val="000000" w:themeColor="text1"/>
        </w:rPr>
      </w:pPr>
      <w:r w:rsidRPr="00F92FF9">
        <w:rPr>
          <w:color w:val="000000" w:themeColor="text1"/>
        </w:rPr>
        <w:fldChar w:fldCharType="begin" w:fldLock="1"/>
      </w:r>
      <w:r w:rsidRPr="00F92FF9">
        <w:rPr>
          <w:color w:val="000000" w:themeColor="text1"/>
        </w:rPr>
        <w:instrText xml:space="preserve">ADDIN Mendeley Bibliography CSL_BIBLIOGRAPHY </w:instrText>
      </w:r>
      <w:r w:rsidRPr="00F92FF9">
        <w:rPr>
          <w:color w:val="000000" w:themeColor="text1"/>
        </w:rPr>
        <w:fldChar w:fldCharType="separate"/>
      </w:r>
      <w:r w:rsidR="00CF17A4" w:rsidRPr="00F92FF9">
        <w:rPr>
          <w:noProof/>
          <w:color w:val="000000" w:themeColor="text1"/>
        </w:rPr>
        <w:t xml:space="preserve">1. </w:t>
      </w:r>
      <w:r w:rsidR="00CF17A4" w:rsidRPr="00F92FF9">
        <w:rPr>
          <w:noProof/>
          <w:color w:val="000000" w:themeColor="text1"/>
        </w:rPr>
        <w:tab/>
        <w:t>World Health Organization (WHO). Ageing and health. https://www.who.int/news-room/fact-sheets/detail/ageing-and-health (13 October 2020)</w:t>
      </w:r>
    </w:p>
    <w:p w14:paraId="6FCFFE76"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 </w:t>
      </w:r>
      <w:r w:rsidRPr="00F92FF9">
        <w:rPr>
          <w:noProof/>
          <w:color w:val="000000" w:themeColor="text1"/>
        </w:rPr>
        <w:tab/>
        <w:t>He W, Goodkind D, Kowal P. International Federation on Aging, An Aging World: 2015. 2016. https://ifa.ngo/publication/demographics/aging-world-2015/ (28 January 2020)</w:t>
      </w:r>
    </w:p>
    <w:p w14:paraId="1961E1E4"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 </w:t>
      </w:r>
      <w:r w:rsidRPr="00F92FF9">
        <w:rPr>
          <w:noProof/>
          <w:color w:val="000000" w:themeColor="text1"/>
        </w:rPr>
        <w:tab/>
        <w:t xml:space="preserve">Qiu C, Fratiglioni L. A major role for cardiovascular burden in age-related cognitive decline. </w:t>
      </w:r>
      <w:r w:rsidRPr="00F92FF9">
        <w:rPr>
          <w:i/>
          <w:iCs/>
          <w:noProof/>
          <w:color w:val="000000" w:themeColor="text1"/>
        </w:rPr>
        <w:t>Nat Rev Cardiol</w:t>
      </w:r>
      <w:r w:rsidRPr="00F92FF9">
        <w:rPr>
          <w:noProof/>
          <w:color w:val="000000" w:themeColor="text1"/>
        </w:rPr>
        <w:t xml:space="preserve"> 2015;</w:t>
      </w:r>
      <w:r w:rsidRPr="00F92FF9">
        <w:rPr>
          <w:b/>
          <w:bCs/>
          <w:noProof/>
          <w:color w:val="000000" w:themeColor="text1"/>
        </w:rPr>
        <w:t>12</w:t>
      </w:r>
      <w:r w:rsidRPr="00F92FF9">
        <w:rPr>
          <w:noProof/>
          <w:color w:val="000000" w:themeColor="text1"/>
        </w:rPr>
        <w:t xml:space="preserve">:267–277. </w:t>
      </w:r>
    </w:p>
    <w:p w14:paraId="5B23A664" w14:textId="4174D29A"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 </w:t>
      </w:r>
      <w:r w:rsidRPr="00F92FF9">
        <w:rPr>
          <w:noProof/>
          <w:color w:val="000000" w:themeColor="text1"/>
        </w:rPr>
        <w:tab/>
        <w:t xml:space="preserve">Knopman D, Boland LL, Mosley T, Howard G, Liao D, Szklo M, et al. Cardiovascular risk factors and cognitive decline in middle-aged adults. </w:t>
      </w:r>
      <w:r w:rsidRPr="00F92FF9">
        <w:rPr>
          <w:i/>
          <w:iCs/>
          <w:noProof/>
          <w:color w:val="000000" w:themeColor="text1"/>
        </w:rPr>
        <w:t>Neurology</w:t>
      </w:r>
      <w:r w:rsidRPr="00F92FF9">
        <w:rPr>
          <w:noProof/>
          <w:color w:val="000000" w:themeColor="text1"/>
        </w:rPr>
        <w:t xml:space="preserve"> 2001;</w:t>
      </w:r>
      <w:r w:rsidRPr="00F92FF9">
        <w:rPr>
          <w:b/>
          <w:bCs/>
          <w:noProof/>
          <w:color w:val="000000" w:themeColor="text1"/>
        </w:rPr>
        <w:t>56</w:t>
      </w:r>
      <w:r w:rsidRPr="00F92FF9">
        <w:rPr>
          <w:noProof/>
          <w:color w:val="000000" w:themeColor="text1"/>
        </w:rPr>
        <w:t xml:space="preserve">:42–48. </w:t>
      </w:r>
    </w:p>
    <w:p w14:paraId="01B33DDF" w14:textId="30B36F91"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5. </w:t>
      </w:r>
      <w:r w:rsidRPr="00F92FF9">
        <w:rPr>
          <w:noProof/>
          <w:color w:val="000000" w:themeColor="text1"/>
        </w:rPr>
        <w:tab/>
        <w:t xml:space="preserve">Mielke MM, Rosenberg PB, Tschanz J, Cook L, Corcoran C, Hayden KM, et al. Vascular factors predict rate of progression in Alzheimer disease. </w:t>
      </w:r>
      <w:r w:rsidRPr="00F92FF9">
        <w:rPr>
          <w:i/>
          <w:iCs/>
          <w:noProof/>
          <w:color w:val="000000" w:themeColor="text1"/>
        </w:rPr>
        <w:t>Neurology</w:t>
      </w:r>
      <w:r w:rsidRPr="00F92FF9">
        <w:rPr>
          <w:noProof/>
          <w:color w:val="000000" w:themeColor="text1"/>
        </w:rPr>
        <w:t xml:space="preserve"> 2007;</w:t>
      </w:r>
      <w:r w:rsidRPr="00F92FF9">
        <w:rPr>
          <w:b/>
          <w:bCs/>
          <w:noProof/>
          <w:color w:val="000000" w:themeColor="text1"/>
        </w:rPr>
        <w:t>69</w:t>
      </w:r>
      <w:r w:rsidRPr="00F92FF9">
        <w:rPr>
          <w:noProof/>
          <w:color w:val="000000" w:themeColor="text1"/>
        </w:rPr>
        <w:t xml:space="preserve">:1850–1858. </w:t>
      </w:r>
    </w:p>
    <w:p w14:paraId="54594AEF" w14:textId="6ECBD8E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6. </w:t>
      </w:r>
      <w:r w:rsidRPr="00F92FF9">
        <w:rPr>
          <w:noProof/>
          <w:color w:val="000000" w:themeColor="text1"/>
        </w:rPr>
        <w:tab/>
        <w:t xml:space="preserve">Deschaintre Y, Richard F, Leys D, Pasquier F. Treatment of vascular risk factors is associated with slower decline in Alzheimer disease. </w:t>
      </w:r>
      <w:r w:rsidRPr="00F92FF9">
        <w:rPr>
          <w:i/>
          <w:iCs/>
          <w:noProof/>
          <w:color w:val="000000" w:themeColor="text1"/>
        </w:rPr>
        <w:t>Neurology</w:t>
      </w:r>
      <w:r w:rsidRPr="00F92FF9">
        <w:rPr>
          <w:noProof/>
          <w:color w:val="000000" w:themeColor="text1"/>
        </w:rPr>
        <w:t xml:space="preserve"> 2009;</w:t>
      </w:r>
      <w:r w:rsidRPr="00F92FF9">
        <w:rPr>
          <w:b/>
          <w:bCs/>
          <w:noProof/>
          <w:color w:val="000000" w:themeColor="text1"/>
        </w:rPr>
        <w:t>73</w:t>
      </w:r>
      <w:r w:rsidRPr="00F92FF9">
        <w:rPr>
          <w:noProof/>
          <w:color w:val="000000" w:themeColor="text1"/>
        </w:rPr>
        <w:t xml:space="preserve">:674–680. </w:t>
      </w:r>
    </w:p>
    <w:p w14:paraId="009C9224" w14:textId="2DB31EE9"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7. </w:t>
      </w:r>
      <w:r w:rsidRPr="00F92FF9">
        <w:rPr>
          <w:noProof/>
          <w:color w:val="000000" w:themeColor="text1"/>
        </w:rPr>
        <w:tab/>
        <w:t xml:space="preserve">Rusanen M, Kivipelto M, Levälahti E, Laatikainen T, Tuomilehto J, Soininen H, et al. Heart Diseases and Long-Term Risk of Dementia and Alzheimer’s Disease: A Population-Based CAIDE Study. </w:t>
      </w:r>
      <w:r w:rsidRPr="00F92FF9">
        <w:rPr>
          <w:i/>
          <w:iCs/>
          <w:noProof/>
          <w:color w:val="000000" w:themeColor="text1"/>
        </w:rPr>
        <w:t>J Alzheimer’s Dis</w:t>
      </w:r>
      <w:r w:rsidRPr="00F92FF9">
        <w:rPr>
          <w:noProof/>
          <w:color w:val="000000" w:themeColor="text1"/>
        </w:rPr>
        <w:t xml:space="preserve"> 2014;</w:t>
      </w:r>
      <w:r w:rsidRPr="00F92FF9">
        <w:rPr>
          <w:b/>
          <w:bCs/>
          <w:noProof/>
          <w:color w:val="000000" w:themeColor="text1"/>
        </w:rPr>
        <w:t>42</w:t>
      </w:r>
      <w:r w:rsidRPr="00F92FF9">
        <w:rPr>
          <w:noProof/>
          <w:color w:val="000000" w:themeColor="text1"/>
        </w:rPr>
        <w:t xml:space="preserve">:183–191. </w:t>
      </w:r>
    </w:p>
    <w:p w14:paraId="119F14FF" w14:textId="1334CA6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8. </w:t>
      </w:r>
      <w:r w:rsidRPr="00F92FF9">
        <w:rPr>
          <w:noProof/>
          <w:color w:val="000000" w:themeColor="text1"/>
        </w:rPr>
        <w:tab/>
        <w:t xml:space="preserve">Lyall DM, Celis-Morales CA, Anderson J, Gill JMR, Mackay DF, McIntosh AM,et al. Associations between single andmultiple cardiometabolic diseases and cognitive abilities in 474 129 UK Biobank participants. </w:t>
      </w:r>
      <w:r w:rsidRPr="00F92FF9">
        <w:rPr>
          <w:i/>
          <w:iCs/>
          <w:noProof/>
          <w:color w:val="000000" w:themeColor="text1"/>
        </w:rPr>
        <w:t>Eur Heart J</w:t>
      </w:r>
      <w:r w:rsidRPr="00F92FF9">
        <w:rPr>
          <w:noProof/>
          <w:color w:val="000000" w:themeColor="text1"/>
        </w:rPr>
        <w:t xml:space="preserve"> 2017;</w:t>
      </w:r>
      <w:r w:rsidRPr="00F92FF9">
        <w:rPr>
          <w:b/>
          <w:bCs/>
          <w:noProof/>
          <w:color w:val="000000" w:themeColor="text1"/>
        </w:rPr>
        <w:t>38</w:t>
      </w:r>
      <w:r w:rsidRPr="00F92FF9">
        <w:rPr>
          <w:noProof/>
          <w:color w:val="000000" w:themeColor="text1"/>
        </w:rPr>
        <w:t xml:space="preserve">:584–585. </w:t>
      </w:r>
    </w:p>
    <w:p w14:paraId="1EF52AAB" w14:textId="5E917235"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9. </w:t>
      </w:r>
      <w:r w:rsidRPr="00F92FF9">
        <w:rPr>
          <w:noProof/>
          <w:color w:val="000000" w:themeColor="text1"/>
        </w:rPr>
        <w:tab/>
        <w:t xml:space="preserve">Cox SR, Lyall DM, Ritchie SJ, Bastin ME, Harris MA, Buchanan CR, et al. Associations between vascular risk factors and brain MRI indices in UK Biobank. </w:t>
      </w:r>
      <w:r w:rsidRPr="00F92FF9">
        <w:rPr>
          <w:i/>
          <w:iCs/>
          <w:noProof/>
          <w:color w:val="000000" w:themeColor="text1"/>
        </w:rPr>
        <w:t>Eur Heart J</w:t>
      </w:r>
      <w:r w:rsidRPr="00F92FF9">
        <w:rPr>
          <w:noProof/>
          <w:color w:val="000000" w:themeColor="text1"/>
        </w:rPr>
        <w:t xml:space="preserve"> 2019;</w:t>
      </w:r>
      <w:r w:rsidRPr="00F92FF9">
        <w:rPr>
          <w:b/>
          <w:bCs/>
          <w:noProof/>
          <w:color w:val="000000" w:themeColor="text1"/>
        </w:rPr>
        <w:t>40</w:t>
      </w:r>
      <w:r w:rsidRPr="00F92FF9">
        <w:rPr>
          <w:noProof/>
          <w:color w:val="000000" w:themeColor="text1"/>
        </w:rPr>
        <w:t xml:space="preserve">:2290–2300. </w:t>
      </w:r>
    </w:p>
    <w:p w14:paraId="3E72B1A8"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10. </w:t>
      </w:r>
      <w:r w:rsidRPr="00F92FF9">
        <w:rPr>
          <w:noProof/>
          <w:color w:val="000000" w:themeColor="text1"/>
        </w:rPr>
        <w:tab/>
        <w:t xml:space="preserve">Raisi-Estabragh Z, Petersen SE. Cardiovascular research highlights from the UK Biobank: opportunities and challenges. </w:t>
      </w:r>
      <w:r w:rsidRPr="00F92FF9">
        <w:rPr>
          <w:i/>
          <w:iCs/>
          <w:noProof/>
          <w:color w:val="000000" w:themeColor="text1"/>
        </w:rPr>
        <w:t>Cardiovasc Res</w:t>
      </w:r>
      <w:r w:rsidRPr="00F92FF9">
        <w:rPr>
          <w:noProof/>
          <w:color w:val="000000" w:themeColor="text1"/>
        </w:rPr>
        <w:t xml:space="preserve"> 2020;</w:t>
      </w:r>
      <w:r w:rsidRPr="00F92FF9">
        <w:rPr>
          <w:b/>
          <w:bCs/>
          <w:noProof/>
          <w:color w:val="000000" w:themeColor="text1"/>
        </w:rPr>
        <w:t>116</w:t>
      </w:r>
      <w:r w:rsidRPr="00F92FF9">
        <w:rPr>
          <w:noProof/>
          <w:color w:val="000000" w:themeColor="text1"/>
        </w:rPr>
        <w:t xml:space="preserve">:e12–e15. </w:t>
      </w:r>
    </w:p>
    <w:p w14:paraId="51165FD2" w14:textId="0CD753E4"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11. </w:t>
      </w:r>
      <w:r w:rsidRPr="00F92FF9">
        <w:rPr>
          <w:noProof/>
          <w:color w:val="000000" w:themeColor="text1"/>
        </w:rPr>
        <w:tab/>
        <w:t>UK Biobank: Protocol for a large-scale prospective epidemiological resource. 2007. https://www.ukbiobank.ac.uk/wp-content/uploads/2011/11/UK-Biobank-Protocol.pdf (13 December 2020)</w:t>
      </w:r>
    </w:p>
    <w:p w14:paraId="6266DF17" w14:textId="3BBA163D"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12. </w:t>
      </w:r>
      <w:r w:rsidRPr="00F92FF9">
        <w:rPr>
          <w:noProof/>
          <w:color w:val="000000" w:themeColor="text1"/>
        </w:rPr>
        <w:tab/>
        <w:t>UK Biobank Imaging Study. https://imaging.ukbiobank.ac.uk/ (11 December 2020)</w:t>
      </w:r>
    </w:p>
    <w:p w14:paraId="1F897376" w14:textId="458440D4"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lastRenderedPageBreak/>
        <w:t xml:space="preserve">13. </w:t>
      </w:r>
      <w:r w:rsidRPr="00F92FF9">
        <w:rPr>
          <w:noProof/>
          <w:color w:val="000000" w:themeColor="text1"/>
        </w:rPr>
        <w:tab/>
        <w:t xml:space="preserve">Raisi-Estabragh Z, Harvey NC, Neubauer S, Petersen SE. Cardiovascular magnetic resonance imaging in the UK Biobank: a major international health research resource. </w:t>
      </w:r>
      <w:r w:rsidRPr="00F92FF9">
        <w:rPr>
          <w:i/>
          <w:iCs/>
          <w:noProof/>
          <w:color w:val="000000" w:themeColor="text1"/>
        </w:rPr>
        <w:t>Eur Hear J - Cardiovasc Imaging</w:t>
      </w:r>
      <w:r w:rsidRPr="00F92FF9">
        <w:rPr>
          <w:noProof/>
          <w:color w:val="000000" w:themeColor="text1"/>
        </w:rPr>
        <w:t xml:space="preserve"> 2020;jea297 [Epub </w:t>
      </w:r>
      <w:r w:rsidR="005C678C" w:rsidRPr="00F92FF9">
        <w:rPr>
          <w:noProof/>
          <w:color w:val="000000" w:themeColor="text1"/>
        </w:rPr>
        <w:t>online first</w:t>
      </w:r>
      <w:r w:rsidRPr="00F92FF9">
        <w:rPr>
          <w:noProof/>
          <w:color w:val="000000" w:themeColor="text1"/>
        </w:rPr>
        <w:t xml:space="preserve">]. </w:t>
      </w:r>
    </w:p>
    <w:p w14:paraId="771F443D" w14:textId="6628C86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14. </w:t>
      </w:r>
      <w:r w:rsidRPr="00F92FF9">
        <w:rPr>
          <w:noProof/>
          <w:color w:val="000000" w:themeColor="text1"/>
        </w:rPr>
        <w:tab/>
        <w:t xml:space="preserve">Hagenaars SP, Harris SE, Davies G, Hill WD, Liewald DCM, Ritchie SJ, et al. Shared genetic aetiology between cognitive functions and physical and mental health in UK Biobank (N=112 151) and 24 GWAS consortia. </w:t>
      </w:r>
      <w:r w:rsidRPr="00F92FF9">
        <w:rPr>
          <w:i/>
          <w:iCs/>
          <w:noProof/>
          <w:color w:val="000000" w:themeColor="text1"/>
        </w:rPr>
        <w:t>Mol Psychiatry</w:t>
      </w:r>
      <w:r w:rsidRPr="00F92FF9">
        <w:rPr>
          <w:noProof/>
          <w:color w:val="000000" w:themeColor="text1"/>
        </w:rPr>
        <w:t xml:space="preserve"> 2016;</w:t>
      </w:r>
      <w:r w:rsidRPr="00F92FF9">
        <w:rPr>
          <w:b/>
          <w:bCs/>
          <w:noProof/>
          <w:color w:val="000000" w:themeColor="text1"/>
        </w:rPr>
        <w:t>21</w:t>
      </w:r>
      <w:r w:rsidRPr="00F92FF9">
        <w:rPr>
          <w:noProof/>
          <w:color w:val="000000" w:themeColor="text1"/>
        </w:rPr>
        <w:t xml:space="preserve">:1624–1632. </w:t>
      </w:r>
    </w:p>
    <w:p w14:paraId="0589D837" w14:textId="361606A4"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15. </w:t>
      </w:r>
      <w:r w:rsidRPr="00F92FF9">
        <w:rPr>
          <w:noProof/>
          <w:color w:val="000000" w:themeColor="text1"/>
        </w:rPr>
        <w:tab/>
        <w:t xml:space="preserve">Fawns-Ritchie C, Deary IJ. Reliability and validity of the UK Biobank cognitive tests. </w:t>
      </w:r>
      <w:r w:rsidRPr="00F92FF9">
        <w:rPr>
          <w:i/>
          <w:iCs/>
          <w:noProof/>
          <w:color w:val="000000" w:themeColor="text1"/>
        </w:rPr>
        <w:t>PLoS One</w:t>
      </w:r>
      <w:r w:rsidRPr="00F92FF9">
        <w:rPr>
          <w:noProof/>
          <w:color w:val="000000" w:themeColor="text1"/>
        </w:rPr>
        <w:t xml:space="preserve"> 2020;</w:t>
      </w:r>
      <w:r w:rsidRPr="00F92FF9">
        <w:rPr>
          <w:b/>
          <w:bCs/>
          <w:noProof/>
          <w:color w:val="000000" w:themeColor="text1"/>
        </w:rPr>
        <w:t>15</w:t>
      </w:r>
      <w:r w:rsidRPr="00F92FF9">
        <w:rPr>
          <w:noProof/>
          <w:color w:val="000000" w:themeColor="text1"/>
        </w:rPr>
        <w:t xml:space="preserve">:e0231627. </w:t>
      </w:r>
    </w:p>
    <w:p w14:paraId="143879CB" w14:textId="0609A0F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16. </w:t>
      </w:r>
      <w:r w:rsidRPr="00F92FF9">
        <w:rPr>
          <w:noProof/>
          <w:color w:val="000000" w:themeColor="text1"/>
        </w:rPr>
        <w:tab/>
        <w:t xml:space="preserve">UK Biobank Touch-screen Fluid intelligence test. 2012. </w:t>
      </w:r>
      <w:r w:rsidR="003023B8" w:rsidRPr="00F92FF9">
        <w:rPr>
          <w:noProof/>
          <w:color w:val="000000" w:themeColor="text1"/>
        </w:rPr>
        <w:t>https://biobank.ndph.ox.ac.uk/showcase/showcase/docs/Fluidintelligence.pdf (20 February 2021)</w:t>
      </w:r>
    </w:p>
    <w:p w14:paraId="55A522FB"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17. </w:t>
      </w:r>
      <w:r w:rsidRPr="00F92FF9">
        <w:rPr>
          <w:noProof/>
          <w:color w:val="000000" w:themeColor="text1"/>
        </w:rPr>
        <w:tab/>
        <w:t xml:space="preserve">Gaddis ML, Gaddis GM. Introduction to biostatistics: Part 1, basic concepts. </w:t>
      </w:r>
      <w:r w:rsidRPr="00F92FF9">
        <w:rPr>
          <w:i/>
          <w:iCs/>
          <w:noProof/>
          <w:color w:val="000000" w:themeColor="text1"/>
        </w:rPr>
        <w:t>Ann Emerg Med</w:t>
      </w:r>
      <w:r w:rsidRPr="00F92FF9">
        <w:rPr>
          <w:noProof/>
          <w:color w:val="000000" w:themeColor="text1"/>
        </w:rPr>
        <w:t xml:space="preserve"> 1990;</w:t>
      </w:r>
      <w:r w:rsidRPr="00F92FF9">
        <w:rPr>
          <w:b/>
          <w:bCs/>
          <w:noProof/>
          <w:color w:val="000000" w:themeColor="text1"/>
        </w:rPr>
        <w:t>19</w:t>
      </w:r>
      <w:r w:rsidRPr="00F92FF9">
        <w:rPr>
          <w:noProof/>
          <w:color w:val="000000" w:themeColor="text1"/>
        </w:rPr>
        <w:t xml:space="preserve">:86–89. </w:t>
      </w:r>
    </w:p>
    <w:p w14:paraId="3B3BE6E7" w14:textId="3A70DFF9"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18. </w:t>
      </w:r>
      <w:r w:rsidRPr="00F92FF9">
        <w:rPr>
          <w:noProof/>
          <w:color w:val="000000" w:themeColor="text1"/>
        </w:rPr>
        <w:tab/>
        <w:t xml:space="preserve">Biobank Touch-screen test of reaction time (Snap). 2015. </w:t>
      </w:r>
      <w:r w:rsidR="003023B8" w:rsidRPr="00F92FF9">
        <w:rPr>
          <w:noProof/>
          <w:color w:val="000000" w:themeColor="text1"/>
        </w:rPr>
        <w:t>https://biobank.ndph.ox.ac.uk/showcase/showcase/docs/Snap.pdf (20 February 2021)</w:t>
      </w:r>
    </w:p>
    <w:p w14:paraId="0415FF18" w14:textId="7DB7E0B9"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19. </w:t>
      </w:r>
      <w:r w:rsidRPr="00F92FF9">
        <w:rPr>
          <w:noProof/>
          <w:color w:val="000000" w:themeColor="text1"/>
        </w:rPr>
        <w:tab/>
        <w:t xml:space="preserve">Petersen SE, Matthews PM, Francis JM, Robson MD, Zemrak F, Boubertakh R, </w:t>
      </w:r>
      <w:r w:rsidR="003023B8" w:rsidRPr="00F92FF9">
        <w:rPr>
          <w:noProof/>
          <w:color w:val="000000" w:themeColor="text1"/>
        </w:rPr>
        <w:t>et al</w:t>
      </w:r>
      <w:r w:rsidRPr="00F92FF9">
        <w:rPr>
          <w:noProof/>
          <w:color w:val="000000" w:themeColor="text1"/>
        </w:rPr>
        <w:t xml:space="preserve">. UK Biobank’s cardiovascular magnetic resonance protocol. </w:t>
      </w:r>
      <w:r w:rsidRPr="00F92FF9">
        <w:rPr>
          <w:i/>
          <w:iCs/>
          <w:noProof/>
          <w:color w:val="000000" w:themeColor="text1"/>
        </w:rPr>
        <w:t>J Cardiovasc Magn Reson</w:t>
      </w:r>
      <w:r w:rsidRPr="00F92FF9">
        <w:rPr>
          <w:noProof/>
          <w:color w:val="000000" w:themeColor="text1"/>
        </w:rPr>
        <w:t xml:space="preserve"> 2015;</w:t>
      </w:r>
      <w:r w:rsidRPr="00F92FF9">
        <w:rPr>
          <w:b/>
          <w:bCs/>
          <w:noProof/>
          <w:color w:val="000000" w:themeColor="text1"/>
        </w:rPr>
        <w:t>18</w:t>
      </w:r>
      <w:r w:rsidRPr="00F92FF9">
        <w:rPr>
          <w:noProof/>
          <w:color w:val="000000" w:themeColor="text1"/>
        </w:rPr>
        <w:t xml:space="preserve">:8. </w:t>
      </w:r>
    </w:p>
    <w:p w14:paraId="5AE7E0A8" w14:textId="35D762D1" w:rsidR="00CF17A4" w:rsidRPr="00F92FF9" w:rsidRDefault="00CF17A4" w:rsidP="00CF17A4">
      <w:pPr>
        <w:widowControl w:val="0"/>
        <w:autoSpaceDE w:val="0"/>
        <w:autoSpaceDN w:val="0"/>
        <w:adjustRightInd w:val="0"/>
        <w:ind w:left="640" w:hanging="640"/>
        <w:rPr>
          <w:noProof/>
          <w:color w:val="000000" w:themeColor="text1"/>
          <w:lang w:val="de-DE"/>
        </w:rPr>
      </w:pPr>
      <w:r w:rsidRPr="00F92FF9">
        <w:rPr>
          <w:noProof/>
          <w:color w:val="000000" w:themeColor="text1"/>
        </w:rPr>
        <w:t xml:space="preserve">20. </w:t>
      </w:r>
      <w:r w:rsidRPr="00F92FF9">
        <w:rPr>
          <w:noProof/>
          <w:color w:val="000000" w:themeColor="text1"/>
        </w:rPr>
        <w:tab/>
        <w:t xml:space="preserve">Attar R, Pereañez M, Gooya A, Albà X, Zhang L, </w:t>
      </w:r>
      <w:r w:rsidR="003023B8" w:rsidRPr="00F92FF9">
        <w:rPr>
          <w:noProof/>
          <w:color w:val="000000" w:themeColor="text1"/>
        </w:rPr>
        <w:t xml:space="preserve">de </w:t>
      </w:r>
      <w:r w:rsidRPr="00F92FF9">
        <w:rPr>
          <w:noProof/>
          <w:color w:val="000000" w:themeColor="text1"/>
        </w:rPr>
        <w:t xml:space="preserve">Vila MH, </w:t>
      </w:r>
      <w:r w:rsidR="003023B8" w:rsidRPr="00F92FF9">
        <w:rPr>
          <w:noProof/>
          <w:color w:val="000000" w:themeColor="text1"/>
        </w:rPr>
        <w:t>et al</w:t>
      </w:r>
      <w:r w:rsidRPr="00F92FF9">
        <w:rPr>
          <w:noProof/>
          <w:color w:val="000000" w:themeColor="text1"/>
        </w:rPr>
        <w:t xml:space="preserve">. Quantitative CMR population imaging on 20,000 subjects of the UK Biobank imaging study: LV/RV quantification pipeline and its evaluation. </w:t>
      </w:r>
      <w:r w:rsidRPr="00F92FF9">
        <w:rPr>
          <w:i/>
          <w:iCs/>
          <w:noProof/>
          <w:color w:val="000000" w:themeColor="text1"/>
          <w:lang w:val="de-DE"/>
        </w:rPr>
        <w:t>Med Image Anal</w:t>
      </w:r>
      <w:r w:rsidRPr="00F92FF9">
        <w:rPr>
          <w:noProof/>
          <w:color w:val="000000" w:themeColor="text1"/>
          <w:lang w:val="de-DE"/>
        </w:rPr>
        <w:t xml:space="preserve"> 2019;</w:t>
      </w:r>
      <w:r w:rsidRPr="00F92FF9">
        <w:rPr>
          <w:b/>
          <w:bCs/>
          <w:noProof/>
          <w:color w:val="000000" w:themeColor="text1"/>
          <w:lang w:val="de-DE"/>
        </w:rPr>
        <w:t>56</w:t>
      </w:r>
      <w:r w:rsidRPr="00F92FF9">
        <w:rPr>
          <w:noProof/>
          <w:color w:val="000000" w:themeColor="text1"/>
          <w:lang w:val="de-DE"/>
        </w:rPr>
        <w:t xml:space="preserve">:26–42. </w:t>
      </w:r>
    </w:p>
    <w:p w14:paraId="0CA27BEE" w14:textId="2F4856DD"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lang w:val="de-DE"/>
        </w:rPr>
        <w:t xml:space="preserve">21. </w:t>
      </w:r>
      <w:r w:rsidRPr="00F92FF9">
        <w:rPr>
          <w:noProof/>
          <w:color w:val="000000" w:themeColor="text1"/>
          <w:lang w:val="de-DE"/>
        </w:rPr>
        <w:tab/>
        <w:t xml:space="preserve">Biasiolli L, Hann E, Lukaschuk E, Carapella V, Paiva JM, Aung N, </w:t>
      </w:r>
      <w:r w:rsidR="003023B8" w:rsidRPr="00F92FF9">
        <w:rPr>
          <w:noProof/>
          <w:color w:val="000000" w:themeColor="text1"/>
          <w:lang w:val="de-DE"/>
        </w:rPr>
        <w:t>et al</w:t>
      </w:r>
      <w:r w:rsidRPr="00F92FF9">
        <w:rPr>
          <w:noProof/>
          <w:color w:val="000000" w:themeColor="text1"/>
          <w:lang w:val="de-DE"/>
        </w:rPr>
        <w:t xml:space="preserve">. </w:t>
      </w:r>
      <w:r w:rsidRPr="00F92FF9">
        <w:rPr>
          <w:noProof/>
          <w:color w:val="000000" w:themeColor="text1"/>
        </w:rPr>
        <w:t xml:space="preserve">Automated localization and quality control of the aorta in cine CMR can significantly accelerate processing of the UK Biobank population data. </w:t>
      </w:r>
      <w:r w:rsidRPr="00F92FF9">
        <w:rPr>
          <w:i/>
          <w:iCs/>
          <w:noProof/>
          <w:color w:val="000000" w:themeColor="text1"/>
        </w:rPr>
        <w:t>PLoS One</w:t>
      </w:r>
      <w:r w:rsidRPr="00F92FF9">
        <w:rPr>
          <w:noProof/>
          <w:color w:val="000000" w:themeColor="text1"/>
        </w:rPr>
        <w:t xml:space="preserve"> 2019;</w:t>
      </w:r>
      <w:r w:rsidRPr="00F92FF9">
        <w:rPr>
          <w:b/>
          <w:bCs/>
          <w:noProof/>
          <w:color w:val="000000" w:themeColor="text1"/>
        </w:rPr>
        <w:t>14</w:t>
      </w:r>
      <w:r w:rsidRPr="00F92FF9">
        <w:rPr>
          <w:noProof/>
          <w:color w:val="000000" w:themeColor="text1"/>
        </w:rPr>
        <w:t xml:space="preserve">:e0212272. </w:t>
      </w:r>
    </w:p>
    <w:p w14:paraId="50790658"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22. </w:t>
      </w:r>
      <w:r w:rsidRPr="00F92FF9">
        <w:rPr>
          <w:noProof/>
          <w:color w:val="000000" w:themeColor="text1"/>
        </w:rPr>
        <w:tab/>
        <w:t xml:space="preserve">R Core Team (2019). R: A language and environment for statistical computing. R Foundation for Statistical Computing, Vienna, Austria. </w:t>
      </w:r>
    </w:p>
    <w:p w14:paraId="4DF5303D"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23. </w:t>
      </w:r>
      <w:r w:rsidRPr="00F92FF9">
        <w:rPr>
          <w:noProof/>
          <w:color w:val="000000" w:themeColor="text1"/>
        </w:rPr>
        <w:tab/>
        <w:t>RStudio: Integrated Development for R. RStudio, Inc., Boston, MA. https://rstudio.com/ (18 October 2020)</w:t>
      </w:r>
    </w:p>
    <w:p w14:paraId="52487EEF" w14:textId="7777777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24. </w:t>
      </w:r>
      <w:r w:rsidRPr="00F92FF9">
        <w:rPr>
          <w:noProof/>
          <w:color w:val="000000" w:themeColor="text1"/>
        </w:rPr>
        <w:tab/>
        <w:t xml:space="preserve">Benjamini Y, Hochberg Y. Controlling the False Discovery Rate: A Practical and Powerful </w:t>
      </w:r>
      <w:r w:rsidRPr="00F92FF9">
        <w:rPr>
          <w:noProof/>
          <w:color w:val="000000" w:themeColor="text1"/>
        </w:rPr>
        <w:lastRenderedPageBreak/>
        <w:t xml:space="preserve">Approach to Multiple Testing. </w:t>
      </w:r>
      <w:r w:rsidRPr="00F92FF9">
        <w:rPr>
          <w:i/>
          <w:iCs/>
          <w:noProof/>
          <w:color w:val="000000" w:themeColor="text1"/>
        </w:rPr>
        <w:t>Source J R Stat Soc Ser B</w:t>
      </w:r>
      <w:r w:rsidRPr="00F92FF9">
        <w:rPr>
          <w:noProof/>
          <w:color w:val="000000" w:themeColor="text1"/>
        </w:rPr>
        <w:t xml:space="preserve"> 1995;</w:t>
      </w:r>
      <w:r w:rsidRPr="00F92FF9">
        <w:rPr>
          <w:b/>
          <w:bCs/>
          <w:noProof/>
          <w:color w:val="000000" w:themeColor="text1"/>
        </w:rPr>
        <w:t>57</w:t>
      </w:r>
      <w:r w:rsidRPr="00F92FF9">
        <w:rPr>
          <w:noProof/>
          <w:color w:val="000000" w:themeColor="text1"/>
        </w:rPr>
        <w:t xml:space="preserve">:289–300. </w:t>
      </w:r>
    </w:p>
    <w:p w14:paraId="423A6A72" w14:textId="0539306F"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25. </w:t>
      </w:r>
      <w:r w:rsidRPr="00F92FF9">
        <w:rPr>
          <w:noProof/>
          <w:color w:val="000000" w:themeColor="text1"/>
        </w:rPr>
        <w:tab/>
        <w:t xml:space="preserve">Townsend P, Phillimore P, Beattie A. Health and Deprivation: Inequality and the North. </w:t>
      </w:r>
      <w:r w:rsidRPr="00F92FF9">
        <w:rPr>
          <w:i/>
          <w:iCs/>
          <w:noProof/>
          <w:color w:val="000000" w:themeColor="text1"/>
        </w:rPr>
        <w:t>Nurs Stand</w:t>
      </w:r>
      <w:r w:rsidRPr="00F92FF9">
        <w:rPr>
          <w:noProof/>
          <w:color w:val="000000" w:themeColor="text1"/>
        </w:rPr>
        <w:t xml:space="preserve"> 1988;</w:t>
      </w:r>
      <w:r w:rsidRPr="00F92FF9">
        <w:rPr>
          <w:b/>
          <w:bCs/>
          <w:noProof/>
          <w:color w:val="000000" w:themeColor="text1"/>
        </w:rPr>
        <w:t>2</w:t>
      </w:r>
      <w:r w:rsidRPr="00F92FF9">
        <w:rPr>
          <w:noProof/>
          <w:color w:val="000000" w:themeColor="text1"/>
        </w:rPr>
        <w:t xml:space="preserve">:34–34. </w:t>
      </w:r>
    </w:p>
    <w:p w14:paraId="5612662A" w14:textId="7E03C51F"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26. </w:t>
      </w:r>
      <w:r w:rsidRPr="00F92FF9">
        <w:rPr>
          <w:noProof/>
          <w:color w:val="000000" w:themeColor="text1"/>
        </w:rPr>
        <w:tab/>
        <w:t xml:space="preserve">Craig CL, Marshall AL, Sjöström M, Bauman AE, Booth ML, Ainsworth BE, </w:t>
      </w:r>
      <w:r w:rsidR="003023B8" w:rsidRPr="00F92FF9">
        <w:rPr>
          <w:noProof/>
          <w:color w:val="000000" w:themeColor="text1"/>
        </w:rPr>
        <w:t>et al</w:t>
      </w:r>
      <w:r w:rsidRPr="00F92FF9">
        <w:rPr>
          <w:noProof/>
          <w:color w:val="000000" w:themeColor="text1"/>
        </w:rPr>
        <w:t xml:space="preserve">. International physical activity questionnaire: 12-country reliability and validity. </w:t>
      </w:r>
      <w:r w:rsidRPr="00F92FF9">
        <w:rPr>
          <w:i/>
          <w:iCs/>
          <w:noProof/>
          <w:color w:val="000000" w:themeColor="text1"/>
        </w:rPr>
        <w:t>Med Sci Sports Exerc</w:t>
      </w:r>
      <w:r w:rsidRPr="00F92FF9">
        <w:rPr>
          <w:noProof/>
          <w:color w:val="000000" w:themeColor="text1"/>
        </w:rPr>
        <w:t xml:space="preserve"> 2003;</w:t>
      </w:r>
      <w:r w:rsidRPr="00F92FF9">
        <w:rPr>
          <w:b/>
          <w:bCs/>
          <w:noProof/>
          <w:color w:val="000000" w:themeColor="text1"/>
        </w:rPr>
        <w:t>35</w:t>
      </w:r>
      <w:r w:rsidRPr="00F92FF9">
        <w:rPr>
          <w:noProof/>
          <w:color w:val="000000" w:themeColor="text1"/>
        </w:rPr>
        <w:t xml:space="preserve">:1381–1395. </w:t>
      </w:r>
    </w:p>
    <w:p w14:paraId="1AE62F6E" w14:textId="444C7AE4"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27. </w:t>
      </w:r>
      <w:r w:rsidRPr="00F92FF9">
        <w:rPr>
          <w:noProof/>
          <w:color w:val="000000" w:themeColor="text1"/>
        </w:rPr>
        <w:tab/>
        <w:t xml:space="preserve">Schnier C, Sudlow C. </w:t>
      </w:r>
      <w:r w:rsidR="003023B8" w:rsidRPr="00F92FF9">
        <w:rPr>
          <w:noProof/>
          <w:color w:val="000000" w:themeColor="text1"/>
        </w:rPr>
        <w:t xml:space="preserve">UK Biobank </w:t>
      </w:r>
      <w:r w:rsidRPr="00F92FF9">
        <w:rPr>
          <w:noProof/>
          <w:color w:val="000000" w:themeColor="text1"/>
        </w:rPr>
        <w:t>Algorithmically-defined health outcomes (Chief Scientist), with input from members of the UK Biobank Follow-up and Outcomes Adjudication Group. 2017. https://biobank.ctsu.ox.ac.uk/crystal/crystal/docs/alg_outcome_main.pdf (27 March 2020)</w:t>
      </w:r>
    </w:p>
    <w:p w14:paraId="0BB63E18" w14:textId="45134EBA"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28. </w:t>
      </w:r>
      <w:r w:rsidRPr="00F92FF9">
        <w:rPr>
          <w:noProof/>
          <w:color w:val="000000" w:themeColor="text1"/>
        </w:rPr>
        <w:tab/>
        <w:t xml:space="preserve">Zuccalà G, Cattel C, Manes-Gravina E, Niro MG Di, Cocchi A, Bernabei R. Left ventricular dysfunction: A clue to cognitive impairment in older patients with heart failure. </w:t>
      </w:r>
      <w:r w:rsidRPr="00F92FF9">
        <w:rPr>
          <w:i/>
          <w:iCs/>
          <w:noProof/>
          <w:color w:val="000000" w:themeColor="text1"/>
        </w:rPr>
        <w:t>J Neurol Neurosurg Psychiatry</w:t>
      </w:r>
      <w:r w:rsidRPr="00F92FF9">
        <w:rPr>
          <w:noProof/>
          <w:color w:val="000000" w:themeColor="text1"/>
        </w:rPr>
        <w:t xml:space="preserve"> 1997;</w:t>
      </w:r>
      <w:r w:rsidRPr="00F92FF9">
        <w:rPr>
          <w:b/>
          <w:bCs/>
          <w:noProof/>
          <w:color w:val="000000" w:themeColor="text1"/>
        </w:rPr>
        <w:t>63</w:t>
      </w:r>
      <w:r w:rsidRPr="00F92FF9">
        <w:rPr>
          <w:noProof/>
          <w:color w:val="000000" w:themeColor="text1"/>
        </w:rPr>
        <w:t xml:space="preserve">:509–512. </w:t>
      </w:r>
    </w:p>
    <w:p w14:paraId="6978DBDC" w14:textId="4143B031"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29. </w:t>
      </w:r>
      <w:r w:rsidRPr="00F92FF9">
        <w:rPr>
          <w:noProof/>
          <w:color w:val="000000" w:themeColor="text1"/>
        </w:rPr>
        <w:tab/>
        <w:t xml:space="preserve">Vogels RLC, </w:t>
      </w:r>
      <w:r w:rsidR="003023B8" w:rsidRPr="00F92FF9">
        <w:rPr>
          <w:noProof/>
          <w:color w:val="000000" w:themeColor="text1"/>
        </w:rPr>
        <w:t xml:space="preserve">van der </w:t>
      </w:r>
      <w:r w:rsidRPr="00F92FF9">
        <w:rPr>
          <w:noProof/>
          <w:color w:val="000000" w:themeColor="text1"/>
        </w:rPr>
        <w:t xml:space="preserve">Flier WM, </w:t>
      </w:r>
      <w:r w:rsidR="003023B8" w:rsidRPr="00F92FF9">
        <w:rPr>
          <w:noProof/>
          <w:color w:val="000000" w:themeColor="text1"/>
        </w:rPr>
        <w:t xml:space="preserve">van </w:t>
      </w:r>
      <w:r w:rsidRPr="00F92FF9">
        <w:rPr>
          <w:noProof/>
          <w:color w:val="000000" w:themeColor="text1"/>
        </w:rPr>
        <w:t xml:space="preserve">Harten B, Gouw AA, Scheltens P, Schroeder-Tanka JM, </w:t>
      </w:r>
      <w:r w:rsidR="003023B8" w:rsidRPr="00F92FF9">
        <w:rPr>
          <w:noProof/>
          <w:color w:val="000000" w:themeColor="text1"/>
        </w:rPr>
        <w:t>et al</w:t>
      </w:r>
      <w:r w:rsidRPr="00F92FF9">
        <w:rPr>
          <w:noProof/>
          <w:color w:val="000000" w:themeColor="text1"/>
        </w:rPr>
        <w:t xml:space="preserve">. Brain magnetic resonance imaging abnormalities in patients with heart failure. </w:t>
      </w:r>
      <w:r w:rsidRPr="00F92FF9">
        <w:rPr>
          <w:i/>
          <w:iCs/>
          <w:noProof/>
          <w:color w:val="000000" w:themeColor="text1"/>
        </w:rPr>
        <w:t>Eur J Heart Fail</w:t>
      </w:r>
      <w:r w:rsidRPr="00F92FF9">
        <w:rPr>
          <w:noProof/>
          <w:color w:val="000000" w:themeColor="text1"/>
        </w:rPr>
        <w:t xml:space="preserve"> 2007;</w:t>
      </w:r>
      <w:r w:rsidRPr="00F92FF9">
        <w:rPr>
          <w:b/>
          <w:bCs/>
          <w:noProof/>
          <w:color w:val="000000" w:themeColor="text1"/>
        </w:rPr>
        <w:t>9</w:t>
      </w:r>
      <w:r w:rsidRPr="00F92FF9">
        <w:rPr>
          <w:noProof/>
          <w:color w:val="000000" w:themeColor="text1"/>
        </w:rPr>
        <w:t xml:space="preserve">:1003–1009. </w:t>
      </w:r>
    </w:p>
    <w:p w14:paraId="5C976927" w14:textId="5CCB113B"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30. </w:t>
      </w:r>
      <w:r w:rsidRPr="00F92FF9">
        <w:rPr>
          <w:noProof/>
          <w:color w:val="000000" w:themeColor="text1"/>
        </w:rPr>
        <w:tab/>
        <w:t xml:space="preserve">Jefferson AL. Cardiac output as a potential risk factor for abnormal brain aging. </w:t>
      </w:r>
      <w:r w:rsidRPr="00F92FF9">
        <w:rPr>
          <w:i/>
          <w:iCs/>
          <w:noProof/>
          <w:color w:val="000000" w:themeColor="text1"/>
        </w:rPr>
        <w:t>J Alzheimer’s Dis</w:t>
      </w:r>
      <w:r w:rsidRPr="00F92FF9">
        <w:rPr>
          <w:noProof/>
          <w:color w:val="000000" w:themeColor="text1"/>
        </w:rPr>
        <w:t xml:space="preserve"> 2010;</w:t>
      </w:r>
      <w:r w:rsidRPr="00F92FF9">
        <w:rPr>
          <w:b/>
          <w:bCs/>
          <w:noProof/>
          <w:color w:val="000000" w:themeColor="text1"/>
        </w:rPr>
        <w:t>20</w:t>
      </w:r>
      <w:r w:rsidRPr="00F92FF9">
        <w:rPr>
          <w:noProof/>
          <w:color w:val="000000" w:themeColor="text1"/>
        </w:rPr>
        <w:t xml:space="preserve">:813–821. </w:t>
      </w:r>
    </w:p>
    <w:p w14:paraId="37A9DC07" w14:textId="20477496"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31. </w:t>
      </w:r>
      <w:r w:rsidRPr="00F92FF9">
        <w:rPr>
          <w:noProof/>
          <w:color w:val="000000" w:themeColor="text1"/>
        </w:rPr>
        <w:tab/>
        <w:t xml:space="preserve">Oh JE, Shin JW, Sohn EH, Jung JO, Jeong SH, Song HJ, </w:t>
      </w:r>
      <w:r w:rsidR="003023B8" w:rsidRPr="00F92FF9">
        <w:rPr>
          <w:noProof/>
          <w:color w:val="000000" w:themeColor="text1"/>
        </w:rPr>
        <w:t>et al</w:t>
      </w:r>
      <w:r w:rsidRPr="00F92FF9">
        <w:rPr>
          <w:noProof/>
          <w:color w:val="000000" w:themeColor="text1"/>
        </w:rPr>
        <w:t xml:space="preserve">. Effect of cardiac function on cognition and brain structural changes in dementia. </w:t>
      </w:r>
      <w:r w:rsidRPr="00F92FF9">
        <w:rPr>
          <w:i/>
          <w:iCs/>
          <w:noProof/>
          <w:color w:val="000000" w:themeColor="text1"/>
        </w:rPr>
        <w:t>J Clin Neurol</w:t>
      </w:r>
      <w:r w:rsidRPr="00F92FF9">
        <w:rPr>
          <w:noProof/>
          <w:color w:val="000000" w:themeColor="text1"/>
        </w:rPr>
        <w:t xml:space="preserve"> 2012;</w:t>
      </w:r>
      <w:r w:rsidRPr="00F92FF9">
        <w:rPr>
          <w:b/>
          <w:bCs/>
          <w:noProof/>
          <w:color w:val="000000" w:themeColor="text1"/>
        </w:rPr>
        <w:t>8</w:t>
      </w:r>
      <w:r w:rsidRPr="00F92FF9">
        <w:rPr>
          <w:noProof/>
          <w:color w:val="000000" w:themeColor="text1"/>
        </w:rPr>
        <w:t xml:space="preserve">:123–129. </w:t>
      </w:r>
    </w:p>
    <w:p w14:paraId="0A6AD0BD" w14:textId="7050678B"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32. </w:t>
      </w:r>
      <w:r w:rsidRPr="00F92FF9">
        <w:rPr>
          <w:noProof/>
          <w:color w:val="000000" w:themeColor="text1"/>
        </w:rPr>
        <w:tab/>
        <w:t xml:space="preserve">Sanna GD, Nusdeo G, Piras MR, Forteleoni A, Murru MR, Saba PS, </w:t>
      </w:r>
      <w:r w:rsidR="003023B8" w:rsidRPr="00F92FF9">
        <w:rPr>
          <w:noProof/>
          <w:color w:val="000000" w:themeColor="text1"/>
        </w:rPr>
        <w:t>et al</w:t>
      </w:r>
      <w:r w:rsidRPr="00F92FF9">
        <w:rPr>
          <w:noProof/>
          <w:color w:val="000000" w:themeColor="text1"/>
        </w:rPr>
        <w:t xml:space="preserve">. Cardiac Abnormalities in Alzheimer Disease: Clinical Relevance Beyond Pathophysiological Rationale and Instrumental Findings? </w:t>
      </w:r>
      <w:r w:rsidRPr="00F92FF9">
        <w:rPr>
          <w:i/>
          <w:iCs/>
          <w:noProof/>
          <w:color w:val="000000" w:themeColor="text1"/>
        </w:rPr>
        <w:t>JACC Hear Fail</w:t>
      </w:r>
      <w:r w:rsidRPr="00F92FF9">
        <w:rPr>
          <w:noProof/>
          <w:color w:val="000000" w:themeColor="text1"/>
        </w:rPr>
        <w:t xml:space="preserve"> 2019;</w:t>
      </w:r>
      <w:r w:rsidRPr="00F92FF9">
        <w:rPr>
          <w:b/>
          <w:bCs/>
          <w:noProof/>
          <w:color w:val="000000" w:themeColor="text1"/>
        </w:rPr>
        <w:t>7</w:t>
      </w:r>
      <w:r w:rsidRPr="00F92FF9">
        <w:rPr>
          <w:noProof/>
          <w:color w:val="000000" w:themeColor="text1"/>
        </w:rPr>
        <w:t xml:space="preserve">:121–128. </w:t>
      </w:r>
    </w:p>
    <w:p w14:paraId="3ED68E1E" w14:textId="60A82140"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33. </w:t>
      </w:r>
      <w:r w:rsidRPr="00F92FF9">
        <w:rPr>
          <w:noProof/>
          <w:color w:val="000000" w:themeColor="text1"/>
        </w:rPr>
        <w:tab/>
        <w:t xml:space="preserve">Troncone L, Luciani M, Coggins M, Wilker EH, Ho CY, Codispoti KE, </w:t>
      </w:r>
      <w:r w:rsidR="003023B8" w:rsidRPr="00F92FF9">
        <w:rPr>
          <w:noProof/>
          <w:color w:val="000000" w:themeColor="text1"/>
        </w:rPr>
        <w:t>et al</w:t>
      </w:r>
      <w:r w:rsidRPr="00F92FF9">
        <w:rPr>
          <w:noProof/>
          <w:color w:val="000000" w:themeColor="text1"/>
        </w:rPr>
        <w:t xml:space="preserve">. Aβ Amyloid Pathology Affects the Hearts of Patients With Alzheimer’s Disease: Mind the Heart. </w:t>
      </w:r>
      <w:r w:rsidRPr="00F92FF9">
        <w:rPr>
          <w:i/>
          <w:iCs/>
          <w:noProof/>
          <w:color w:val="000000" w:themeColor="text1"/>
        </w:rPr>
        <w:t>J Am Coll Cardiol</w:t>
      </w:r>
      <w:r w:rsidRPr="00F92FF9">
        <w:rPr>
          <w:noProof/>
          <w:color w:val="000000" w:themeColor="text1"/>
        </w:rPr>
        <w:t xml:space="preserve"> 2016;</w:t>
      </w:r>
      <w:r w:rsidRPr="00F92FF9">
        <w:rPr>
          <w:b/>
          <w:bCs/>
          <w:noProof/>
          <w:color w:val="000000" w:themeColor="text1"/>
        </w:rPr>
        <w:t>68</w:t>
      </w:r>
      <w:r w:rsidRPr="00F92FF9">
        <w:rPr>
          <w:noProof/>
          <w:color w:val="000000" w:themeColor="text1"/>
        </w:rPr>
        <w:t xml:space="preserve">:2395–2407. </w:t>
      </w:r>
    </w:p>
    <w:p w14:paraId="4816FC39" w14:textId="6F612037"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34. </w:t>
      </w:r>
      <w:r w:rsidRPr="00F92FF9">
        <w:rPr>
          <w:noProof/>
          <w:color w:val="000000" w:themeColor="text1"/>
        </w:rPr>
        <w:tab/>
        <w:t xml:space="preserve">Manolio TA, Kronmal RA, Burke GL, Poirier V, O’Leary DH, Gardin JM, </w:t>
      </w:r>
      <w:r w:rsidR="003023B8" w:rsidRPr="00F92FF9">
        <w:rPr>
          <w:noProof/>
          <w:color w:val="000000" w:themeColor="text1"/>
        </w:rPr>
        <w:t>et al</w:t>
      </w:r>
      <w:r w:rsidRPr="00F92FF9">
        <w:rPr>
          <w:noProof/>
          <w:color w:val="000000" w:themeColor="text1"/>
        </w:rPr>
        <w:t xml:space="preserve">. Magnetic resonance abnormalities and cardiovascular disease in older adults the cardiovascular health </w:t>
      </w:r>
      <w:r w:rsidRPr="00F92FF9">
        <w:rPr>
          <w:noProof/>
          <w:color w:val="000000" w:themeColor="text1"/>
        </w:rPr>
        <w:lastRenderedPageBreak/>
        <w:t xml:space="preserve">study. </w:t>
      </w:r>
      <w:r w:rsidRPr="00F92FF9">
        <w:rPr>
          <w:i/>
          <w:iCs/>
          <w:noProof/>
          <w:color w:val="000000" w:themeColor="text1"/>
        </w:rPr>
        <w:t>Stroke</w:t>
      </w:r>
      <w:r w:rsidRPr="00F92FF9">
        <w:rPr>
          <w:noProof/>
          <w:color w:val="000000" w:themeColor="text1"/>
        </w:rPr>
        <w:t xml:space="preserve"> 1994;</w:t>
      </w:r>
      <w:r w:rsidRPr="00F92FF9">
        <w:rPr>
          <w:b/>
          <w:bCs/>
          <w:noProof/>
          <w:color w:val="000000" w:themeColor="text1"/>
        </w:rPr>
        <w:t>25</w:t>
      </w:r>
      <w:r w:rsidRPr="00F92FF9">
        <w:rPr>
          <w:noProof/>
          <w:color w:val="000000" w:themeColor="text1"/>
        </w:rPr>
        <w:t xml:space="preserve">:318–327. </w:t>
      </w:r>
    </w:p>
    <w:p w14:paraId="34D7030E" w14:textId="7C1DDD0E"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35. </w:t>
      </w:r>
      <w:r w:rsidRPr="00F92FF9">
        <w:rPr>
          <w:noProof/>
          <w:color w:val="000000" w:themeColor="text1"/>
        </w:rPr>
        <w:tab/>
        <w:t xml:space="preserve">Suwa M, Ito T. Correlation between cognitive impairment and left ventricular diastolic dysfunction in patients with cardiovascular diseases. </w:t>
      </w:r>
      <w:r w:rsidRPr="00F92FF9">
        <w:rPr>
          <w:i/>
          <w:iCs/>
          <w:noProof/>
          <w:color w:val="000000" w:themeColor="text1"/>
        </w:rPr>
        <w:t>Int J Cardiol</w:t>
      </w:r>
      <w:r w:rsidRPr="00F92FF9">
        <w:rPr>
          <w:noProof/>
          <w:color w:val="000000" w:themeColor="text1"/>
        </w:rPr>
        <w:t xml:space="preserve"> 2009;</w:t>
      </w:r>
      <w:r w:rsidRPr="00F92FF9">
        <w:rPr>
          <w:b/>
          <w:bCs/>
          <w:noProof/>
          <w:color w:val="000000" w:themeColor="text1"/>
        </w:rPr>
        <w:t>136</w:t>
      </w:r>
      <w:r w:rsidRPr="00F92FF9">
        <w:rPr>
          <w:noProof/>
          <w:color w:val="000000" w:themeColor="text1"/>
        </w:rPr>
        <w:t xml:space="preserve">:351–354. </w:t>
      </w:r>
    </w:p>
    <w:p w14:paraId="379CFC97" w14:textId="20B664B0"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36. </w:t>
      </w:r>
      <w:r w:rsidRPr="00F92FF9">
        <w:rPr>
          <w:noProof/>
          <w:color w:val="000000" w:themeColor="text1"/>
        </w:rPr>
        <w:tab/>
        <w:t xml:space="preserve">Lu FP, Lin KP, Kuo HK. Diabetes and the risk of multi-system aging phenotypes: A systematic review and meta-analysis. </w:t>
      </w:r>
      <w:r w:rsidRPr="00F92FF9">
        <w:rPr>
          <w:i/>
          <w:iCs/>
          <w:noProof/>
          <w:color w:val="000000" w:themeColor="text1"/>
        </w:rPr>
        <w:t>PLoS One</w:t>
      </w:r>
      <w:r w:rsidRPr="00F92FF9">
        <w:rPr>
          <w:noProof/>
          <w:color w:val="000000" w:themeColor="text1"/>
        </w:rPr>
        <w:t xml:space="preserve"> 2009;</w:t>
      </w:r>
      <w:r w:rsidRPr="00F92FF9">
        <w:rPr>
          <w:b/>
          <w:bCs/>
          <w:noProof/>
          <w:color w:val="000000" w:themeColor="text1"/>
        </w:rPr>
        <w:t>4</w:t>
      </w:r>
      <w:r w:rsidRPr="00F92FF9">
        <w:rPr>
          <w:noProof/>
          <w:color w:val="000000" w:themeColor="text1"/>
        </w:rPr>
        <w:t xml:space="preserve">. </w:t>
      </w:r>
    </w:p>
    <w:p w14:paraId="1C92F1CB" w14:textId="10417E7F"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37. </w:t>
      </w:r>
      <w:r w:rsidRPr="00F92FF9">
        <w:rPr>
          <w:noProof/>
          <w:color w:val="000000" w:themeColor="text1"/>
        </w:rPr>
        <w:tab/>
        <w:t xml:space="preserve">Peters R, Poulter R, Warner J, Beckett N, Burch L, Bulpitt C. Smoking, dementia and cognitive decline in the elderly, a systematic review. </w:t>
      </w:r>
      <w:r w:rsidRPr="00F92FF9">
        <w:rPr>
          <w:i/>
          <w:iCs/>
          <w:noProof/>
          <w:color w:val="000000" w:themeColor="text1"/>
        </w:rPr>
        <w:t>BMC Geriatr</w:t>
      </w:r>
      <w:r w:rsidRPr="00F92FF9">
        <w:rPr>
          <w:noProof/>
          <w:color w:val="000000" w:themeColor="text1"/>
        </w:rPr>
        <w:t xml:space="preserve"> 2008;</w:t>
      </w:r>
      <w:r w:rsidRPr="00F92FF9">
        <w:rPr>
          <w:b/>
          <w:bCs/>
          <w:noProof/>
          <w:color w:val="000000" w:themeColor="text1"/>
        </w:rPr>
        <w:t>8</w:t>
      </w:r>
      <w:r w:rsidRPr="00F92FF9">
        <w:rPr>
          <w:noProof/>
          <w:color w:val="000000" w:themeColor="text1"/>
        </w:rPr>
        <w:t xml:space="preserve">:36. </w:t>
      </w:r>
    </w:p>
    <w:p w14:paraId="4C52B06B" w14:textId="3B9E7759"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38. </w:t>
      </w:r>
      <w:r w:rsidRPr="00F92FF9">
        <w:rPr>
          <w:noProof/>
          <w:color w:val="000000" w:themeColor="text1"/>
        </w:rPr>
        <w:tab/>
        <w:t xml:space="preserve">Anstey KJ, Lipnicki DM, Low L-F. Cholesterol as a Risk Factor for Dementia and Cognitive Decline: A Systematic Review of Prospective Studies With Meta-Analysis. </w:t>
      </w:r>
      <w:r w:rsidRPr="00F92FF9">
        <w:rPr>
          <w:i/>
          <w:iCs/>
          <w:noProof/>
          <w:color w:val="000000" w:themeColor="text1"/>
        </w:rPr>
        <w:t>Am J Geriatr Psychiatry</w:t>
      </w:r>
      <w:r w:rsidRPr="00F92FF9">
        <w:rPr>
          <w:noProof/>
          <w:color w:val="000000" w:themeColor="text1"/>
        </w:rPr>
        <w:t xml:space="preserve"> 2008;</w:t>
      </w:r>
      <w:r w:rsidRPr="00F92FF9">
        <w:rPr>
          <w:b/>
          <w:bCs/>
          <w:noProof/>
          <w:color w:val="000000" w:themeColor="text1"/>
        </w:rPr>
        <w:t>16</w:t>
      </w:r>
      <w:r w:rsidRPr="00F92FF9">
        <w:rPr>
          <w:noProof/>
          <w:color w:val="000000" w:themeColor="text1"/>
        </w:rPr>
        <w:t xml:space="preserve">:343–354. </w:t>
      </w:r>
    </w:p>
    <w:p w14:paraId="1B46D124" w14:textId="4955676D"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39. </w:t>
      </w:r>
      <w:r w:rsidRPr="00F92FF9">
        <w:rPr>
          <w:noProof/>
          <w:color w:val="000000" w:themeColor="text1"/>
        </w:rPr>
        <w:tab/>
        <w:t xml:space="preserve">Novak V, Hajjar I. The relationship between blood pressure and cognitive function. </w:t>
      </w:r>
      <w:r w:rsidRPr="00F92FF9">
        <w:rPr>
          <w:i/>
          <w:iCs/>
          <w:noProof/>
          <w:color w:val="000000" w:themeColor="text1"/>
        </w:rPr>
        <w:t>Nat Rev Cardiol</w:t>
      </w:r>
      <w:r w:rsidRPr="00F92FF9">
        <w:rPr>
          <w:noProof/>
          <w:color w:val="000000" w:themeColor="text1"/>
        </w:rPr>
        <w:t xml:space="preserve"> 2010;</w:t>
      </w:r>
      <w:r w:rsidRPr="00F92FF9">
        <w:rPr>
          <w:b/>
          <w:bCs/>
          <w:noProof/>
          <w:color w:val="000000" w:themeColor="text1"/>
        </w:rPr>
        <w:t>7</w:t>
      </w:r>
      <w:r w:rsidRPr="00F92FF9">
        <w:rPr>
          <w:noProof/>
          <w:color w:val="000000" w:themeColor="text1"/>
        </w:rPr>
        <w:t xml:space="preserve">:686–698. </w:t>
      </w:r>
    </w:p>
    <w:p w14:paraId="06D20482" w14:textId="42187FE3"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40. </w:t>
      </w:r>
      <w:r w:rsidRPr="00F92FF9">
        <w:rPr>
          <w:noProof/>
          <w:color w:val="000000" w:themeColor="text1"/>
        </w:rPr>
        <w:tab/>
        <w:t xml:space="preserve">Anstey KJ, Cherbuin N, Budge M, Young J. Body mass index in midlife and late-life as a risk factor for dementia: A meta-analysis of prospective studies. </w:t>
      </w:r>
      <w:r w:rsidRPr="00F92FF9">
        <w:rPr>
          <w:i/>
          <w:iCs/>
          <w:noProof/>
          <w:color w:val="000000" w:themeColor="text1"/>
        </w:rPr>
        <w:t>Obes Rev</w:t>
      </w:r>
      <w:r w:rsidRPr="00F92FF9">
        <w:rPr>
          <w:noProof/>
          <w:color w:val="000000" w:themeColor="text1"/>
        </w:rPr>
        <w:t xml:space="preserve"> 2011;</w:t>
      </w:r>
      <w:r w:rsidRPr="00F92FF9">
        <w:rPr>
          <w:b/>
          <w:bCs/>
          <w:noProof/>
          <w:color w:val="000000" w:themeColor="text1"/>
        </w:rPr>
        <w:t>12</w:t>
      </w:r>
      <w:r w:rsidR="003023B8" w:rsidRPr="00F92FF9">
        <w:rPr>
          <w:noProof/>
          <w:color w:val="000000" w:themeColor="text1"/>
        </w:rPr>
        <w:t>:e426-e437.</w:t>
      </w:r>
      <w:r w:rsidRPr="00F92FF9">
        <w:rPr>
          <w:noProof/>
          <w:color w:val="000000" w:themeColor="text1"/>
        </w:rPr>
        <w:t xml:space="preserve"> </w:t>
      </w:r>
    </w:p>
    <w:p w14:paraId="4203AC12" w14:textId="40EF0965"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41. </w:t>
      </w:r>
      <w:r w:rsidRPr="00F92FF9">
        <w:rPr>
          <w:noProof/>
          <w:color w:val="000000" w:themeColor="text1"/>
        </w:rPr>
        <w:tab/>
        <w:t xml:space="preserve">Wolf PA. Contributions of the framingham heart study to stroke and dementia epidemiologic research at 60 years. </w:t>
      </w:r>
      <w:r w:rsidRPr="00F92FF9">
        <w:rPr>
          <w:i/>
          <w:iCs/>
          <w:noProof/>
          <w:color w:val="000000" w:themeColor="text1"/>
        </w:rPr>
        <w:t>Arch Neurol</w:t>
      </w:r>
      <w:r w:rsidRPr="00F92FF9">
        <w:rPr>
          <w:noProof/>
          <w:color w:val="000000" w:themeColor="text1"/>
        </w:rPr>
        <w:t xml:space="preserve"> 2012;</w:t>
      </w:r>
      <w:r w:rsidRPr="00F92FF9">
        <w:rPr>
          <w:b/>
          <w:bCs/>
          <w:noProof/>
          <w:color w:val="000000" w:themeColor="text1"/>
        </w:rPr>
        <w:t>69</w:t>
      </w:r>
      <w:r w:rsidRPr="00F92FF9">
        <w:rPr>
          <w:noProof/>
          <w:color w:val="000000" w:themeColor="text1"/>
        </w:rPr>
        <w:t xml:space="preserve">:567–571. </w:t>
      </w:r>
    </w:p>
    <w:p w14:paraId="21ECF4E6" w14:textId="2D48510B"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42. </w:t>
      </w:r>
      <w:r w:rsidRPr="00F92FF9">
        <w:rPr>
          <w:noProof/>
          <w:color w:val="000000" w:themeColor="text1"/>
        </w:rPr>
        <w:tab/>
        <w:t xml:space="preserve">Chaves PHM, Kuller LH, O’Leary DH, Manolio TA, Newman AB. Subclinical cardiovascular disease in older adults: insights from the Cardiovascular Health Study. </w:t>
      </w:r>
      <w:r w:rsidRPr="00F92FF9">
        <w:rPr>
          <w:i/>
          <w:iCs/>
          <w:noProof/>
          <w:color w:val="000000" w:themeColor="text1"/>
        </w:rPr>
        <w:t>Am J Geriatr Cardiol</w:t>
      </w:r>
      <w:r w:rsidRPr="00F92FF9">
        <w:rPr>
          <w:noProof/>
          <w:color w:val="000000" w:themeColor="text1"/>
        </w:rPr>
        <w:t xml:space="preserve"> 2004;</w:t>
      </w:r>
      <w:r w:rsidRPr="00F92FF9">
        <w:rPr>
          <w:b/>
          <w:bCs/>
          <w:noProof/>
          <w:color w:val="000000" w:themeColor="text1"/>
        </w:rPr>
        <w:t>13</w:t>
      </w:r>
      <w:r w:rsidRPr="00F92FF9">
        <w:rPr>
          <w:noProof/>
          <w:color w:val="000000" w:themeColor="text1"/>
        </w:rPr>
        <w:t xml:space="preserve">:137–149. </w:t>
      </w:r>
    </w:p>
    <w:p w14:paraId="1A7BE48A" w14:textId="4A59D54F"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43. </w:t>
      </w:r>
      <w:r w:rsidRPr="00F92FF9">
        <w:rPr>
          <w:noProof/>
          <w:color w:val="000000" w:themeColor="text1"/>
        </w:rPr>
        <w:tab/>
        <w:t xml:space="preserve">Gelber RP, Launer LJ, White LR. The Honolulu-Asia Aging Study: epidemiologic and neuropathologic research on cognitive impairment. </w:t>
      </w:r>
      <w:r w:rsidRPr="00F92FF9">
        <w:rPr>
          <w:i/>
          <w:iCs/>
          <w:noProof/>
          <w:color w:val="000000" w:themeColor="text1"/>
        </w:rPr>
        <w:t>Curr Alzheimer Res</w:t>
      </w:r>
      <w:r w:rsidRPr="00F92FF9">
        <w:rPr>
          <w:noProof/>
          <w:color w:val="000000" w:themeColor="text1"/>
        </w:rPr>
        <w:t xml:space="preserve"> 2012;</w:t>
      </w:r>
      <w:r w:rsidRPr="00F92FF9">
        <w:rPr>
          <w:b/>
          <w:bCs/>
          <w:noProof/>
          <w:color w:val="000000" w:themeColor="text1"/>
        </w:rPr>
        <w:t>9</w:t>
      </w:r>
      <w:r w:rsidRPr="00F92FF9">
        <w:rPr>
          <w:noProof/>
          <w:color w:val="000000" w:themeColor="text1"/>
        </w:rPr>
        <w:t xml:space="preserve">:664–672. </w:t>
      </w:r>
    </w:p>
    <w:p w14:paraId="1DFB3277" w14:textId="1E0FA8ED"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44. </w:t>
      </w:r>
      <w:r w:rsidRPr="00F92FF9">
        <w:rPr>
          <w:noProof/>
          <w:color w:val="000000" w:themeColor="text1"/>
        </w:rPr>
        <w:tab/>
        <w:t xml:space="preserve">Fratiglioni L, Winblad B, </w:t>
      </w:r>
      <w:r w:rsidR="003023B8" w:rsidRPr="00F92FF9">
        <w:rPr>
          <w:noProof/>
          <w:color w:val="000000" w:themeColor="text1"/>
        </w:rPr>
        <w:t xml:space="preserve">von </w:t>
      </w:r>
      <w:r w:rsidRPr="00F92FF9">
        <w:rPr>
          <w:noProof/>
          <w:color w:val="000000" w:themeColor="text1"/>
        </w:rPr>
        <w:t xml:space="preserve">Strauss E. Prevention of Alzheimer’s disease and dementia. Major findings from the Kungsholmen Project. </w:t>
      </w:r>
      <w:r w:rsidRPr="00F92FF9">
        <w:rPr>
          <w:i/>
          <w:iCs/>
          <w:noProof/>
          <w:color w:val="000000" w:themeColor="text1"/>
        </w:rPr>
        <w:t>Physiol Behav</w:t>
      </w:r>
      <w:r w:rsidRPr="00F92FF9">
        <w:rPr>
          <w:noProof/>
          <w:color w:val="000000" w:themeColor="text1"/>
        </w:rPr>
        <w:t xml:space="preserve"> 2007;</w:t>
      </w:r>
      <w:r w:rsidRPr="00F92FF9">
        <w:rPr>
          <w:b/>
          <w:bCs/>
          <w:noProof/>
          <w:color w:val="000000" w:themeColor="text1"/>
        </w:rPr>
        <w:t>92</w:t>
      </w:r>
      <w:r w:rsidRPr="00F92FF9">
        <w:rPr>
          <w:noProof/>
          <w:color w:val="000000" w:themeColor="text1"/>
        </w:rPr>
        <w:t xml:space="preserve">:98–104. </w:t>
      </w:r>
    </w:p>
    <w:p w14:paraId="48CBB8C6" w14:textId="39959D3B"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45. </w:t>
      </w:r>
      <w:r w:rsidRPr="00F92FF9">
        <w:rPr>
          <w:noProof/>
          <w:color w:val="000000" w:themeColor="text1"/>
        </w:rPr>
        <w:tab/>
        <w:t xml:space="preserve">Soysal P, Arik F, Smith L, Jackson SE, Isik AT. Inflammation, Frailty and Cardiovascular Disease. </w:t>
      </w:r>
      <w:r w:rsidRPr="00F92FF9">
        <w:rPr>
          <w:i/>
          <w:iCs/>
          <w:noProof/>
          <w:color w:val="000000" w:themeColor="text1"/>
        </w:rPr>
        <w:t>Adv Exp Med Biol</w:t>
      </w:r>
      <w:r w:rsidRPr="00F92FF9">
        <w:rPr>
          <w:noProof/>
          <w:color w:val="000000" w:themeColor="text1"/>
        </w:rPr>
        <w:t xml:space="preserve"> 2020;</w:t>
      </w:r>
      <w:r w:rsidRPr="00F92FF9">
        <w:rPr>
          <w:b/>
          <w:bCs/>
          <w:noProof/>
          <w:color w:val="000000" w:themeColor="text1"/>
        </w:rPr>
        <w:t>1216</w:t>
      </w:r>
      <w:r w:rsidRPr="00F92FF9">
        <w:rPr>
          <w:noProof/>
          <w:color w:val="000000" w:themeColor="text1"/>
        </w:rPr>
        <w:t xml:space="preserve">:55–64. </w:t>
      </w:r>
    </w:p>
    <w:p w14:paraId="4A7C70F3" w14:textId="2CD5B864" w:rsidR="00CF17A4" w:rsidRPr="00F92FF9" w:rsidRDefault="00CF17A4" w:rsidP="00CF17A4">
      <w:pPr>
        <w:widowControl w:val="0"/>
        <w:autoSpaceDE w:val="0"/>
        <w:autoSpaceDN w:val="0"/>
        <w:adjustRightInd w:val="0"/>
        <w:ind w:left="640" w:hanging="640"/>
        <w:rPr>
          <w:noProof/>
          <w:color w:val="000000" w:themeColor="text1"/>
        </w:rPr>
      </w:pPr>
      <w:r w:rsidRPr="00F92FF9">
        <w:rPr>
          <w:noProof/>
          <w:color w:val="000000" w:themeColor="text1"/>
        </w:rPr>
        <w:t xml:space="preserve">46. </w:t>
      </w:r>
      <w:r w:rsidRPr="00F92FF9">
        <w:rPr>
          <w:noProof/>
          <w:color w:val="000000" w:themeColor="text1"/>
        </w:rPr>
        <w:tab/>
        <w:t xml:space="preserve">Irwin MR, Vitiello M V. Implications of sleep disturbance and inflammation for Alzheimer’s disease dementia. </w:t>
      </w:r>
      <w:r w:rsidRPr="00F92FF9">
        <w:rPr>
          <w:i/>
          <w:iCs/>
          <w:noProof/>
          <w:color w:val="000000" w:themeColor="text1"/>
        </w:rPr>
        <w:t>Lancet Neurol</w:t>
      </w:r>
      <w:r w:rsidR="003023B8" w:rsidRPr="00F92FF9">
        <w:rPr>
          <w:noProof/>
          <w:color w:val="000000" w:themeColor="text1"/>
        </w:rPr>
        <w:t xml:space="preserve"> </w:t>
      </w:r>
      <w:r w:rsidRPr="00F92FF9">
        <w:rPr>
          <w:noProof/>
          <w:color w:val="000000" w:themeColor="text1"/>
        </w:rPr>
        <w:t>2019</w:t>
      </w:r>
      <w:r w:rsidR="003023B8" w:rsidRPr="00F92FF9">
        <w:rPr>
          <w:noProof/>
          <w:color w:val="000000" w:themeColor="text1"/>
        </w:rPr>
        <w:t>;18:</w:t>
      </w:r>
      <w:r w:rsidRPr="00F92FF9">
        <w:rPr>
          <w:noProof/>
          <w:color w:val="000000" w:themeColor="text1"/>
        </w:rPr>
        <w:t xml:space="preserve">296–306. </w:t>
      </w:r>
    </w:p>
    <w:p w14:paraId="760215BA" w14:textId="258E174B" w:rsidR="000A0A45" w:rsidRPr="00F92FF9" w:rsidRDefault="00CF17A4" w:rsidP="003023B8">
      <w:pPr>
        <w:widowControl w:val="0"/>
        <w:autoSpaceDE w:val="0"/>
        <w:autoSpaceDN w:val="0"/>
        <w:adjustRightInd w:val="0"/>
        <w:ind w:left="640" w:hanging="640"/>
        <w:rPr>
          <w:color w:val="000000" w:themeColor="text1"/>
        </w:rPr>
      </w:pPr>
      <w:r w:rsidRPr="00F92FF9">
        <w:rPr>
          <w:noProof/>
          <w:color w:val="000000" w:themeColor="text1"/>
        </w:rPr>
        <w:t xml:space="preserve">47. </w:t>
      </w:r>
      <w:r w:rsidRPr="00F92FF9">
        <w:rPr>
          <w:noProof/>
          <w:color w:val="000000" w:themeColor="text1"/>
        </w:rPr>
        <w:tab/>
        <w:t xml:space="preserve">Batty GD, Gale CR, Kivimäki M, Deary IJ, Bell S. Comparison of risk factor associations in </w:t>
      </w:r>
      <w:r w:rsidRPr="00F92FF9">
        <w:rPr>
          <w:noProof/>
          <w:color w:val="000000" w:themeColor="text1"/>
        </w:rPr>
        <w:lastRenderedPageBreak/>
        <w:t xml:space="preserve">UK Biobank against representative, general population based studies with conventional response rates: prospective cohort study and individual participant meta-analysis. </w:t>
      </w:r>
      <w:r w:rsidRPr="00F92FF9">
        <w:rPr>
          <w:i/>
          <w:iCs/>
          <w:noProof/>
          <w:color w:val="000000" w:themeColor="text1"/>
        </w:rPr>
        <w:t>BMJ</w:t>
      </w:r>
      <w:r w:rsidRPr="00F92FF9">
        <w:rPr>
          <w:noProof/>
          <w:color w:val="000000" w:themeColor="text1"/>
        </w:rPr>
        <w:t xml:space="preserve"> 2020;</w:t>
      </w:r>
      <w:r w:rsidRPr="00F92FF9">
        <w:rPr>
          <w:b/>
          <w:bCs/>
          <w:noProof/>
          <w:color w:val="000000" w:themeColor="text1"/>
        </w:rPr>
        <w:t>368</w:t>
      </w:r>
      <w:r w:rsidRPr="00F92FF9">
        <w:rPr>
          <w:noProof/>
          <w:color w:val="000000" w:themeColor="text1"/>
        </w:rPr>
        <w:t xml:space="preserve">:1–8. </w:t>
      </w:r>
      <w:r w:rsidR="00131F30" w:rsidRPr="00F92FF9">
        <w:rPr>
          <w:color w:val="000000" w:themeColor="text1"/>
        </w:rPr>
        <w:fldChar w:fldCharType="end"/>
      </w:r>
    </w:p>
    <w:p w14:paraId="0DD70322" w14:textId="095B5497" w:rsidR="003C3BEF" w:rsidRPr="00F92FF9" w:rsidRDefault="003C3BEF" w:rsidP="003023B8">
      <w:pPr>
        <w:widowControl w:val="0"/>
        <w:autoSpaceDE w:val="0"/>
        <w:autoSpaceDN w:val="0"/>
        <w:adjustRightInd w:val="0"/>
        <w:ind w:left="640" w:hanging="640"/>
        <w:rPr>
          <w:color w:val="000000" w:themeColor="text1"/>
        </w:rPr>
      </w:pPr>
      <w:r w:rsidRPr="00F92FF9">
        <w:rPr>
          <w:color w:val="000000" w:themeColor="text1"/>
        </w:rPr>
        <w:br w:type="page"/>
      </w:r>
    </w:p>
    <w:p w14:paraId="368425B7" w14:textId="77777777" w:rsidR="003C3BEF" w:rsidRPr="00F92FF9" w:rsidRDefault="003C3BEF" w:rsidP="003C3BEF">
      <w:pPr>
        <w:spacing w:line="240" w:lineRule="auto"/>
        <w:jc w:val="center"/>
      </w:pPr>
      <w:r w:rsidRPr="00F92FF9">
        <w:rPr>
          <w:b/>
          <w:bCs/>
        </w:rPr>
        <w:lastRenderedPageBreak/>
        <w:t>Table 1. Baseline population characteristics</w:t>
      </w:r>
    </w:p>
    <w:tbl>
      <w:tblPr>
        <w:tblStyle w:val="TableGridLight"/>
        <w:tblW w:w="9570" w:type="dxa"/>
        <w:jc w:val="center"/>
        <w:tblLook w:val="04A0" w:firstRow="1" w:lastRow="0" w:firstColumn="1" w:lastColumn="0" w:noHBand="0" w:noVBand="1"/>
      </w:tblPr>
      <w:tblGrid>
        <w:gridCol w:w="3111"/>
        <w:gridCol w:w="2134"/>
        <w:gridCol w:w="2198"/>
        <w:gridCol w:w="2127"/>
      </w:tblGrid>
      <w:tr w:rsidR="003C3BEF" w:rsidRPr="00F92FF9" w14:paraId="278DEE7F" w14:textId="77777777" w:rsidTr="003C3BEF">
        <w:trPr>
          <w:trHeight w:val="305"/>
          <w:jc w:val="center"/>
        </w:trPr>
        <w:tc>
          <w:tcPr>
            <w:tcW w:w="3111" w:type="dxa"/>
            <w:shd w:val="clear" w:color="auto" w:fill="F2F2F2" w:themeFill="background1" w:themeFillShade="F2"/>
            <w:noWrap/>
            <w:hideMark/>
          </w:tcPr>
          <w:p w14:paraId="06A7B573" w14:textId="77777777" w:rsidR="003C3BEF" w:rsidRPr="00F92FF9" w:rsidRDefault="003C3BEF" w:rsidP="003C3BEF">
            <w:pPr>
              <w:snapToGrid w:val="0"/>
              <w:spacing w:line="240" w:lineRule="auto"/>
              <w:rPr>
                <w:b/>
                <w:bCs/>
                <w:color w:val="000000" w:themeColor="text1"/>
              </w:rPr>
            </w:pPr>
          </w:p>
        </w:tc>
        <w:tc>
          <w:tcPr>
            <w:tcW w:w="2134" w:type="dxa"/>
            <w:shd w:val="clear" w:color="auto" w:fill="F2F2F2" w:themeFill="background1" w:themeFillShade="F2"/>
            <w:noWrap/>
            <w:hideMark/>
          </w:tcPr>
          <w:p w14:paraId="6AE8B9B1" w14:textId="77777777" w:rsidR="003C3BEF" w:rsidRPr="00F92FF9" w:rsidRDefault="003C3BEF" w:rsidP="003C3BEF">
            <w:pPr>
              <w:snapToGrid w:val="0"/>
              <w:spacing w:line="240" w:lineRule="auto"/>
              <w:jc w:val="center"/>
              <w:rPr>
                <w:b/>
                <w:bCs/>
                <w:color w:val="000000" w:themeColor="text1"/>
              </w:rPr>
            </w:pPr>
            <w:r w:rsidRPr="00F92FF9">
              <w:rPr>
                <w:b/>
                <w:bCs/>
                <w:color w:val="000000" w:themeColor="text1"/>
              </w:rPr>
              <w:t>Whole cohort</w:t>
            </w:r>
            <w:r w:rsidRPr="00F92FF9">
              <w:rPr>
                <w:b/>
                <w:bCs/>
                <w:color w:val="000000" w:themeColor="text1"/>
              </w:rPr>
              <w:br/>
              <w:t>(n= 29,763)</w:t>
            </w:r>
          </w:p>
        </w:tc>
        <w:tc>
          <w:tcPr>
            <w:tcW w:w="2198" w:type="dxa"/>
            <w:shd w:val="clear" w:color="auto" w:fill="F2F2F2" w:themeFill="background1" w:themeFillShade="F2"/>
            <w:noWrap/>
            <w:hideMark/>
          </w:tcPr>
          <w:p w14:paraId="7D28AEFD" w14:textId="77777777" w:rsidR="003C3BEF" w:rsidRPr="00F92FF9" w:rsidRDefault="003C3BEF" w:rsidP="003C3BEF">
            <w:pPr>
              <w:snapToGrid w:val="0"/>
              <w:spacing w:line="240" w:lineRule="auto"/>
              <w:jc w:val="center"/>
              <w:rPr>
                <w:b/>
                <w:bCs/>
                <w:color w:val="000000" w:themeColor="text1"/>
              </w:rPr>
            </w:pPr>
            <w:r w:rsidRPr="00F92FF9">
              <w:rPr>
                <w:b/>
                <w:bCs/>
                <w:color w:val="000000" w:themeColor="text1"/>
              </w:rPr>
              <w:t>Men</w:t>
            </w:r>
            <w:r w:rsidRPr="00F92FF9">
              <w:rPr>
                <w:b/>
                <w:bCs/>
                <w:color w:val="000000" w:themeColor="text1"/>
              </w:rPr>
              <w:br/>
              <w:t xml:space="preserve"> (n= </w:t>
            </w:r>
            <w:r w:rsidRPr="00F92FF9">
              <w:rPr>
                <w:b/>
                <w:color w:val="000000" w:themeColor="text1"/>
              </w:rPr>
              <w:t>14,379; 48.3%)</w:t>
            </w:r>
          </w:p>
        </w:tc>
        <w:tc>
          <w:tcPr>
            <w:tcW w:w="2127" w:type="dxa"/>
            <w:shd w:val="clear" w:color="auto" w:fill="F2F2F2" w:themeFill="background1" w:themeFillShade="F2"/>
            <w:noWrap/>
            <w:hideMark/>
          </w:tcPr>
          <w:p w14:paraId="1CCE0B23" w14:textId="77777777" w:rsidR="003C3BEF" w:rsidRPr="00F92FF9" w:rsidRDefault="003C3BEF" w:rsidP="003C3BEF">
            <w:pPr>
              <w:snapToGrid w:val="0"/>
              <w:spacing w:line="240" w:lineRule="auto"/>
              <w:jc w:val="center"/>
              <w:rPr>
                <w:b/>
                <w:bCs/>
                <w:color w:val="000000" w:themeColor="text1"/>
              </w:rPr>
            </w:pPr>
            <w:r w:rsidRPr="00F92FF9">
              <w:rPr>
                <w:b/>
                <w:bCs/>
                <w:color w:val="000000" w:themeColor="text1"/>
              </w:rPr>
              <w:t>Women</w:t>
            </w:r>
            <w:r w:rsidRPr="00F92FF9">
              <w:rPr>
                <w:b/>
                <w:bCs/>
                <w:color w:val="000000" w:themeColor="text1"/>
              </w:rPr>
              <w:br/>
              <w:t xml:space="preserve"> (n= 15,384; 51.7%)</w:t>
            </w:r>
          </w:p>
        </w:tc>
      </w:tr>
      <w:tr w:rsidR="003C3BEF" w:rsidRPr="00F92FF9" w14:paraId="6AD0D2BC" w14:textId="77777777" w:rsidTr="003C3BEF">
        <w:trPr>
          <w:trHeight w:val="20"/>
          <w:jc w:val="center"/>
        </w:trPr>
        <w:tc>
          <w:tcPr>
            <w:tcW w:w="3111" w:type="dxa"/>
            <w:noWrap/>
            <w:hideMark/>
          </w:tcPr>
          <w:p w14:paraId="0B033B22" w14:textId="77777777" w:rsidR="003C3BEF" w:rsidRPr="00F92FF9" w:rsidRDefault="003C3BEF" w:rsidP="003C3BEF">
            <w:pPr>
              <w:snapToGrid w:val="0"/>
              <w:spacing w:line="240" w:lineRule="auto"/>
              <w:rPr>
                <w:color w:val="000000" w:themeColor="text1"/>
              </w:rPr>
            </w:pPr>
            <w:r w:rsidRPr="00F92FF9">
              <w:rPr>
                <w:color w:val="000000" w:themeColor="text1"/>
              </w:rPr>
              <w:t>Age at imaging</w:t>
            </w:r>
          </w:p>
        </w:tc>
        <w:tc>
          <w:tcPr>
            <w:tcW w:w="2134" w:type="dxa"/>
            <w:noWrap/>
            <w:hideMark/>
          </w:tcPr>
          <w:p w14:paraId="16003549" w14:textId="77777777" w:rsidR="003C3BEF" w:rsidRPr="00F92FF9" w:rsidRDefault="003C3BEF" w:rsidP="003C3BEF">
            <w:pPr>
              <w:snapToGrid w:val="0"/>
              <w:spacing w:line="240" w:lineRule="auto"/>
              <w:jc w:val="center"/>
              <w:rPr>
                <w:color w:val="000000" w:themeColor="text1"/>
              </w:rPr>
            </w:pPr>
            <w:r w:rsidRPr="00F92FF9">
              <w:rPr>
                <w:color w:val="000000" w:themeColor="text1"/>
              </w:rPr>
              <w:t>63.0 (±7.5)</w:t>
            </w:r>
          </w:p>
        </w:tc>
        <w:tc>
          <w:tcPr>
            <w:tcW w:w="2198" w:type="dxa"/>
            <w:noWrap/>
            <w:hideMark/>
          </w:tcPr>
          <w:p w14:paraId="2108F243" w14:textId="77777777" w:rsidR="003C3BEF" w:rsidRPr="00F92FF9" w:rsidRDefault="003C3BEF" w:rsidP="003C3BEF">
            <w:pPr>
              <w:snapToGrid w:val="0"/>
              <w:spacing w:line="240" w:lineRule="auto"/>
              <w:jc w:val="center"/>
              <w:rPr>
                <w:color w:val="000000" w:themeColor="text1"/>
              </w:rPr>
            </w:pPr>
            <w:r w:rsidRPr="00F92FF9">
              <w:rPr>
                <w:color w:val="000000" w:themeColor="text1"/>
              </w:rPr>
              <w:t>63.7 (±7.6)</w:t>
            </w:r>
          </w:p>
        </w:tc>
        <w:tc>
          <w:tcPr>
            <w:tcW w:w="2127" w:type="dxa"/>
            <w:noWrap/>
            <w:hideMark/>
          </w:tcPr>
          <w:p w14:paraId="6F42A56A" w14:textId="77777777" w:rsidR="003C3BEF" w:rsidRPr="00F92FF9" w:rsidRDefault="003C3BEF" w:rsidP="003C3BEF">
            <w:pPr>
              <w:snapToGrid w:val="0"/>
              <w:spacing w:line="240" w:lineRule="auto"/>
              <w:jc w:val="center"/>
              <w:rPr>
                <w:color w:val="000000" w:themeColor="text1"/>
              </w:rPr>
            </w:pPr>
            <w:r w:rsidRPr="00F92FF9">
              <w:rPr>
                <w:color w:val="000000" w:themeColor="text1"/>
              </w:rPr>
              <w:t>62.4 (±7.3)</w:t>
            </w:r>
          </w:p>
        </w:tc>
      </w:tr>
      <w:tr w:rsidR="003C3BEF" w:rsidRPr="00F92FF9" w14:paraId="1B3A35A8" w14:textId="77777777" w:rsidTr="003C3BEF">
        <w:trPr>
          <w:trHeight w:val="20"/>
          <w:jc w:val="center"/>
        </w:trPr>
        <w:tc>
          <w:tcPr>
            <w:tcW w:w="3111" w:type="dxa"/>
            <w:noWrap/>
            <w:hideMark/>
          </w:tcPr>
          <w:p w14:paraId="6831609E" w14:textId="77777777" w:rsidR="003C3BEF" w:rsidRPr="00F92FF9" w:rsidRDefault="003C3BEF" w:rsidP="003C3BEF">
            <w:pPr>
              <w:snapToGrid w:val="0"/>
              <w:spacing w:line="240" w:lineRule="auto"/>
              <w:rPr>
                <w:color w:val="000000" w:themeColor="text1"/>
              </w:rPr>
            </w:pPr>
            <w:r w:rsidRPr="00F92FF9">
              <w:rPr>
                <w:color w:val="000000" w:themeColor="text1"/>
              </w:rPr>
              <w:t>Current smoker</w:t>
            </w:r>
          </w:p>
        </w:tc>
        <w:tc>
          <w:tcPr>
            <w:tcW w:w="2134" w:type="dxa"/>
            <w:noWrap/>
            <w:hideMark/>
          </w:tcPr>
          <w:p w14:paraId="49548402" w14:textId="77777777" w:rsidR="003C3BEF" w:rsidRPr="00F92FF9" w:rsidRDefault="003C3BEF" w:rsidP="003C3BEF">
            <w:pPr>
              <w:snapToGrid w:val="0"/>
              <w:spacing w:line="240" w:lineRule="auto"/>
              <w:jc w:val="center"/>
              <w:rPr>
                <w:color w:val="000000" w:themeColor="text1"/>
              </w:rPr>
            </w:pPr>
            <w:r w:rsidRPr="00F92FF9">
              <w:rPr>
                <w:color w:val="000000" w:themeColor="text1"/>
              </w:rPr>
              <w:t>1,851 (6.2%)</w:t>
            </w:r>
          </w:p>
        </w:tc>
        <w:tc>
          <w:tcPr>
            <w:tcW w:w="2198" w:type="dxa"/>
            <w:noWrap/>
            <w:hideMark/>
          </w:tcPr>
          <w:p w14:paraId="4A592F2C" w14:textId="77777777" w:rsidR="003C3BEF" w:rsidRPr="00F92FF9" w:rsidRDefault="003C3BEF" w:rsidP="003C3BEF">
            <w:pPr>
              <w:snapToGrid w:val="0"/>
              <w:spacing w:line="240" w:lineRule="auto"/>
              <w:jc w:val="center"/>
              <w:rPr>
                <w:color w:val="000000" w:themeColor="text1"/>
              </w:rPr>
            </w:pPr>
            <w:r w:rsidRPr="00F92FF9">
              <w:rPr>
                <w:color w:val="000000" w:themeColor="text1"/>
              </w:rPr>
              <w:t>1,066 (7.4%)</w:t>
            </w:r>
          </w:p>
        </w:tc>
        <w:tc>
          <w:tcPr>
            <w:tcW w:w="2127" w:type="dxa"/>
            <w:noWrap/>
            <w:hideMark/>
          </w:tcPr>
          <w:p w14:paraId="5A737AC8" w14:textId="77777777" w:rsidR="003C3BEF" w:rsidRPr="00F92FF9" w:rsidRDefault="003C3BEF" w:rsidP="003C3BEF">
            <w:pPr>
              <w:snapToGrid w:val="0"/>
              <w:spacing w:line="240" w:lineRule="auto"/>
              <w:jc w:val="center"/>
              <w:rPr>
                <w:color w:val="000000" w:themeColor="text1"/>
              </w:rPr>
            </w:pPr>
            <w:r w:rsidRPr="00F92FF9">
              <w:rPr>
                <w:color w:val="000000" w:themeColor="text1"/>
              </w:rPr>
              <w:t>785 (5.1%)</w:t>
            </w:r>
          </w:p>
        </w:tc>
      </w:tr>
      <w:tr w:rsidR="003C3BEF" w:rsidRPr="00F92FF9" w14:paraId="15CBBC07" w14:textId="77777777" w:rsidTr="003C3BEF">
        <w:trPr>
          <w:trHeight w:val="20"/>
          <w:jc w:val="center"/>
        </w:trPr>
        <w:tc>
          <w:tcPr>
            <w:tcW w:w="3111" w:type="dxa"/>
            <w:noWrap/>
          </w:tcPr>
          <w:p w14:paraId="23293032" w14:textId="77777777" w:rsidR="003C3BEF" w:rsidRPr="00F92FF9" w:rsidRDefault="003C3BEF" w:rsidP="003C3BEF">
            <w:pPr>
              <w:snapToGrid w:val="0"/>
              <w:spacing w:line="240" w:lineRule="auto"/>
              <w:rPr>
                <w:color w:val="000000" w:themeColor="text1"/>
              </w:rPr>
            </w:pPr>
            <w:r w:rsidRPr="00F92FF9">
              <w:rPr>
                <w:color w:val="000000" w:themeColor="text1"/>
              </w:rPr>
              <w:t>Education:</w:t>
            </w:r>
          </w:p>
        </w:tc>
        <w:tc>
          <w:tcPr>
            <w:tcW w:w="2134" w:type="dxa"/>
            <w:noWrap/>
          </w:tcPr>
          <w:p w14:paraId="7E2AB08C" w14:textId="77777777" w:rsidR="003C3BEF" w:rsidRPr="00F92FF9" w:rsidRDefault="003C3BEF" w:rsidP="003C3BEF">
            <w:pPr>
              <w:snapToGrid w:val="0"/>
              <w:spacing w:line="240" w:lineRule="auto"/>
              <w:jc w:val="center"/>
              <w:rPr>
                <w:color w:val="000000" w:themeColor="text1"/>
              </w:rPr>
            </w:pPr>
          </w:p>
        </w:tc>
        <w:tc>
          <w:tcPr>
            <w:tcW w:w="2198" w:type="dxa"/>
            <w:noWrap/>
          </w:tcPr>
          <w:p w14:paraId="46C3E884" w14:textId="77777777" w:rsidR="003C3BEF" w:rsidRPr="00F92FF9" w:rsidRDefault="003C3BEF" w:rsidP="003C3BEF">
            <w:pPr>
              <w:snapToGrid w:val="0"/>
              <w:spacing w:line="240" w:lineRule="auto"/>
              <w:jc w:val="center"/>
              <w:rPr>
                <w:color w:val="000000" w:themeColor="text1"/>
              </w:rPr>
            </w:pPr>
          </w:p>
        </w:tc>
        <w:tc>
          <w:tcPr>
            <w:tcW w:w="2127" w:type="dxa"/>
            <w:noWrap/>
          </w:tcPr>
          <w:p w14:paraId="64BBDAF4" w14:textId="77777777" w:rsidR="003C3BEF" w:rsidRPr="00F92FF9" w:rsidRDefault="003C3BEF" w:rsidP="003C3BEF">
            <w:pPr>
              <w:snapToGrid w:val="0"/>
              <w:spacing w:line="240" w:lineRule="auto"/>
              <w:jc w:val="center"/>
              <w:rPr>
                <w:color w:val="000000" w:themeColor="text1"/>
              </w:rPr>
            </w:pPr>
          </w:p>
        </w:tc>
      </w:tr>
      <w:tr w:rsidR="003C3BEF" w:rsidRPr="00F92FF9" w14:paraId="388C2E7D" w14:textId="77777777" w:rsidTr="003C3BEF">
        <w:trPr>
          <w:trHeight w:val="20"/>
          <w:jc w:val="center"/>
        </w:trPr>
        <w:tc>
          <w:tcPr>
            <w:tcW w:w="3111" w:type="dxa"/>
            <w:noWrap/>
          </w:tcPr>
          <w:p w14:paraId="43F915E9" w14:textId="77777777" w:rsidR="003C3BEF" w:rsidRPr="00F92FF9" w:rsidRDefault="003C3BEF" w:rsidP="003C3BEF">
            <w:pPr>
              <w:snapToGrid w:val="0"/>
              <w:spacing w:line="240" w:lineRule="auto"/>
              <w:ind w:left="319"/>
              <w:rPr>
                <w:color w:val="000000" w:themeColor="text1"/>
              </w:rPr>
            </w:pPr>
            <w:r w:rsidRPr="00F92FF9">
              <w:rPr>
                <w:color w:val="000000" w:themeColor="text1"/>
              </w:rPr>
              <w:t>Left school age ≤14 years without qualifications</w:t>
            </w:r>
          </w:p>
        </w:tc>
        <w:tc>
          <w:tcPr>
            <w:tcW w:w="2134" w:type="dxa"/>
            <w:noWrap/>
          </w:tcPr>
          <w:p w14:paraId="45CA5C6B" w14:textId="77777777" w:rsidR="003C3BEF" w:rsidRPr="00F92FF9" w:rsidRDefault="003C3BEF" w:rsidP="003C3BEF">
            <w:pPr>
              <w:snapToGrid w:val="0"/>
              <w:spacing w:line="240" w:lineRule="auto"/>
              <w:jc w:val="center"/>
              <w:rPr>
                <w:color w:val="000000" w:themeColor="text1"/>
              </w:rPr>
            </w:pPr>
            <w:r w:rsidRPr="00F92FF9">
              <w:rPr>
                <w:color w:val="000000" w:themeColor="text1"/>
              </w:rPr>
              <w:t>75 (0.3%)</w:t>
            </w:r>
          </w:p>
        </w:tc>
        <w:tc>
          <w:tcPr>
            <w:tcW w:w="2198" w:type="dxa"/>
            <w:noWrap/>
          </w:tcPr>
          <w:p w14:paraId="7F48475D" w14:textId="77777777" w:rsidR="003C3BEF" w:rsidRPr="00F92FF9" w:rsidRDefault="003C3BEF" w:rsidP="003C3BEF">
            <w:pPr>
              <w:snapToGrid w:val="0"/>
              <w:spacing w:line="240" w:lineRule="auto"/>
              <w:jc w:val="center"/>
              <w:rPr>
                <w:color w:val="000000" w:themeColor="text1"/>
              </w:rPr>
            </w:pPr>
            <w:r w:rsidRPr="00F92FF9">
              <w:rPr>
                <w:color w:val="000000" w:themeColor="text1"/>
              </w:rPr>
              <w:t>42 (0.3%)</w:t>
            </w:r>
          </w:p>
        </w:tc>
        <w:tc>
          <w:tcPr>
            <w:tcW w:w="2127" w:type="dxa"/>
            <w:noWrap/>
          </w:tcPr>
          <w:p w14:paraId="12E6BA77" w14:textId="77777777" w:rsidR="003C3BEF" w:rsidRPr="00F92FF9" w:rsidRDefault="003C3BEF" w:rsidP="003C3BEF">
            <w:pPr>
              <w:snapToGrid w:val="0"/>
              <w:spacing w:line="240" w:lineRule="auto"/>
              <w:jc w:val="center"/>
              <w:rPr>
                <w:color w:val="000000" w:themeColor="text1"/>
              </w:rPr>
            </w:pPr>
            <w:r w:rsidRPr="00F92FF9">
              <w:rPr>
                <w:color w:val="000000" w:themeColor="text1"/>
              </w:rPr>
              <w:t>33 (0.2%)</w:t>
            </w:r>
          </w:p>
        </w:tc>
      </w:tr>
      <w:tr w:rsidR="003C3BEF" w:rsidRPr="00F92FF9" w14:paraId="4E6F03C3" w14:textId="77777777" w:rsidTr="003C3BEF">
        <w:trPr>
          <w:trHeight w:val="20"/>
          <w:jc w:val="center"/>
        </w:trPr>
        <w:tc>
          <w:tcPr>
            <w:tcW w:w="3111" w:type="dxa"/>
            <w:noWrap/>
          </w:tcPr>
          <w:p w14:paraId="74E04148" w14:textId="77777777" w:rsidR="003C3BEF" w:rsidRPr="00F92FF9" w:rsidRDefault="003C3BEF" w:rsidP="003C3BEF">
            <w:pPr>
              <w:snapToGrid w:val="0"/>
              <w:spacing w:line="240" w:lineRule="auto"/>
              <w:ind w:left="319"/>
              <w:rPr>
                <w:color w:val="000000" w:themeColor="text1"/>
              </w:rPr>
            </w:pPr>
            <w:r w:rsidRPr="00F92FF9">
              <w:rPr>
                <w:color w:val="000000" w:themeColor="text1"/>
              </w:rPr>
              <w:t>Left school at age ≥15 without qualifications</w:t>
            </w:r>
          </w:p>
        </w:tc>
        <w:tc>
          <w:tcPr>
            <w:tcW w:w="2134" w:type="dxa"/>
            <w:noWrap/>
          </w:tcPr>
          <w:p w14:paraId="5A35591F" w14:textId="77777777" w:rsidR="003C3BEF" w:rsidRPr="00F92FF9" w:rsidRDefault="003C3BEF" w:rsidP="003C3BEF">
            <w:pPr>
              <w:snapToGrid w:val="0"/>
              <w:spacing w:line="240" w:lineRule="auto"/>
              <w:jc w:val="center"/>
              <w:rPr>
                <w:color w:val="000000" w:themeColor="text1"/>
              </w:rPr>
            </w:pPr>
            <w:r w:rsidRPr="00F92FF9">
              <w:rPr>
                <w:color w:val="000000" w:themeColor="text1"/>
              </w:rPr>
              <w:t>1,981 (6.7%)</w:t>
            </w:r>
          </w:p>
        </w:tc>
        <w:tc>
          <w:tcPr>
            <w:tcW w:w="2198" w:type="dxa"/>
            <w:noWrap/>
          </w:tcPr>
          <w:p w14:paraId="4BA8DEBD" w14:textId="77777777" w:rsidR="003C3BEF" w:rsidRPr="00F92FF9" w:rsidRDefault="003C3BEF" w:rsidP="003C3BEF">
            <w:pPr>
              <w:snapToGrid w:val="0"/>
              <w:spacing w:line="240" w:lineRule="auto"/>
              <w:jc w:val="center"/>
              <w:rPr>
                <w:color w:val="000000" w:themeColor="text1"/>
              </w:rPr>
            </w:pPr>
            <w:r w:rsidRPr="00F92FF9">
              <w:rPr>
                <w:color w:val="000000" w:themeColor="text1"/>
              </w:rPr>
              <w:t xml:space="preserve"> 954 (6.6%)</w:t>
            </w:r>
          </w:p>
        </w:tc>
        <w:tc>
          <w:tcPr>
            <w:tcW w:w="2127" w:type="dxa"/>
            <w:noWrap/>
          </w:tcPr>
          <w:p w14:paraId="2875E8C1" w14:textId="77777777" w:rsidR="003C3BEF" w:rsidRPr="00F92FF9" w:rsidRDefault="003C3BEF" w:rsidP="003C3BEF">
            <w:pPr>
              <w:snapToGrid w:val="0"/>
              <w:spacing w:line="240" w:lineRule="auto"/>
              <w:jc w:val="center"/>
              <w:rPr>
                <w:color w:val="000000" w:themeColor="text1"/>
              </w:rPr>
            </w:pPr>
            <w:r w:rsidRPr="00F92FF9">
              <w:rPr>
                <w:color w:val="000000" w:themeColor="text1"/>
              </w:rPr>
              <w:t>1,027 (6.7%)</w:t>
            </w:r>
          </w:p>
        </w:tc>
      </w:tr>
      <w:tr w:rsidR="003C3BEF" w:rsidRPr="00F92FF9" w14:paraId="01EF84A0" w14:textId="77777777" w:rsidTr="003C3BEF">
        <w:trPr>
          <w:trHeight w:val="20"/>
          <w:jc w:val="center"/>
        </w:trPr>
        <w:tc>
          <w:tcPr>
            <w:tcW w:w="3111" w:type="dxa"/>
            <w:noWrap/>
          </w:tcPr>
          <w:p w14:paraId="13F02CE7" w14:textId="77777777" w:rsidR="003C3BEF" w:rsidRPr="00F92FF9" w:rsidRDefault="003C3BEF" w:rsidP="003C3BEF">
            <w:pPr>
              <w:snapToGrid w:val="0"/>
              <w:spacing w:line="240" w:lineRule="auto"/>
              <w:ind w:left="319"/>
              <w:rPr>
                <w:color w:val="000000" w:themeColor="text1"/>
              </w:rPr>
            </w:pPr>
            <w:r w:rsidRPr="00F92FF9">
              <w:rPr>
                <w:color w:val="000000" w:themeColor="text1"/>
              </w:rPr>
              <w:t>High school diploma or equivalent</w:t>
            </w:r>
          </w:p>
        </w:tc>
        <w:tc>
          <w:tcPr>
            <w:tcW w:w="2134" w:type="dxa"/>
            <w:noWrap/>
          </w:tcPr>
          <w:p w14:paraId="7FF76451" w14:textId="77777777" w:rsidR="003C3BEF" w:rsidRPr="00F92FF9" w:rsidRDefault="003C3BEF" w:rsidP="003C3BEF">
            <w:pPr>
              <w:snapToGrid w:val="0"/>
              <w:spacing w:line="240" w:lineRule="auto"/>
              <w:jc w:val="center"/>
              <w:rPr>
                <w:color w:val="000000" w:themeColor="text1"/>
              </w:rPr>
            </w:pPr>
            <w:r w:rsidRPr="00F92FF9">
              <w:rPr>
                <w:color w:val="000000" w:themeColor="text1"/>
              </w:rPr>
              <w:t>3,900 (13.1%)</w:t>
            </w:r>
          </w:p>
        </w:tc>
        <w:tc>
          <w:tcPr>
            <w:tcW w:w="2198" w:type="dxa"/>
            <w:noWrap/>
          </w:tcPr>
          <w:p w14:paraId="50D085CA" w14:textId="77777777" w:rsidR="003C3BEF" w:rsidRPr="00F92FF9" w:rsidRDefault="003C3BEF" w:rsidP="003C3BEF">
            <w:pPr>
              <w:snapToGrid w:val="0"/>
              <w:spacing w:line="240" w:lineRule="auto"/>
              <w:jc w:val="center"/>
              <w:rPr>
                <w:color w:val="000000" w:themeColor="text1"/>
              </w:rPr>
            </w:pPr>
            <w:r w:rsidRPr="00F92FF9">
              <w:rPr>
                <w:color w:val="000000" w:themeColor="text1"/>
              </w:rPr>
              <w:t>1,500 (10.4%)</w:t>
            </w:r>
          </w:p>
        </w:tc>
        <w:tc>
          <w:tcPr>
            <w:tcW w:w="2127" w:type="dxa"/>
            <w:noWrap/>
          </w:tcPr>
          <w:p w14:paraId="6AA974B7" w14:textId="77777777" w:rsidR="003C3BEF" w:rsidRPr="00F92FF9" w:rsidRDefault="003C3BEF" w:rsidP="003C3BEF">
            <w:pPr>
              <w:snapToGrid w:val="0"/>
              <w:spacing w:line="240" w:lineRule="auto"/>
              <w:jc w:val="center"/>
              <w:rPr>
                <w:color w:val="000000" w:themeColor="text1"/>
              </w:rPr>
            </w:pPr>
            <w:r w:rsidRPr="00F92FF9">
              <w:rPr>
                <w:color w:val="000000" w:themeColor="text1"/>
              </w:rPr>
              <w:t>2,400 (15.6%)</w:t>
            </w:r>
          </w:p>
        </w:tc>
      </w:tr>
      <w:tr w:rsidR="003C3BEF" w:rsidRPr="00F92FF9" w14:paraId="12785384" w14:textId="77777777" w:rsidTr="003C3BEF">
        <w:trPr>
          <w:trHeight w:val="20"/>
          <w:jc w:val="center"/>
        </w:trPr>
        <w:tc>
          <w:tcPr>
            <w:tcW w:w="3111" w:type="dxa"/>
            <w:noWrap/>
          </w:tcPr>
          <w:p w14:paraId="5CBF9011" w14:textId="77777777" w:rsidR="003C3BEF" w:rsidRPr="00F92FF9" w:rsidRDefault="003C3BEF" w:rsidP="003C3BEF">
            <w:pPr>
              <w:snapToGrid w:val="0"/>
              <w:spacing w:line="240" w:lineRule="auto"/>
              <w:ind w:left="319"/>
              <w:rPr>
                <w:color w:val="000000" w:themeColor="text1"/>
              </w:rPr>
            </w:pPr>
            <w:r w:rsidRPr="00F92FF9">
              <w:rPr>
                <w:color w:val="000000" w:themeColor="text1"/>
              </w:rPr>
              <w:t>Sixth form qualification or equivalent</w:t>
            </w:r>
          </w:p>
        </w:tc>
        <w:tc>
          <w:tcPr>
            <w:tcW w:w="2134" w:type="dxa"/>
            <w:noWrap/>
          </w:tcPr>
          <w:p w14:paraId="3C06C0E2" w14:textId="77777777" w:rsidR="003C3BEF" w:rsidRPr="00F92FF9" w:rsidRDefault="003C3BEF" w:rsidP="003C3BEF">
            <w:pPr>
              <w:snapToGrid w:val="0"/>
              <w:spacing w:line="240" w:lineRule="auto"/>
              <w:jc w:val="center"/>
              <w:rPr>
                <w:color w:val="000000" w:themeColor="text1"/>
              </w:rPr>
            </w:pPr>
            <w:r w:rsidRPr="00F92FF9">
              <w:rPr>
                <w:color w:val="000000" w:themeColor="text1"/>
              </w:rPr>
              <w:t>1,691 (5.7%)</w:t>
            </w:r>
          </w:p>
        </w:tc>
        <w:tc>
          <w:tcPr>
            <w:tcW w:w="2198" w:type="dxa"/>
            <w:noWrap/>
          </w:tcPr>
          <w:p w14:paraId="6A226D60" w14:textId="77777777" w:rsidR="003C3BEF" w:rsidRPr="00F92FF9" w:rsidRDefault="003C3BEF" w:rsidP="003C3BEF">
            <w:pPr>
              <w:snapToGrid w:val="0"/>
              <w:spacing w:line="240" w:lineRule="auto"/>
              <w:jc w:val="center"/>
              <w:rPr>
                <w:color w:val="000000" w:themeColor="text1"/>
              </w:rPr>
            </w:pPr>
            <w:r w:rsidRPr="00F92FF9">
              <w:rPr>
                <w:color w:val="000000" w:themeColor="text1"/>
              </w:rPr>
              <w:t>751 (5.2%)</w:t>
            </w:r>
          </w:p>
        </w:tc>
        <w:tc>
          <w:tcPr>
            <w:tcW w:w="2127" w:type="dxa"/>
            <w:noWrap/>
          </w:tcPr>
          <w:p w14:paraId="45CADC75" w14:textId="77777777" w:rsidR="003C3BEF" w:rsidRPr="00F92FF9" w:rsidRDefault="003C3BEF" w:rsidP="003C3BEF">
            <w:pPr>
              <w:snapToGrid w:val="0"/>
              <w:spacing w:line="240" w:lineRule="auto"/>
              <w:jc w:val="center"/>
              <w:rPr>
                <w:color w:val="000000" w:themeColor="text1"/>
              </w:rPr>
            </w:pPr>
            <w:r w:rsidRPr="00F92FF9">
              <w:rPr>
                <w:color w:val="000000" w:themeColor="text1"/>
              </w:rPr>
              <w:t>940 (6.1%)</w:t>
            </w:r>
          </w:p>
        </w:tc>
      </w:tr>
      <w:tr w:rsidR="003C3BEF" w:rsidRPr="00F92FF9" w14:paraId="3989F97F" w14:textId="77777777" w:rsidTr="003C3BEF">
        <w:trPr>
          <w:trHeight w:val="20"/>
          <w:jc w:val="center"/>
        </w:trPr>
        <w:tc>
          <w:tcPr>
            <w:tcW w:w="3111" w:type="dxa"/>
            <w:noWrap/>
          </w:tcPr>
          <w:p w14:paraId="2D28AEB8" w14:textId="77777777" w:rsidR="003C3BEF" w:rsidRPr="00F92FF9" w:rsidRDefault="003C3BEF" w:rsidP="003C3BEF">
            <w:pPr>
              <w:snapToGrid w:val="0"/>
              <w:spacing w:line="240" w:lineRule="auto"/>
              <w:ind w:left="319"/>
              <w:rPr>
                <w:color w:val="000000" w:themeColor="text1"/>
              </w:rPr>
            </w:pPr>
            <w:r w:rsidRPr="00F92FF9">
              <w:rPr>
                <w:color w:val="000000" w:themeColor="text1"/>
              </w:rPr>
              <w:t>Professional qualification (e.g., teaching, nursing)</w:t>
            </w:r>
          </w:p>
        </w:tc>
        <w:tc>
          <w:tcPr>
            <w:tcW w:w="2134" w:type="dxa"/>
            <w:noWrap/>
          </w:tcPr>
          <w:p w14:paraId="0CC3926D" w14:textId="77777777" w:rsidR="003C3BEF" w:rsidRPr="00F92FF9" w:rsidRDefault="003C3BEF" w:rsidP="003C3BEF">
            <w:pPr>
              <w:snapToGrid w:val="0"/>
              <w:spacing w:line="240" w:lineRule="auto"/>
              <w:jc w:val="center"/>
              <w:rPr>
                <w:color w:val="000000" w:themeColor="text1"/>
              </w:rPr>
            </w:pPr>
            <w:r w:rsidRPr="00F92FF9">
              <w:rPr>
                <w:color w:val="000000" w:themeColor="text1"/>
              </w:rPr>
              <w:t>8,283 (27.8%)</w:t>
            </w:r>
          </w:p>
          <w:p w14:paraId="45D5214F" w14:textId="77777777" w:rsidR="003C3BEF" w:rsidRPr="00F92FF9" w:rsidRDefault="003C3BEF" w:rsidP="003C3BEF">
            <w:pPr>
              <w:snapToGrid w:val="0"/>
              <w:spacing w:line="240" w:lineRule="auto"/>
              <w:jc w:val="center"/>
              <w:rPr>
                <w:color w:val="000000" w:themeColor="text1"/>
              </w:rPr>
            </w:pPr>
          </w:p>
        </w:tc>
        <w:tc>
          <w:tcPr>
            <w:tcW w:w="2198" w:type="dxa"/>
            <w:noWrap/>
          </w:tcPr>
          <w:p w14:paraId="1C6BB901" w14:textId="77777777" w:rsidR="003C3BEF" w:rsidRPr="00F92FF9" w:rsidRDefault="003C3BEF" w:rsidP="003C3BEF">
            <w:pPr>
              <w:snapToGrid w:val="0"/>
              <w:spacing w:line="240" w:lineRule="auto"/>
              <w:jc w:val="center"/>
              <w:rPr>
                <w:color w:val="000000" w:themeColor="text1"/>
              </w:rPr>
            </w:pPr>
            <w:r w:rsidRPr="00F92FF9">
              <w:rPr>
                <w:color w:val="000000" w:themeColor="text1"/>
              </w:rPr>
              <w:t>4,198 (29.2%)</w:t>
            </w:r>
          </w:p>
        </w:tc>
        <w:tc>
          <w:tcPr>
            <w:tcW w:w="2127" w:type="dxa"/>
            <w:noWrap/>
          </w:tcPr>
          <w:p w14:paraId="6BA52504" w14:textId="77777777" w:rsidR="003C3BEF" w:rsidRPr="00F92FF9" w:rsidRDefault="003C3BEF" w:rsidP="003C3BEF">
            <w:pPr>
              <w:snapToGrid w:val="0"/>
              <w:spacing w:line="240" w:lineRule="auto"/>
              <w:jc w:val="center"/>
              <w:rPr>
                <w:color w:val="000000" w:themeColor="text1"/>
              </w:rPr>
            </w:pPr>
            <w:r w:rsidRPr="00F92FF9">
              <w:rPr>
                <w:color w:val="000000" w:themeColor="text1"/>
              </w:rPr>
              <w:t>4,085 (26.6%)</w:t>
            </w:r>
          </w:p>
        </w:tc>
      </w:tr>
      <w:tr w:rsidR="003C3BEF" w:rsidRPr="00F92FF9" w14:paraId="5A13D580" w14:textId="77777777" w:rsidTr="003C3BEF">
        <w:trPr>
          <w:trHeight w:val="20"/>
          <w:jc w:val="center"/>
        </w:trPr>
        <w:tc>
          <w:tcPr>
            <w:tcW w:w="3111" w:type="dxa"/>
            <w:noWrap/>
          </w:tcPr>
          <w:p w14:paraId="7D355E77" w14:textId="77777777" w:rsidR="003C3BEF" w:rsidRPr="00F92FF9" w:rsidRDefault="003C3BEF" w:rsidP="003C3BEF">
            <w:pPr>
              <w:snapToGrid w:val="0"/>
              <w:spacing w:line="240" w:lineRule="auto"/>
              <w:ind w:left="319"/>
              <w:rPr>
                <w:color w:val="000000" w:themeColor="text1"/>
              </w:rPr>
            </w:pPr>
            <w:r w:rsidRPr="00F92FF9">
              <w:rPr>
                <w:color w:val="000000" w:themeColor="text1"/>
              </w:rPr>
              <w:t>Higher education university degree</w:t>
            </w:r>
          </w:p>
        </w:tc>
        <w:tc>
          <w:tcPr>
            <w:tcW w:w="2134" w:type="dxa"/>
            <w:noWrap/>
          </w:tcPr>
          <w:p w14:paraId="0375F990" w14:textId="77777777" w:rsidR="003C3BEF" w:rsidRPr="00F92FF9" w:rsidRDefault="003C3BEF" w:rsidP="003C3BEF">
            <w:pPr>
              <w:snapToGrid w:val="0"/>
              <w:spacing w:line="240" w:lineRule="auto"/>
              <w:jc w:val="center"/>
              <w:rPr>
                <w:color w:val="000000" w:themeColor="text1"/>
              </w:rPr>
            </w:pPr>
            <w:r w:rsidRPr="00F92FF9">
              <w:rPr>
                <w:color w:val="000000" w:themeColor="text1"/>
              </w:rPr>
              <w:t>13,526 (45.4%)</w:t>
            </w:r>
          </w:p>
          <w:p w14:paraId="5FF3C661" w14:textId="77777777" w:rsidR="003C3BEF" w:rsidRPr="00F92FF9" w:rsidRDefault="003C3BEF" w:rsidP="003C3BEF">
            <w:pPr>
              <w:snapToGrid w:val="0"/>
              <w:spacing w:line="240" w:lineRule="auto"/>
              <w:jc w:val="center"/>
              <w:rPr>
                <w:color w:val="000000" w:themeColor="text1"/>
              </w:rPr>
            </w:pPr>
          </w:p>
        </w:tc>
        <w:tc>
          <w:tcPr>
            <w:tcW w:w="2198" w:type="dxa"/>
            <w:noWrap/>
          </w:tcPr>
          <w:p w14:paraId="260E5281" w14:textId="77777777" w:rsidR="003C3BEF" w:rsidRPr="00F92FF9" w:rsidRDefault="003C3BEF" w:rsidP="003C3BEF">
            <w:pPr>
              <w:snapToGrid w:val="0"/>
              <w:spacing w:line="240" w:lineRule="auto"/>
              <w:jc w:val="center"/>
              <w:rPr>
                <w:color w:val="000000" w:themeColor="text1"/>
              </w:rPr>
            </w:pPr>
            <w:r w:rsidRPr="00F92FF9">
              <w:rPr>
                <w:color w:val="000000" w:themeColor="text1"/>
              </w:rPr>
              <w:t>6,782 (47.2%)</w:t>
            </w:r>
          </w:p>
        </w:tc>
        <w:tc>
          <w:tcPr>
            <w:tcW w:w="2127" w:type="dxa"/>
            <w:noWrap/>
          </w:tcPr>
          <w:p w14:paraId="0E7FDB7C" w14:textId="77777777" w:rsidR="003C3BEF" w:rsidRPr="00F92FF9" w:rsidRDefault="003C3BEF" w:rsidP="003C3BEF">
            <w:pPr>
              <w:snapToGrid w:val="0"/>
              <w:spacing w:line="240" w:lineRule="auto"/>
              <w:jc w:val="center"/>
              <w:rPr>
                <w:color w:val="000000" w:themeColor="text1"/>
              </w:rPr>
            </w:pPr>
            <w:r w:rsidRPr="00F92FF9">
              <w:rPr>
                <w:color w:val="000000" w:themeColor="text1"/>
              </w:rPr>
              <w:t>6,744 (43.8%)</w:t>
            </w:r>
          </w:p>
        </w:tc>
      </w:tr>
      <w:tr w:rsidR="003C3BEF" w:rsidRPr="00F92FF9" w14:paraId="344EB575" w14:textId="77777777" w:rsidTr="003C3BEF">
        <w:trPr>
          <w:trHeight w:val="20"/>
          <w:jc w:val="center"/>
        </w:trPr>
        <w:tc>
          <w:tcPr>
            <w:tcW w:w="3111" w:type="dxa"/>
            <w:noWrap/>
          </w:tcPr>
          <w:p w14:paraId="45F264D8" w14:textId="77777777" w:rsidR="003C3BEF" w:rsidRPr="00F92FF9" w:rsidRDefault="003C3BEF" w:rsidP="003C3BEF">
            <w:pPr>
              <w:snapToGrid w:val="0"/>
              <w:spacing w:line="240" w:lineRule="auto"/>
              <w:rPr>
                <w:color w:val="000000" w:themeColor="text1"/>
              </w:rPr>
            </w:pPr>
            <w:r w:rsidRPr="00F92FF9">
              <w:rPr>
                <w:color w:val="000000" w:themeColor="text1"/>
              </w:rPr>
              <w:t>Townsend score</w:t>
            </w:r>
          </w:p>
        </w:tc>
        <w:tc>
          <w:tcPr>
            <w:tcW w:w="2134" w:type="dxa"/>
            <w:noWrap/>
            <w:vAlign w:val="bottom"/>
          </w:tcPr>
          <w:p w14:paraId="7F138809" w14:textId="77777777" w:rsidR="003C3BEF" w:rsidRPr="00F92FF9" w:rsidRDefault="003C3BEF" w:rsidP="003C3BEF">
            <w:pPr>
              <w:snapToGrid w:val="0"/>
              <w:spacing w:line="240" w:lineRule="auto"/>
              <w:jc w:val="center"/>
              <w:rPr>
                <w:color w:val="000000" w:themeColor="text1"/>
              </w:rPr>
            </w:pPr>
            <w:r w:rsidRPr="00F92FF9">
              <w:rPr>
                <w:color w:val="000000" w:themeColor="text1"/>
              </w:rPr>
              <w:t>-2.7 [-3.9, -0.7]</w:t>
            </w:r>
          </w:p>
        </w:tc>
        <w:tc>
          <w:tcPr>
            <w:tcW w:w="2198" w:type="dxa"/>
            <w:noWrap/>
            <w:vAlign w:val="bottom"/>
          </w:tcPr>
          <w:p w14:paraId="2B56ABBF" w14:textId="77777777" w:rsidR="003C3BEF" w:rsidRPr="00F92FF9" w:rsidRDefault="003C3BEF" w:rsidP="003C3BEF">
            <w:pPr>
              <w:snapToGrid w:val="0"/>
              <w:spacing w:line="240" w:lineRule="auto"/>
              <w:jc w:val="center"/>
              <w:rPr>
                <w:color w:val="000000" w:themeColor="text1"/>
              </w:rPr>
            </w:pPr>
            <w:r w:rsidRPr="00F92FF9">
              <w:rPr>
                <w:color w:val="000000" w:themeColor="text1"/>
              </w:rPr>
              <w:t>-2.7 [-4.0, -0.7]</w:t>
            </w:r>
          </w:p>
        </w:tc>
        <w:tc>
          <w:tcPr>
            <w:tcW w:w="2127" w:type="dxa"/>
            <w:noWrap/>
            <w:vAlign w:val="bottom"/>
          </w:tcPr>
          <w:p w14:paraId="37077636" w14:textId="77777777" w:rsidR="003C3BEF" w:rsidRPr="00F92FF9" w:rsidRDefault="003C3BEF" w:rsidP="003C3BEF">
            <w:pPr>
              <w:snapToGrid w:val="0"/>
              <w:spacing w:line="240" w:lineRule="auto"/>
              <w:jc w:val="center"/>
              <w:rPr>
                <w:color w:val="000000" w:themeColor="text1"/>
              </w:rPr>
            </w:pPr>
            <w:r w:rsidRPr="00F92FF9">
              <w:rPr>
                <w:color w:val="000000" w:themeColor="text1"/>
              </w:rPr>
              <w:t>-2.6 [-3.9, -0.6]</w:t>
            </w:r>
          </w:p>
        </w:tc>
      </w:tr>
      <w:tr w:rsidR="003C3BEF" w:rsidRPr="00F92FF9" w14:paraId="3E953FC9" w14:textId="77777777" w:rsidTr="003C3BEF">
        <w:trPr>
          <w:trHeight w:val="20"/>
          <w:jc w:val="center"/>
        </w:trPr>
        <w:tc>
          <w:tcPr>
            <w:tcW w:w="3111" w:type="dxa"/>
            <w:noWrap/>
          </w:tcPr>
          <w:p w14:paraId="4A941A0D" w14:textId="77777777" w:rsidR="003C3BEF" w:rsidRPr="00F92FF9" w:rsidRDefault="003C3BEF" w:rsidP="003C3BEF">
            <w:pPr>
              <w:snapToGrid w:val="0"/>
              <w:spacing w:line="240" w:lineRule="auto"/>
              <w:rPr>
                <w:color w:val="000000" w:themeColor="text1"/>
              </w:rPr>
            </w:pPr>
            <w:r w:rsidRPr="00F92FF9">
              <w:rPr>
                <w:color w:val="000000" w:themeColor="text1"/>
              </w:rPr>
              <w:t>IPAQ (MET minutes/week)</w:t>
            </w:r>
          </w:p>
        </w:tc>
        <w:tc>
          <w:tcPr>
            <w:tcW w:w="2134" w:type="dxa"/>
            <w:noWrap/>
            <w:vAlign w:val="bottom"/>
          </w:tcPr>
          <w:p w14:paraId="2EB848AE" w14:textId="77777777" w:rsidR="003C3BEF" w:rsidRPr="00F92FF9" w:rsidRDefault="003C3BEF" w:rsidP="003C3BEF">
            <w:pPr>
              <w:snapToGrid w:val="0"/>
              <w:spacing w:line="240" w:lineRule="auto"/>
              <w:jc w:val="center"/>
              <w:rPr>
                <w:color w:val="000000" w:themeColor="text1"/>
              </w:rPr>
            </w:pPr>
            <w:r w:rsidRPr="00F92FF9">
              <w:rPr>
                <w:color w:val="000000" w:themeColor="text1"/>
              </w:rPr>
              <w:t>1,530 [671, 3,016]</w:t>
            </w:r>
          </w:p>
        </w:tc>
        <w:tc>
          <w:tcPr>
            <w:tcW w:w="2198" w:type="dxa"/>
            <w:noWrap/>
            <w:vAlign w:val="bottom"/>
          </w:tcPr>
          <w:p w14:paraId="6EC8FA86" w14:textId="77777777" w:rsidR="003C3BEF" w:rsidRPr="00F92FF9" w:rsidRDefault="003C3BEF" w:rsidP="003C3BEF">
            <w:pPr>
              <w:snapToGrid w:val="0"/>
              <w:spacing w:line="240" w:lineRule="auto"/>
              <w:jc w:val="center"/>
              <w:rPr>
                <w:color w:val="000000" w:themeColor="text1"/>
              </w:rPr>
            </w:pPr>
            <w:r w:rsidRPr="00F92FF9">
              <w:rPr>
                <w:color w:val="000000" w:themeColor="text1"/>
              </w:rPr>
              <w:t>1,590 [693, 3,111]</w:t>
            </w:r>
          </w:p>
        </w:tc>
        <w:tc>
          <w:tcPr>
            <w:tcW w:w="2127" w:type="dxa"/>
            <w:noWrap/>
            <w:vAlign w:val="bottom"/>
          </w:tcPr>
          <w:p w14:paraId="2F3FD32D" w14:textId="77777777" w:rsidR="003C3BEF" w:rsidRPr="00F92FF9" w:rsidRDefault="003C3BEF" w:rsidP="003C3BEF">
            <w:pPr>
              <w:snapToGrid w:val="0"/>
              <w:spacing w:line="240" w:lineRule="auto"/>
              <w:jc w:val="center"/>
              <w:rPr>
                <w:color w:val="000000" w:themeColor="text1"/>
              </w:rPr>
            </w:pPr>
            <w:r w:rsidRPr="00F92FF9">
              <w:rPr>
                <w:color w:val="000000" w:themeColor="text1"/>
              </w:rPr>
              <w:t>1,464 [642, 2,933]</w:t>
            </w:r>
          </w:p>
        </w:tc>
      </w:tr>
      <w:tr w:rsidR="003C3BEF" w:rsidRPr="00F92FF9" w14:paraId="3C073596" w14:textId="77777777" w:rsidTr="003C3BEF">
        <w:trPr>
          <w:trHeight w:val="305"/>
          <w:jc w:val="center"/>
        </w:trPr>
        <w:tc>
          <w:tcPr>
            <w:tcW w:w="3111" w:type="dxa"/>
            <w:noWrap/>
          </w:tcPr>
          <w:p w14:paraId="7EBCE512" w14:textId="77777777" w:rsidR="003C3BEF" w:rsidRPr="00F92FF9" w:rsidRDefault="003C3BEF" w:rsidP="003C3BEF">
            <w:pPr>
              <w:snapToGrid w:val="0"/>
              <w:spacing w:line="240" w:lineRule="auto"/>
              <w:rPr>
                <w:color w:val="000000" w:themeColor="text1"/>
              </w:rPr>
            </w:pPr>
            <w:r w:rsidRPr="00F92FF9">
              <w:rPr>
                <w:color w:val="000000" w:themeColor="text1"/>
              </w:rPr>
              <w:t>Alcohol intake</w:t>
            </w:r>
          </w:p>
        </w:tc>
        <w:tc>
          <w:tcPr>
            <w:tcW w:w="2134" w:type="dxa"/>
            <w:noWrap/>
          </w:tcPr>
          <w:p w14:paraId="2FACE8B0" w14:textId="77777777" w:rsidR="003C3BEF" w:rsidRPr="00F92FF9" w:rsidRDefault="003C3BEF" w:rsidP="003C3BEF">
            <w:pPr>
              <w:snapToGrid w:val="0"/>
              <w:spacing w:line="240" w:lineRule="auto"/>
              <w:jc w:val="center"/>
              <w:rPr>
                <w:color w:val="000000" w:themeColor="text1"/>
              </w:rPr>
            </w:pPr>
          </w:p>
        </w:tc>
        <w:tc>
          <w:tcPr>
            <w:tcW w:w="2198" w:type="dxa"/>
            <w:noWrap/>
          </w:tcPr>
          <w:p w14:paraId="1767793D" w14:textId="77777777" w:rsidR="003C3BEF" w:rsidRPr="00F92FF9" w:rsidRDefault="003C3BEF" w:rsidP="003C3BEF">
            <w:pPr>
              <w:snapToGrid w:val="0"/>
              <w:spacing w:line="240" w:lineRule="auto"/>
              <w:jc w:val="center"/>
              <w:rPr>
                <w:color w:val="000000" w:themeColor="text1"/>
              </w:rPr>
            </w:pPr>
          </w:p>
        </w:tc>
        <w:tc>
          <w:tcPr>
            <w:tcW w:w="2127" w:type="dxa"/>
            <w:noWrap/>
          </w:tcPr>
          <w:p w14:paraId="77A2CFB4" w14:textId="77777777" w:rsidR="003C3BEF" w:rsidRPr="00F92FF9" w:rsidRDefault="003C3BEF" w:rsidP="003C3BEF">
            <w:pPr>
              <w:snapToGrid w:val="0"/>
              <w:spacing w:line="240" w:lineRule="auto"/>
              <w:jc w:val="center"/>
              <w:rPr>
                <w:color w:val="000000" w:themeColor="text1"/>
              </w:rPr>
            </w:pPr>
          </w:p>
        </w:tc>
      </w:tr>
      <w:tr w:rsidR="003C3BEF" w:rsidRPr="00F92FF9" w14:paraId="6F2CE5CB" w14:textId="77777777" w:rsidTr="003C3BEF">
        <w:trPr>
          <w:trHeight w:val="20"/>
          <w:jc w:val="center"/>
        </w:trPr>
        <w:tc>
          <w:tcPr>
            <w:tcW w:w="3111" w:type="dxa"/>
            <w:noWrap/>
            <w:vAlign w:val="bottom"/>
          </w:tcPr>
          <w:p w14:paraId="7B9F8571" w14:textId="77777777" w:rsidR="003C3BEF" w:rsidRPr="00F92FF9" w:rsidRDefault="003C3BEF" w:rsidP="003C3BEF">
            <w:pPr>
              <w:snapToGrid w:val="0"/>
              <w:spacing w:line="240" w:lineRule="auto"/>
              <w:ind w:firstLine="319"/>
              <w:rPr>
                <w:color w:val="000000" w:themeColor="text1"/>
              </w:rPr>
            </w:pPr>
            <w:r w:rsidRPr="00F92FF9">
              <w:rPr>
                <w:color w:val="000000" w:themeColor="text1"/>
              </w:rPr>
              <w:t>Daily or almost daily</w:t>
            </w:r>
          </w:p>
        </w:tc>
        <w:tc>
          <w:tcPr>
            <w:tcW w:w="2134" w:type="dxa"/>
            <w:noWrap/>
            <w:vAlign w:val="bottom"/>
          </w:tcPr>
          <w:p w14:paraId="31CF4AF8" w14:textId="77777777" w:rsidR="003C3BEF" w:rsidRPr="00F92FF9" w:rsidRDefault="003C3BEF" w:rsidP="003C3BEF">
            <w:pPr>
              <w:snapToGrid w:val="0"/>
              <w:spacing w:line="240" w:lineRule="auto"/>
              <w:jc w:val="center"/>
              <w:rPr>
                <w:color w:val="000000" w:themeColor="text1"/>
              </w:rPr>
            </w:pPr>
            <w:r w:rsidRPr="00F92FF9">
              <w:rPr>
                <w:color w:val="000000" w:themeColor="text1"/>
              </w:rPr>
              <w:t>6,554 (22.0%)</w:t>
            </w:r>
          </w:p>
        </w:tc>
        <w:tc>
          <w:tcPr>
            <w:tcW w:w="2198" w:type="dxa"/>
            <w:noWrap/>
            <w:vAlign w:val="bottom"/>
          </w:tcPr>
          <w:p w14:paraId="787BDCF0" w14:textId="77777777" w:rsidR="003C3BEF" w:rsidRPr="00F92FF9" w:rsidRDefault="003C3BEF" w:rsidP="003C3BEF">
            <w:pPr>
              <w:snapToGrid w:val="0"/>
              <w:spacing w:line="240" w:lineRule="auto"/>
              <w:jc w:val="center"/>
              <w:rPr>
                <w:color w:val="000000" w:themeColor="text1"/>
              </w:rPr>
            </w:pPr>
            <w:r w:rsidRPr="00F92FF9">
              <w:rPr>
                <w:color w:val="000000" w:themeColor="text1"/>
              </w:rPr>
              <w:t>3,832 (26.6%)</w:t>
            </w:r>
          </w:p>
        </w:tc>
        <w:tc>
          <w:tcPr>
            <w:tcW w:w="2127" w:type="dxa"/>
            <w:noWrap/>
            <w:vAlign w:val="bottom"/>
          </w:tcPr>
          <w:p w14:paraId="42D7E304" w14:textId="77777777" w:rsidR="003C3BEF" w:rsidRPr="00F92FF9" w:rsidRDefault="003C3BEF" w:rsidP="003C3BEF">
            <w:pPr>
              <w:snapToGrid w:val="0"/>
              <w:spacing w:line="240" w:lineRule="auto"/>
              <w:jc w:val="center"/>
              <w:rPr>
                <w:color w:val="000000" w:themeColor="text1"/>
              </w:rPr>
            </w:pPr>
            <w:r w:rsidRPr="00F92FF9">
              <w:rPr>
                <w:color w:val="000000" w:themeColor="text1"/>
              </w:rPr>
              <w:t>2,722 (17.7%)</w:t>
            </w:r>
          </w:p>
        </w:tc>
      </w:tr>
      <w:tr w:rsidR="003C3BEF" w:rsidRPr="00F92FF9" w14:paraId="1E9AE289" w14:textId="77777777" w:rsidTr="003C3BEF">
        <w:trPr>
          <w:trHeight w:val="20"/>
          <w:jc w:val="center"/>
        </w:trPr>
        <w:tc>
          <w:tcPr>
            <w:tcW w:w="3111" w:type="dxa"/>
            <w:noWrap/>
            <w:vAlign w:val="bottom"/>
          </w:tcPr>
          <w:p w14:paraId="287898AE" w14:textId="77777777" w:rsidR="003C3BEF" w:rsidRPr="00F92FF9" w:rsidRDefault="003C3BEF" w:rsidP="003C3BEF">
            <w:pPr>
              <w:snapToGrid w:val="0"/>
              <w:spacing w:line="240" w:lineRule="auto"/>
              <w:ind w:firstLine="319"/>
              <w:rPr>
                <w:color w:val="000000" w:themeColor="text1"/>
              </w:rPr>
            </w:pPr>
            <w:r w:rsidRPr="00F92FF9">
              <w:rPr>
                <w:color w:val="000000" w:themeColor="text1"/>
              </w:rPr>
              <w:t>Three or four times a week</w:t>
            </w:r>
          </w:p>
        </w:tc>
        <w:tc>
          <w:tcPr>
            <w:tcW w:w="2134" w:type="dxa"/>
            <w:noWrap/>
            <w:vAlign w:val="bottom"/>
          </w:tcPr>
          <w:p w14:paraId="35860F79" w14:textId="77777777" w:rsidR="003C3BEF" w:rsidRPr="00F92FF9" w:rsidRDefault="003C3BEF" w:rsidP="003C3BEF">
            <w:pPr>
              <w:snapToGrid w:val="0"/>
              <w:spacing w:line="240" w:lineRule="auto"/>
              <w:jc w:val="center"/>
              <w:rPr>
                <w:color w:val="000000" w:themeColor="text1"/>
              </w:rPr>
            </w:pPr>
            <w:r w:rsidRPr="00F92FF9">
              <w:rPr>
                <w:color w:val="000000" w:themeColor="text1"/>
              </w:rPr>
              <w:t>8,426 (28.3%)</w:t>
            </w:r>
          </w:p>
        </w:tc>
        <w:tc>
          <w:tcPr>
            <w:tcW w:w="2198" w:type="dxa"/>
            <w:noWrap/>
            <w:vAlign w:val="bottom"/>
          </w:tcPr>
          <w:p w14:paraId="730C5AA3" w14:textId="77777777" w:rsidR="003C3BEF" w:rsidRPr="00F92FF9" w:rsidRDefault="003C3BEF" w:rsidP="003C3BEF">
            <w:pPr>
              <w:snapToGrid w:val="0"/>
              <w:spacing w:line="240" w:lineRule="auto"/>
              <w:jc w:val="center"/>
              <w:rPr>
                <w:color w:val="000000" w:themeColor="text1"/>
              </w:rPr>
            </w:pPr>
            <w:r w:rsidRPr="00F92FF9">
              <w:rPr>
                <w:color w:val="000000" w:themeColor="text1"/>
              </w:rPr>
              <w:t>4,388 (30.5%)</w:t>
            </w:r>
          </w:p>
        </w:tc>
        <w:tc>
          <w:tcPr>
            <w:tcW w:w="2127" w:type="dxa"/>
            <w:noWrap/>
            <w:vAlign w:val="bottom"/>
          </w:tcPr>
          <w:p w14:paraId="3BFE1C92" w14:textId="77777777" w:rsidR="003C3BEF" w:rsidRPr="00F92FF9" w:rsidRDefault="003C3BEF" w:rsidP="003C3BEF">
            <w:pPr>
              <w:snapToGrid w:val="0"/>
              <w:spacing w:line="240" w:lineRule="auto"/>
              <w:jc w:val="center"/>
              <w:rPr>
                <w:color w:val="000000" w:themeColor="text1"/>
              </w:rPr>
            </w:pPr>
            <w:r w:rsidRPr="00F92FF9">
              <w:rPr>
                <w:color w:val="000000" w:themeColor="text1"/>
              </w:rPr>
              <w:t>4,038 (26.2%)</w:t>
            </w:r>
          </w:p>
        </w:tc>
      </w:tr>
      <w:tr w:rsidR="003C3BEF" w:rsidRPr="00F92FF9" w14:paraId="1B13C6BC" w14:textId="77777777" w:rsidTr="003C3BEF">
        <w:trPr>
          <w:trHeight w:val="20"/>
          <w:jc w:val="center"/>
        </w:trPr>
        <w:tc>
          <w:tcPr>
            <w:tcW w:w="3111" w:type="dxa"/>
            <w:noWrap/>
            <w:vAlign w:val="bottom"/>
          </w:tcPr>
          <w:p w14:paraId="36F15EE9" w14:textId="77777777" w:rsidR="003C3BEF" w:rsidRPr="00F92FF9" w:rsidRDefault="003C3BEF" w:rsidP="003C3BEF">
            <w:pPr>
              <w:snapToGrid w:val="0"/>
              <w:spacing w:line="240" w:lineRule="auto"/>
              <w:ind w:firstLine="319"/>
              <w:rPr>
                <w:color w:val="000000" w:themeColor="text1"/>
              </w:rPr>
            </w:pPr>
            <w:r w:rsidRPr="00F92FF9">
              <w:rPr>
                <w:color w:val="000000" w:themeColor="text1"/>
              </w:rPr>
              <w:t>Once or twice a week</w:t>
            </w:r>
          </w:p>
        </w:tc>
        <w:tc>
          <w:tcPr>
            <w:tcW w:w="2134" w:type="dxa"/>
            <w:noWrap/>
            <w:vAlign w:val="bottom"/>
          </w:tcPr>
          <w:p w14:paraId="64D2F2E0" w14:textId="77777777" w:rsidR="003C3BEF" w:rsidRPr="00F92FF9" w:rsidRDefault="003C3BEF" w:rsidP="003C3BEF">
            <w:pPr>
              <w:snapToGrid w:val="0"/>
              <w:spacing w:line="240" w:lineRule="auto"/>
              <w:jc w:val="center"/>
              <w:rPr>
                <w:color w:val="000000" w:themeColor="text1"/>
              </w:rPr>
            </w:pPr>
            <w:r w:rsidRPr="00F92FF9">
              <w:rPr>
                <w:color w:val="000000" w:themeColor="text1"/>
              </w:rPr>
              <w:t>7,731 (26.0%)</w:t>
            </w:r>
          </w:p>
        </w:tc>
        <w:tc>
          <w:tcPr>
            <w:tcW w:w="2198" w:type="dxa"/>
            <w:noWrap/>
            <w:vAlign w:val="bottom"/>
          </w:tcPr>
          <w:p w14:paraId="0BBC5A3D" w14:textId="77777777" w:rsidR="003C3BEF" w:rsidRPr="00F92FF9" w:rsidRDefault="003C3BEF" w:rsidP="003C3BEF">
            <w:pPr>
              <w:snapToGrid w:val="0"/>
              <w:spacing w:line="240" w:lineRule="auto"/>
              <w:jc w:val="center"/>
              <w:rPr>
                <w:color w:val="000000" w:themeColor="text1"/>
              </w:rPr>
            </w:pPr>
            <w:r w:rsidRPr="00F92FF9">
              <w:rPr>
                <w:color w:val="000000" w:themeColor="text1"/>
              </w:rPr>
              <w:t>3,632 (25.3%)</w:t>
            </w:r>
          </w:p>
        </w:tc>
        <w:tc>
          <w:tcPr>
            <w:tcW w:w="2127" w:type="dxa"/>
            <w:noWrap/>
            <w:vAlign w:val="bottom"/>
          </w:tcPr>
          <w:p w14:paraId="53DE87FD" w14:textId="77777777" w:rsidR="003C3BEF" w:rsidRPr="00F92FF9" w:rsidRDefault="003C3BEF" w:rsidP="003C3BEF">
            <w:pPr>
              <w:snapToGrid w:val="0"/>
              <w:spacing w:line="240" w:lineRule="auto"/>
              <w:jc w:val="center"/>
              <w:rPr>
                <w:color w:val="000000" w:themeColor="text1"/>
              </w:rPr>
            </w:pPr>
            <w:r w:rsidRPr="00F92FF9">
              <w:rPr>
                <w:color w:val="000000" w:themeColor="text1"/>
              </w:rPr>
              <w:t>4,099 (26.6%)</w:t>
            </w:r>
          </w:p>
        </w:tc>
      </w:tr>
      <w:tr w:rsidR="003C3BEF" w:rsidRPr="00F92FF9" w14:paraId="7E4965C3" w14:textId="77777777" w:rsidTr="003C3BEF">
        <w:trPr>
          <w:trHeight w:val="20"/>
          <w:jc w:val="center"/>
        </w:trPr>
        <w:tc>
          <w:tcPr>
            <w:tcW w:w="3111" w:type="dxa"/>
            <w:noWrap/>
            <w:vAlign w:val="bottom"/>
          </w:tcPr>
          <w:p w14:paraId="60BBDB42" w14:textId="77777777" w:rsidR="003C3BEF" w:rsidRPr="00F92FF9" w:rsidRDefault="003C3BEF" w:rsidP="003C3BEF">
            <w:pPr>
              <w:snapToGrid w:val="0"/>
              <w:spacing w:line="240" w:lineRule="auto"/>
              <w:ind w:firstLine="319"/>
              <w:rPr>
                <w:color w:val="000000" w:themeColor="text1"/>
              </w:rPr>
            </w:pPr>
            <w:r w:rsidRPr="00F92FF9">
              <w:rPr>
                <w:color w:val="000000" w:themeColor="text1"/>
              </w:rPr>
              <w:t>One to three times a month</w:t>
            </w:r>
          </w:p>
        </w:tc>
        <w:tc>
          <w:tcPr>
            <w:tcW w:w="2134" w:type="dxa"/>
            <w:noWrap/>
            <w:vAlign w:val="bottom"/>
          </w:tcPr>
          <w:p w14:paraId="21D75F53" w14:textId="77777777" w:rsidR="003C3BEF" w:rsidRPr="00F92FF9" w:rsidRDefault="003C3BEF" w:rsidP="003C3BEF">
            <w:pPr>
              <w:snapToGrid w:val="0"/>
              <w:spacing w:line="240" w:lineRule="auto"/>
              <w:jc w:val="center"/>
              <w:rPr>
                <w:color w:val="000000" w:themeColor="text1"/>
              </w:rPr>
            </w:pPr>
            <w:r w:rsidRPr="00F92FF9">
              <w:rPr>
                <w:color w:val="000000" w:themeColor="text1"/>
              </w:rPr>
              <w:t>3,223 (10.8%)</w:t>
            </w:r>
          </w:p>
        </w:tc>
        <w:tc>
          <w:tcPr>
            <w:tcW w:w="2198" w:type="dxa"/>
            <w:noWrap/>
            <w:vAlign w:val="bottom"/>
          </w:tcPr>
          <w:p w14:paraId="5E70BFA7" w14:textId="77777777" w:rsidR="003C3BEF" w:rsidRPr="00F92FF9" w:rsidRDefault="003C3BEF" w:rsidP="003C3BEF">
            <w:pPr>
              <w:snapToGrid w:val="0"/>
              <w:spacing w:line="240" w:lineRule="auto"/>
              <w:jc w:val="center"/>
              <w:rPr>
                <w:color w:val="000000" w:themeColor="text1"/>
              </w:rPr>
            </w:pPr>
            <w:r w:rsidRPr="00F92FF9">
              <w:rPr>
                <w:color w:val="000000" w:themeColor="text1"/>
              </w:rPr>
              <w:t>1,227 (8.5%)</w:t>
            </w:r>
          </w:p>
        </w:tc>
        <w:tc>
          <w:tcPr>
            <w:tcW w:w="2127" w:type="dxa"/>
            <w:noWrap/>
            <w:vAlign w:val="bottom"/>
          </w:tcPr>
          <w:p w14:paraId="267554F8" w14:textId="77777777" w:rsidR="003C3BEF" w:rsidRPr="00F92FF9" w:rsidRDefault="003C3BEF" w:rsidP="003C3BEF">
            <w:pPr>
              <w:snapToGrid w:val="0"/>
              <w:spacing w:line="240" w:lineRule="auto"/>
              <w:jc w:val="center"/>
              <w:rPr>
                <w:color w:val="000000" w:themeColor="text1"/>
              </w:rPr>
            </w:pPr>
            <w:r w:rsidRPr="00F92FF9">
              <w:rPr>
                <w:color w:val="000000" w:themeColor="text1"/>
              </w:rPr>
              <w:t>1,996 (13.0%)</w:t>
            </w:r>
          </w:p>
        </w:tc>
      </w:tr>
      <w:tr w:rsidR="003C3BEF" w:rsidRPr="00F92FF9" w14:paraId="6B2B8413" w14:textId="77777777" w:rsidTr="003C3BEF">
        <w:trPr>
          <w:trHeight w:val="20"/>
          <w:jc w:val="center"/>
        </w:trPr>
        <w:tc>
          <w:tcPr>
            <w:tcW w:w="3111" w:type="dxa"/>
            <w:noWrap/>
            <w:vAlign w:val="bottom"/>
          </w:tcPr>
          <w:p w14:paraId="60D1E878" w14:textId="77777777" w:rsidR="003C3BEF" w:rsidRPr="00F92FF9" w:rsidRDefault="003C3BEF" w:rsidP="003C3BEF">
            <w:pPr>
              <w:snapToGrid w:val="0"/>
              <w:spacing w:line="240" w:lineRule="auto"/>
              <w:ind w:firstLine="319"/>
              <w:rPr>
                <w:color w:val="000000" w:themeColor="text1"/>
              </w:rPr>
            </w:pPr>
            <w:r w:rsidRPr="00F92FF9">
              <w:rPr>
                <w:color w:val="000000" w:themeColor="text1"/>
              </w:rPr>
              <w:t>Special occasions only</w:t>
            </w:r>
          </w:p>
        </w:tc>
        <w:tc>
          <w:tcPr>
            <w:tcW w:w="2134" w:type="dxa"/>
            <w:noWrap/>
            <w:vAlign w:val="bottom"/>
          </w:tcPr>
          <w:p w14:paraId="6FD01C88" w14:textId="77777777" w:rsidR="003C3BEF" w:rsidRPr="00F92FF9" w:rsidRDefault="003C3BEF" w:rsidP="003C3BEF">
            <w:pPr>
              <w:snapToGrid w:val="0"/>
              <w:spacing w:line="240" w:lineRule="auto"/>
              <w:jc w:val="center"/>
              <w:rPr>
                <w:color w:val="000000" w:themeColor="text1"/>
              </w:rPr>
            </w:pPr>
            <w:r w:rsidRPr="00F92FF9">
              <w:rPr>
                <w:color w:val="000000" w:themeColor="text1"/>
              </w:rPr>
              <w:t>2,423 (8.1%)</w:t>
            </w:r>
          </w:p>
        </w:tc>
        <w:tc>
          <w:tcPr>
            <w:tcW w:w="2198" w:type="dxa"/>
            <w:noWrap/>
            <w:vAlign w:val="bottom"/>
          </w:tcPr>
          <w:p w14:paraId="1DE37E8D" w14:textId="77777777" w:rsidR="003C3BEF" w:rsidRPr="00F92FF9" w:rsidRDefault="003C3BEF" w:rsidP="003C3BEF">
            <w:pPr>
              <w:snapToGrid w:val="0"/>
              <w:spacing w:line="240" w:lineRule="auto"/>
              <w:jc w:val="center"/>
              <w:rPr>
                <w:color w:val="000000" w:themeColor="text1"/>
              </w:rPr>
            </w:pPr>
            <w:r w:rsidRPr="00F92FF9">
              <w:rPr>
                <w:color w:val="000000" w:themeColor="text1"/>
              </w:rPr>
              <w:t xml:space="preserve">  717 (5.0%)</w:t>
            </w:r>
          </w:p>
        </w:tc>
        <w:tc>
          <w:tcPr>
            <w:tcW w:w="2127" w:type="dxa"/>
            <w:noWrap/>
            <w:vAlign w:val="bottom"/>
          </w:tcPr>
          <w:p w14:paraId="3B7AA57D" w14:textId="77777777" w:rsidR="003C3BEF" w:rsidRPr="00F92FF9" w:rsidRDefault="003C3BEF" w:rsidP="003C3BEF">
            <w:pPr>
              <w:snapToGrid w:val="0"/>
              <w:spacing w:line="240" w:lineRule="auto"/>
              <w:jc w:val="center"/>
              <w:rPr>
                <w:color w:val="000000" w:themeColor="text1"/>
              </w:rPr>
            </w:pPr>
            <w:r w:rsidRPr="00F92FF9">
              <w:rPr>
                <w:color w:val="000000" w:themeColor="text1"/>
              </w:rPr>
              <w:t>1,706 (11.1%)</w:t>
            </w:r>
          </w:p>
        </w:tc>
      </w:tr>
      <w:tr w:rsidR="003C3BEF" w:rsidRPr="00F92FF9" w14:paraId="48BB6410" w14:textId="77777777" w:rsidTr="003C3BEF">
        <w:trPr>
          <w:trHeight w:val="20"/>
          <w:jc w:val="center"/>
        </w:trPr>
        <w:tc>
          <w:tcPr>
            <w:tcW w:w="3111" w:type="dxa"/>
            <w:noWrap/>
            <w:vAlign w:val="bottom"/>
          </w:tcPr>
          <w:p w14:paraId="7F76BAAB" w14:textId="77777777" w:rsidR="003C3BEF" w:rsidRPr="00F92FF9" w:rsidRDefault="003C3BEF" w:rsidP="003C3BEF">
            <w:pPr>
              <w:snapToGrid w:val="0"/>
              <w:spacing w:line="240" w:lineRule="auto"/>
              <w:ind w:firstLine="319"/>
              <w:rPr>
                <w:color w:val="000000" w:themeColor="text1"/>
              </w:rPr>
            </w:pPr>
            <w:r w:rsidRPr="00F92FF9">
              <w:rPr>
                <w:color w:val="000000" w:themeColor="text1"/>
              </w:rPr>
              <w:t>Never</w:t>
            </w:r>
          </w:p>
        </w:tc>
        <w:tc>
          <w:tcPr>
            <w:tcW w:w="2134" w:type="dxa"/>
            <w:noWrap/>
            <w:vAlign w:val="bottom"/>
          </w:tcPr>
          <w:p w14:paraId="08E43660" w14:textId="77777777" w:rsidR="003C3BEF" w:rsidRPr="00F92FF9" w:rsidRDefault="003C3BEF" w:rsidP="003C3BEF">
            <w:pPr>
              <w:snapToGrid w:val="0"/>
              <w:spacing w:line="240" w:lineRule="auto"/>
              <w:jc w:val="center"/>
              <w:rPr>
                <w:color w:val="000000" w:themeColor="text1"/>
              </w:rPr>
            </w:pPr>
            <w:r w:rsidRPr="00F92FF9">
              <w:rPr>
                <w:color w:val="000000" w:themeColor="text1"/>
              </w:rPr>
              <w:t>1,390 (4.7%)</w:t>
            </w:r>
          </w:p>
        </w:tc>
        <w:tc>
          <w:tcPr>
            <w:tcW w:w="2198" w:type="dxa"/>
            <w:noWrap/>
            <w:vAlign w:val="bottom"/>
          </w:tcPr>
          <w:p w14:paraId="3606A4EB" w14:textId="77777777" w:rsidR="003C3BEF" w:rsidRPr="00F92FF9" w:rsidRDefault="003C3BEF" w:rsidP="003C3BEF">
            <w:pPr>
              <w:snapToGrid w:val="0"/>
              <w:spacing w:line="240" w:lineRule="auto"/>
              <w:jc w:val="center"/>
              <w:rPr>
                <w:color w:val="000000" w:themeColor="text1"/>
              </w:rPr>
            </w:pPr>
            <w:r w:rsidRPr="00F92FF9">
              <w:rPr>
                <w:color w:val="000000" w:themeColor="text1"/>
              </w:rPr>
              <w:t xml:space="preserve">  574 (4.0%)</w:t>
            </w:r>
          </w:p>
        </w:tc>
        <w:tc>
          <w:tcPr>
            <w:tcW w:w="2127" w:type="dxa"/>
            <w:noWrap/>
            <w:vAlign w:val="bottom"/>
          </w:tcPr>
          <w:p w14:paraId="37F18D02" w14:textId="77777777" w:rsidR="003C3BEF" w:rsidRPr="00F92FF9" w:rsidRDefault="003C3BEF" w:rsidP="003C3BEF">
            <w:pPr>
              <w:snapToGrid w:val="0"/>
              <w:spacing w:line="240" w:lineRule="auto"/>
              <w:jc w:val="center"/>
              <w:rPr>
                <w:color w:val="000000" w:themeColor="text1"/>
              </w:rPr>
            </w:pPr>
            <w:r w:rsidRPr="00F92FF9">
              <w:rPr>
                <w:color w:val="000000" w:themeColor="text1"/>
              </w:rPr>
              <w:t xml:space="preserve">  816 (5.3%)</w:t>
            </w:r>
          </w:p>
        </w:tc>
      </w:tr>
      <w:tr w:rsidR="003C3BEF" w:rsidRPr="00F92FF9" w14:paraId="0A8798B5" w14:textId="77777777" w:rsidTr="003C3BEF">
        <w:trPr>
          <w:trHeight w:val="20"/>
          <w:jc w:val="center"/>
        </w:trPr>
        <w:tc>
          <w:tcPr>
            <w:tcW w:w="3111" w:type="dxa"/>
            <w:noWrap/>
            <w:hideMark/>
          </w:tcPr>
          <w:p w14:paraId="57FA8796" w14:textId="77777777" w:rsidR="003C3BEF" w:rsidRPr="00F92FF9" w:rsidRDefault="003C3BEF" w:rsidP="003C3BEF">
            <w:pPr>
              <w:snapToGrid w:val="0"/>
              <w:spacing w:line="240" w:lineRule="auto"/>
              <w:rPr>
                <w:color w:val="000000" w:themeColor="text1"/>
              </w:rPr>
            </w:pPr>
            <w:r w:rsidRPr="00F92FF9">
              <w:rPr>
                <w:color w:val="000000" w:themeColor="text1"/>
              </w:rPr>
              <w:t>Diabetes</w:t>
            </w:r>
          </w:p>
        </w:tc>
        <w:tc>
          <w:tcPr>
            <w:tcW w:w="2134" w:type="dxa"/>
            <w:noWrap/>
            <w:hideMark/>
          </w:tcPr>
          <w:p w14:paraId="41307429" w14:textId="77777777" w:rsidR="003C3BEF" w:rsidRPr="00F92FF9" w:rsidRDefault="003C3BEF" w:rsidP="003C3BEF">
            <w:pPr>
              <w:snapToGrid w:val="0"/>
              <w:spacing w:line="240" w:lineRule="auto"/>
              <w:jc w:val="center"/>
              <w:rPr>
                <w:color w:val="000000" w:themeColor="text1"/>
              </w:rPr>
            </w:pPr>
            <w:r w:rsidRPr="00F92FF9">
              <w:rPr>
                <w:color w:val="000000" w:themeColor="text1"/>
              </w:rPr>
              <w:t>893 (3.0%)</w:t>
            </w:r>
          </w:p>
        </w:tc>
        <w:tc>
          <w:tcPr>
            <w:tcW w:w="2198" w:type="dxa"/>
            <w:noWrap/>
            <w:hideMark/>
          </w:tcPr>
          <w:p w14:paraId="7AE52D98" w14:textId="77777777" w:rsidR="003C3BEF" w:rsidRPr="00F92FF9" w:rsidRDefault="003C3BEF" w:rsidP="003C3BEF">
            <w:pPr>
              <w:snapToGrid w:val="0"/>
              <w:spacing w:line="240" w:lineRule="auto"/>
              <w:jc w:val="center"/>
              <w:rPr>
                <w:color w:val="000000" w:themeColor="text1"/>
              </w:rPr>
            </w:pPr>
            <w:r w:rsidRPr="00F92FF9">
              <w:rPr>
                <w:color w:val="000000" w:themeColor="text1"/>
              </w:rPr>
              <w:t>581 (4.0%)</w:t>
            </w:r>
          </w:p>
        </w:tc>
        <w:tc>
          <w:tcPr>
            <w:tcW w:w="2127" w:type="dxa"/>
            <w:noWrap/>
            <w:hideMark/>
          </w:tcPr>
          <w:p w14:paraId="45132537" w14:textId="77777777" w:rsidR="003C3BEF" w:rsidRPr="00F92FF9" w:rsidRDefault="003C3BEF" w:rsidP="003C3BEF">
            <w:pPr>
              <w:snapToGrid w:val="0"/>
              <w:spacing w:line="240" w:lineRule="auto"/>
              <w:jc w:val="center"/>
              <w:rPr>
                <w:color w:val="000000" w:themeColor="text1"/>
              </w:rPr>
            </w:pPr>
            <w:r w:rsidRPr="00F92FF9">
              <w:rPr>
                <w:color w:val="000000" w:themeColor="text1"/>
              </w:rPr>
              <w:t>312 (2.0%)</w:t>
            </w:r>
          </w:p>
        </w:tc>
      </w:tr>
      <w:tr w:rsidR="003C3BEF" w:rsidRPr="00F92FF9" w14:paraId="6ABB3F95" w14:textId="77777777" w:rsidTr="003C3BEF">
        <w:trPr>
          <w:trHeight w:val="20"/>
          <w:jc w:val="center"/>
        </w:trPr>
        <w:tc>
          <w:tcPr>
            <w:tcW w:w="3111" w:type="dxa"/>
            <w:noWrap/>
            <w:hideMark/>
          </w:tcPr>
          <w:p w14:paraId="0EFA168C" w14:textId="77777777" w:rsidR="003C3BEF" w:rsidRPr="00F92FF9" w:rsidRDefault="003C3BEF" w:rsidP="003C3BEF">
            <w:pPr>
              <w:snapToGrid w:val="0"/>
              <w:spacing w:line="240" w:lineRule="auto"/>
              <w:rPr>
                <w:color w:val="000000" w:themeColor="text1"/>
              </w:rPr>
            </w:pPr>
            <w:r w:rsidRPr="00F92FF9">
              <w:rPr>
                <w:color w:val="000000" w:themeColor="text1"/>
              </w:rPr>
              <w:t>Hypertension</w:t>
            </w:r>
          </w:p>
        </w:tc>
        <w:tc>
          <w:tcPr>
            <w:tcW w:w="2134" w:type="dxa"/>
            <w:noWrap/>
            <w:hideMark/>
          </w:tcPr>
          <w:p w14:paraId="2B3FB494" w14:textId="77777777" w:rsidR="003C3BEF" w:rsidRPr="00F92FF9" w:rsidRDefault="003C3BEF" w:rsidP="003C3BEF">
            <w:pPr>
              <w:snapToGrid w:val="0"/>
              <w:spacing w:line="240" w:lineRule="auto"/>
              <w:jc w:val="center"/>
              <w:rPr>
                <w:color w:val="000000" w:themeColor="text1"/>
              </w:rPr>
            </w:pPr>
            <w:r w:rsidRPr="00F92FF9">
              <w:rPr>
                <w:color w:val="000000" w:themeColor="text1"/>
              </w:rPr>
              <w:t>4,016 (13.5%)</w:t>
            </w:r>
          </w:p>
        </w:tc>
        <w:tc>
          <w:tcPr>
            <w:tcW w:w="2198" w:type="dxa"/>
            <w:noWrap/>
            <w:hideMark/>
          </w:tcPr>
          <w:p w14:paraId="45FF62B0" w14:textId="77777777" w:rsidR="003C3BEF" w:rsidRPr="00F92FF9" w:rsidRDefault="003C3BEF" w:rsidP="003C3BEF">
            <w:pPr>
              <w:snapToGrid w:val="0"/>
              <w:spacing w:line="240" w:lineRule="auto"/>
              <w:jc w:val="center"/>
              <w:rPr>
                <w:color w:val="000000" w:themeColor="text1"/>
              </w:rPr>
            </w:pPr>
            <w:r w:rsidRPr="00F92FF9">
              <w:rPr>
                <w:color w:val="000000" w:themeColor="text1"/>
              </w:rPr>
              <w:t>2,417 (16.8%)</w:t>
            </w:r>
          </w:p>
        </w:tc>
        <w:tc>
          <w:tcPr>
            <w:tcW w:w="2127" w:type="dxa"/>
            <w:noWrap/>
            <w:hideMark/>
          </w:tcPr>
          <w:p w14:paraId="7179DA5E" w14:textId="77777777" w:rsidR="003C3BEF" w:rsidRPr="00F92FF9" w:rsidRDefault="003C3BEF" w:rsidP="003C3BEF">
            <w:pPr>
              <w:snapToGrid w:val="0"/>
              <w:spacing w:line="240" w:lineRule="auto"/>
              <w:jc w:val="center"/>
              <w:rPr>
                <w:color w:val="000000" w:themeColor="text1"/>
              </w:rPr>
            </w:pPr>
            <w:r w:rsidRPr="00F92FF9">
              <w:rPr>
                <w:color w:val="000000" w:themeColor="text1"/>
              </w:rPr>
              <w:t>1,599 (10.4%)</w:t>
            </w:r>
          </w:p>
        </w:tc>
      </w:tr>
      <w:tr w:rsidR="003C3BEF" w:rsidRPr="00F92FF9" w14:paraId="33912303" w14:textId="77777777" w:rsidTr="003C3BEF">
        <w:trPr>
          <w:trHeight w:val="20"/>
          <w:jc w:val="center"/>
        </w:trPr>
        <w:tc>
          <w:tcPr>
            <w:tcW w:w="3111" w:type="dxa"/>
            <w:noWrap/>
            <w:hideMark/>
          </w:tcPr>
          <w:p w14:paraId="2C8325A6" w14:textId="77777777" w:rsidR="003C3BEF" w:rsidRPr="00F92FF9" w:rsidRDefault="003C3BEF" w:rsidP="003C3BEF">
            <w:pPr>
              <w:snapToGrid w:val="0"/>
              <w:spacing w:line="240" w:lineRule="auto"/>
              <w:rPr>
                <w:color w:val="000000" w:themeColor="text1"/>
              </w:rPr>
            </w:pPr>
            <w:r w:rsidRPr="00F92FF9">
              <w:rPr>
                <w:color w:val="000000" w:themeColor="text1"/>
              </w:rPr>
              <w:t>High cholesterol</w:t>
            </w:r>
          </w:p>
        </w:tc>
        <w:tc>
          <w:tcPr>
            <w:tcW w:w="2134" w:type="dxa"/>
            <w:noWrap/>
            <w:hideMark/>
          </w:tcPr>
          <w:p w14:paraId="3E482812" w14:textId="77777777" w:rsidR="003C3BEF" w:rsidRPr="00F92FF9" w:rsidRDefault="003C3BEF" w:rsidP="003C3BEF">
            <w:pPr>
              <w:snapToGrid w:val="0"/>
              <w:spacing w:line="240" w:lineRule="auto"/>
              <w:jc w:val="center"/>
              <w:rPr>
                <w:color w:val="000000" w:themeColor="text1"/>
              </w:rPr>
            </w:pPr>
            <w:r w:rsidRPr="00F92FF9">
              <w:rPr>
                <w:color w:val="000000" w:themeColor="text1"/>
              </w:rPr>
              <w:t>6,640 (22.3%)</w:t>
            </w:r>
          </w:p>
        </w:tc>
        <w:tc>
          <w:tcPr>
            <w:tcW w:w="2198" w:type="dxa"/>
            <w:noWrap/>
            <w:hideMark/>
          </w:tcPr>
          <w:p w14:paraId="7136216A" w14:textId="77777777" w:rsidR="003C3BEF" w:rsidRPr="00F92FF9" w:rsidRDefault="003C3BEF" w:rsidP="003C3BEF">
            <w:pPr>
              <w:snapToGrid w:val="0"/>
              <w:spacing w:line="240" w:lineRule="auto"/>
              <w:jc w:val="center"/>
              <w:rPr>
                <w:color w:val="000000" w:themeColor="text1"/>
              </w:rPr>
            </w:pPr>
            <w:r w:rsidRPr="00F92FF9">
              <w:rPr>
                <w:color w:val="000000" w:themeColor="text1"/>
              </w:rPr>
              <w:t>3,616 (25.1%)</w:t>
            </w:r>
          </w:p>
        </w:tc>
        <w:tc>
          <w:tcPr>
            <w:tcW w:w="2127" w:type="dxa"/>
            <w:noWrap/>
            <w:hideMark/>
          </w:tcPr>
          <w:p w14:paraId="44ACC868" w14:textId="77777777" w:rsidR="003C3BEF" w:rsidRPr="00F92FF9" w:rsidRDefault="003C3BEF" w:rsidP="003C3BEF">
            <w:pPr>
              <w:snapToGrid w:val="0"/>
              <w:spacing w:line="240" w:lineRule="auto"/>
              <w:jc w:val="center"/>
              <w:rPr>
                <w:color w:val="000000" w:themeColor="text1"/>
              </w:rPr>
            </w:pPr>
            <w:r w:rsidRPr="00F92FF9">
              <w:rPr>
                <w:color w:val="000000" w:themeColor="text1"/>
              </w:rPr>
              <w:t>3,024 (19.7%)</w:t>
            </w:r>
          </w:p>
        </w:tc>
      </w:tr>
      <w:tr w:rsidR="003C3BEF" w:rsidRPr="00F92FF9" w14:paraId="11D150FC" w14:textId="77777777" w:rsidTr="003C3BEF">
        <w:trPr>
          <w:trHeight w:val="20"/>
          <w:jc w:val="center"/>
        </w:trPr>
        <w:tc>
          <w:tcPr>
            <w:tcW w:w="3111" w:type="dxa"/>
            <w:noWrap/>
            <w:hideMark/>
          </w:tcPr>
          <w:p w14:paraId="61F8ECC6" w14:textId="77777777" w:rsidR="003C3BEF" w:rsidRPr="00F92FF9" w:rsidRDefault="003C3BEF" w:rsidP="003C3BEF">
            <w:pPr>
              <w:snapToGrid w:val="0"/>
              <w:spacing w:line="240" w:lineRule="auto"/>
              <w:rPr>
                <w:color w:val="000000" w:themeColor="text1"/>
              </w:rPr>
            </w:pPr>
            <w:r w:rsidRPr="00F92FF9">
              <w:rPr>
                <w:color w:val="000000" w:themeColor="text1"/>
              </w:rPr>
              <w:t>Prior MI</w:t>
            </w:r>
          </w:p>
        </w:tc>
        <w:tc>
          <w:tcPr>
            <w:tcW w:w="2134" w:type="dxa"/>
            <w:noWrap/>
            <w:hideMark/>
          </w:tcPr>
          <w:p w14:paraId="25A05B19" w14:textId="77777777" w:rsidR="003C3BEF" w:rsidRPr="00F92FF9" w:rsidRDefault="003C3BEF" w:rsidP="003C3BEF">
            <w:pPr>
              <w:snapToGrid w:val="0"/>
              <w:spacing w:line="240" w:lineRule="auto"/>
              <w:jc w:val="center"/>
              <w:rPr>
                <w:color w:val="000000" w:themeColor="text1"/>
              </w:rPr>
            </w:pPr>
            <w:r w:rsidRPr="00F92FF9">
              <w:rPr>
                <w:color w:val="000000" w:themeColor="text1"/>
              </w:rPr>
              <w:t>590 (2.0%)</w:t>
            </w:r>
          </w:p>
        </w:tc>
        <w:tc>
          <w:tcPr>
            <w:tcW w:w="2198" w:type="dxa"/>
            <w:noWrap/>
            <w:hideMark/>
          </w:tcPr>
          <w:p w14:paraId="13D38887" w14:textId="77777777" w:rsidR="003C3BEF" w:rsidRPr="00F92FF9" w:rsidRDefault="003C3BEF" w:rsidP="003C3BEF">
            <w:pPr>
              <w:snapToGrid w:val="0"/>
              <w:spacing w:line="240" w:lineRule="auto"/>
              <w:jc w:val="center"/>
              <w:rPr>
                <w:color w:val="000000" w:themeColor="text1"/>
              </w:rPr>
            </w:pPr>
            <w:r w:rsidRPr="00F92FF9">
              <w:rPr>
                <w:color w:val="000000" w:themeColor="text1"/>
              </w:rPr>
              <w:t>494 (3.4%)</w:t>
            </w:r>
          </w:p>
        </w:tc>
        <w:tc>
          <w:tcPr>
            <w:tcW w:w="2127" w:type="dxa"/>
            <w:noWrap/>
            <w:hideMark/>
          </w:tcPr>
          <w:p w14:paraId="35297098" w14:textId="77777777" w:rsidR="003C3BEF" w:rsidRPr="00F92FF9" w:rsidRDefault="003C3BEF" w:rsidP="003C3BEF">
            <w:pPr>
              <w:snapToGrid w:val="0"/>
              <w:spacing w:line="240" w:lineRule="auto"/>
              <w:jc w:val="center"/>
              <w:rPr>
                <w:color w:val="000000" w:themeColor="text1"/>
              </w:rPr>
            </w:pPr>
            <w:r w:rsidRPr="00F92FF9">
              <w:rPr>
                <w:color w:val="000000" w:themeColor="text1"/>
              </w:rPr>
              <w:t>96 (0.6%)</w:t>
            </w:r>
          </w:p>
        </w:tc>
      </w:tr>
      <w:tr w:rsidR="003C3BEF" w:rsidRPr="00F92FF9" w14:paraId="3276C0FC" w14:textId="77777777" w:rsidTr="003C3BEF">
        <w:trPr>
          <w:trHeight w:val="20"/>
          <w:jc w:val="center"/>
        </w:trPr>
        <w:tc>
          <w:tcPr>
            <w:tcW w:w="3111" w:type="dxa"/>
            <w:noWrap/>
            <w:hideMark/>
          </w:tcPr>
          <w:p w14:paraId="261C9E41" w14:textId="77777777" w:rsidR="003C3BEF" w:rsidRPr="00F92FF9" w:rsidRDefault="003C3BEF" w:rsidP="003C3BEF">
            <w:pPr>
              <w:snapToGrid w:val="0"/>
              <w:spacing w:line="240" w:lineRule="auto"/>
              <w:rPr>
                <w:color w:val="000000" w:themeColor="text1"/>
              </w:rPr>
            </w:pPr>
            <w:r w:rsidRPr="00F92FF9">
              <w:rPr>
                <w:color w:val="000000" w:themeColor="text1"/>
              </w:rPr>
              <w:t>Fluid intelligence (items)</w:t>
            </w:r>
          </w:p>
        </w:tc>
        <w:tc>
          <w:tcPr>
            <w:tcW w:w="2134" w:type="dxa"/>
            <w:noWrap/>
            <w:hideMark/>
          </w:tcPr>
          <w:p w14:paraId="32EFDAC3" w14:textId="77777777" w:rsidR="003C3BEF" w:rsidRPr="00F92FF9" w:rsidRDefault="003C3BEF" w:rsidP="003C3BEF">
            <w:pPr>
              <w:snapToGrid w:val="0"/>
              <w:spacing w:line="240" w:lineRule="auto"/>
              <w:jc w:val="center"/>
              <w:rPr>
                <w:color w:val="000000" w:themeColor="text1"/>
              </w:rPr>
            </w:pPr>
            <w:r w:rsidRPr="00F92FF9">
              <w:rPr>
                <w:color w:val="000000" w:themeColor="text1"/>
              </w:rPr>
              <w:t>6.7 (±2.1)</w:t>
            </w:r>
          </w:p>
        </w:tc>
        <w:tc>
          <w:tcPr>
            <w:tcW w:w="2198" w:type="dxa"/>
            <w:noWrap/>
            <w:hideMark/>
          </w:tcPr>
          <w:p w14:paraId="36A838B1" w14:textId="77777777" w:rsidR="003C3BEF" w:rsidRPr="00F92FF9" w:rsidRDefault="003C3BEF" w:rsidP="003C3BEF">
            <w:pPr>
              <w:snapToGrid w:val="0"/>
              <w:spacing w:line="240" w:lineRule="auto"/>
              <w:jc w:val="center"/>
              <w:rPr>
                <w:color w:val="000000" w:themeColor="text1"/>
              </w:rPr>
            </w:pPr>
            <w:r w:rsidRPr="00F92FF9">
              <w:rPr>
                <w:color w:val="000000" w:themeColor="text1"/>
              </w:rPr>
              <w:t>6.8 (±2.1)</w:t>
            </w:r>
          </w:p>
        </w:tc>
        <w:tc>
          <w:tcPr>
            <w:tcW w:w="2127" w:type="dxa"/>
            <w:noWrap/>
            <w:hideMark/>
          </w:tcPr>
          <w:p w14:paraId="6E93AD93" w14:textId="77777777" w:rsidR="003C3BEF" w:rsidRPr="00F92FF9" w:rsidRDefault="003C3BEF" w:rsidP="003C3BEF">
            <w:pPr>
              <w:snapToGrid w:val="0"/>
              <w:spacing w:line="240" w:lineRule="auto"/>
              <w:jc w:val="center"/>
              <w:rPr>
                <w:color w:val="000000" w:themeColor="text1"/>
              </w:rPr>
            </w:pPr>
            <w:r w:rsidRPr="00F92FF9">
              <w:rPr>
                <w:color w:val="000000" w:themeColor="text1"/>
              </w:rPr>
              <w:t>6.5 (±2.0)</w:t>
            </w:r>
          </w:p>
        </w:tc>
      </w:tr>
      <w:tr w:rsidR="003C3BEF" w:rsidRPr="00F92FF9" w14:paraId="14C4455B" w14:textId="77777777" w:rsidTr="003C3BEF">
        <w:trPr>
          <w:trHeight w:val="20"/>
          <w:jc w:val="center"/>
        </w:trPr>
        <w:tc>
          <w:tcPr>
            <w:tcW w:w="3111" w:type="dxa"/>
            <w:noWrap/>
            <w:hideMark/>
          </w:tcPr>
          <w:p w14:paraId="10D662A2" w14:textId="77777777" w:rsidR="003C3BEF" w:rsidRPr="00F92FF9" w:rsidRDefault="003C3BEF" w:rsidP="003C3BEF">
            <w:pPr>
              <w:snapToGrid w:val="0"/>
              <w:spacing w:line="240" w:lineRule="auto"/>
              <w:rPr>
                <w:color w:val="000000" w:themeColor="text1"/>
              </w:rPr>
            </w:pPr>
            <w:r w:rsidRPr="00F92FF9">
              <w:rPr>
                <w:color w:val="000000" w:themeColor="text1"/>
              </w:rPr>
              <w:t>Reaction time (</w:t>
            </w:r>
            <w:proofErr w:type="spellStart"/>
            <w:r w:rsidRPr="00F92FF9">
              <w:rPr>
                <w:color w:val="000000" w:themeColor="text1"/>
              </w:rPr>
              <w:t>ms</w:t>
            </w:r>
            <w:proofErr w:type="spellEnd"/>
            <w:r w:rsidRPr="00F92FF9">
              <w:rPr>
                <w:color w:val="000000" w:themeColor="text1"/>
              </w:rPr>
              <w:t>)</w:t>
            </w:r>
          </w:p>
        </w:tc>
        <w:tc>
          <w:tcPr>
            <w:tcW w:w="2134" w:type="dxa"/>
            <w:noWrap/>
            <w:hideMark/>
          </w:tcPr>
          <w:p w14:paraId="0B92A796" w14:textId="77777777" w:rsidR="003C3BEF" w:rsidRPr="00F92FF9" w:rsidRDefault="003C3BEF" w:rsidP="003C3BEF">
            <w:pPr>
              <w:snapToGrid w:val="0"/>
              <w:spacing w:line="240" w:lineRule="auto"/>
              <w:jc w:val="center"/>
              <w:rPr>
                <w:color w:val="000000" w:themeColor="text1"/>
              </w:rPr>
            </w:pPr>
            <w:r w:rsidRPr="00F92FF9">
              <w:rPr>
                <w:color w:val="000000" w:themeColor="text1"/>
              </w:rPr>
              <w:t>573 [518, 644]</w:t>
            </w:r>
          </w:p>
        </w:tc>
        <w:tc>
          <w:tcPr>
            <w:tcW w:w="2198" w:type="dxa"/>
            <w:noWrap/>
            <w:hideMark/>
          </w:tcPr>
          <w:p w14:paraId="1433EAF4" w14:textId="77777777" w:rsidR="003C3BEF" w:rsidRPr="00F92FF9" w:rsidRDefault="003C3BEF" w:rsidP="003C3BEF">
            <w:pPr>
              <w:snapToGrid w:val="0"/>
              <w:spacing w:line="240" w:lineRule="auto"/>
              <w:jc w:val="center"/>
              <w:rPr>
                <w:color w:val="000000" w:themeColor="text1"/>
              </w:rPr>
            </w:pPr>
            <w:r w:rsidRPr="00F92FF9">
              <w:rPr>
                <w:color w:val="000000" w:themeColor="text1"/>
              </w:rPr>
              <w:t>565 [510, 636]</w:t>
            </w:r>
          </w:p>
        </w:tc>
        <w:tc>
          <w:tcPr>
            <w:tcW w:w="2127" w:type="dxa"/>
            <w:noWrap/>
            <w:hideMark/>
          </w:tcPr>
          <w:p w14:paraId="26C954BB" w14:textId="77777777" w:rsidR="003C3BEF" w:rsidRPr="00F92FF9" w:rsidRDefault="003C3BEF" w:rsidP="003C3BEF">
            <w:pPr>
              <w:snapToGrid w:val="0"/>
              <w:spacing w:line="240" w:lineRule="auto"/>
              <w:jc w:val="center"/>
              <w:rPr>
                <w:color w:val="000000" w:themeColor="text1"/>
              </w:rPr>
            </w:pPr>
            <w:r w:rsidRPr="00F92FF9">
              <w:rPr>
                <w:color w:val="000000" w:themeColor="text1"/>
              </w:rPr>
              <w:t>581 [526, 655]</w:t>
            </w:r>
          </w:p>
        </w:tc>
      </w:tr>
      <w:tr w:rsidR="003C3BEF" w:rsidRPr="00F92FF9" w14:paraId="14D79F5F" w14:textId="77777777" w:rsidTr="003C3BEF">
        <w:trPr>
          <w:trHeight w:val="20"/>
          <w:jc w:val="center"/>
        </w:trPr>
        <w:tc>
          <w:tcPr>
            <w:tcW w:w="3111" w:type="dxa"/>
            <w:noWrap/>
            <w:hideMark/>
          </w:tcPr>
          <w:p w14:paraId="48A5691C"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LVEDVi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0CBE21BB" w14:textId="77777777" w:rsidR="003C3BEF" w:rsidRPr="00F92FF9" w:rsidRDefault="003C3BEF" w:rsidP="003C3BEF">
            <w:pPr>
              <w:snapToGrid w:val="0"/>
              <w:spacing w:line="240" w:lineRule="auto"/>
              <w:jc w:val="center"/>
              <w:rPr>
                <w:color w:val="000000" w:themeColor="text1"/>
              </w:rPr>
            </w:pPr>
            <w:r w:rsidRPr="00F92FF9">
              <w:rPr>
                <w:color w:val="000000" w:themeColor="text1"/>
              </w:rPr>
              <w:t>78.8 (±13.9)</w:t>
            </w:r>
          </w:p>
        </w:tc>
        <w:tc>
          <w:tcPr>
            <w:tcW w:w="2198" w:type="dxa"/>
            <w:noWrap/>
            <w:hideMark/>
          </w:tcPr>
          <w:p w14:paraId="7520AC24" w14:textId="77777777" w:rsidR="003C3BEF" w:rsidRPr="00F92FF9" w:rsidRDefault="003C3BEF" w:rsidP="003C3BEF">
            <w:pPr>
              <w:snapToGrid w:val="0"/>
              <w:spacing w:line="240" w:lineRule="auto"/>
              <w:jc w:val="center"/>
              <w:rPr>
                <w:color w:val="000000" w:themeColor="text1"/>
              </w:rPr>
            </w:pPr>
            <w:r w:rsidRPr="00F92FF9">
              <w:rPr>
                <w:color w:val="000000" w:themeColor="text1"/>
              </w:rPr>
              <w:t>83.8 (±14.7)</w:t>
            </w:r>
          </w:p>
        </w:tc>
        <w:tc>
          <w:tcPr>
            <w:tcW w:w="2127" w:type="dxa"/>
            <w:noWrap/>
            <w:hideMark/>
          </w:tcPr>
          <w:p w14:paraId="0178DD8A" w14:textId="77777777" w:rsidR="003C3BEF" w:rsidRPr="00F92FF9" w:rsidRDefault="003C3BEF" w:rsidP="003C3BEF">
            <w:pPr>
              <w:snapToGrid w:val="0"/>
              <w:spacing w:line="240" w:lineRule="auto"/>
              <w:jc w:val="center"/>
              <w:rPr>
                <w:color w:val="000000" w:themeColor="text1"/>
              </w:rPr>
            </w:pPr>
            <w:r w:rsidRPr="00F92FF9">
              <w:rPr>
                <w:color w:val="000000" w:themeColor="text1"/>
              </w:rPr>
              <w:t>74.1 (±11.1)</w:t>
            </w:r>
          </w:p>
        </w:tc>
      </w:tr>
      <w:tr w:rsidR="003C3BEF" w:rsidRPr="00F92FF9" w14:paraId="6AAE5A9F" w14:textId="77777777" w:rsidTr="003C3BEF">
        <w:trPr>
          <w:trHeight w:val="20"/>
          <w:jc w:val="center"/>
        </w:trPr>
        <w:tc>
          <w:tcPr>
            <w:tcW w:w="3111" w:type="dxa"/>
            <w:noWrap/>
            <w:hideMark/>
          </w:tcPr>
          <w:p w14:paraId="2F09C7BF"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LVESVi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2540AD43" w14:textId="77777777" w:rsidR="003C3BEF" w:rsidRPr="00F92FF9" w:rsidRDefault="003C3BEF" w:rsidP="003C3BEF">
            <w:pPr>
              <w:snapToGrid w:val="0"/>
              <w:spacing w:line="240" w:lineRule="auto"/>
              <w:jc w:val="center"/>
              <w:rPr>
                <w:color w:val="000000" w:themeColor="text1"/>
              </w:rPr>
            </w:pPr>
            <w:r w:rsidRPr="00F92FF9">
              <w:rPr>
                <w:color w:val="000000" w:themeColor="text1"/>
              </w:rPr>
              <w:t>31.1 [26.3, 36.7]</w:t>
            </w:r>
          </w:p>
        </w:tc>
        <w:tc>
          <w:tcPr>
            <w:tcW w:w="2198" w:type="dxa"/>
            <w:noWrap/>
            <w:hideMark/>
          </w:tcPr>
          <w:p w14:paraId="3D43AE62" w14:textId="77777777" w:rsidR="003C3BEF" w:rsidRPr="00F92FF9" w:rsidRDefault="003C3BEF" w:rsidP="003C3BEF">
            <w:pPr>
              <w:snapToGrid w:val="0"/>
              <w:spacing w:line="240" w:lineRule="auto"/>
              <w:jc w:val="center"/>
              <w:rPr>
                <w:color w:val="000000" w:themeColor="text1"/>
              </w:rPr>
            </w:pPr>
            <w:r w:rsidRPr="00F92FF9">
              <w:rPr>
                <w:color w:val="000000" w:themeColor="text1"/>
              </w:rPr>
              <w:t>34.5 [29.5, 40.3]</w:t>
            </w:r>
          </w:p>
        </w:tc>
        <w:tc>
          <w:tcPr>
            <w:tcW w:w="2127" w:type="dxa"/>
            <w:noWrap/>
            <w:hideMark/>
          </w:tcPr>
          <w:p w14:paraId="6885A8EC" w14:textId="77777777" w:rsidR="003C3BEF" w:rsidRPr="00F92FF9" w:rsidRDefault="003C3BEF" w:rsidP="003C3BEF">
            <w:pPr>
              <w:snapToGrid w:val="0"/>
              <w:spacing w:line="240" w:lineRule="auto"/>
              <w:jc w:val="center"/>
              <w:rPr>
                <w:color w:val="000000" w:themeColor="text1"/>
              </w:rPr>
            </w:pPr>
            <w:r w:rsidRPr="00F92FF9">
              <w:rPr>
                <w:color w:val="000000" w:themeColor="text1"/>
              </w:rPr>
              <w:t>28.3 [24.5, 32.7]</w:t>
            </w:r>
          </w:p>
        </w:tc>
      </w:tr>
      <w:tr w:rsidR="003C3BEF" w:rsidRPr="00F92FF9" w14:paraId="387B1D52" w14:textId="77777777" w:rsidTr="003C3BEF">
        <w:trPr>
          <w:trHeight w:val="20"/>
          <w:jc w:val="center"/>
        </w:trPr>
        <w:tc>
          <w:tcPr>
            <w:tcW w:w="3111" w:type="dxa"/>
            <w:noWrap/>
          </w:tcPr>
          <w:p w14:paraId="3DD76D63" w14:textId="77777777" w:rsidR="003C3BEF" w:rsidRPr="00F92FF9" w:rsidRDefault="003C3BEF" w:rsidP="003C3BEF">
            <w:pPr>
              <w:snapToGrid w:val="0"/>
              <w:spacing w:line="240" w:lineRule="auto"/>
              <w:rPr>
                <w:color w:val="000000" w:themeColor="text1"/>
              </w:rPr>
            </w:pPr>
            <w:r w:rsidRPr="00F92FF9">
              <w:rPr>
                <w:color w:val="000000" w:themeColor="text1"/>
              </w:rPr>
              <w:t>LVEF (%)</w:t>
            </w:r>
          </w:p>
        </w:tc>
        <w:tc>
          <w:tcPr>
            <w:tcW w:w="2134" w:type="dxa"/>
            <w:noWrap/>
          </w:tcPr>
          <w:p w14:paraId="0C8C50D3" w14:textId="77777777" w:rsidR="003C3BEF" w:rsidRPr="00F92FF9" w:rsidRDefault="003C3BEF" w:rsidP="003C3BEF">
            <w:pPr>
              <w:snapToGrid w:val="0"/>
              <w:spacing w:line="240" w:lineRule="auto"/>
              <w:jc w:val="center"/>
              <w:rPr>
                <w:color w:val="000000" w:themeColor="text1"/>
              </w:rPr>
            </w:pPr>
            <w:r w:rsidRPr="00F92FF9">
              <w:rPr>
                <w:color w:val="000000" w:themeColor="text1"/>
              </w:rPr>
              <w:t>59.5 (±6.1)</w:t>
            </w:r>
          </w:p>
        </w:tc>
        <w:tc>
          <w:tcPr>
            <w:tcW w:w="2198" w:type="dxa"/>
            <w:noWrap/>
          </w:tcPr>
          <w:p w14:paraId="7E056AAB" w14:textId="77777777" w:rsidR="003C3BEF" w:rsidRPr="00F92FF9" w:rsidRDefault="003C3BEF" w:rsidP="003C3BEF">
            <w:pPr>
              <w:snapToGrid w:val="0"/>
              <w:spacing w:line="240" w:lineRule="auto"/>
              <w:jc w:val="center"/>
              <w:rPr>
                <w:color w:val="000000" w:themeColor="text1"/>
              </w:rPr>
            </w:pPr>
            <w:r w:rsidRPr="00F92FF9">
              <w:rPr>
                <w:color w:val="000000" w:themeColor="text1"/>
              </w:rPr>
              <w:t>57.8 (±6.2)</w:t>
            </w:r>
          </w:p>
        </w:tc>
        <w:tc>
          <w:tcPr>
            <w:tcW w:w="2127" w:type="dxa"/>
            <w:noWrap/>
          </w:tcPr>
          <w:p w14:paraId="30DA0EEB" w14:textId="77777777" w:rsidR="003C3BEF" w:rsidRPr="00F92FF9" w:rsidRDefault="003C3BEF" w:rsidP="003C3BEF">
            <w:pPr>
              <w:snapToGrid w:val="0"/>
              <w:spacing w:line="240" w:lineRule="auto"/>
              <w:jc w:val="center"/>
              <w:rPr>
                <w:color w:val="000000" w:themeColor="text1"/>
              </w:rPr>
            </w:pPr>
            <w:r w:rsidRPr="00F92FF9">
              <w:rPr>
                <w:color w:val="000000" w:themeColor="text1"/>
              </w:rPr>
              <w:t>61.0 (±5.6)</w:t>
            </w:r>
          </w:p>
        </w:tc>
      </w:tr>
      <w:tr w:rsidR="003C3BEF" w:rsidRPr="00F92FF9" w14:paraId="20246A59" w14:textId="77777777" w:rsidTr="003C3BEF">
        <w:trPr>
          <w:trHeight w:val="20"/>
          <w:jc w:val="center"/>
        </w:trPr>
        <w:tc>
          <w:tcPr>
            <w:tcW w:w="3111" w:type="dxa"/>
            <w:noWrap/>
            <w:hideMark/>
          </w:tcPr>
          <w:p w14:paraId="6620A55C"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LVSVi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0D749AB5" w14:textId="77777777" w:rsidR="003C3BEF" w:rsidRPr="00F92FF9" w:rsidRDefault="003C3BEF" w:rsidP="003C3BEF">
            <w:pPr>
              <w:snapToGrid w:val="0"/>
              <w:spacing w:line="240" w:lineRule="auto"/>
              <w:jc w:val="center"/>
              <w:rPr>
                <w:color w:val="000000" w:themeColor="text1"/>
              </w:rPr>
            </w:pPr>
            <w:r w:rsidRPr="00F92FF9">
              <w:rPr>
                <w:color w:val="000000" w:themeColor="text1"/>
              </w:rPr>
              <w:t>46.6 (±8.3)</w:t>
            </w:r>
          </w:p>
        </w:tc>
        <w:tc>
          <w:tcPr>
            <w:tcW w:w="2198" w:type="dxa"/>
            <w:noWrap/>
            <w:hideMark/>
          </w:tcPr>
          <w:p w14:paraId="4D5FD4E4" w14:textId="77777777" w:rsidR="003C3BEF" w:rsidRPr="00F92FF9" w:rsidRDefault="003C3BEF" w:rsidP="003C3BEF">
            <w:pPr>
              <w:snapToGrid w:val="0"/>
              <w:spacing w:line="240" w:lineRule="auto"/>
              <w:jc w:val="center"/>
              <w:rPr>
                <w:color w:val="000000" w:themeColor="text1"/>
              </w:rPr>
            </w:pPr>
            <w:r w:rsidRPr="00F92FF9">
              <w:rPr>
                <w:color w:val="000000" w:themeColor="text1"/>
              </w:rPr>
              <w:t>48.2 (±9.0)</w:t>
            </w:r>
          </w:p>
        </w:tc>
        <w:tc>
          <w:tcPr>
            <w:tcW w:w="2127" w:type="dxa"/>
            <w:noWrap/>
            <w:hideMark/>
          </w:tcPr>
          <w:p w14:paraId="7076FF13" w14:textId="77777777" w:rsidR="003C3BEF" w:rsidRPr="00F92FF9" w:rsidRDefault="003C3BEF" w:rsidP="003C3BEF">
            <w:pPr>
              <w:snapToGrid w:val="0"/>
              <w:spacing w:line="240" w:lineRule="auto"/>
              <w:jc w:val="center"/>
              <w:rPr>
                <w:color w:val="000000" w:themeColor="text1"/>
              </w:rPr>
            </w:pPr>
            <w:r w:rsidRPr="00F92FF9">
              <w:rPr>
                <w:color w:val="000000" w:themeColor="text1"/>
              </w:rPr>
              <w:t>45.1 (±7.4)</w:t>
            </w:r>
          </w:p>
        </w:tc>
      </w:tr>
      <w:tr w:rsidR="003C3BEF" w:rsidRPr="00F92FF9" w14:paraId="26366BEA" w14:textId="77777777" w:rsidTr="003C3BEF">
        <w:trPr>
          <w:trHeight w:val="20"/>
          <w:jc w:val="center"/>
        </w:trPr>
        <w:tc>
          <w:tcPr>
            <w:tcW w:w="3111" w:type="dxa"/>
            <w:noWrap/>
            <w:hideMark/>
          </w:tcPr>
          <w:p w14:paraId="3010A848" w14:textId="77777777" w:rsidR="003C3BEF" w:rsidRPr="00F92FF9" w:rsidRDefault="003C3BEF" w:rsidP="003C3BEF">
            <w:pPr>
              <w:snapToGrid w:val="0"/>
              <w:spacing w:line="240" w:lineRule="auto"/>
              <w:rPr>
                <w:color w:val="000000" w:themeColor="text1"/>
              </w:rPr>
            </w:pPr>
            <w:r w:rsidRPr="00F92FF9">
              <w:rPr>
                <w:color w:val="000000" w:themeColor="text1"/>
              </w:rPr>
              <w:t>LVMi (g/m</w:t>
            </w:r>
            <w:r w:rsidRPr="00F92FF9">
              <w:rPr>
                <w:color w:val="000000" w:themeColor="text1"/>
                <w:vertAlign w:val="superscript"/>
              </w:rPr>
              <w:t>2</w:t>
            </w:r>
            <w:r w:rsidRPr="00F92FF9">
              <w:rPr>
                <w:color w:val="000000" w:themeColor="text1"/>
              </w:rPr>
              <w:t>)</w:t>
            </w:r>
          </w:p>
        </w:tc>
        <w:tc>
          <w:tcPr>
            <w:tcW w:w="2134" w:type="dxa"/>
            <w:noWrap/>
            <w:hideMark/>
          </w:tcPr>
          <w:p w14:paraId="0A14A4BB" w14:textId="77777777" w:rsidR="003C3BEF" w:rsidRPr="00F92FF9" w:rsidRDefault="003C3BEF" w:rsidP="003C3BEF">
            <w:pPr>
              <w:snapToGrid w:val="0"/>
              <w:spacing w:line="240" w:lineRule="auto"/>
              <w:jc w:val="center"/>
              <w:rPr>
                <w:color w:val="000000" w:themeColor="text1"/>
              </w:rPr>
            </w:pPr>
            <w:r w:rsidRPr="00F92FF9">
              <w:rPr>
                <w:color w:val="000000" w:themeColor="text1"/>
              </w:rPr>
              <w:t>45.7 (±8.7)</w:t>
            </w:r>
          </w:p>
        </w:tc>
        <w:tc>
          <w:tcPr>
            <w:tcW w:w="2198" w:type="dxa"/>
            <w:noWrap/>
            <w:hideMark/>
          </w:tcPr>
          <w:p w14:paraId="550053DA" w14:textId="77777777" w:rsidR="003C3BEF" w:rsidRPr="00F92FF9" w:rsidRDefault="003C3BEF" w:rsidP="003C3BEF">
            <w:pPr>
              <w:snapToGrid w:val="0"/>
              <w:spacing w:line="240" w:lineRule="auto"/>
              <w:jc w:val="center"/>
              <w:rPr>
                <w:color w:val="000000" w:themeColor="text1"/>
              </w:rPr>
            </w:pPr>
            <w:r w:rsidRPr="00F92FF9">
              <w:rPr>
                <w:color w:val="000000" w:themeColor="text1"/>
              </w:rPr>
              <w:t>51.1 (±7.9)</w:t>
            </w:r>
          </w:p>
        </w:tc>
        <w:tc>
          <w:tcPr>
            <w:tcW w:w="2127" w:type="dxa"/>
            <w:noWrap/>
            <w:hideMark/>
          </w:tcPr>
          <w:p w14:paraId="089DBBB3" w14:textId="77777777" w:rsidR="003C3BEF" w:rsidRPr="00F92FF9" w:rsidRDefault="003C3BEF" w:rsidP="003C3BEF">
            <w:pPr>
              <w:snapToGrid w:val="0"/>
              <w:spacing w:line="240" w:lineRule="auto"/>
              <w:jc w:val="center"/>
              <w:rPr>
                <w:color w:val="000000" w:themeColor="text1"/>
              </w:rPr>
            </w:pPr>
            <w:r w:rsidRPr="00F92FF9">
              <w:rPr>
                <w:color w:val="000000" w:themeColor="text1"/>
              </w:rPr>
              <w:t>40.6 (±5.9)</w:t>
            </w:r>
          </w:p>
        </w:tc>
      </w:tr>
      <w:tr w:rsidR="003C3BEF" w:rsidRPr="00F92FF9" w14:paraId="279E0568" w14:textId="77777777" w:rsidTr="003C3BEF">
        <w:trPr>
          <w:trHeight w:val="20"/>
          <w:jc w:val="center"/>
        </w:trPr>
        <w:tc>
          <w:tcPr>
            <w:tcW w:w="3111" w:type="dxa"/>
            <w:noWrap/>
            <w:hideMark/>
          </w:tcPr>
          <w:p w14:paraId="10D6B818"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RVEDVi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18611A28" w14:textId="77777777" w:rsidR="003C3BEF" w:rsidRPr="00F92FF9" w:rsidRDefault="003C3BEF" w:rsidP="003C3BEF">
            <w:pPr>
              <w:snapToGrid w:val="0"/>
              <w:spacing w:line="240" w:lineRule="auto"/>
              <w:jc w:val="center"/>
              <w:rPr>
                <w:color w:val="000000" w:themeColor="text1"/>
              </w:rPr>
            </w:pPr>
            <w:r w:rsidRPr="00F92FF9">
              <w:rPr>
                <w:color w:val="000000" w:themeColor="text1"/>
              </w:rPr>
              <w:t>83.2 (±15.2)</w:t>
            </w:r>
          </w:p>
        </w:tc>
        <w:tc>
          <w:tcPr>
            <w:tcW w:w="2198" w:type="dxa"/>
            <w:noWrap/>
            <w:hideMark/>
          </w:tcPr>
          <w:p w14:paraId="6035352A" w14:textId="77777777" w:rsidR="003C3BEF" w:rsidRPr="00F92FF9" w:rsidRDefault="003C3BEF" w:rsidP="003C3BEF">
            <w:pPr>
              <w:snapToGrid w:val="0"/>
              <w:spacing w:line="240" w:lineRule="auto"/>
              <w:jc w:val="center"/>
              <w:rPr>
                <w:color w:val="000000" w:themeColor="text1"/>
              </w:rPr>
            </w:pPr>
            <w:r w:rsidRPr="00F92FF9">
              <w:rPr>
                <w:color w:val="000000" w:themeColor="text1"/>
              </w:rPr>
              <w:t>90.0 (±15.3)</w:t>
            </w:r>
          </w:p>
        </w:tc>
        <w:tc>
          <w:tcPr>
            <w:tcW w:w="2127" w:type="dxa"/>
            <w:noWrap/>
            <w:hideMark/>
          </w:tcPr>
          <w:p w14:paraId="744574C8" w14:textId="77777777" w:rsidR="003C3BEF" w:rsidRPr="00F92FF9" w:rsidRDefault="003C3BEF" w:rsidP="003C3BEF">
            <w:pPr>
              <w:snapToGrid w:val="0"/>
              <w:spacing w:line="240" w:lineRule="auto"/>
              <w:jc w:val="center"/>
              <w:rPr>
                <w:color w:val="000000" w:themeColor="text1"/>
              </w:rPr>
            </w:pPr>
            <w:r w:rsidRPr="00F92FF9">
              <w:rPr>
                <w:color w:val="000000" w:themeColor="text1"/>
              </w:rPr>
              <w:t>76.9 (±12.1)</w:t>
            </w:r>
          </w:p>
        </w:tc>
      </w:tr>
      <w:tr w:rsidR="003C3BEF" w:rsidRPr="00F92FF9" w14:paraId="063CF17C" w14:textId="77777777" w:rsidTr="003C3BEF">
        <w:trPr>
          <w:trHeight w:val="20"/>
          <w:jc w:val="center"/>
        </w:trPr>
        <w:tc>
          <w:tcPr>
            <w:tcW w:w="3111" w:type="dxa"/>
            <w:noWrap/>
            <w:hideMark/>
          </w:tcPr>
          <w:p w14:paraId="74423E38"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RVESVi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2C59E993" w14:textId="77777777" w:rsidR="003C3BEF" w:rsidRPr="00F92FF9" w:rsidRDefault="003C3BEF" w:rsidP="003C3BEF">
            <w:pPr>
              <w:snapToGrid w:val="0"/>
              <w:spacing w:line="240" w:lineRule="auto"/>
              <w:jc w:val="center"/>
              <w:rPr>
                <w:color w:val="000000" w:themeColor="text1"/>
              </w:rPr>
            </w:pPr>
            <w:r w:rsidRPr="00F92FF9">
              <w:rPr>
                <w:color w:val="000000" w:themeColor="text1"/>
              </w:rPr>
              <w:t>35.9 (±9.4)</w:t>
            </w:r>
          </w:p>
        </w:tc>
        <w:tc>
          <w:tcPr>
            <w:tcW w:w="2198" w:type="dxa"/>
            <w:noWrap/>
            <w:hideMark/>
          </w:tcPr>
          <w:p w14:paraId="1062705E" w14:textId="77777777" w:rsidR="003C3BEF" w:rsidRPr="00F92FF9" w:rsidRDefault="003C3BEF" w:rsidP="003C3BEF">
            <w:pPr>
              <w:snapToGrid w:val="0"/>
              <w:spacing w:line="240" w:lineRule="auto"/>
              <w:jc w:val="center"/>
              <w:rPr>
                <w:color w:val="000000" w:themeColor="text1"/>
              </w:rPr>
            </w:pPr>
            <w:r w:rsidRPr="00F92FF9">
              <w:rPr>
                <w:color w:val="000000" w:themeColor="text1"/>
              </w:rPr>
              <w:t>40.5 (±9.3)</w:t>
            </w:r>
          </w:p>
        </w:tc>
        <w:tc>
          <w:tcPr>
            <w:tcW w:w="2127" w:type="dxa"/>
            <w:noWrap/>
            <w:hideMark/>
          </w:tcPr>
          <w:p w14:paraId="2B7D6FF6" w14:textId="77777777" w:rsidR="003C3BEF" w:rsidRPr="00F92FF9" w:rsidRDefault="003C3BEF" w:rsidP="003C3BEF">
            <w:pPr>
              <w:snapToGrid w:val="0"/>
              <w:spacing w:line="240" w:lineRule="auto"/>
              <w:jc w:val="center"/>
              <w:rPr>
                <w:color w:val="000000" w:themeColor="text1"/>
              </w:rPr>
            </w:pPr>
            <w:r w:rsidRPr="00F92FF9">
              <w:rPr>
                <w:color w:val="000000" w:themeColor="text1"/>
              </w:rPr>
              <w:t>31.5 (±7.1)</w:t>
            </w:r>
          </w:p>
        </w:tc>
      </w:tr>
      <w:tr w:rsidR="003C3BEF" w:rsidRPr="00F92FF9" w14:paraId="76D77ED5" w14:textId="77777777" w:rsidTr="003C3BEF">
        <w:trPr>
          <w:trHeight w:val="20"/>
          <w:jc w:val="center"/>
        </w:trPr>
        <w:tc>
          <w:tcPr>
            <w:tcW w:w="3111" w:type="dxa"/>
            <w:noWrap/>
          </w:tcPr>
          <w:p w14:paraId="6B08CF9A" w14:textId="77777777" w:rsidR="003C3BEF" w:rsidRPr="00F92FF9" w:rsidRDefault="003C3BEF" w:rsidP="003C3BEF">
            <w:pPr>
              <w:snapToGrid w:val="0"/>
              <w:spacing w:line="240" w:lineRule="auto"/>
              <w:rPr>
                <w:color w:val="000000" w:themeColor="text1"/>
              </w:rPr>
            </w:pPr>
            <w:r w:rsidRPr="00F92FF9">
              <w:rPr>
                <w:color w:val="000000" w:themeColor="text1"/>
              </w:rPr>
              <w:t>RVEF (%)</w:t>
            </w:r>
          </w:p>
        </w:tc>
        <w:tc>
          <w:tcPr>
            <w:tcW w:w="2134" w:type="dxa"/>
            <w:noWrap/>
          </w:tcPr>
          <w:p w14:paraId="4C113191" w14:textId="77777777" w:rsidR="003C3BEF" w:rsidRPr="00F92FF9" w:rsidRDefault="003C3BEF" w:rsidP="003C3BEF">
            <w:pPr>
              <w:snapToGrid w:val="0"/>
              <w:spacing w:line="240" w:lineRule="auto"/>
              <w:jc w:val="center"/>
              <w:rPr>
                <w:color w:val="000000" w:themeColor="text1"/>
              </w:rPr>
            </w:pPr>
            <w:r w:rsidRPr="00F92FF9">
              <w:rPr>
                <w:color w:val="000000" w:themeColor="text1"/>
              </w:rPr>
              <w:t>57.2 (±6.1)</w:t>
            </w:r>
          </w:p>
        </w:tc>
        <w:tc>
          <w:tcPr>
            <w:tcW w:w="2198" w:type="dxa"/>
            <w:noWrap/>
          </w:tcPr>
          <w:p w14:paraId="4AA773CC" w14:textId="77777777" w:rsidR="003C3BEF" w:rsidRPr="00F92FF9" w:rsidRDefault="003C3BEF" w:rsidP="003C3BEF">
            <w:pPr>
              <w:snapToGrid w:val="0"/>
              <w:spacing w:line="240" w:lineRule="auto"/>
              <w:jc w:val="center"/>
              <w:rPr>
                <w:color w:val="000000" w:themeColor="text1"/>
              </w:rPr>
            </w:pPr>
            <w:r w:rsidRPr="00F92FF9">
              <w:rPr>
                <w:color w:val="000000" w:themeColor="text1"/>
              </w:rPr>
              <w:t>55.1 (±5.9)</w:t>
            </w:r>
          </w:p>
        </w:tc>
        <w:tc>
          <w:tcPr>
            <w:tcW w:w="2127" w:type="dxa"/>
            <w:noWrap/>
          </w:tcPr>
          <w:p w14:paraId="15123713" w14:textId="77777777" w:rsidR="003C3BEF" w:rsidRPr="00F92FF9" w:rsidRDefault="003C3BEF" w:rsidP="003C3BEF">
            <w:pPr>
              <w:snapToGrid w:val="0"/>
              <w:spacing w:line="240" w:lineRule="auto"/>
              <w:jc w:val="center"/>
              <w:rPr>
                <w:color w:val="000000" w:themeColor="text1"/>
              </w:rPr>
            </w:pPr>
            <w:r w:rsidRPr="00F92FF9">
              <w:rPr>
                <w:color w:val="000000" w:themeColor="text1"/>
              </w:rPr>
              <w:t>59.1 (±5.6)</w:t>
            </w:r>
          </w:p>
        </w:tc>
      </w:tr>
      <w:tr w:rsidR="003C3BEF" w:rsidRPr="00F92FF9" w14:paraId="11B3BA79" w14:textId="77777777" w:rsidTr="003C3BEF">
        <w:trPr>
          <w:trHeight w:val="20"/>
          <w:jc w:val="center"/>
        </w:trPr>
        <w:tc>
          <w:tcPr>
            <w:tcW w:w="3111" w:type="dxa"/>
            <w:noWrap/>
            <w:hideMark/>
          </w:tcPr>
          <w:p w14:paraId="4429B4A7" w14:textId="77777777" w:rsidR="003C3BEF" w:rsidRPr="00F92FF9" w:rsidRDefault="003C3BEF" w:rsidP="003C3BEF">
            <w:pPr>
              <w:snapToGrid w:val="0"/>
              <w:spacing w:line="240" w:lineRule="auto"/>
              <w:rPr>
                <w:color w:val="000000" w:themeColor="text1"/>
              </w:rPr>
            </w:pPr>
            <w:proofErr w:type="spellStart"/>
            <w:r w:rsidRPr="00F92FF9">
              <w:rPr>
                <w:color w:val="000000" w:themeColor="text1"/>
              </w:rPr>
              <w:t>RVSVi</w:t>
            </w:r>
            <w:proofErr w:type="spellEnd"/>
            <w:r w:rsidRPr="00F92FF9">
              <w:rPr>
                <w:color w:val="000000" w:themeColor="text1"/>
              </w:rPr>
              <w:t xml:space="preserve"> (ml/m</w:t>
            </w:r>
            <w:r w:rsidRPr="00F92FF9">
              <w:rPr>
                <w:color w:val="000000" w:themeColor="text1"/>
                <w:vertAlign w:val="superscript"/>
              </w:rPr>
              <w:t>2</w:t>
            </w:r>
            <w:r w:rsidRPr="00F92FF9">
              <w:rPr>
                <w:color w:val="000000" w:themeColor="text1"/>
              </w:rPr>
              <w:t>)</w:t>
            </w:r>
          </w:p>
        </w:tc>
        <w:tc>
          <w:tcPr>
            <w:tcW w:w="2134" w:type="dxa"/>
            <w:noWrap/>
            <w:hideMark/>
          </w:tcPr>
          <w:p w14:paraId="0F044D80" w14:textId="77777777" w:rsidR="003C3BEF" w:rsidRPr="00F92FF9" w:rsidRDefault="003C3BEF" w:rsidP="003C3BEF">
            <w:pPr>
              <w:snapToGrid w:val="0"/>
              <w:spacing w:line="240" w:lineRule="auto"/>
              <w:jc w:val="center"/>
              <w:rPr>
                <w:color w:val="000000" w:themeColor="text1"/>
              </w:rPr>
            </w:pPr>
            <w:r w:rsidRPr="00F92FF9">
              <w:rPr>
                <w:color w:val="000000" w:themeColor="text1"/>
              </w:rPr>
              <w:t>47.4 (±8.7)</w:t>
            </w:r>
          </w:p>
        </w:tc>
        <w:tc>
          <w:tcPr>
            <w:tcW w:w="2198" w:type="dxa"/>
            <w:noWrap/>
            <w:hideMark/>
          </w:tcPr>
          <w:p w14:paraId="331DF161" w14:textId="77777777" w:rsidR="003C3BEF" w:rsidRPr="00F92FF9" w:rsidRDefault="003C3BEF" w:rsidP="003C3BEF">
            <w:pPr>
              <w:snapToGrid w:val="0"/>
              <w:spacing w:line="240" w:lineRule="auto"/>
              <w:jc w:val="center"/>
              <w:rPr>
                <w:color w:val="000000" w:themeColor="text1"/>
              </w:rPr>
            </w:pPr>
            <w:r w:rsidRPr="00F92FF9">
              <w:rPr>
                <w:color w:val="000000" w:themeColor="text1"/>
              </w:rPr>
              <w:t>49.5 (±9.3)</w:t>
            </w:r>
          </w:p>
        </w:tc>
        <w:tc>
          <w:tcPr>
            <w:tcW w:w="2127" w:type="dxa"/>
            <w:noWrap/>
            <w:hideMark/>
          </w:tcPr>
          <w:p w14:paraId="1EC1F3D3" w14:textId="77777777" w:rsidR="003C3BEF" w:rsidRPr="00F92FF9" w:rsidRDefault="003C3BEF" w:rsidP="003C3BEF">
            <w:pPr>
              <w:snapToGrid w:val="0"/>
              <w:spacing w:line="240" w:lineRule="auto"/>
              <w:jc w:val="center"/>
              <w:rPr>
                <w:color w:val="000000" w:themeColor="text1"/>
              </w:rPr>
            </w:pPr>
            <w:r w:rsidRPr="00F92FF9">
              <w:rPr>
                <w:color w:val="000000" w:themeColor="text1"/>
              </w:rPr>
              <w:t>45.4 (±7.7)</w:t>
            </w:r>
          </w:p>
        </w:tc>
      </w:tr>
      <w:tr w:rsidR="003C3BEF" w:rsidRPr="00F92FF9" w14:paraId="744541EB" w14:textId="77777777" w:rsidTr="003C3BEF">
        <w:trPr>
          <w:trHeight w:val="20"/>
          <w:jc w:val="center"/>
        </w:trPr>
        <w:tc>
          <w:tcPr>
            <w:tcW w:w="3111" w:type="dxa"/>
            <w:noWrap/>
          </w:tcPr>
          <w:p w14:paraId="37057F1C" w14:textId="77777777" w:rsidR="003C3BEF" w:rsidRPr="00F92FF9" w:rsidRDefault="003C3BEF" w:rsidP="003C3BEF">
            <w:pPr>
              <w:snapToGrid w:val="0"/>
              <w:spacing w:line="240" w:lineRule="auto"/>
              <w:rPr>
                <w:color w:val="000000" w:themeColor="text1"/>
                <w:vertAlign w:val="superscript"/>
              </w:rPr>
            </w:pPr>
            <w:r w:rsidRPr="00F92FF9">
              <w:rPr>
                <w:color w:val="000000" w:themeColor="text1"/>
              </w:rPr>
              <w:t xml:space="preserve">PDA </w:t>
            </w:r>
            <w:proofErr w:type="spellStart"/>
            <w:r w:rsidRPr="00F92FF9">
              <w:rPr>
                <w:color w:val="000000" w:themeColor="text1"/>
              </w:rPr>
              <w:t>AoD</w:t>
            </w:r>
            <w:proofErr w:type="spellEnd"/>
            <w:r w:rsidRPr="00F92FF9">
              <w:rPr>
                <w:color w:val="000000" w:themeColor="text1"/>
              </w:rPr>
              <w:t xml:space="preserve"> (10</w:t>
            </w:r>
            <w:r w:rsidRPr="00F92FF9">
              <w:rPr>
                <w:color w:val="000000" w:themeColor="text1"/>
                <w:vertAlign w:val="superscript"/>
              </w:rPr>
              <w:t>-3</w:t>
            </w:r>
            <w:r w:rsidRPr="00F92FF9">
              <w:rPr>
                <w:color w:val="000000" w:themeColor="text1"/>
              </w:rPr>
              <w:t xml:space="preserve"> mmHg</w:t>
            </w:r>
            <w:r w:rsidRPr="00F92FF9">
              <w:rPr>
                <w:color w:val="000000" w:themeColor="text1"/>
                <w:vertAlign w:val="superscript"/>
              </w:rPr>
              <w:t>-1</w:t>
            </w:r>
            <w:r w:rsidRPr="00F92FF9">
              <w:rPr>
                <w:color w:val="000000" w:themeColor="text1"/>
              </w:rPr>
              <w:t>)</w:t>
            </w:r>
          </w:p>
        </w:tc>
        <w:tc>
          <w:tcPr>
            <w:tcW w:w="2134" w:type="dxa"/>
            <w:noWrap/>
          </w:tcPr>
          <w:p w14:paraId="68EA3620" w14:textId="77777777" w:rsidR="003C3BEF" w:rsidRPr="00F92FF9" w:rsidRDefault="003C3BEF" w:rsidP="003C3BEF">
            <w:pPr>
              <w:snapToGrid w:val="0"/>
              <w:spacing w:line="240" w:lineRule="auto"/>
              <w:jc w:val="center"/>
              <w:rPr>
                <w:color w:val="000000" w:themeColor="text1"/>
              </w:rPr>
            </w:pPr>
            <w:r w:rsidRPr="00F92FF9">
              <w:rPr>
                <w:color w:val="000000" w:themeColor="text1"/>
              </w:rPr>
              <w:t>2.3 [1.6, 3.1]</w:t>
            </w:r>
          </w:p>
        </w:tc>
        <w:tc>
          <w:tcPr>
            <w:tcW w:w="2198" w:type="dxa"/>
            <w:noWrap/>
          </w:tcPr>
          <w:p w14:paraId="7C2B6B79" w14:textId="77777777" w:rsidR="003C3BEF" w:rsidRPr="00F92FF9" w:rsidRDefault="003C3BEF" w:rsidP="003C3BEF">
            <w:pPr>
              <w:snapToGrid w:val="0"/>
              <w:spacing w:line="240" w:lineRule="auto"/>
              <w:jc w:val="center"/>
              <w:rPr>
                <w:color w:val="000000" w:themeColor="text1"/>
              </w:rPr>
            </w:pPr>
            <w:r w:rsidRPr="00F92FF9">
              <w:rPr>
                <w:color w:val="000000" w:themeColor="text1"/>
              </w:rPr>
              <w:t>2.3 [1.7, 3.1]</w:t>
            </w:r>
          </w:p>
        </w:tc>
        <w:tc>
          <w:tcPr>
            <w:tcW w:w="2127" w:type="dxa"/>
            <w:noWrap/>
          </w:tcPr>
          <w:p w14:paraId="28C6F8D8" w14:textId="77777777" w:rsidR="003C3BEF" w:rsidRPr="00F92FF9" w:rsidRDefault="003C3BEF" w:rsidP="003C3BEF">
            <w:pPr>
              <w:snapToGrid w:val="0"/>
              <w:spacing w:line="240" w:lineRule="auto"/>
              <w:jc w:val="center"/>
              <w:rPr>
                <w:color w:val="000000" w:themeColor="text1"/>
              </w:rPr>
            </w:pPr>
            <w:r w:rsidRPr="00F92FF9">
              <w:rPr>
                <w:color w:val="000000" w:themeColor="text1"/>
              </w:rPr>
              <w:t>2.2 [1.5, 3.0]</w:t>
            </w:r>
          </w:p>
        </w:tc>
      </w:tr>
    </w:tbl>
    <w:p w14:paraId="1FFED134" w14:textId="77777777" w:rsidR="003C3BEF" w:rsidRPr="00F92FF9" w:rsidRDefault="003C3BEF" w:rsidP="003C3BEF">
      <w:pPr>
        <w:spacing w:line="240" w:lineRule="auto"/>
        <w:rPr>
          <w:color w:val="000000" w:themeColor="text1"/>
          <w:bdr w:val="none" w:sz="0" w:space="0" w:color="auto" w:frame="1"/>
          <w:lang w:val="en"/>
        </w:rPr>
      </w:pPr>
      <w:r w:rsidRPr="00F92FF9">
        <w:rPr>
          <w:b/>
          <w:bCs/>
        </w:rPr>
        <w:t xml:space="preserve">Table 1 footnote. </w:t>
      </w:r>
      <w:r w:rsidRPr="00F92FF9">
        <w:t xml:space="preserve">Mean (standard deviation) for continuous data, number (percentage) for categorical data. Median [interquartile range] where absolute skew is ≥0.9. IPAQ: </w:t>
      </w:r>
      <w:r w:rsidRPr="00F92FF9">
        <w:rPr>
          <w:color w:val="000000"/>
          <w:shd w:val="clear" w:color="auto" w:fill="FFFFFF"/>
        </w:rPr>
        <w:t xml:space="preserve">International Physical Activity Questionnaire; </w:t>
      </w:r>
      <w:proofErr w:type="spellStart"/>
      <w:r w:rsidRPr="00F92FF9">
        <w:rPr>
          <w:rStyle w:val="Hyperlink"/>
          <w:color w:val="000000" w:themeColor="text1"/>
          <w:u w:val="none"/>
          <w:bdr w:val="none" w:sz="0" w:space="0" w:color="auto" w:frame="1"/>
          <w:lang w:val="en"/>
        </w:rPr>
        <w:t>LVEDVi</w:t>
      </w:r>
      <w:proofErr w:type="spellEnd"/>
      <w:r w:rsidRPr="00F92FF9">
        <w:rPr>
          <w:rStyle w:val="Hyperlink"/>
          <w:color w:val="000000" w:themeColor="text1"/>
          <w:u w:val="none"/>
          <w:bdr w:val="none" w:sz="0" w:space="0" w:color="auto" w:frame="1"/>
          <w:lang w:val="en"/>
        </w:rPr>
        <w:t xml:space="preserve">: left ventricular end-diastolic volume; LVEF: left ventricular ejection fraction; LVM: left ventricular mass; </w:t>
      </w:r>
      <w:proofErr w:type="spellStart"/>
      <w:r w:rsidRPr="00F92FF9">
        <w:rPr>
          <w:rStyle w:val="Hyperlink"/>
          <w:color w:val="000000" w:themeColor="text1"/>
          <w:u w:val="none"/>
          <w:bdr w:val="none" w:sz="0" w:space="0" w:color="auto" w:frame="1"/>
          <w:lang w:val="en"/>
        </w:rPr>
        <w:t>LVESVi</w:t>
      </w:r>
      <w:proofErr w:type="spellEnd"/>
      <w:r w:rsidRPr="00F92FF9">
        <w:rPr>
          <w:rStyle w:val="Hyperlink"/>
          <w:color w:val="000000" w:themeColor="text1"/>
          <w:u w:val="none"/>
          <w:bdr w:val="none" w:sz="0" w:space="0" w:color="auto" w:frame="1"/>
          <w:lang w:val="en"/>
        </w:rPr>
        <w:t xml:space="preserve">: left ventricular end-systolic volume; </w:t>
      </w:r>
      <w:proofErr w:type="spellStart"/>
      <w:r w:rsidRPr="00F92FF9">
        <w:rPr>
          <w:rStyle w:val="Hyperlink"/>
          <w:color w:val="000000" w:themeColor="text1"/>
          <w:u w:val="none"/>
          <w:bdr w:val="none" w:sz="0" w:space="0" w:color="auto" w:frame="1"/>
          <w:lang w:val="en"/>
        </w:rPr>
        <w:t>LVSVi</w:t>
      </w:r>
      <w:proofErr w:type="spellEnd"/>
      <w:r w:rsidRPr="00F92FF9">
        <w:rPr>
          <w:rStyle w:val="Hyperlink"/>
          <w:color w:val="000000" w:themeColor="text1"/>
          <w:u w:val="none"/>
          <w:bdr w:val="none" w:sz="0" w:space="0" w:color="auto" w:frame="1"/>
          <w:lang w:val="en"/>
        </w:rPr>
        <w:t xml:space="preserve">: left ventricular stroke volume; </w:t>
      </w:r>
      <w:r w:rsidRPr="00F92FF9">
        <w:rPr>
          <w:color w:val="000000"/>
          <w:shd w:val="clear" w:color="auto" w:fill="FFFFFF"/>
        </w:rPr>
        <w:t xml:space="preserve">MET: metabolic equivalents; MI: myocardial infarction; PDA </w:t>
      </w:r>
      <w:proofErr w:type="spellStart"/>
      <w:r w:rsidRPr="00F92FF9">
        <w:rPr>
          <w:color w:val="000000"/>
          <w:shd w:val="clear" w:color="auto" w:fill="FFFFFF"/>
        </w:rPr>
        <w:t>AoD</w:t>
      </w:r>
      <w:proofErr w:type="spellEnd"/>
      <w:r w:rsidRPr="00F92FF9">
        <w:rPr>
          <w:color w:val="000000"/>
          <w:shd w:val="clear" w:color="auto" w:fill="FFFFFF"/>
        </w:rPr>
        <w:t xml:space="preserve">: aortic distensibility at the proximal descending aorta; </w:t>
      </w:r>
      <w:proofErr w:type="spellStart"/>
      <w:r w:rsidRPr="00F92FF9">
        <w:rPr>
          <w:rStyle w:val="Hyperlink"/>
          <w:color w:val="000000" w:themeColor="text1"/>
          <w:u w:val="none"/>
          <w:bdr w:val="none" w:sz="0" w:space="0" w:color="auto" w:frame="1"/>
          <w:lang w:val="en"/>
        </w:rPr>
        <w:t>RVEDVi</w:t>
      </w:r>
      <w:proofErr w:type="spellEnd"/>
      <w:r w:rsidRPr="00F92FF9">
        <w:rPr>
          <w:rStyle w:val="Hyperlink"/>
          <w:color w:val="000000" w:themeColor="text1"/>
          <w:u w:val="none"/>
          <w:bdr w:val="none" w:sz="0" w:space="0" w:color="auto" w:frame="1"/>
          <w:lang w:val="en"/>
        </w:rPr>
        <w:t xml:space="preserve">: right ventricular end-diastolic volume; RVEF: right ventricular ejection fraction; </w:t>
      </w:r>
      <w:proofErr w:type="spellStart"/>
      <w:r w:rsidRPr="00F92FF9">
        <w:rPr>
          <w:rStyle w:val="Hyperlink"/>
          <w:color w:val="000000" w:themeColor="text1"/>
          <w:u w:val="none"/>
          <w:bdr w:val="none" w:sz="0" w:space="0" w:color="auto" w:frame="1"/>
          <w:lang w:val="en"/>
        </w:rPr>
        <w:t>RVESVi</w:t>
      </w:r>
      <w:proofErr w:type="spellEnd"/>
      <w:r w:rsidRPr="00F92FF9">
        <w:rPr>
          <w:rStyle w:val="Hyperlink"/>
          <w:color w:val="000000" w:themeColor="text1"/>
          <w:u w:val="none"/>
          <w:bdr w:val="none" w:sz="0" w:space="0" w:color="auto" w:frame="1"/>
          <w:lang w:val="en"/>
        </w:rPr>
        <w:t xml:space="preserve">: right ventricular end-systolic volume; </w:t>
      </w:r>
      <w:proofErr w:type="spellStart"/>
      <w:r w:rsidRPr="00F92FF9">
        <w:rPr>
          <w:rStyle w:val="Hyperlink"/>
          <w:color w:val="000000" w:themeColor="text1"/>
          <w:u w:val="none"/>
          <w:bdr w:val="none" w:sz="0" w:space="0" w:color="auto" w:frame="1"/>
          <w:lang w:val="en"/>
        </w:rPr>
        <w:t>RVSVi</w:t>
      </w:r>
      <w:proofErr w:type="spellEnd"/>
      <w:r w:rsidRPr="00F92FF9">
        <w:rPr>
          <w:rStyle w:val="Hyperlink"/>
          <w:color w:val="000000" w:themeColor="text1"/>
          <w:u w:val="none"/>
          <w:bdr w:val="none" w:sz="0" w:space="0" w:color="auto" w:frame="1"/>
          <w:lang w:val="en"/>
        </w:rPr>
        <w:t>: right ventricular stroke volume. i denotes indexation to body surface area.</w:t>
      </w:r>
      <w:r w:rsidRPr="00F92FF9">
        <w:rPr>
          <w:b/>
          <w:bCs/>
        </w:rPr>
        <w:br w:type="page"/>
      </w:r>
    </w:p>
    <w:tbl>
      <w:tblPr>
        <w:tblpPr w:leftFromText="180" w:rightFromText="180" w:vertAnchor="text" w:horzAnchor="margin" w:tblpY="602"/>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ayout w:type="fixed"/>
        <w:tblLook w:val="04A0" w:firstRow="1" w:lastRow="0" w:firstColumn="1" w:lastColumn="0" w:noHBand="0" w:noVBand="1"/>
      </w:tblPr>
      <w:tblGrid>
        <w:gridCol w:w="2699"/>
        <w:gridCol w:w="578"/>
        <w:gridCol w:w="1793"/>
        <w:gridCol w:w="1794"/>
        <w:gridCol w:w="1794"/>
      </w:tblGrid>
      <w:tr w:rsidR="003C3BEF" w:rsidRPr="00F92FF9" w14:paraId="0CDD1110" w14:textId="77777777" w:rsidTr="003C3BEF">
        <w:trPr>
          <w:trHeight w:val="20"/>
        </w:trPr>
        <w:tc>
          <w:tcPr>
            <w:tcW w:w="2699" w:type="dxa"/>
            <w:shd w:val="clear" w:color="auto" w:fill="auto"/>
            <w:noWrap/>
            <w:vAlign w:val="bottom"/>
          </w:tcPr>
          <w:p w14:paraId="3B86F9D9" w14:textId="77777777" w:rsidR="003C3BEF" w:rsidRPr="00F92FF9" w:rsidRDefault="003C3BEF" w:rsidP="003C3BEF">
            <w:pPr>
              <w:spacing w:line="240" w:lineRule="auto"/>
              <w:rPr>
                <w:color w:val="000000"/>
              </w:rPr>
            </w:pPr>
          </w:p>
        </w:tc>
        <w:tc>
          <w:tcPr>
            <w:tcW w:w="578" w:type="dxa"/>
            <w:shd w:val="clear" w:color="auto" w:fill="auto"/>
            <w:noWrap/>
            <w:vAlign w:val="bottom"/>
          </w:tcPr>
          <w:p w14:paraId="442BD2D9"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6044A094" w14:textId="77777777" w:rsidR="003C3BEF" w:rsidRPr="00F92FF9" w:rsidRDefault="003C3BEF" w:rsidP="003C3BEF">
            <w:pPr>
              <w:spacing w:line="240" w:lineRule="auto"/>
              <w:jc w:val="center"/>
              <w:rPr>
                <w:b/>
                <w:color w:val="000000"/>
              </w:rPr>
            </w:pPr>
            <w:r w:rsidRPr="00F92FF9">
              <w:rPr>
                <w:b/>
                <w:color w:val="000000"/>
              </w:rPr>
              <w:t>Whole cohort</w:t>
            </w:r>
          </w:p>
        </w:tc>
        <w:tc>
          <w:tcPr>
            <w:tcW w:w="1794" w:type="dxa"/>
            <w:shd w:val="clear" w:color="auto" w:fill="auto"/>
            <w:noWrap/>
            <w:vAlign w:val="bottom"/>
            <w:hideMark/>
          </w:tcPr>
          <w:p w14:paraId="43D12E20" w14:textId="77777777" w:rsidR="003C3BEF" w:rsidRPr="00F92FF9" w:rsidRDefault="003C3BEF" w:rsidP="003C3BEF">
            <w:pPr>
              <w:spacing w:line="240" w:lineRule="auto"/>
              <w:jc w:val="center"/>
              <w:rPr>
                <w:b/>
                <w:color w:val="000000"/>
              </w:rPr>
            </w:pPr>
            <w:r w:rsidRPr="00F92FF9">
              <w:rPr>
                <w:b/>
                <w:color w:val="000000"/>
              </w:rPr>
              <w:t>Men</w:t>
            </w:r>
          </w:p>
        </w:tc>
        <w:tc>
          <w:tcPr>
            <w:tcW w:w="1794" w:type="dxa"/>
            <w:shd w:val="clear" w:color="auto" w:fill="auto"/>
            <w:noWrap/>
            <w:vAlign w:val="bottom"/>
            <w:hideMark/>
          </w:tcPr>
          <w:p w14:paraId="4AE34BBB" w14:textId="77777777" w:rsidR="003C3BEF" w:rsidRPr="00F92FF9" w:rsidRDefault="003C3BEF" w:rsidP="003C3BEF">
            <w:pPr>
              <w:spacing w:line="240" w:lineRule="auto"/>
              <w:jc w:val="center"/>
              <w:rPr>
                <w:b/>
                <w:color w:val="000000"/>
              </w:rPr>
            </w:pPr>
            <w:r w:rsidRPr="00F92FF9">
              <w:rPr>
                <w:b/>
                <w:color w:val="000000"/>
              </w:rPr>
              <w:t>Women</w:t>
            </w:r>
          </w:p>
        </w:tc>
      </w:tr>
      <w:tr w:rsidR="003C3BEF" w:rsidRPr="00F92FF9" w14:paraId="5F748D50" w14:textId="77777777" w:rsidTr="003C3BEF">
        <w:trPr>
          <w:trHeight w:val="20"/>
        </w:trPr>
        <w:tc>
          <w:tcPr>
            <w:tcW w:w="2699" w:type="dxa"/>
            <w:shd w:val="clear" w:color="auto" w:fill="F2F2F2" w:themeFill="background1" w:themeFillShade="F2"/>
            <w:noWrap/>
            <w:vAlign w:val="bottom"/>
            <w:hideMark/>
          </w:tcPr>
          <w:p w14:paraId="17E45B45" w14:textId="77777777" w:rsidR="003C3BEF" w:rsidRPr="00F92FF9" w:rsidRDefault="003C3BEF" w:rsidP="003C3BEF">
            <w:pPr>
              <w:spacing w:line="240" w:lineRule="auto"/>
              <w:rPr>
                <w:color w:val="000000"/>
              </w:rPr>
            </w:pPr>
            <w:proofErr w:type="spellStart"/>
            <w:r w:rsidRPr="00F92FF9">
              <w:rPr>
                <w:color w:val="000000"/>
              </w:rPr>
              <w:t>LVEDVi</w:t>
            </w:r>
            <w:proofErr w:type="spellEnd"/>
            <w:r w:rsidRPr="00F92FF9">
              <w:rPr>
                <w:color w:val="000000"/>
              </w:rPr>
              <w:t xml:space="preserve"> (ml/m</w:t>
            </w:r>
            <w:r w:rsidRPr="00F92FF9">
              <w:rPr>
                <w:color w:val="000000"/>
                <w:vertAlign w:val="superscript"/>
              </w:rPr>
              <w:t>2</w:t>
            </w:r>
            <w:r w:rsidRPr="00F92FF9">
              <w:rPr>
                <w:color w:val="000000"/>
              </w:rPr>
              <w:t>)</w:t>
            </w:r>
          </w:p>
        </w:tc>
        <w:tc>
          <w:tcPr>
            <w:tcW w:w="578" w:type="dxa"/>
            <w:shd w:val="clear" w:color="auto" w:fill="F2F2F2" w:themeFill="background1" w:themeFillShade="F2"/>
            <w:noWrap/>
            <w:vAlign w:val="bottom"/>
            <w:hideMark/>
          </w:tcPr>
          <w:p w14:paraId="2E8E3258"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202E305D" w14:textId="77777777" w:rsidR="003C3BEF" w:rsidRPr="00F92FF9" w:rsidRDefault="003C3BEF" w:rsidP="003C3BEF">
            <w:pPr>
              <w:spacing w:before="60" w:line="240" w:lineRule="auto"/>
              <w:jc w:val="center"/>
              <w:rPr>
                <w:color w:val="000000"/>
              </w:rPr>
            </w:pPr>
            <w:r w:rsidRPr="00F92FF9">
              <w:rPr>
                <w:color w:val="000000"/>
              </w:rPr>
              <w:t>0.043*</w:t>
            </w:r>
            <w:r w:rsidRPr="00F92FF9">
              <w:rPr>
                <w:color w:val="000000"/>
              </w:rPr>
              <w:br/>
              <w:t>[0.031, 0.056]</w:t>
            </w:r>
          </w:p>
        </w:tc>
        <w:tc>
          <w:tcPr>
            <w:tcW w:w="1794" w:type="dxa"/>
            <w:shd w:val="clear" w:color="auto" w:fill="F2F2F2" w:themeFill="background1" w:themeFillShade="F2"/>
            <w:noWrap/>
            <w:vAlign w:val="bottom"/>
            <w:hideMark/>
          </w:tcPr>
          <w:p w14:paraId="270223D2" w14:textId="77777777" w:rsidR="003C3BEF" w:rsidRPr="00F92FF9" w:rsidRDefault="003C3BEF" w:rsidP="003C3BEF">
            <w:pPr>
              <w:spacing w:before="60" w:line="240" w:lineRule="auto"/>
              <w:jc w:val="center"/>
              <w:rPr>
                <w:color w:val="000000"/>
              </w:rPr>
            </w:pPr>
            <w:r w:rsidRPr="00F92FF9">
              <w:rPr>
                <w:color w:val="000000"/>
              </w:rPr>
              <w:t>0.046*</w:t>
            </w:r>
            <w:r w:rsidRPr="00F92FF9">
              <w:rPr>
                <w:color w:val="000000"/>
              </w:rPr>
              <w:br/>
              <w:t>[0.030, 0.062]</w:t>
            </w:r>
          </w:p>
        </w:tc>
        <w:tc>
          <w:tcPr>
            <w:tcW w:w="1794" w:type="dxa"/>
            <w:shd w:val="clear" w:color="auto" w:fill="F2F2F2" w:themeFill="background1" w:themeFillShade="F2"/>
            <w:noWrap/>
            <w:vAlign w:val="bottom"/>
            <w:hideMark/>
          </w:tcPr>
          <w:p w14:paraId="1825066F" w14:textId="77777777" w:rsidR="003C3BEF" w:rsidRPr="00F92FF9" w:rsidRDefault="003C3BEF" w:rsidP="003C3BEF">
            <w:pPr>
              <w:spacing w:before="60" w:line="240" w:lineRule="auto"/>
              <w:jc w:val="center"/>
              <w:rPr>
                <w:color w:val="000000"/>
              </w:rPr>
            </w:pPr>
            <w:r w:rsidRPr="00F92FF9">
              <w:rPr>
                <w:color w:val="000000"/>
              </w:rPr>
              <w:t>0.040*</w:t>
            </w:r>
            <w:r w:rsidRPr="00F92FF9">
              <w:rPr>
                <w:color w:val="000000"/>
              </w:rPr>
              <w:br/>
              <w:t>[0.020, 0.060]</w:t>
            </w:r>
          </w:p>
        </w:tc>
      </w:tr>
      <w:tr w:rsidR="003C3BEF" w:rsidRPr="00F92FF9" w14:paraId="0E16CAE2" w14:textId="77777777" w:rsidTr="003C3BEF">
        <w:trPr>
          <w:trHeight w:val="20"/>
        </w:trPr>
        <w:tc>
          <w:tcPr>
            <w:tcW w:w="2699" w:type="dxa"/>
            <w:shd w:val="clear" w:color="auto" w:fill="F2F2F2" w:themeFill="background1" w:themeFillShade="F2"/>
            <w:noWrap/>
            <w:vAlign w:val="bottom"/>
          </w:tcPr>
          <w:p w14:paraId="155E30B9"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597FE9F2"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1B3EC05C" w14:textId="77777777" w:rsidR="003C3BEF" w:rsidRPr="00F92FF9" w:rsidRDefault="003C3BEF" w:rsidP="003C3BEF">
            <w:pPr>
              <w:spacing w:after="60" w:line="240" w:lineRule="auto"/>
              <w:jc w:val="center"/>
              <w:rPr>
                <w:color w:val="000000"/>
              </w:rPr>
            </w:pPr>
            <w:r w:rsidRPr="00F92FF9">
              <w:rPr>
                <w:color w:val="000000"/>
              </w:rPr>
              <w:t xml:space="preserve">1.45 </w:t>
            </w:r>
            <w:r w:rsidRPr="00F92FF9">
              <w:rPr>
                <w:rFonts w:eastAsia="Hiragino Sans W2"/>
                <w:color w:val="000000"/>
              </w:rPr>
              <w:t xml:space="preserve">x </w:t>
            </w:r>
            <w:r w:rsidRPr="00F92FF9">
              <w:rPr>
                <w:color w:val="000000"/>
              </w:rPr>
              <w:t>10</w:t>
            </w:r>
            <w:r w:rsidRPr="00F92FF9">
              <w:rPr>
                <w:color w:val="000000"/>
                <w:vertAlign w:val="superscript"/>
              </w:rPr>
              <w:t>-11</w:t>
            </w:r>
          </w:p>
        </w:tc>
        <w:tc>
          <w:tcPr>
            <w:tcW w:w="1794" w:type="dxa"/>
            <w:shd w:val="clear" w:color="auto" w:fill="F2F2F2" w:themeFill="background1" w:themeFillShade="F2"/>
            <w:noWrap/>
            <w:vAlign w:val="bottom"/>
            <w:hideMark/>
          </w:tcPr>
          <w:p w14:paraId="51663BEC" w14:textId="77777777" w:rsidR="003C3BEF" w:rsidRPr="00F92FF9" w:rsidRDefault="003C3BEF" w:rsidP="003C3BEF">
            <w:pPr>
              <w:spacing w:after="60" w:line="240" w:lineRule="auto"/>
              <w:jc w:val="center"/>
              <w:rPr>
                <w:color w:val="000000"/>
              </w:rPr>
            </w:pPr>
            <w:r w:rsidRPr="00F92FF9">
              <w:rPr>
                <w:color w:val="000000"/>
              </w:rPr>
              <w:t xml:space="preserve">3.06 </w:t>
            </w:r>
            <w:r w:rsidRPr="00F92FF9">
              <w:rPr>
                <w:rFonts w:eastAsia="Hiragino Sans W2"/>
                <w:color w:val="000000"/>
              </w:rPr>
              <w:t xml:space="preserve">x </w:t>
            </w:r>
            <w:r w:rsidRPr="00F92FF9">
              <w:rPr>
                <w:color w:val="000000"/>
              </w:rPr>
              <w:t>10</w:t>
            </w:r>
            <w:r w:rsidRPr="00F92FF9">
              <w:rPr>
                <w:color w:val="000000"/>
                <w:vertAlign w:val="superscript"/>
              </w:rPr>
              <w:t>-8</w:t>
            </w:r>
          </w:p>
        </w:tc>
        <w:tc>
          <w:tcPr>
            <w:tcW w:w="1794" w:type="dxa"/>
            <w:shd w:val="clear" w:color="auto" w:fill="F2F2F2" w:themeFill="background1" w:themeFillShade="F2"/>
            <w:noWrap/>
            <w:vAlign w:val="bottom"/>
            <w:hideMark/>
          </w:tcPr>
          <w:p w14:paraId="5A15B6E8" w14:textId="77777777" w:rsidR="003C3BEF" w:rsidRPr="00F92FF9" w:rsidRDefault="003C3BEF" w:rsidP="003C3BEF">
            <w:pPr>
              <w:spacing w:after="60" w:line="240" w:lineRule="auto"/>
              <w:jc w:val="center"/>
              <w:rPr>
                <w:color w:val="000000"/>
              </w:rPr>
            </w:pPr>
            <w:r w:rsidRPr="00F92FF9">
              <w:rPr>
                <w:color w:val="000000"/>
              </w:rPr>
              <w:t xml:space="preserve">9.31 </w:t>
            </w:r>
            <w:r w:rsidRPr="00F92FF9">
              <w:rPr>
                <w:rFonts w:eastAsia="Hiragino Sans W2"/>
                <w:color w:val="000000"/>
              </w:rPr>
              <w:t xml:space="preserve">x </w:t>
            </w:r>
            <w:r w:rsidRPr="00F92FF9">
              <w:rPr>
                <w:color w:val="000000"/>
              </w:rPr>
              <w:t>10</w:t>
            </w:r>
            <w:r w:rsidRPr="00F92FF9">
              <w:rPr>
                <w:color w:val="000000"/>
                <w:vertAlign w:val="superscript"/>
              </w:rPr>
              <w:t>-5</w:t>
            </w:r>
          </w:p>
        </w:tc>
      </w:tr>
      <w:tr w:rsidR="003C3BEF" w:rsidRPr="00F92FF9" w14:paraId="2DB221C9" w14:textId="77777777" w:rsidTr="003C3BEF">
        <w:trPr>
          <w:trHeight w:val="20"/>
        </w:trPr>
        <w:tc>
          <w:tcPr>
            <w:tcW w:w="2699" w:type="dxa"/>
            <w:shd w:val="clear" w:color="auto" w:fill="auto"/>
            <w:noWrap/>
            <w:vAlign w:val="bottom"/>
            <w:hideMark/>
          </w:tcPr>
          <w:p w14:paraId="1B720975"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00E1A0AE"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6ADDD826" w14:textId="77777777" w:rsidR="003C3BEF" w:rsidRPr="00F92FF9" w:rsidRDefault="003C3BEF" w:rsidP="003C3BEF">
            <w:pPr>
              <w:spacing w:before="60" w:line="240" w:lineRule="auto"/>
              <w:jc w:val="center"/>
              <w:rPr>
                <w:color w:val="000000"/>
              </w:rPr>
            </w:pPr>
            <w:r w:rsidRPr="00F92FF9">
              <w:rPr>
                <w:color w:val="000000"/>
              </w:rPr>
              <w:t>-0.028*</w:t>
            </w:r>
            <w:r w:rsidRPr="00F92FF9">
              <w:rPr>
                <w:color w:val="000000"/>
              </w:rPr>
              <w:br/>
              <w:t>[-0.040, -0.015]</w:t>
            </w:r>
          </w:p>
        </w:tc>
        <w:tc>
          <w:tcPr>
            <w:tcW w:w="1794" w:type="dxa"/>
            <w:shd w:val="clear" w:color="auto" w:fill="auto"/>
            <w:noWrap/>
            <w:vAlign w:val="bottom"/>
            <w:hideMark/>
          </w:tcPr>
          <w:p w14:paraId="5BBA18B3" w14:textId="77777777" w:rsidR="003C3BEF" w:rsidRPr="00F92FF9" w:rsidRDefault="003C3BEF" w:rsidP="003C3BEF">
            <w:pPr>
              <w:spacing w:before="60" w:line="240" w:lineRule="auto"/>
              <w:jc w:val="center"/>
              <w:rPr>
                <w:color w:val="000000"/>
              </w:rPr>
            </w:pPr>
            <w:r w:rsidRPr="00F92FF9">
              <w:rPr>
                <w:color w:val="000000"/>
              </w:rPr>
              <w:t>-0.031*</w:t>
            </w:r>
            <w:r w:rsidRPr="00F92FF9">
              <w:rPr>
                <w:color w:val="000000"/>
              </w:rPr>
              <w:br/>
              <w:t>[-0.047, -0.015]</w:t>
            </w:r>
          </w:p>
        </w:tc>
        <w:tc>
          <w:tcPr>
            <w:tcW w:w="1794" w:type="dxa"/>
            <w:shd w:val="clear" w:color="auto" w:fill="auto"/>
            <w:noWrap/>
            <w:vAlign w:val="bottom"/>
            <w:hideMark/>
          </w:tcPr>
          <w:p w14:paraId="0D5269D1" w14:textId="77777777" w:rsidR="003C3BEF" w:rsidRPr="00F92FF9" w:rsidRDefault="003C3BEF" w:rsidP="003C3BEF">
            <w:pPr>
              <w:spacing w:before="60" w:line="240" w:lineRule="auto"/>
              <w:jc w:val="center"/>
              <w:rPr>
                <w:color w:val="000000"/>
              </w:rPr>
            </w:pPr>
            <w:r w:rsidRPr="00F92FF9">
              <w:rPr>
                <w:color w:val="000000"/>
              </w:rPr>
              <w:t>-0.024*</w:t>
            </w:r>
            <w:r w:rsidRPr="00F92FF9">
              <w:rPr>
                <w:color w:val="000000"/>
              </w:rPr>
              <w:br/>
              <w:t>[-0.044, -0.004]</w:t>
            </w:r>
          </w:p>
        </w:tc>
      </w:tr>
      <w:tr w:rsidR="003C3BEF" w:rsidRPr="00F92FF9" w14:paraId="35DD8A8B" w14:textId="77777777" w:rsidTr="003C3BEF">
        <w:trPr>
          <w:trHeight w:val="20"/>
        </w:trPr>
        <w:tc>
          <w:tcPr>
            <w:tcW w:w="2699" w:type="dxa"/>
            <w:shd w:val="clear" w:color="auto" w:fill="auto"/>
            <w:noWrap/>
            <w:vAlign w:val="bottom"/>
          </w:tcPr>
          <w:p w14:paraId="25C6F1F7" w14:textId="77777777" w:rsidR="003C3BEF" w:rsidRPr="00F92FF9" w:rsidRDefault="003C3BEF" w:rsidP="003C3BEF">
            <w:pPr>
              <w:spacing w:line="240" w:lineRule="auto"/>
              <w:rPr>
                <w:color w:val="000000"/>
              </w:rPr>
            </w:pPr>
          </w:p>
        </w:tc>
        <w:tc>
          <w:tcPr>
            <w:tcW w:w="578" w:type="dxa"/>
            <w:shd w:val="clear" w:color="auto" w:fill="auto"/>
            <w:noWrap/>
            <w:vAlign w:val="bottom"/>
          </w:tcPr>
          <w:p w14:paraId="5C3D5151"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3765804B" w14:textId="77777777" w:rsidR="003C3BEF" w:rsidRPr="00F92FF9" w:rsidRDefault="003C3BEF" w:rsidP="003C3BEF">
            <w:pPr>
              <w:spacing w:after="60" w:line="240" w:lineRule="auto"/>
              <w:jc w:val="center"/>
              <w:rPr>
                <w:color w:val="000000"/>
              </w:rPr>
            </w:pPr>
            <w:r w:rsidRPr="00F92FF9">
              <w:rPr>
                <w:color w:val="000000"/>
              </w:rPr>
              <w:t xml:space="preserve">1.24 </w:t>
            </w:r>
            <w:r w:rsidRPr="00F92FF9">
              <w:rPr>
                <w:rFonts w:eastAsia="Hiragino Sans W2"/>
                <w:color w:val="000000"/>
              </w:rPr>
              <w:t xml:space="preserve">x </w:t>
            </w:r>
            <w:r w:rsidRPr="00F92FF9">
              <w:rPr>
                <w:color w:val="000000"/>
              </w:rPr>
              <w:t>10</w:t>
            </w:r>
            <w:r w:rsidRPr="00F92FF9">
              <w:rPr>
                <w:color w:val="000000"/>
                <w:vertAlign w:val="superscript"/>
              </w:rPr>
              <w:t>-5</w:t>
            </w:r>
          </w:p>
        </w:tc>
        <w:tc>
          <w:tcPr>
            <w:tcW w:w="1794" w:type="dxa"/>
            <w:shd w:val="clear" w:color="auto" w:fill="auto"/>
            <w:noWrap/>
            <w:vAlign w:val="bottom"/>
            <w:hideMark/>
          </w:tcPr>
          <w:p w14:paraId="4BF79E5A" w14:textId="77777777" w:rsidR="003C3BEF" w:rsidRPr="00F92FF9" w:rsidRDefault="003C3BEF" w:rsidP="003C3BEF">
            <w:pPr>
              <w:spacing w:after="60" w:line="240" w:lineRule="auto"/>
              <w:jc w:val="center"/>
              <w:rPr>
                <w:color w:val="000000"/>
              </w:rPr>
            </w:pPr>
            <w:r w:rsidRPr="00F92FF9">
              <w:rPr>
                <w:color w:val="000000"/>
              </w:rPr>
              <w:t xml:space="preserve">1.64 </w:t>
            </w:r>
            <w:r w:rsidRPr="00F92FF9">
              <w:rPr>
                <w:rFonts w:eastAsia="Hiragino Sans W2"/>
                <w:color w:val="000000"/>
              </w:rPr>
              <w:t xml:space="preserve">x </w:t>
            </w:r>
            <w:r w:rsidRPr="00F92FF9">
              <w:rPr>
                <w:color w:val="000000"/>
              </w:rPr>
              <w:t>10</w:t>
            </w:r>
            <w:r w:rsidRPr="00F92FF9">
              <w:rPr>
                <w:color w:val="000000"/>
                <w:vertAlign w:val="superscript"/>
              </w:rPr>
              <w:t>-4</w:t>
            </w:r>
          </w:p>
        </w:tc>
        <w:tc>
          <w:tcPr>
            <w:tcW w:w="1794" w:type="dxa"/>
            <w:shd w:val="clear" w:color="auto" w:fill="auto"/>
            <w:noWrap/>
            <w:vAlign w:val="bottom"/>
            <w:hideMark/>
          </w:tcPr>
          <w:p w14:paraId="7582CC1E" w14:textId="77777777" w:rsidR="003C3BEF" w:rsidRPr="00F92FF9" w:rsidRDefault="003C3BEF" w:rsidP="003C3BEF">
            <w:pPr>
              <w:spacing w:after="60" w:line="240" w:lineRule="auto"/>
              <w:jc w:val="center"/>
              <w:rPr>
                <w:color w:val="000000"/>
              </w:rPr>
            </w:pPr>
            <w:r w:rsidRPr="00F92FF9">
              <w:rPr>
                <w:color w:val="000000"/>
              </w:rPr>
              <w:t>0.018</w:t>
            </w:r>
          </w:p>
        </w:tc>
      </w:tr>
      <w:tr w:rsidR="003C3BEF" w:rsidRPr="00F92FF9" w14:paraId="18E0F18A" w14:textId="77777777" w:rsidTr="003C3BEF">
        <w:trPr>
          <w:trHeight w:val="20"/>
        </w:trPr>
        <w:tc>
          <w:tcPr>
            <w:tcW w:w="2699" w:type="dxa"/>
            <w:shd w:val="clear" w:color="auto" w:fill="F2F2F2" w:themeFill="background1" w:themeFillShade="F2"/>
            <w:noWrap/>
            <w:vAlign w:val="bottom"/>
            <w:hideMark/>
          </w:tcPr>
          <w:p w14:paraId="0F18C2DA" w14:textId="77777777" w:rsidR="003C3BEF" w:rsidRPr="00F92FF9" w:rsidRDefault="003C3BEF" w:rsidP="003C3BEF">
            <w:pPr>
              <w:spacing w:line="240" w:lineRule="auto"/>
              <w:rPr>
                <w:color w:val="000000"/>
              </w:rPr>
            </w:pPr>
            <w:proofErr w:type="spellStart"/>
            <w:r w:rsidRPr="00F92FF9">
              <w:rPr>
                <w:color w:val="000000"/>
              </w:rPr>
              <w:t>LVESVi</w:t>
            </w:r>
            <w:proofErr w:type="spellEnd"/>
            <w:r w:rsidRPr="00F92FF9">
              <w:rPr>
                <w:color w:val="000000"/>
              </w:rPr>
              <w:t xml:space="preserve"> (ml/m</w:t>
            </w:r>
            <w:r w:rsidRPr="00F92FF9">
              <w:rPr>
                <w:color w:val="000000"/>
                <w:vertAlign w:val="superscript"/>
              </w:rPr>
              <w:t>2</w:t>
            </w:r>
            <w:r w:rsidRPr="00F92FF9">
              <w:rPr>
                <w:color w:val="000000"/>
              </w:rPr>
              <w:t>)</w:t>
            </w:r>
          </w:p>
        </w:tc>
        <w:tc>
          <w:tcPr>
            <w:tcW w:w="578" w:type="dxa"/>
            <w:shd w:val="clear" w:color="auto" w:fill="F2F2F2" w:themeFill="background1" w:themeFillShade="F2"/>
            <w:noWrap/>
            <w:vAlign w:val="bottom"/>
            <w:hideMark/>
          </w:tcPr>
          <w:p w14:paraId="43F7DC31"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16C72A15" w14:textId="77777777" w:rsidR="003C3BEF" w:rsidRPr="00F92FF9" w:rsidRDefault="003C3BEF" w:rsidP="003C3BEF">
            <w:pPr>
              <w:spacing w:before="60" w:line="240" w:lineRule="auto"/>
              <w:jc w:val="center"/>
              <w:rPr>
                <w:color w:val="000000"/>
              </w:rPr>
            </w:pPr>
            <w:r w:rsidRPr="00F92FF9">
              <w:rPr>
                <w:color w:val="000000"/>
              </w:rPr>
              <w:t>0.040*</w:t>
            </w:r>
            <w:r w:rsidRPr="00F92FF9">
              <w:rPr>
                <w:color w:val="000000"/>
              </w:rPr>
              <w:br/>
              <w:t>[0.028, 0.053]</w:t>
            </w:r>
          </w:p>
        </w:tc>
        <w:tc>
          <w:tcPr>
            <w:tcW w:w="1794" w:type="dxa"/>
            <w:shd w:val="clear" w:color="auto" w:fill="F2F2F2" w:themeFill="background1" w:themeFillShade="F2"/>
            <w:noWrap/>
            <w:vAlign w:val="bottom"/>
            <w:hideMark/>
          </w:tcPr>
          <w:p w14:paraId="71A618C7" w14:textId="77777777" w:rsidR="003C3BEF" w:rsidRPr="00F92FF9" w:rsidRDefault="003C3BEF" w:rsidP="003C3BEF">
            <w:pPr>
              <w:spacing w:before="60" w:line="240" w:lineRule="auto"/>
              <w:jc w:val="center"/>
              <w:rPr>
                <w:color w:val="000000"/>
              </w:rPr>
            </w:pPr>
            <w:r w:rsidRPr="00F92FF9">
              <w:rPr>
                <w:color w:val="000000"/>
              </w:rPr>
              <w:t>0.044*</w:t>
            </w:r>
            <w:r w:rsidRPr="00F92FF9">
              <w:rPr>
                <w:color w:val="000000"/>
              </w:rPr>
              <w:br/>
              <w:t>[0.028, 0.059]</w:t>
            </w:r>
          </w:p>
        </w:tc>
        <w:tc>
          <w:tcPr>
            <w:tcW w:w="1794" w:type="dxa"/>
            <w:shd w:val="clear" w:color="auto" w:fill="F2F2F2" w:themeFill="background1" w:themeFillShade="F2"/>
            <w:noWrap/>
            <w:vAlign w:val="bottom"/>
            <w:hideMark/>
          </w:tcPr>
          <w:p w14:paraId="0C11907E" w14:textId="77777777" w:rsidR="003C3BEF" w:rsidRPr="00F92FF9" w:rsidRDefault="003C3BEF" w:rsidP="003C3BEF">
            <w:pPr>
              <w:spacing w:before="60" w:line="240" w:lineRule="auto"/>
              <w:jc w:val="center"/>
              <w:rPr>
                <w:color w:val="000000"/>
              </w:rPr>
            </w:pPr>
            <w:r w:rsidRPr="00F92FF9">
              <w:rPr>
                <w:color w:val="000000"/>
              </w:rPr>
              <w:t>0.035*</w:t>
            </w:r>
            <w:r w:rsidRPr="00F92FF9">
              <w:rPr>
                <w:color w:val="000000"/>
              </w:rPr>
              <w:br/>
              <w:t>[0.014, 0.055]</w:t>
            </w:r>
          </w:p>
        </w:tc>
      </w:tr>
      <w:tr w:rsidR="003C3BEF" w:rsidRPr="00F92FF9" w14:paraId="479884FA" w14:textId="77777777" w:rsidTr="003C3BEF">
        <w:trPr>
          <w:trHeight w:val="20"/>
        </w:trPr>
        <w:tc>
          <w:tcPr>
            <w:tcW w:w="2699" w:type="dxa"/>
            <w:shd w:val="clear" w:color="auto" w:fill="F2F2F2" w:themeFill="background1" w:themeFillShade="F2"/>
            <w:noWrap/>
            <w:vAlign w:val="bottom"/>
          </w:tcPr>
          <w:p w14:paraId="089F04B7"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5784A231"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164F171B" w14:textId="77777777" w:rsidR="003C3BEF" w:rsidRPr="00F92FF9" w:rsidRDefault="003C3BEF" w:rsidP="003C3BEF">
            <w:pPr>
              <w:spacing w:after="60" w:line="240" w:lineRule="auto"/>
              <w:jc w:val="center"/>
              <w:rPr>
                <w:color w:val="000000"/>
              </w:rPr>
            </w:pPr>
            <w:r w:rsidRPr="00F92FF9">
              <w:rPr>
                <w:color w:val="000000"/>
              </w:rPr>
              <w:t xml:space="preserve">2.76 </w:t>
            </w:r>
            <w:r w:rsidRPr="00F92FF9">
              <w:rPr>
                <w:rFonts w:eastAsia="Hiragino Sans W2"/>
                <w:color w:val="000000"/>
              </w:rPr>
              <w:t xml:space="preserve">x </w:t>
            </w:r>
            <w:r w:rsidRPr="00F92FF9">
              <w:rPr>
                <w:color w:val="000000"/>
              </w:rPr>
              <w:t>10</w:t>
            </w:r>
            <w:r w:rsidRPr="00F92FF9">
              <w:rPr>
                <w:color w:val="000000"/>
                <w:vertAlign w:val="superscript"/>
              </w:rPr>
              <w:t>-10</w:t>
            </w:r>
          </w:p>
        </w:tc>
        <w:tc>
          <w:tcPr>
            <w:tcW w:w="1794" w:type="dxa"/>
            <w:shd w:val="clear" w:color="auto" w:fill="F2F2F2" w:themeFill="background1" w:themeFillShade="F2"/>
            <w:noWrap/>
            <w:vAlign w:val="bottom"/>
            <w:hideMark/>
          </w:tcPr>
          <w:p w14:paraId="73363076" w14:textId="77777777" w:rsidR="003C3BEF" w:rsidRPr="00F92FF9" w:rsidRDefault="003C3BEF" w:rsidP="003C3BEF">
            <w:pPr>
              <w:spacing w:after="60" w:line="240" w:lineRule="auto"/>
              <w:jc w:val="center"/>
              <w:rPr>
                <w:color w:val="000000"/>
              </w:rPr>
            </w:pPr>
            <w:r w:rsidRPr="00F92FF9">
              <w:rPr>
                <w:color w:val="000000"/>
              </w:rPr>
              <w:t xml:space="preserve">6.28 </w:t>
            </w:r>
            <w:r w:rsidRPr="00F92FF9">
              <w:rPr>
                <w:rFonts w:eastAsia="Hiragino Sans W2"/>
                <w:color w:val="000000"/>
              </w:rPr>
              <w:t xml:space="preserve">x </w:t>
            </w:r>
            <w:r w:rsidRPr="00F92FF9">
              <w:rPr>
                <w:color w:val="000000"/>
              </w:rPr>
              <w:t>10</w:t>
            </w:r>
            <w:r w:rsidRPr="00F92FF9">
              <w:rPr>
                <w:color w:val="000000"/>
                <w:vertAlign w:val="superscript"/>
              </w:rPr>
              <w:t>-8</w:t>
            </w:r>
          </w:p>
        </w:tc>
        <w:tc>
          <w:tcPr>
            <w:tcW w:w="1794" w:type="dxa"/>
            <w:shd w:val="clear" w:color="auto" w:fill="F2F2F2" w:themeFill="background1" w:themeFillShade="F2"/>
            <w:noWrap/>
            <w:vAlign w:val="bottom"/>
            <w:hideMark/>
          </w:tcPr>
          <w:p w14:paraId="00EE0DEA" w14:textId="77777777" w:rsidR="003C3BEF" w:rsidRPr="00F92FF9" w:rsidRDefault="003C3BEF" w:rsidP="003C3BEF">
            <w:pPr>
              <w:spacing w:after="60" w:line="240" w:lineRule="auto"/>
              <w:jc w:val="center"/>
              <w:rPr>
                <w:color w:val="000000"/>
              </w:rPr>
            </w:pPr>
            <w:r w:rsidRPr="00F92FF9">
              <w:rPr>
                <w:color w:val="000000"/>
              </w:rPr>
              <w:t>0.001</w:t>
            </w:r>
          </w:p>
        </w:tc>
      </w:tr>
      <w:tr w:rsidR="003C3BEF" w:rsidRPr="00F92FF9" w14:paraId="1B53D056" w14:textId="77777777" w:rsidTr="003C3BEF">
        <w:trPr>
          <w:trHeight w:val="20"/>
        </w:trPr>
        <w:tc>
          <w:tcPr>
            <w:tcW w:w="2699" w:type="dxa"/>
            <w:shd w:val="clear" w:color="auto" w:fill="auto"/>
            <w:noWrap/>
            <w:vAlign w:val="bottom"/>
            <w:hideMark/>
          </w:tcPr>
          <w:p w14:paraId="413242CA"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403907C4"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66EBAF82" w14:textId="77777777" w:rsidR="003C3BEF" w:rsidRPr="00F92FF9" w:rsidRDefault="003C3BEF" w:rsidP="003C3BEF">
            <w:pPr>
              <w:spacing w:before="60" w:line="240" w:lineRule="auto"/>
              <w:jc w:val="center"/>
              <w:rPr>
                <w:color w:val="000000"/>
              </w:rPr>
            </w:pPr>
            <w:r w:rsidRPr="00F92FF9">
              <w:rPr>
                <w:color w:val="000000"/>
              </w:rPr>
              <w:t>-0.019*</w:t>
            </w:r>
            <w:r w:rsidRPr="00F92FF9">
              <w:rPr>
                <w:color w:val="000000"/>
              </w:rPr>
              <w:br/>
              <w:t>[-0.031, -0.006]</w:t>
            </w:r>
          </w:p>
        </w:tc>
        <w:tc>
          <w:tcPr>
            <w:tcW w:w="1794" w:type="dxa"/>
            <w:shd w:val="clear" w:color="auto" w:fill="auto"/>
            <w:noWrap/>
            <w:vAlign w:val="bottom"/>
            <w:hideMark/>
          </w:tcPr>
          <w:p w14:paraId="7AB90F1A" w14:textId="77777777" w:rsidR="003C3BEF" w:rsidRPr="00F92FF9" w:rsidRDefault="003C3BEF" w:rsidP="003C3BEF">
            <w:pPr>
              <w:spacing w:before="60" w:line="240" w:lineRule="auto"/>
              <w:jc w:val="center"/>
              <w:rPr>
                <w:color w:val="000000"/>
              </w:rPr>
            </w:pPr>
            <w:r w:rsidRPr="00F92FF9">
              <w:rPr>
                <w:color w:val="000000"/>
              </w:rPr>
              <w:t>-0.020*</w:t>
            </w:r>
            <w:r w:rsidRPr="00F92FF9">
              <w:rPr>
                <w:color w:val="000000"/>
              </w:rPr>
              <w:br/>
              <w:t>[-0.036, -0.005]</w:t>
            </w:r>
          </w:p>
        </w:tc>
        <w:tc>
          <w:tcPr>
            <w:tcW w:w="1794" w:type="dxa"/>
            <w:shd w:val="clear" w:color="auto" w:fill="auto"/>
            <w:noWrap/>
            <w:vAlign w:val="bottom"/>
            <w:hideMark/>
          </w:tcPr>
          <w:p w14:paraId="28854278" w14:textId="77777777" w:rsidR="003C3BEF" w:rsidRPr="00F92FF9" w:rsidRDefault="003C3BEF" w:rsidP="003C3BEF">
            <w:pPr>
              <w:spacing w:before="60" w:line="240" w:lineRule="auto"/>
              <w:jc w:val="center"/>
              <w:rPr>
                <w:color w:val="000000"/>
              </w:rPr>
            </w:pPr>
            <w:r w:rsidRPr="00F92FF9">
              <w:rPr>
                <w:color w:val="000000"/>
              </w:rPr>
              <w:t>-0.017</w:t>
            </w:r>
            <w:r w:rsidRPr="00F92FF9">
              <w:rPr>
                <w:color w:val="000000"/>
              </w:rPr>
              <w:br/>
              <w:t>[-0.038, 0.004]</w:t>
            </w:r>
          </w:p>
        </w:tc>
      </w:tr>
      <w:tr w:rsidR="003C3BEF" w:rsidRPr="00F92FF9" w14:paraId="707CCC24" w14:textId="77777777" w:rsidTr="003C3BEF">
        <w:trPr>
          <w:trHeight w:val="20"/>
        </w:trPr>
        <w:tc>
          <w:tcPr>
            <w:tcW w:w="2699" w:type="dxa"/>
            <w:shd w:val="clear" w:color="auto" w:fill="auto"/>
            <w:noWrap/>
            <w:vAlign w:val="bottom"/>
          </w:tcPr>
          <w:p w14:paraId="796C2571" w14:textId="77777777" w:rsidR="003C3BEF" w:rsidRPr="00F92FF9" w:rsidRDefault="003C3BEF" w:rsidP="003C3BEF">
            <w:pPr>
              <w:spacing w:line="240" w:lineRule="auto"/>
              <w:rPr>
                <w:color w:val="000000"/>
              </w:rPr>
            </w:pPr>
          </w:p>
        </w:tc>
        <w:tc>
          <w:tcPr>
            <w:tcW w:w="578" w:type="dxa"/>
            <w:shd w:val="clear" w:color="auto" w:fill="auto"/>
            <w:noWrap/>
            <w:vAlign w:val="bottom"/>
          </w:tcPr>
          <w:p w14:paraId="44E554B7"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2CEFC347" w14:textId="77777777" w:rsidR="003C3BEF" w:rsidRPr="00F92FF9" w:rsidRDefault="003C3BEF" w:rsidP="003C3BEF">
            <w:pPr>
              <w:spacing w:after="60" w:line="240" w:lineRule="auto"/>
              <w:jc w:val="center"/>
              <w:rPr>
                <w:color w:val="000000"/>
              </w:rPr>
            </w:pPr>
            <w:r w:rsidRPr="00F92FF9">
              <w:rPr>
                <w:color w:val="000000"/>
              </w:rPr>
              <w:t>0.003</w:t>
            </w:r>
          </w:p>
        </w:tc>
        <w:tc>
          <w:tcPr>
            <w:tcW w:w="1794" w:type="dxa"/>
            <w:shd w:val="clear" w:color="auto" w:fill="auto"/>
            <w:noWrap/>
            <w:vAlign w:val="bottom"/>
            <w:hideMark/>
          </w:tcPr>
          <w:p w14:paraId="0523499F" w14:textId="77777777" w:rsidR="003C3BEF" w:rsidRPr="00F92FF9" w:rsidRDefault="003C3BEF" w:rsidP="003C3BEF">
            <w:pPr>
              <w:spacing w:after="60" w:line="240" w:lineRule="auto"/>
              <w:jc w:val="center"/>
              <w:rPr>
                <w:color w:val="000000"/>
              </w:rPr>
            </w:pPr>
            <w:r w:rsidRPr="00F92FF9">
              <w:rPr>
                <w:color w:val="000000"/>
              </w:rPr>
              <w:t>0.011</w:t>
            </w:r>
          </w:p>
        </w:tc>
        <w:tc>
          <w:tcPr>
            <w:tcW w:w="1794" w:type="dxa"/>
            <w:shd w:val="clear" w:color="auto" w:fill="auto"/>
            <w:noWrap/>
            <w:vAlign w:val="bottom"/>
            <w:hideMark/>
          </w:tcPr>
          <w:p w14:paraId="35CC0F89" w14:textId="77777777" w:rsidR="003C3BEF" w:rsidRPr="00F92FF9" w:rsidRDefault="003C3BEF" w:rsidP="003C3BEF">
            <w:pPr>
              <w:spacing w:after="60" w:line="240" w:lineRule="auto"/>
              <w:jc w:val="center"/>
              <w:rPr>
                <w:color w:val="000000"/>
              </w:rPr>
            </w:pPr>
            <w:r w:rsidRPr="00F92FF9">
              <w:rPr>
                <w:color w:val="000000"/>
              </w:rPr>
              <w:t>0.104</w:t>
            </w:r>
          </w:p>
        </w:tc>
      </w:tr>
      <w:tr w:rsidR="003C3BEF" w:rsidRPr="00F92FF9" w14:paraId="0F92E19A" w14:textId="77777777" w:rsidTr="003C3BEF">
        <w:trPr>
          <w:trHeight w:val="20"/>
        </w:trPr>
        <w:tc>
          <w:tcPr>
            <w:tcW w:w="2699" w:type="dxa"/>
            <w:shd w:val="clear" w:color="auto" w:fill="F2F2F2" w:themeFill="background1" w:themeFillShade="F2"/>
            <w:noWrap/>
            <w:vAlign w:val="bottom"/>
            <w:hideMark/>
          </w:tcPr>
          <w:p w14:paraId="7EB064F4" w14:textId="77777777" w:rsidR="003C3BEF" w:rsidRPr="00F92FF9" w:rsidRDefault="003C3BEF" w:rsidP="003C3BEF">
            <w:pPr>
              <w:spacing w:line="240" w:lineRule="auto"/>
              <w:rPr>
                <w:color w:val="000000"/>
              </w:rPr>
            </w:pPr>
            <w:r w:rsidRPr="00F92FF9">
              <w:rPr>
                <w:color w:val="000000"/>
              </w:rPr>
              <w:t>LVEF (%)</w:t>
            </w:r>
          </w:p>
        </w:tc>
        <w:tc>
          <w:tcPr>
            <w:tcW w:w="578" w:type="dxa"/>
            <w:shd w:val="clear" w:color="auto" w:fill="F2F2F2" w:themeFill="background1" w:themeFillShade="F2"/>
            <w:noWrap/>
            <w:vAlign w:val="bottom"/>
            <w:hideMark/>
          </w:tcPr>
          <w:p w14:paraId="501DE9CA"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269EBBAF" w14:textId="77777777" w:rsidR="003C3BEF" w:rsidRPr="00F92FF9" w:rsidRDefault="003C3BEF" w:rsidP="003C3BEF">
            <w:pPr>
              <w:spacing w:before="60" w:line="240" w:lineRule="auto"/>
              <w:jc w:val="center"/>
              <w:rPr>
                <w:color w:val="000000"/>
              </w:rPr>
            </w:pPr>
            <w:r w:rsidRPr="00F92FF9">
              <w:rPr>
                <w:color w:val="000000"/>
              </w:rPr>
              <w:t>-0.018*</w:t>
            </w:r>
            <w:r w:rsidRPr="00F92FF9">
              <w:rPr>
                <w:color w:val="000000"/>
              </w:rPr>
              <w:br/>
              <w:t>[-0.030, -0.006]</w:t>
            </w:r>
          </w:p>
        </w:tc>
        <w:tc>
          <w:tcPr>
            <w:tcW w:w="1794" w:type="dxa"/>
            <w:shd w:val="clear" w:color="auto" w:fill="F2F2F2" w:themeFill="background1" w:themeFillShade="F2"/>
            <w:noWrap/>
            <w:vAlign w:val="bottom"/>
            <w:hideMark/>
          </w:tcPr>
          <w:p w14:paraId="3292DF20" w14:textId="77777777" w:rsidR="003C3BEF" w:rsidRPr="00F92FF9" w:rsidRDefault="003C3BEF" w:rsidP="003C3BEF">
            <w:pPr>
              <w:spacing w:before="60" w:line="240" w:lineRule="auto"/>
              <w:jc w:val="center"/>
              <w:rPr>
                <w:color w:val="000000"/>
              </w:rPr>
            </w:pPr>
            <w:r w:rsidRPr="00F92FF9">
              <w:rPr>
                <w:color w:val="000000"/>
              </w:rPr>
              <w:t>-0.026*</w:t>
            </w:r>
            <w:r w:rsidRPr="00F92FF9">
              <w:rPr>
                <w:color w:val="000000"/>
              </w:rPr>
              <w:br/>
              <w:t>[-0.043, -0.010]</w:t>
            </w:r>
          </w:p>
        </w:tc>
        <w:tc>
          <w:tcPr>
            <w:tcW w:w="1794" w:type="dxa"/>
            <w:shd w:val="clear" w:color="auto" w:fill="F2F2F2" w:themeFill="background1" w:themeFillShade="F2"/>
            <w:noWrap/>
            <w:vAlign w:val="bottom"/>
            <w:hideMark/>
          </w:tcPr>
          <w:p w14:paraId="47868B18" w14:textId="77777777" w:rsidR="003C3BEF" w:rsidRPr="00F92FF9" w:rsidRDefault="003C3BEF" w:rsidP="003C3BEF">
            <w:pPr>
              <w:spacing w:before="60" w:line="240" w:lineRule="auto"/>
              <w:jc w:val="center"/>
              <w:rPr>
                <w:color w:val="000000"/>
              </w:rPr>
            </w:pPr>
            <w:r w:rsidRPr="00F92FF9">
              <w:rPr>
                <w:color w:val="000000"/>
              </w:rPr>
              <w:t>-0.009</w:t>
            </w:r>
            <w:r w:rsidRPr="00F92FF9">
              <w:rPr>
                <w:color w:val="000000"/>
              </w:rPr>
              <w:br/>
              <w:t>[-0.026, 0.008]</w:t>
            </w:r>
          </w:p>
        </w:tc>
      </w:tr>
      <w:tr w:rsidR="003C3BEF" w:rsidRPr="00F92FF9" w14:paraId="207DAE0E" w14:textId="77777777" w:rsidTr="003C3BEF">
        <w:trPr>
          <w:trHeight w:val="20"/>
        </w:trPr>
        <w:tc>
          <w:tcPr>
            <w:tcW w:w="2699" w:type="dxa"/>
            <w:shd w:val="clear" w:color="auto" w:fill="F2F2F2" w:themeFill="background1" w:themeFillShade="F2"/>
            <w:noWrap/>
            <w:vAlign w:val="bottom"/>
          </w:tcPr>
          <w:p w14:paraId="10E5882C"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50A5AE70"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7F21F033" w14:textId="77777777" w:rsidR="003C3BEF" w:rsidRPr="00F92FF9" w:rsidRDefault="003C3BEF" w:rsidP="003C3BEF">
            <w:pPr>
              <w:spacing w:after="60" w:line="240" w:lineRule="auto"/>
              <w:jc w:val="center"/>
              <w:rPr>
                <w:color w:val="000000"/>
              </w:rPr>
            </w:pPr>
            <w:r w:rsidRPr="00F92FF9">
              <w:rPr>
                <w:color w:val="000000"/>
              </w:rPr>
              <w:t>0.003</w:t>
            </w:r>
          </w:p>
        </w:tc>
        <w:tc>
          <w:tcPr>
            <w:tcW w:w="1794" w:type="dxa"/>
            <w:shd w:val="clear" w:color="auto" w:fill="F2F2F2" w:themeFill="background1" w:themeFillShade="F2"/>
            <w:noWrap/>
            <w:vAlign w:val="bottom"/>
            <w:hideMark/>
          </w:tcPr>
          <w:p w14:paraId="5408DBD9" w14:textId="77777777" w:rsidR="003C3BEF" w:rsidRPr="00F92FF9" w:rsidRDefault="003C3BEF" w:rsidP="003C3BEF">
            <w:pPr>
              <w:spacing w:after="60" w:line="240" w:lineRule="auto"/>
              <w:jc w:val="center"/>
              <w:rPr>
                <w:color w:val="000000"/>
              </w:rPr>
            </w:pPr>
            <w:r w:rsidRPr="00F92FF9">
              <w:rPr>
                <w:color w:val="000000"/>
              </w:rPr>
              <w:t>0.002</w:t>
            </w:r>
          </w:p>
        </w:tc>
        <w:tc>
          <w:tcPr>
            <w:tcW w:w="1794" w:type="dxa"/>
            <w:shd w:val="clear" w:color="auto" w:fill="F2F2F2" w:themeFill="background1" w:themeFillShade="F2"/>
            <w:noWrap/>
            <w:vAlign w:val="bottom"/>
            <w:hideMark/>
          </w:tcPr>
          <w:p w14:paraId="72E6EF77" w14:textId="77777777" w:rsidR="003C3BEF" w:rsidRPr="00F92FF9" w:rsidRDefault="003C3BEF" w:rsidP="003C3BEF">
            <w:pPr>
              <w:spacing w:after="60" w:line="240" w:lineRule="auto"/>
              <w:jc w:val="center"/>
              <w:rPr>
                <w:color w:val="000000"/>
              </w:rPr>
            </w:pPr>
            <w:r w:rsidRPr="00F92FF9">
              <w:rPr>
                <w:color w:val="000000"/>
              </w:rPr>
              <w:t>0.303</w:t>
            </w:r>
          </w:p>
        </w:tc>
      </w:tr>
      <w:tr w:rsidR="003C3BEF" w:rsidRPr="00F92FF9" w14:paraId="067E7C7D" w14:textId="77777777" w:rsidTr="003C3BEF">
        <w:trPr>
          <w:trHeight w:val="20"/>
        </w:trPr>
        <w:tc>
          <w:tcPr>
            <w:tcW w:w="2699" w:type="dxa"/>
            <w:shd w:val="clear" w:color="auto" w:fill="auto"/>
            <w:noWrap/>
            <w:vAlign w:val="bottom"/>
            <w:hideMark/>
          </w:tcPr>
          <w:p w14:paraId="108B1273"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424F8491"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7F9D90C1" w14:textId="77777777" w:rsidR="003C3BEF" w:rsidRPr="00F92FF9" w:rsidRDefault="003C3BEF" w:rsidP="003C3BEF">
            <w:pPr>
              <w:spacing w:before="60" w:line="240" w:lineRule="auto"/>
              <w:jc w:val="center"/>
              <w:rPr>
                <w:color w:val="000000"/>
              </w:rPr>
            </w:pPr>
            <w:r w:rsidRPr="00F92FF9">
              <w:rPr>
                <w:color w:val="000000"/>
              </w:rPr>
              <w:t>0.002</w:t>
            </w:r>
            <w:r w:rsidRPr="00F92FF9">
              <w:rPr>
                <w:color w:val="000000"/>
              </w:rPr>
              <w:br/>
              <w:t>[-0.010, 0.014]</w:t>
            </w:r>
          </w:p>
        </w:tc>
        <w:tc>
          <w:tcPr>
            <w:tcW w:w="1794" w:type="dxa"/>
            <w:shd w:val="clear" w:color="auto" w:fill="auto"/>
            <w:noWrap/>
            <w:vAlign w:val="bottom"/>
            <w:hideMark/>
          </w:tcPr>
          <w:p w14:paraId="5AC73366" w14:textId="77777777" w:rsidR="003C3BEF" w:rsidRPr="00F92FF9" w:rsidRDefault="003C3BEF" w:rsidP="003C3BEF">
            <w:pPr>
              <w:spacing w:before="60" w:line="240" w:lineRule="auto"/>
              <w:jc w:val="center"/>
              <w:rPr>
                <w:color w:val="000000"/>
              </w:rPr>
            </w:pPr>
            <w:r w:rsidRPr="00F92FF9">
              <w:rPr>
                <w:color w:val="000000"/>
              </w:rPr>
              <w:t>0.002</w:t>
            </w:r>
            <w:r w:rsidRPr="00F92FF9">
              <w:rPr>
                <w:color w:val="000000"/>
              </w:rPr>
              <w:br/>
              <w:t>[-0.014, 0.018]</w:t>
            </w:r>
          </w:p>
        </w:tc>
        <w:tc>
          <w:tcPr>
            <w:tcW w:w="1794" w:type="dxa"/>
            <w:shd w:val="clear" w:color="auto" w:fill="auto"/>
            <w:noWrap/>
            <w:vAlign w:val="bottom"/>
            <w:hideMark/>
          </w:tcPr>
          <w:p w14:paraId="270BB07D" w14:textId="77777777" w:rsidR="003C3BEF" w:rsidRPr="00F92FF9" w:rsidRDefault="003C3BEF" w:rsidP="003C3BEF">
            <w:pPr>
              <w:spacing w:before="60" w:line="240" w:lineRule="auto"/>
              <w:jc w:val="center"/>
              <w:rPr>
                <w:color w:val="000000"/>
              </w:rPr>
            </w:pPr>
            <w:r w:rsidRPr="00F92FF9">
              <w:rPr>
                <w:color w:val="000000"/>
              </w:rPr>
              <w:t>0.002</w:t>
            </w:r>
            <w:r w:rsidRPr="00F92FF9">
              <w:rPr>
                <w:color w:val="000000"/>
              </w:rPr>
              <w:br/>
              <w:t>[-0.015, 0.019]</w:t>
            </w:r>
          </w:p>
        </w:tc>
      </w:tr>
      <w:tr w:rsidR="003C3BEF" w:rsidRPr="00F92FF9" w14:paraId="1436396D" w14:textId="77777777" w:rsidTr="003C3BEF">
        <w:trPr>
          <w:trHeight w:val="20"/>
        </w:trPr>
        <w:tc>
          <w:tcPr>
            <w:tcW w:w="2699" w:type="dxa"/>
            <w:shd w:val="clear" w:color="auto" w:fill="auto"/>
            <w:noWrap/>
            <w:vAlign w:val="bottom"/>
          </w:tcPr>
          <w:p w14:paraId="3D7A690E" w14:textId="77777777" w:rsidR="003C3BEF" w:rsidRPr="00F92FF9" w:rsidRDefault="003C3BEF" w:rsidP="003C3BEF">
            <w:pPr>
              <w:spacing w:line="240" w:lineRule="auto"/>
              <w:rPr>
                <w:color w:val="000000"/>
              </w:rPr>
            </w:pPr>
          </w:p>
        </w:tc>
        <w:tc>
          <w:tcPr>
            <w:tcW w:w="578" w:type="dxa"/>
            <w:shd w:val="clear" w:color="auto" w:fill="auto"/>
            <w:noWrap/>
            <w:vAlign w:val="bottom"/>
          </w:tcPr>
          <w:p w14:paraId="1C1D06EB"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209F2E21" w14:textId="77777777" w:rsidR="003C3BEF" w:rsidRPr="00F92FF9" w:rsidRDefault="003C3BEF" w:rsidP="003C3BEF">
            <w:pPr>
              <w:spacing w:after="60" w:line="240" w:lineRule="auto"/>
              <w:jc w:val="center"/>
              <w:rPr>
                <w:color w:val="000000"/>
              </w:rPr>
            </w:pPr>
            <w:r w:rsidRPr="00F92FF9">
              <w:rPr>
                <w:color w:val="000000"/>
              </w:rPr>
              <w:t>0.725</w:t>
            </w:r>
          </w:p>
        </w:tc>
        <w:tc>
          <w:tcPr>
            <w:tcW w:w="1794" w:type="dxa"/>
            <w:shd w:val="clear" w:color="auto" w:fill="auto"/>
            <w:noWrap/>
            <w:vAlign w:val="bottom"/>
            <w:hideMark/>
          </w:tcPr>
          <w:p w14:paraId="15B969C7" w14:textId="77777777" w:rsidR="003C3BEF" w:rsidRPr="00F92FF9" w:rsidRDefault="003C3BEF" w:rsidP="003C3BEF">
            <w:pPr>
              <w:spacing w:after="60" w:line="240" w:lineRule="auto"/>
              <w:jc w:val="center"/>
              <w:rPr>
                <w:color w:val="000000"/>
              </w:rPr>
            </w:pPr>
            <w:r w:rsidRPr="00F92FF9">
              <w:rPr>
                <w:color w:val="000000"/>
              </w:rPr>
              <w:t>0.831</w:t>
            </w:r>
          </w:p>
        </w:tc>
        <w:tc>
          <w:tcPr>
            <w:tcW w:w="1794" w:type="dxa"/>
            <w:shd w:val="clear" w:color="auto" w:fill="auto"/>
            <w:noWrap/>
            <w:vAlign w:val="bottom"/>
            <w:hideMark/>
          </w:tcPr>
          <w:p w14:paraId="051BBD34" w14:textId="77777777" w:rsidR="003C3BEF" w:rsidRPr="00F92FF9" w:rsidRDefault="003C3BEF" w:rsidP="003C3BEF">
            <w:pPr>
              <w:spacing w:after="60" w:line="240" w:lineRule="auto"/>
              <w:jc w:val="center"/>
              <w:rPr>
                <w:color w:val="000000"/>
              </w:rPr>
            </w:pPr>
            <w:r w:rsidRPr="00F92FF9">
              <w:rPr>
                <w:color w:val="000000"/>
              </w:rPr>
              <w:t>0.792</w:t>
            </w:r>
          </w:p>
        </w:tc>
      </w:tr>
      <w:tr w:rsidR="003C3BEF" w:rsidRPr="00F92FF9" w14:paraId="661685CB" w14:textId="77777777" w:rsidTr="003C3BEF">
        <w:trPr>
          <w:trHeight w:val="20"/>
        </w:trPr>
        <w:tc>
          <w:tcPr>
            <w:tcW w:w="2699" w:type="dxa"/>
            <w:shd w:val="clear" w:color="auto" w:fill="F2F2F2" w:themeFill="background1" w:themeFillShade="F2"/>
            <w:noWrap/>
            <w:vAlign w:val="bottom"/>
            <w:hideMark/>
          </w:tcPr>
          <w:p w14:paraId="7F45D3A6" w14:textId="77777777" w:rsidR="003C3BEF" w:rsidRPr="00F92FF9" w:rsidRDefault="003C3BEF" w:rsidP="003C3BEF">
            <w:pPr>
              <w:spacing w:line="240" w:lineRule="auto"/>
              <w:rPr>
                <w:color w:val="000000"/>
              </w:rPr>
            </w:pPr>
            <w:proofErr w:type="spellStart"/>
            <w:r w:rsidRPr="00F92FF9">
              <w:rPr>
                <w:color w:val="000000"/>
              </w:rPr>
              <w:t>LVSVi</w:t>
            </w:r>
            <w:proofErr w:type="spellEnd"/>
            <w:r w:rsidRPr="00F92FF9">
              <w:rPr>
                <w:color w:val="000000"/>
              </w:rPr>
              <w:t xml:space="preserve"> (ml/m</w:t>
            </w:r>
            <w:r w:rsidRPr="00F92FF9">
              <w:rPr>
                <w:color w:val="000000"/>
                <w:vertAlign w:val="superscript"/>
              </w:rPr>
              <w:t>2</w:t>
            </w:r>
            <w:r w:rsidRPr="00F92FF9">
              <w:rPr>
                <w:color w:val="000000"/>
              </w:rPr>
              <w:t>)</w:t>
            </w:r>
          </w:p>
        </w:tc>
        <w:tc>
          <w:tcPr>
            <w:tcW w:w="578" w:type="dxa"/>
            <w:shd w:val="clear" w:color="auto" w:fill="F2F2F2" w:themeFill="background1" w:themeFillShade="F2"/>
            <w:noWrap/>
            <w:vAlign w:val="bottom"/>
            <w:hideMark/>
          </w:tcPr>
          <w:p w14:paraId="34D58B54"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7F4EF173" w14:textId="77777777" w:rsidR="003C3BEF" w:rsidRPr="00F92FF9" w:rsidRDefault="003C3BEF" w:rsidP="003C3BEF">
            <w:pPr>
              <w:spacing w:before="60" w:line="240" w:lineRule="auto"/>
              <w:jc w:val="center"/>
              <w:rPr>
                <w:color w:val="000000"/>
              </w:rPr>
            </w:pPr>
            <w:r w:rsidRPr="00F92FF9">
              <w:rPr>
                <w:color w:val="000000"/>
              </w:rPr>
              <w:t>0.026*</w:t>
            </w:r>
            <w:r w:rsidRPr="00F92FF9">
              <w:rPr>
                <w:color w:val="000000"/>
              </w:rPr>
              <w:br/>
              <w:t>[0.015, 0.038]</w:t>
            </w:r>
          </w:p>
        </w:tc>
        <w:tc>
          <w:tcPr>
            <w:tcW w:w="1794" w:type="dxa"/>
            <w:shd w:val="clear" w:color="auto" w:fill="F2F2F2" w:themeFill="background1" w:themeFillShade="F2"/>
            <w:noWrap/>
            <w:vAlign w:val="bottom"/>
            <w:hideMark/>
          </w:tcPr>
          <w:p w14:paraId="1291C41D" w14:textId="77777777" w:rsidR="003C3BEF" w:rsidRPr="00F92FF9" w:rsidRDefault="003C3BEF" w:rsidP="003C3BEF">
            <w:pPr>
              <w:spacing w:before="60" w:line="240" w:lineRule="auto"/>
              <w:jc w:val="center"/>
              <w:rPr>
                <w:color w:val="000000"/>
              </w:rPr>
            </w:pPr>
            <w:r w:rsidRPr="00F92FF9">
              <w:rPr>
                <w:color w:val="000000"/>
              </w:rPr>
              <w:t>0.027*</w:t>
            </w:r>
            <w:r w:rsidRPr="00F92FF9">
              <w:rPr>
                <w:color w:val="000000"/>
              </w:rPr>
              <w:br/>
              <w:t>[0.011, 0.043]</w:t>
            </w:r>
          </w:p>
        </w:tc>
        <w:tc>
          <w:tcPr>
            <w:tcW w:w="1794" w:type="dxa"/>
            <w:shd w:val="clear" w:color="auto" w:fill="F2F2F2" w:themeFill="background1" w:themeFillShade="F2"/>
            <w:noWrap/>
            <w:vAlign w:val="bottom"/>
            <w:hideMark/>
          </w:tcPr>
          <w:p w14:paraId="7D1D3F68" w14:textId="77777777" w:rsidR="003C3BEF" w:rsidRPr="00F92FF9" w:rsidRDefault="003C3BEF" w:rsidP="003C3BEF">
            <w:pPr>
              <w:spacing w:before="60" w:line="240" w:lineRule="auto"/>
              <w:jc w:val="center"/>
              <w:rPr>
                <w:color w:val="000000"/>
              </w:rPr>
            </w:pPr>
            <w:r w:rsidRPr="00F92FF9">
              <w:rPr>
                <w:color w:val="000000"/>
              </w:rPr>
              <w:t>0.026*</w:t>
            </w:r>
            <w:r w:rsidRPr="00F92FF9">
              <w:rPr>
                <w:color w:val="000000"/>
              </w:rPr>
              <w:br/>
              <w:t>[0.008, 0.044]</w:t>
            </w:r>
          </w:p>
        </w:tc>
      </w:tr>
      <w:tr w:rsidR="003C3BEF" w:rsidRPr="00F92FF9" w14:paraId="472FC2D7" w14:textId="77777777" w:rsidTr="003C3BEF">
        <w:trPr>
          <w:trHeight w:val="20"/>
        </w:trPr>
        <w:tc>
          <w:tcPr>
            <w:tcW w:w="2699" w:type="dxa"/>
            <w:shd w:val="clear" w:color="auto" w:fill="F2F2F2" w:themeFill="background1" w:themeFillShade="F2"/>
            <w:noWrap/>
            <w:vAlign w:val="bottom"/>
          </w:tcPr>
          <w:p w14:paraId="0917B742"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6DDE11C7"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7B5CDEF9" w14:textId="77777777" w:rsidR="003C3BEF" w:rsidRPr="00F92FF9" w:rsidRDefault="003C3BEF" w:rsidP="003C3BEF">
            <w:pPr>
              <w:spacing w:after="60" w:line="240" w:lineRule="auto"/>
              <w:jc w:val="center"/>
              <w:rPr>
                <w:color w:val="000000"/>
              </w:rPr>
            </w:pPr>
            <w:r w:rsidRPr="00F92FF9">
              <w:rPr>
                <w:color w:val="000000"/>
              </w:rPr>
              <w:t xml:space="preserve">1.17 </w:t>
            </w:r>
            <w:r w:rsidRPr="00F92FF9">
              <w:rPr>
                <w:rFonts w:eastAsia="Hiragino Sans W2"/>
                <w:color w:val="000000"/>
              </w:rPr>
              <w:t xml:space="preserve">x </w:t>
            </w:r>
            <w:r w:rsidRPr="00F92FF9">
              <w:rPr>
                <w:color w:val="000000"/>
              </w:rPr>
              <w:t>10</w:t>
            </w:r>
            <w:r w:rsidRPr="00F92FF9">
              <w:rPr>
                <w:color w:val="000000"/>
                <w:vertAlign w:val="superscript"/>
              </w:rPr>
              <w:t>-5</w:t>
            </w:r>
          </w:p>
        </w:tc>
        <w:tc>
          <w:tcPr>
            <w:tcW w:w="1794" w:type="dxa"/>
            <w:shd w:val="clear" w:color="auto" w:fill="F2F2F2" w:themeFill="background1" w:themeFillShade="F2"/>
            <w:noWrap/>
            <w:vAlign w:val="bottom"/>
            <w:hideMark/>
          </w:tcPr>
          <w:p w14:paraId="34E2F503" w14:textId="77777777" w:rsidR="003C3BEF" w:rsidRPr="00F92FF9" w:rsidRDefault="003C3BEF" w:rsidP="003C3BEF">
            <w:pPr>
              <w:spacing w:after="60" w:line="240" w:lineRule="auto"/>
              <w:jc w:val="center"/>
              <w:rPr>
                <w:color w:val="000000"/>
              </w:rPr>
            </w:pPr>
            <w:r w:rsidRPr="00F92FF9">
              <w:rPr>
                <w:color w:val="000000"/>
              </w:rPr>
              <w:t xml:space="preserve">7.70 </w:t>
            </w:r>
            <w:r w:rsidRPr="00F92FF9">
              <w:rPr>
                <w:rFonts w:eastAsia="Hiragino Sans W2"/>
                <w:color w:val="000000"/>
              </w:rPr>
              <w:t xml:space="preserve">x </w:t>
            </w:r>
            <w:r w:rsidRPr="00F92FF9">
              <w:rPr>
                <w:color w:val="000000"/>
              </w:rPr>
              <w:t>10</w:t>
            </w:r>
            <w:r w:rsidRPr="00F92FF9">
              <w:rPr>
                <w:color w:val="000000"/>
                <w:vertAlign w:val="superscript"/>
              </w:rPr>
              <w:t>-4</w:t>
            </w:r>
          </w:p>
        </w:tc>
        <w:tc>
          <w:tcPr>
            <w:tcW w:w="1794" w:type="dxa"/>
            <w:shd w:val="clear" w:color="auto" w:fill="F2F2F2" w:themeFill="background1" w:themeFillShade="F2"/>
            <w:noWrap/>
            <w:vAlign w:val="bottom"/>
            <w:hideMark/>
          </w:tcPr>
          <w:p w14:paraId="01DE45FE" w14:textId="77777777" w:rsidR="003C3BEF" w:rsidRPr="00F92FF9" w:rsidRDefault="003C3BEF" w:rsidP="003C3BEF">
            <w:pPr>
              <w:spacing w:after="60" w:line="240" w:lineRule="auto"/>
              <w:jc w:val="center"/>
              <w:rPr>
                <w:color w:val="000000"/>
              </w:rPr>
            </w:pPr>
            <w:r w:rsidRPr="00F92FF9">
              <w:rPr>
                <w:color w:val="000000"/>
              </w:rPr>
              <w:t>0.004</w:t>
            </w:r>
          </w:p>
        </w:tc>
      </w:tr>
      <w:tr w:rsidR="003C3BEF" w:rsidRPr="00F92FF9" w14:paraId="0E9DB05E" w14:textId="77777777" w:rsidTr="003C3BEF">
        <w:trPr>
          <w:trHeight w:val="20"/>
        </w:trPr>
        <w:tc>
          <w:tcPr>
            <w:tcW w:w="2699" w:type="dxa"/>
            <w:shd w:val="clear" w:color="auto" w:fill="auto"/>
            <w:noWrap/>
            <w:vAlign w:val="bottom"/>
            <w:hideMark/>
          </w:tcPr>
          <w:p w14:paraId="0E529A56"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11F792C3"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61C5FB2F" w14:textId="77777777" w:rsidR="003C3BEF" w:rsidRPr="00F92FF9" w:rsidRDefault="003C3BEF" w:rsidP="003C3BEF">
            <w:pPr>
              <w:spacing w:before="60" w:line="240" w:lineRule="auto"/>
              <w:jc w:val="center"/>
              <w:rPr>
                <w:color w:val="000000"/>
              </w:rPr>
            </w:pPr>
            <w:r w:rsidRPr="00F92FF9">
              <w:rPr>
                <w:color w:val="000000"/>
              </w:rPr>
              <w:t>-0.024*</w:t>
            </w:r>
            <w:r w:rsidRPr="00F92FF9">
              <w:rPr>
                <w:color w:val="000000"/>
              </w:rPr>
              <w:br/>
              <w:t>[-0.035, -0.012]</w:t>
            </w:r>
          </w:p>
        </w:tc>
        <w:tc>
          <w:tcPr>
            <w:tcW w:w="1794" w:type="dxa"/>
            <w:shd w:val="clear" w:color="auto" w:fill="auto"/>
            <w:noWrap/>
            <w:vAlign w:val="bottom"/>
            <w:hideMark/>
          </w:tcPr>
          <w:p w14:paraId="03422AB2" w14:textId="77777777" w:rsidR="003C3BEF" w:rsidRPr="00F92FF9" w:rsidRDefault="003C3BEF" w:rsidP="003C3BEF">
            <w:pPr>
              <w:spacing w:before="60" w:line="240" w:lineRule="auto"/>
              <w:jc w:val="center"/>
              <w:rPr>
                <w:color w:val="000000"/>
              </w:rPr>
            </w:pPr>
            <w:r w:rsidRPr="00F92FF9">
              <w:rPr>
                <w:color w:val="000000"/>
              </w:rPr>
              <w:t>-0.028*</w:t>
            </w:r>
            <w:r w:rsidRPr="00F92FF9">
              <w:rPr>
                <w:color w:val="000000"/>
              </w:rPr>
              <w:br/>
              <w:t>[-0.043, -0.012]</w:t>
            </w:r>
          </w:p>
        </w:tc>
        <w:tc>
          <w:tcPr>
            <w:tcW w:w="1794" w:type="dxa"/>
            <w:shd w:val="clear" w:color="auto" w:fill="auto"/>
            <w:noWrap/>
            <w:vAlign w:val="bottom"/>
            <w:hideMark/>
          </w:tcPr>
          <w:p w14:paraId="1C6CA25E" w14:textId="77777777" w:rsidR="003C3BEF" w:rsidRPr="00F92FF9" w:rsidRDefault="003C3BEF" w:rsidP="003C3BEF">
            <w:pPr>
              <w:spacing w:before="60" w:line="240" w:lineRule="auto"/>
              <w:jc w:val="center"/>
              <w:rPr>
                <w:color w:val="000000"/>
              </w:rPr>
            </w:pPr>
            <w:r w:rsidRPr="00F92FF9">
              <w:rPr>
                <w:color w:val="000000"/>
              </w:rPr>
              <w:t>-0.019</w:t>
            </w:r>
            <w:r w:rsidRPr="00F92FF9">
              <w:rPr>
                <w:color w:val="000000"/>
              </w:rPr>
              <w:br/>
              <w:t>[-0.037, -0.001]</w:t>
            </w:r>
          </w:p>
        </w:tc>
      </w:tr>
      <w:tr w:rsidR="003C3BEF" w:rsidRPr="00F92FF9" w14:paraId="3EB3D968" w14:textId="77777777" w:rsidTr="003C3BEF">
        <w:trPr>
          <w:trHeight w:val="20"/>
        </w:trPr>
        <w:tc>
          <w:tcPr>
            <w:tcW w:w="2699" w:type="dxa"/>
            <w:shd w:val="clear" w:color="auto" w:fill="auto"/>
            <w:noWrap/>
            <w:vAlign w:val="bottom"/>
          </w:tcPr>
          <w:p w14:paraId="5283C3D0" w14:textId="77777777" w:rsidR="003C3BEF" w:rsidRPr="00F92FF9" w:rsidRDefault="003C3BEF" w:rsidP="003C3BEF">
            <w:pPr>
              <w:spacing w:line="240" w:lineRule="auto"/>
              <w:rPr>
                <w:color w:val="000000"/>
              </w:rPr>
            </w:pPr>
          </w:p>
        </w:tc>
        <w:tc>
          <w:tcPr>
            <w:tcW w:w="578" w:type="dxa"/>
            <w:shd w:val="clear" w:color="auto" w:fill="auto"/>
            <w:noWrap/>
            <w:vAlign w:val="bottom"/>
          </w:tcPr>
          <w:p w14:paraId="23FBEF36"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1314ACA2" w14:textId="77777777" w:rsidR="003C3BEF" w:rsidRPr="00F92FF9" w:rsidRDefault="003C3BEF" w:rsidP="003C3BEF">
            <w:pPr>
              <w:spacing w:after="60" w:line="240" w:lineRule="auto"/>
              <w:jc w:val="center"/>
              <w:rPr>
                <w:color w:val="000000"/>
              </w:rPr>
            </w:pPr>
            <w:r w:rsidRPr="00F92FF9">
              <w:rPr>
                <w:color w:val="000000"/>
              </w:rPr>
              <w:t xml:space="preserve">7.81 </w:t>
            </w:r>
            <w:r w:rsidRPr="00F92FF9">
              <w:rPr>
                <w:rFonts w:eastAsia="Hiragino Sans W2"/>
                <w:color w:val="000000"/>
              </w:rPr>
              <w:t xml:space="preserve">x </w:t>
            </w:r>
            <w:r w:rsidRPr="00F92FF9">
              <w:rPr>
                <w:color w:val="000000"/>
              </w:rPr>
              <w:t>10</w:t>
            </w:r>
            <w:r w:rsidRPr="00F92FF9">
              <w:rPr>
                <w:color w:val="000000"/>
                <w:vertAlign w:val="superscript"/>
              </w:rPr>
              <w:t>-5</w:t>
            </w:r>
          </w:p>
        </w:tc>
        <w:tc>
          <w:tcPr>
            <w:tcW w:w="1794" w:type="dxa"/>
            <w:shd w:val="clear" w:color="auto" w:fill="auto"/>
            <w:noWrap/>
            <w:vAlign w:val="bottom"/>
            <w:hideMark/>
          </w:tcPr>
          <w:p w14:paraId="1B2F774E" w14:textId="77777777" w:rsidR="003C3BEF" w:rsidRPr="00F92FF9" w:rsidRDefault="003C3BEF" w:rsidP="003C3BEF">
            <w:pPr>
              <w:spacing w:after="60" w:line="240" w:lineRule="auto"/>
              <w:jc w:val="center"/>
              <w:rPr>
                <w:color w:val="000000"/>
              </w:rPr>
            </w:pPr>
            <w:r w:rsidRPr="00F92FF9">
              <w:rPr>
                <w:color w:val="000000"/>
              </w:rPr>
              <w:t xml:space="preserve">5.03 </w:t>
            </w:r>
            <w:r w:rsidRPr="00F92FF9">
              <w:rPr>
                <w:rFonts w:eastAsia="Hiragino Sans W2"/>
                <w:color w:val="000000"/>
              </w:rPr>
              <w:t xml:space="preserve">x </w:t>
            </w:r>
            <w:r w:rsidRPr="00F92FF9">
              <w:rPr>
                <w:color w:val="000000"/>
              </w:rPr>
              <w:t>10</w:t>
            </w:r>
            <w:r w:rsidRPr="00F92FF9">
              <w:rPr>
                <w:color w:val="000000"/>
                <w:vertAlign w:val="superscript"/>
              </w:rPr>
              <w:t>-4</w:t>
            </w:r>
          </w:p>
        </w:tc>
        <w:tc>
          <w:tcPr>
            <w:tcW w:w="1794" w:type="dxa"/>
            <w:shd w:val="clear" w:color="auto" w:fill="auto"/>
            <w:noWrap/>
            <w:vAlign w:val="bottom"/>
            <w:hideMark/>
          </w:tcPr>
          <w:p w14:paraId="0700A483" w14:textId="77777777" w:rsidR="003C3BEF" w:rsidRPr="00F92FF9" w:rsidRDefault="003C3BEF" w:rsidP="003C3BEF">
            <w:pPr>
              <w:spacing w:after="60" w:line="240" w:lineRule="auto"/>
              <w:jc w:val="center"/>
              <w:rPr>
                <w:color w:val="000000"/>
              </w:rPr>
            </w:pPr>
            <w:r w:rsidRPr="00F92FF9">
              <w:rPr>
                <w:color w:val="000000"/>
              </w:rPr>
              <w:t>0.039</w:t>
            </w:r>
          </w:p>
        </w:tc>
      </w:tr>
      <w:tr w:rsidR="003C3BEF" w:rsidRPr="00F92FF9" w14:paraId="1EA6BAA0" w14:textId="77777777" w:rsidTr="003C3BEF">
        <w:trPr>
          <w:trHeight w:val="20"/>
        </w:trPr>
        <w:tc>
          <w:tcPr>
            <w:tcW w:w="2699" w:type="dxa"/>
            <w:shd w:val="clear" w:color="auto" w:fill="F2F2F2" w:themeFill="background1" w:themeFillShade="F2"/>
            <w:noWrap/>
            <w:vAlign w:val="bottom"/>
            <w:hideMark/>
          </w:tcPr>
          <w:p w14:paraId="14A83DE1" w14:textId="77777777" w:rsidR="003C3BEF" w:rsidRPr="00F92FF9" w:rsidRDefault="003C3BEF" w:rsidP="003C3BEF">
            <w:pPr>
              <w:spacing w:line="240" w:lineRule="auto"/>
              <w:rPr>
                <w:color w:val="000000"/>
              </w:rPr>
            </w:pPr>
            <w:r w:rsidRPr="00F92FF9">
              <w:rPr>
                <w:color w:val="000000"/>
              </w:rPr>
              <w:t>LVMi (g/m</w:t>
            </w:r>
            <w:r w:rsidRPr="00F92FF9">
              <w:rPr>
                <w:color w:val="000000"/>
                <w:vertAlign w:val="superscript"/>
              </w:rPr>
              <w:t>2</w:t>
            </w:r>
            <w:r w:rsidRPr="00F92FF9">
              <w:rPr>
                <w:color w:val="000000"/>
              </w:rPr>
              <w:t>)</w:t>
            </w:r>
          </w:p>
        </w:tc>
        <w:tc>
          <w:tcPr>
            <w:tcW w:w="578" w:type="dxa"/>
            <w:shd w:val="clear" w:color="auto" w:fill="F2F2F2" w:themeFill="background1" w:themeFillShade="F2"/>
            <w:noWrap/>
            <w:vAlign w:val="bottom"/>
            <w:hideMark/>
          </w:tcPr>
          <w:p w14:paraId="155AA513"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517B968E" w14:textId="77777777" w:rsidR="003C3BEF" w:rsidRPr="00F92FF9" w:rsidRDefault="003C3BEF" w:rsidP="003C3BEF">
            <w:pPr>
              <w:spacing w:before="60" w:line="240" w:lineRule="auto"/>
              <w:jc w:val="center"/>
              <w:rPr>
                <w:color w:val="000000"/>
              </w:rPr>
            </w:pPr>
            <w:r w:rsidRPr="00F92FF9">
              <w:rPr>
                <w:color w:val="000000"/>
              </w:rPr>
              <w:t>0.048*</w:t>
            </w:r>
            <w:r w:rsidRPr="00F92FF9">
              <w:rPr>
                <w:color w:val="000000"/>
              </w:rPr>
              <w:br/>
              <w:t>[0.034, 0.063]</w:t>
            </w:r>
          </w:p>
        </w:tc>
        <w:tc>
          <w:tcPr>
            <w:tcW w:w="1794" w:type="dxa"/>
            <w:shd w:val="clear" w:color="auto" w:fill="F2F2F2" w:themeFill="background1" w:themeFillShade="F2"/>
            <w:noWrap/>
            <w:vAlign w:val="bottom"/>
            <w:hideMark/>
          </w:tcPr>
          <w:p w14:paraId="0D4B9876" w14:textId="77777777" w:rsidR="003C3BEF" w:rsidRPr="00F92FF9" w:rsidRDefault="003C3BEF" w:rsidP="003C3BEF">
            <w:pPr>
              <w:spacing w:before="60" w:line="240" w:lineRule="auto"/>
              <w:jc w:val="center"/>
              <w:rPr>
                <w:color w:val="000000"/>
              </w:rPr>
            </w:pPr>
            <w:r w:rsidRPr="00F92FF9">
              <w:rPr>
                <w:color w:val="000000"/>
              </w:rPr>
              <w:t>0.042*</w:t>
            </w:r>
            <w:r w:rsidRPr="00F92FF9">
              <w:rPr>
                <w:color w:val="000000"/>
              </w:rPr>
              <w:br/>
              <w:t>[0.023, 0.060]</w:t>
            </w:r>
          </w:p>
        </w:tc>
        <w:tc>
          <w:tcPr>
            <w:tcW w:w="1794" w:type="dxa"/>
            <w:shd w:val="clear" w:color="auto" w:fill="F2F2F2" w:themeFill="background1" w:themeFillShade="F2"/>
            <w:noWrap/>
            <w:vAlign w:val="bottom"/>
            <w:hideMark/>
          </w:tcPr>
          <w:p w14:paraId="2824964C" w14:textId="77777777" w:rsidR="003C3BEF" w:rsidRPr="00F92FF9" w:rsidRDefault="003C3BEF" w:rsidP="003C3BEF">
            <w:pPr>
              <w:spacing w:before="60" w:line="240" w:lineRule="auto"/>
              <w:jc w:val="center"/>
              <w:rPr>
                <w:color w:val="000000"/>
              </w:rPr>
            </w:pPr>
            <w:r w:rsidRPr="00F92FF9">
              <w:rPr>
                <w:color w:val="000000"/>
              </w:rPr>
              <w:t>0.058*</w:t>
            </w:r>
            <w:r w:rsidRPr="00F92FF9">
              <w:rPr>
                <w:color w:val="000000"/>
              </w:rPr>
              <w:br/>
              <w:t>[0.035, 0.081]</w:t>
            </w:r>
          </w:p>
        </w:tc>
      </w:tr>
      <w:tr w:rsidR="003C3BEF" w:rsidRPr="00F92FF9" w14:paraId="65E1E4EC" w14:textId="77777777" w:rsidTr="003C3BEF">
        <w:trPr>
          <w:trHeight w:val="20"/>
        </w:trPr>
        <w:tc>
          <w:tcPr>
            <w:tcW w:w="2699" w:type="dxa"/>
            <w:shd w:val="clear" w:color="auto" w:fill="F2F2F2" w:themeFill="background1" w:themeFillShade="F2"/>
            <w:noWrap/>
            <w:vAlign w:val="bottom"/>
          </w:tcPr>
          <w:p w14:paraId="7D525DDE"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5BE8145E"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71624AC3" w14:textId="77777777" w:rsidR="003C3BEF" w:rsidRPr="00F92FF9" w:rsidRDefault="003C3BEF" w:rsidP="003C3BEF">
            <w:pPr>
              <w:spacing w:after="60" w:line="240" w:lineRule="auto"/>
              <w:jc w:val="center"/>
              <w:rPr>
                <w:color w:val="000000"/>
              </w:rPr>
            </w:pPr>
            <w:r w:rsidRPr="00F92FF9">
              <w:rPr>
                <w:color w:val="000000"/>
              </w:rPr>
              <w:t xml:space="preserve">3.50 </w:t>
            </w:r>
            <w:r w:rsidRPr="00F92FF9">
              <w:rPr>
                <w:rFonts w:eastAsia="Hiragino Sans W2"/>
                <w:color w:val="000000"/>
              </w:rPr>
              <w:t xml:space="preserve">x </w:t>
            </w:r>
            <w:r w:rsidRPr="00F92FF9">
              <w:rPr>
                <w:color w:val="000000"/>
              </w:rPr>
              <w:t>10</w:t>
            </w:r>
            <w:r w:rsidRPr="00F92FF9">
              <w:rPr>
                <w:color w:val="000000"/>
                <w:vertAlign w:val="superscript"/>
              </w:rPr>
              <w:t>-11</w:t>
            </w:r>
          </w:p>
        </w:tc>
        <w:tc>
          <w:tcPr>
            <w:tcW w:w="1794" w:type="dxa"/>
            <w:shd w:val="clear" w:color="auto" w:fill="F2F2F2" w:themeFill="background1" w:themeFillShade="F2"/>
            <w:noWrap/>
            <w:vAlign w:val="bottom"/>
            <w:hideMark/>
          </w:tcPr>
          <w:p w14:paraId="62DB1B44" w14:textId="77777777" w:rsidR="003C3BEF" w:rsidRPr="00F92FF9" w:rsidRDefault="003C3BEF" w:rsidP="003C3BEF">
            <w:pPr>
              <w:spacing w:after="60" w:line="240" w:lineRule="auto"/>
              <w:jc w:val="center"/>
              <w:rPr>
                <w:color w:val="000000"/>
              </w:rPr>
            </w:pPr>
            <w:r w:rsidRPr="00F92FF9">
              <w:rPr>
                <w:color w:val="000000"/>
              </w:rPr>
              <w:t xml:space="preserve">1.09 </w:t>
            </w:r>
            <w:r w:rsidRPr="00F92FF9">
              <w:rPr>
                <w:rFonts w:eastAsia="Hiragino Sans W2"/>
                <w:color w:val="000000"/>
              </w:rPr>
              <w:t xml:space="preserve">x </w:t>
            </w:r>
            <w:r w:rsidRPr="00F92FF9">
              <w:rPr>
                <w:color w:val="000000"/>
              </w:rPr>
              <w:t>10</w:t>
            </w:r>
            <w:r w:rsidRPr="00F92FF9">
              <w:rPr>
                <w:color w:val="000000"/>
                <w:vertAlign w:val="superscript"/>
              </w:rPr>
              <w:t>-5</w:t>
            </w:r>
          </w:p>
        </w:tc>
        <w:tc>
          <w:tcPr>
            <w:tcW w:w="1794" w:type="dxa"/>
            <w:shd w:val="clear" w:color="auto" w:fill="F2F2F2" w:themeFill="background1" w:themeFillShade="F2"/>
            <w:noWrap/>
            <w:vAlign w:val="bottom"/>
            <w:hideMark/>
          </w:tcPr>
          <w:p w14:paraId="0AB1E66F" w14:textId="77777777" w:rsidR="003C3BEF" w:rsidRPr="00F92FF9" w:rsidRDefault="003C3BEF" w:rsidP="003C3BEF">
            <w:pPr>
              <w:spacing w:after="60" w:line="240" w:lineRule="auto"/>
              <w:jc w:val="center"/>
              <w:rPr>
                <w:color w:val="000000"/>
              </w:rPr>
            </w:pPr>
            <w:r w:rsidRPr="00F92FF9">
              <w:rPr>
                <w:color w:val="000000"/>
              </w:rPr>
              <w:t xml:space="preserve">6.87 </w:t>
            </w:r>
            <w:r w:rsidRPr="00F92FF9">
              <w:rPr>
                <w:rFonts w:eastAsia="Hiragino Sans W2"/>
                <w:color w:val="000000"/>
              </w:rPr>
              <w:t xml:space="preserve">x </w:t>
            </w:r>
            <w:r w:rsidRPr="00F92FF9">
              <w:rPr>
                <w:color w:val="000000"/>
              </w:rPr>
              <w:t>10</w:t>
            </w:r>
            <w:r w:rsidRPr="00F92FF9">
              <w:rPr>
                <w:color w:val="000000"/>
                <w:vertAlign w:val="superscript"/>
              </w:rPr>
              <w:t>-7</w:t>
            </w:r>
          </w:p>
        </w:tc>
      </w:tr>
      <w:tr w:rsidR="003C3BEF" w:rsidRPr="00F92FF9" w14:paraId="13B11996" w14:textId="77777777" w:rsidTr="003C3BEF">
        <w:trPr>
          <w:trHeight w:val="20"/>
        </w:trPr>
        <w:tc>
          <w:tcPr>
            <w:tcW w:w="2699" w:type="dxa"/>
            <w:shd w:val="clear" w:color="auto" w:fill="auto"/>
            <w:noWrap/>
            <w:vAlign w:val="bottom"/>
            <w:hideMark/>
          </w:tcPr>
          <w:p w14:paraId="26181F35"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0671F632"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5CFE89A5" w14:textId="77777777" w:rsidR="003C3BEF" w:rsidRPr="00F92FF9" w:rsidRDefault="003C3BEF" w:rsidP="003C3BEF">
            <w:pPr>
              <w:spacing w:before="60" w:line="240" w:lineRule="auto"/>
              <w:jc w:val="center"/>
              <w:rPr>
                <w:color w:val="000000"/>
              </w:rPr>
            </w:pPr>
            <w:r w:rsidRPr="00F92FF9">
              <w:rPr>
                <w:color w:val="000000"/>
              </w:rPr>
              <w:t>-0.039*</w:t>
            </w:r>
            <w:r w:rsidRPr="00F92FF9">
              <w:rPr>
                <w:color w:val="000000"/>
              </w:rPr>
              <w:br/>
              <w:t>[-0.053, -0.025]</w:t>
            </w:r>
          </w:p>
        </w:tc>
        <w:tc>
          <w:tcPr>
            <w:tcW w:w="1794" w:type="dxa"/>
            <w:shd w:val="clear" w:color="auto" w:fill="auto"/>
            <w:noWrap/>
            <w:vAlign w:val="bottom"/>
            <w:hideMark/>
          </w:tcPr>
          <w:p w14:paraId="2BF36299" w14:textId="77777777" w:rsidR="003C3BEF" w:rsidRPr="00F92FF9" w:rsidRDefault="003C3BEF" w:rsidP="003C3BEF">
            <w:pPr>
              <w:spacing w:before="60" w:line="240" w:lineRule="auto"/>
              <w:jc w:val="center"/>
              <w:rPr>
                <w:color w:val="000000"/>
              </w:rPr>
            </w:pPr>
            <w:r w:rsidRPr="00F92FF9">
              <w:rPr>
                <w:color w:val="000000"/>
              </w:rPr>
              <w:t>-0.045*</w:t>
            </w:r>
            <w:r w:rsidRPr="00F92FF9">
              <w:rPr>
                <w:color w:val="000000"/>
              </w:rPr>
              <w:br/>
              <w:t>[-0.063, -0.027]</w:t>
            </w:r>
          </w:p>
        </w:tc>
        <w:tc>
          <w:tcPr>
            <w:tcW w:w="1794" w:type="dxa"/>
            <w:shd w:val="clear" w:color="auto" w:fill="auto"/>
            <w:noWrap/>
            <w:vAlign w:val="bottom"/>
            <w:hideMark/>
          </w:tcPr>
          <w:p w14:paraId="331A5163" w14:textId="77777777" w:rsidR="003C3BEF" w:rsidRPr="00F92FF9" w:rsidRDefault="003C3BEF" w:rsidP="003C3BEF">
            <w:pPr>
              <w:spacing w:before="60" w:line="240" w:lineRule="auto"/>
              <w:jc w:val="center"/>
              <w:rPr>
                <w:color w:val="000000"/>
              </w:rPr>
            </w:pPr>
            <w:r w:rsidRPr="00F92FF9">
              <w:rPr>
                <w:color w:val="000000"/>
              </w:rPr>
              <w:t>-0.032*</w:t>
            </w:r>
            <w:r w:rsidRPr="00F92FF9">
              <w:rPr>
                <w:color w:val="000000"/>
              </w:rPr>
              <w:br/>
              <w:t>[-0.055, -0.010]</w:t>
            </w:r>
          </w:p>
        </w:tc>
      </w:tr>
      <w:tr w:rsidR="003C3BEF" w:rsidRPr="00F92FF9" w14:paraId="720FF1B8" w14:textId="77777777" w:rsidTr="003C3BEF">
        <w:trPr>
          <w:trHeight w:val="20"/>
        </w:trPr>
        <w:tc>
          <w:tcPr>
            <w:tcW w:w="2699" w:type="dxa"/>
            <w:shd w:val="clear" w:color="auto" w:fill="auto"/>
            <w:noWrap/>
            <w:vAlign w:val="bottom"/>
          </w:tcPr>
          <w:p w14:paraId="0C2F4213" w14:textId="77777777" w:rsidR="003C3BEF" w:rsidRPr="00F92FF9" w:rsidRDefault="003C3BEF" w:rsidP="003C3BEF">
            <w:pPr>
              <w:spacing w:line="240" w:lineRule="auto"/>
              <w:rPr>
                <w:color w:val="000000"/>
              </w:rPr>
            </w:pPr>
          </w:p>
        </w:tc>
        <w:tc>
          <w:tcPr>
            <w:tcW w:w="578" w:type="dxa"/>
            <w:shd w:val="clear" w:color="auto" w:fill="auto"/>
            <w:noWrap/>
            <w:vAlign w:val="bottom"/>
          </w:tcPr>
          <w:p w14:paraId="0C067752"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6F1C42E7" w14:textId="77777777" w:rsidR="003C3BEF" w:rsidRPr="00F92FF9" w:rsidRDefault="003C3BEF" w:rsidP="003C3BEF">
            <w:pPr>
              <w:spacing w:after="60" w:line="240" w:lineRule="auto"/>
              <w:jc w:val="center"/>
              <w:rPr>
                <w:color w:val="000000"/>
              </w:rPr>
            </w:pPr>
            <w:r w:rsidRPr="00F92FF9">
              <w:rPr>
                <w:color w:val="000000"/>
              </w:rPr>
              <w:t xml:space="preserve">8.25 </w:t>
            </w:r>
            <w:r w:rsidRPr="00F92FF9">
              <w:rPr>
                <w:rFonts w:eastAsia="Hiragino Sans W2"/>
                <w:color w:val="000000"/>
              </w:rPr>
              <w:t xml:space="preserve">x </w:t>
            </w:r>
            <w:r w:rsidRPr="00F92FF9">
              <w:rPr>
                <w:color w:val="000000"/>
              </w:rPr>
              <w:t>10</w:t>
            </w:r>
            <w:r w:rsidRPr="00F92FF9">
              <w:rPr>
                <w:color w:val="000000"/>
                <w:vertAlign w:val="superscript"/>
              </w:rPr>
              <w:t>-8</w:t>
            </w:r>
          </w:p>
        </w:tc>
        <w:tc>
          <w:tcPr>
            <w:tcW w:w="1794" w:type="dxa"/>
            <w:shd w:val="clear" w:color="auto" w:fill="auto"/>
            <w:noWrap/>
            <w:vAlign w:val="bottom"/>
            <w:hideMark/>
          </w:tcPr>
          <w:p w14:paraId="2A3F8803" w14:textId="77777777" w:rsidR="003C3BEF" w:rsidRPr="00F92FF9" w:rsidRDefault="003C3BEF" w:rsidP="003C3BEF">
            <w:pPr>
              <w:spacing w:after="60" w:line="240" w:lineRule="auto"/>
              <w:jc w:val="center"/>
              <w:rPr>
                <w:color w:val="000000"/>
              </w:rPr>
            </w:pPr>
            <w:r w:rsidRPr="00F92FF9">
              <w:rPr>
                <w:color w:val="000000"/>
              </w:rPr>
              <w:t xml:space="preserve">1.26 </w:t>
            </w:r>
            <w:r w:rsidRPr="00F92FF9">
              <w:rPr>
                <w:rFonts w:eastAsia="Hiragino Sans W2"/>
                <w:color w:val="000000"/>
              </w:rPr>
              <w:t xml:space="preserve">x </w:t>
            </w:r>
            <w:r w:rsidRPr="00F92FF9">
              <w:rPr>
                <w:color w:val="000000"/>
              </w:rPr>
              <w:t>10</w:t>
            </w:r>
            <w:r w:rsidRPr="00F92FF9">
              <w:rPr>
                <w:color w:val="000000"/>
                <w:vertAlign w:val="superscript"/>
              </w:rPr>
              <w:t>-6</w:t>
            </w:r>
          </w:p>
        </w:tc>
        <w:tc>
          <w:tcPr>
            <w:tcW w:w="1794" w:type="dxa"/>
            <w:shd w:val="clear" w:color="auto" w:fill="auto"/>
            <w:noWrap/>
            <w:vAlign w:val="bottom"/>
            <w:hideMark/>
          </w:tcPr>
          <w:p w14:paraId="6251AABD" w14:textId="77777777" w:rsidR="003C3BEF" w:rsidRPr="00F92FF9" w:rsidRDefault="003C3BEF" w:rsidP="003C3BEF">
            <w:pPr>
              <w:spacing w:after="60" w:line="240" w:lineRule="auto"/>
              <w:jc w:val="center"/>
              <w:rPr>
                <w:color w:val="000000"/>
              </w:rPr>
            </w:pPr>
            <w:r w:rsidRPr="00F92FF9">
              <w:rPr>
                <w:color w:val="000000"/>
              </w:rPr>
              <w:t>0.005</w:t>
            </w:r>
          </w:p>
        </w:tc>
      </w:tr>
      <w:tr w:rsidR="003C3BEF" w:rsidRPr="00F92FF9" w14:paraId="5CC670C1" w14:textId="77777777" w:rsidTr="003C3BEF">
        <w:trPr>
          <w:trHeight w:val="20"/>
        </w:trPr>
        <w:tc>
          <w:tcPr>
            <w:tcW w:w="2699" w:type="dxa"/>
            <w:shd w:val="clear" w:color="auto" w:fill="F2F2F2" w:themeFill="background1" w:themeFillShade="F2"/>
            <w:noWrap/>
            <w:vAlign w:val="bottom"/>
            <w:hideMark/>
          </w:tcPr>
          <w:p w14:paraId="68B9109C" w14:textId="77777777" w:rsidR="003C3BEF" w:rsidRPr="00F92FF9" w:rsidRDefault="003C3BEF" w:rsidP="003C3BEF">
            <w:pPr>
              <w:spacing w:line="240" w:lineRule="auto"/>
              <w:rPr>
                <w:color w:val="000000"/>
              </w:rPr>
            </w:pPr>
            <w:r w:rsidRPr="00F92FF9">
              <w:rPr>
                <w:color w:val="000000"/>
              </w:rPr>
              <w:t xml:space="preserve">PDA </w:t>
            </w:r>
            <w:proofErr w:type="spellStart"/>
            <w:r w:rsidRPr="00F92FF9">
              <w:rPr>
                <w:color w:val="000000"/>
              </w:rPr>
              <w:t>AoD</w:t>
            </w:r>
            <w:proofErr w:type="spellEnd"/>
            <w:r w:rsidRPr="00F92FF9">
              <w:rPr>
                <w:color w:val="000000"/>
              </w:rPr>
              <w:t xml:space="preserve"> (</w:t>
            </w:r>
            <w:r w:rsidRPr="00F92FF9">
              <w:rPr>
                <w:rFonts w:eastAsia="Hiragino Sans W2"/>
                <w:color w:val="000000"/>
              </w:rPr>
              <w:t>x</w:t>
            </w:r>
            <w:r w:rsidRPr="00F92FF9">
              <w:rPr>
                <w:color w:val="000000" w:themeColor="text1"/>
              </w:rPr>
              <w:t>10</w:t>
            </w:r>
            <w:r w:rsidRPr="00F92FF9">
              <w:rPr>
                <w:color w:val="000000" w:themeColor="text1"/>
                <w:vertAlign w:val="superscript"/>
              </w:rPr>
              <w:t>-3</w:t>
            </w:r>
            <w:r w:rsidRPr="00F92FF9">
              <w:rPr>
                <w:color w:val="000000" w:themeColor="text1"/>
              </w:rPr>
              <w:t xml:space="preserve"> mmHg</w:t>
            </w:r>
            <w:r w:rsidRPr="00F92FF9">
              <w:rPr>
                <w:color w:val="000000" w:themeColor="text1"/>
                <w:vertAlign w:val="superscript"/>
              </w:rPr>
              <w:t>-1</w:t>
            </w:r>
            <w:r w:rsidRPr="00F92FF9">
              <w:rPr>
                <w:color w:val="000000" w:themeColor="text1"/>
              </w:rPr>
              <w:t>)</w:t>
            </w:r>
          </w:p>
        </w:tc>
        <w:tc>
          <w:tcPr>
            <w:tcW w:w="578" w:type="dxa"/>
            <w:shd w:val="clear" w:color="auto" w:fill="F2F2F2" w:themeFill="background1" w:themeFillShade="F2"/>
            <w:noWrap/>
            <w:vAlign w:val="bottom"/>
            <w:hideMark/>
          </w:tcPr>
          <w:p w14:paraId="1EBF18C0" w14:textId="77777777" w:rsidR="003C3BEF" w:rsidRPr="00F92FF9" w:rsidRDefault="003C3BEF" w:rsidP="003C3BEF">
            <w:pPr>
              <w:spacing w:line="240" w:lineRule="auto"/>
              <w:rPr>
                <w:color w:val="000000"/>
              </w:rPr>
            </w:pPr>
            <w:r w:rsidRPr="00F92FF9">
              <w:rPr>
                <w:color w:val="000000"/>
              </w:rPr>
              <w:t>FI</w:t>
            </w:r>
          </w:p>
        </w:tc>
        <w:tc>
          <w:tcPr>
            <w:tcW w:w="1793" w:type="dxa"/>
            <w:shd w:val="clear" w:color="auto" w:fill="F2F2F2" w:themeFill="background1" w:themeFillShade="F2"/>
            <w:noWrap/>
            <w:vAlign w:val="bottom"/>
            <w:hideMark/>
          </w:tcPr>
          <w:p w14:paraId="24253CB1" w14:textId="77777777" w:rsidR="003C3BEF" w:rsidRPr="00F92FF9" w:rsidRDefault="003C3BEF" w:rsidP="003C3BEF">
            <w:pPr>
              <w:spacing w:before="60" w:line="240" w:lineRule="auto"/>
              <w:jc w:val="center"/>
              <w:rPr>
                <w:color w:val="000000"/>
              </w:rPr>
            </w:pPr>
            <w:r w:rsidRPr="00F92FF9">
              <w:rPr>
                <w:color w:val="000000"/>
              </w:rPr>
              <w:t>0.030*</w:t>
            </w:r>
            <w:r w:rsidRPr="00F92FF9">
              <w:rPr>
                <w:color w:val="000000"/>
              </w:rPr>
              <w:br/>
              <w:t>[0.014, 0.045]</w:t>
            </w:r>
          </w:p>
        </w:tc>
        <w:tc>
          <w:tcPr>
            <w:tcW w:w="1794" w:type="dxa"/>
            <w:shd w:val="clear" w:color="auto" w:fill="F2F2F2" w:themeFill="background1" w:themeFillShade="F2"/>
            <w:noWrap/>
            <w:vAlign w:val="bottom"/>
            <w:hideMark/>
          </w:tcPr>
          <w:p w14:paraId="43961BF5" w14:textId="77777777" w:rsidR="003C3BEF" w:rsidRPr="00F92FF9" w:rsidRDefault="003C3BEF" w:rsidP="003C3BEF">
            <w:pPr>
              <w:spacing w:before="60" w:line="240" w:lineRule="auto"/>
              <w:jc w:val="center"/>
              <w:rPr>
                <w:color w:val="000000"/>
              </w:rPr>
            </w:pPr>
            <w:r w:rsidRPr="00F92FF9">
              <w:rPr>
                <w:color w:val="000000"/>
              </w:rPr>
              <w:t>0.033*</w:t>
            </w:r>
            <w:r w:rsidRPr="00F92FF9">
              <w:rPr>
                <w:color w:val="000000"/>
              </w:rPr>
              <w:br/>
              <w:t>[0.010, 0.057]</w:t>
            </w:r>
          </w:p>
        </w:tc>
        <w:tc>
          <w:tcPr>
            <w:tcW w:w="1794" w:type="dxa"/>
            <w:shd w:val="clear" w:color="auto" w:fill="F2F2F2" w:themeFill="background1" w:themeFillShade="F2"/>
            <w:noWrap/>
            <w:vAlign w:val="bottom"/>
            <w:hideMark/>
          </w:tcPr>
          <w:p w14:paraId="70BB4EAF" w14:textId="77777777" w:rsidR="003C3BEF" w:rsidRPr="00F92FF9" w:rsidRDefault="003C3BEF" w:rsidP="003C3BEF">
            <w:pPr>
              <w:spacing w:before="60" w:line="240" w:lineRule="auto"/>
              <w:jc w:val="center"/>
              <w:rPr>
                <w:color w:val="000000"/>
              </w:rPr>
            </w:pPr>
            <w:r w:rsidRPr="00F92FF9">
              <w:rPr>
                <w:color w:val="000000"/>
              </w:rPr>
              <w:t>0.032*</w:t>
            </w:r>
            <w:r w:rsidRPr="00F92FF9">
              <w:rPr>
                <w:color w:val="000000"/>
              </w:rPr>
              <w:br/>
              <w:t>[0.010, 0.053]</w:t>
            </w:r>
          </w:p>
        </w:tc>
      </w:tr>
      <w:tr w:rsidR="003C3BEF" w:rsidRPr="00F92FF9" w14:paraId="134345A5" w14:textId="77777777" w:rsidTr="003C3BEF">
        <w:trPr>
          <w:trHeight w:val="20"/>
        </w:trPr>
        <w:tc>
          <w:tcPr>
            <w:tcW w:w="2699" w:type="dxa"/>
            <w:shd w:val="clear" w:color="auto" w:fill="F2F2F2" w:themeFill="background1" w:themeFillShade="F2"/>
            <w:noWrap/>
            <w:vAlign w:val="bottom"/>
          </w:tcPr>
          <w:p w14:paraId="43E08C95" w14:textId="77777777" w:rsidR="003C3BEF" w:rsidRPr="00F92FF9" w:rsidRDefault="003C3BEF" w:rsidP="003C3BEF">
            <w:pPr>
              <w:spacing w:line="240" w:lineRule="auto"/>
              <w:rPr>
                <w:color w:val="000000"/>
              </w:rPr>
            </w:pPr>
          </w:p>
        </w:tc>
        <w:tc>
          <w:tcPr>
            <w:tcW w:w="578" w:type="dxa"/>
            <w:shd w:val="clear" w:color="auto" w:fill="F2F2F2" w:themeFill="background1" w:themeFillShade="F2"/>
            <w:noWrap/>
            <w:vAlign w:val="bottom"/>
          </w:tcPr>
          <w:p w14:paraId="187DFC42" w14:textId="77777777" w:rsidR="003C3BEF" w:rsidRPr="00F92FF9" w:rsidRDefault="003C3BEF" w:rsidP="003C3BEF">
            <w:pPr>
              <w:spacing w:line="240" w:lineRule="auto"/>
              <w:rPr>
                <w:color w:val="000000"/>
              </w:rPr>
            </w:pPr>
          </w:p>
        </w:tc>
        <w:tc>
          <w:tcPr>
            <w:tcW w:w="1793" w:type="dxa"/>
            <w:shd w:val="clear" w:color="auto" w:fill="F2F2F2" w:themeFill="background1" w:themeFillShade="F2"/>
            <w:noWrap/>
            <w:vAlign w:val="bottom"/>
            <w:hideMark/>
          </w:tcPr>
          <w:p w14:paraId="3443386F" w14:textId="77777777" w:rsidR="003C3BEF" w:rsidRPr="00F92FF9" w:rsidRDefault="003C3BEF" w:rsidP="003C3BEF">
            <w:pPr>
              <w:spacing w:after="60" w:line="240" w:lineRule="auto"/>
              <w:jc w:val="center"/>
              <w:rPr>
                <w:color w:val="000000"/>
              </w:rPr>
            </w:pPr>
            <w:r w:rsidRPr="00F92FF9">
              <w:rPr>
                <w:color w:val="000000"/>
              </w:rPr>
              <w:t xml:space="preserve">2.02 </w:t>
            </w:r>
            <w:r w:rsidRPr="00F92FF9">
              <w:rPr>
                <w:rFonts w:eastAsia="Hiragino Sans W2"/>
                <w:color w:val="000000"/>
              </w:rPr>
              <w:t xml:space="preserve">x </w:t>
            </w:r>
            <w:r w:rsidRPr="00F92FF9">
              <w:rPr>
                <w:color w:val="000000"/>
              </w:rPr>
              <w:t>10</w:t>
            </w:r>
            <w:r w:rsidRPr="00F92FF9">
              <w:rPr>
                <w:color w:val="000000"/>
                <w:vertAlign w:val="superscript"/>
              </w:rPr>
              <w:t>-4</w:t>
            </w:r>
          </w:p>
        </w:tc>
        <w:tc>
          <w:tcPr>
            <w:tcW w:w="1794" w:type="dxa"/>
            <w:shd w:val="clear" w:color="auto" w:fill="F2F2F2" w:themeFill="background1" w:themeFillShade="F2"/>
            <w:noWrap/>
            <w:vAlign w:val="bottom"/>
            <w:hideMark/>
          </w:tcPr>
          <w:p w14:paraId="11D8C69B" w14:textId="77777777" w:rsidR="003C3BEF" w:rsidRPr="00F92FF9" w:rsidRDefault="003C3BEF" w:rsidP="003C3BEF">
            <w:pPr>
              <w:spacing w:after="60" w:line="240" w:lineRule="auto"/>
              <w:jc w:val="center"/>
              <w:rPr>
                <w:color w:val="000000"/>
              </w:rPr>
            </w:pPr>
            <w:r w:rsidRPr="00F92FF9">
              <w:rPr>
                <w:color w:val="000000"/>
              </w:rPr>
              <w:t>0.006</w:t>
            </w:r>
          </w:p>
        </w:tc>
        <w:tc>
          <w:tcPr>
            <w:tcW w:w="1794" w:type="dxa"/>
            <w:shd w:val="clear" w:color="auto" w:fill="F2F2F2" w:themeFill="background1" w:themeFillShade="F2"/>
            <w:noWrap/>
            <w:vAlign w:val="bottom"/>
            <w:hideMark/>
          </w:tcPr>
          <w:p w14:paraId="4447D856" w14:textId="77777777" w:rsidR="003C3BEF" w:rsidRPr="00F92FF9" w:rsidRDefault="003C3BEF" w:rsidP="003C3BEF">
            <w:pPr>
              <w:spacing w:after="60" w:line="240" w:lineRule="auto"/>
              <w:jc w:val="center"/>
              <w:rPr>
                <w:color w:val="000000"/>
              </w:rPr>
            </w:pPr>
            <w:r w:rsidRPr="00F92FF9">
              <w:rPr>
                <w:color w:val="000000"/>
              </w:rPr>
              <w:t>0.003</w:t>
            </w:r>
          </w:p>
        </w:tc>
      </w:tr>
      <w:tr w:rsidR="003C3BEF" w:rsidRPr="00F92FF9" w14:paraId="3957296F" w14:textId="77777777" w:rsidTr="003C3BEF">
        <w:trPr>
          <w:trHeight w:val="20"/>
        </w:trPr>
        <w:tc>
          <w:tcPr>
            <w:tcW w:w="2699" w:type="dxa"/>
            <w:shd w:val="clear" w:color="auto" w:fill="auto"/>
            <w:noWrap/>
            <w:vAlign w:val="bottom"/>
            <w:hideMark/>
          </w:tcPr>
          <w:p w14:paraId="16D37BB9" w14:textId="77777777" w:rsidR="003C3BEF" w:rsidRPr="00F92FF9" w:rsidRDefault="003C3BEF" w:rsidP="003C3BEF">
            <w:pPr>
              <w:spacing w:line="240" w:lineRule="auto"/>
              <w:rPr>
                <w:color w:val="000000"/>
              </w:rPr>
            </w:pPr>
          </w:p>
        </w:tc>
        <w:tc>
          <w:tcPr>
            <w:tcW w:w="578" w:type="dxa"/>
            <w:shd w:val="clear" w:color="auto" w:fill="auto"/>
            <w:noWrap/>
            <w:vAlign w:val="bottom"/>
            <w:hideMark/>
          </w:tcPr>
          <w:p w14:paraId="4A3E2533" w14:textId="77777777" w:rsidR="003C3BEF" w:rsidRPr="00F92FF9" w:rsidRDefault="003C3BEF" w:rsidP="003C3BEF">
            <w:pPr>
              <w:spacing w:line="240" w:lineRule="auto"/>
              <w:rPr>
                <w:color w:val="000000"/>
              </w:rPr>
            </w:pPr>
            <w:r w:rsidRPr="00F92FF9">
              <w:rPr>
                <w:color w:val="000000"/>
              </w:rPr>
              <w:t>RT</w:t>
            </w:r>
          </w:p>
        </w:tc>
        <w:tc>
          <w:tcPr>
            <w:tcW w:w="1793" w:type="dxa"/>
            <w:shd w:val="clear" w:color="auto" w:fill="auto"/>
            <w:noWrap/>
            <w:vAlign w:val="bottom"/>
            <w:hideMark/>
          </w:tcPr>
          <w:p w14:paraId="4D25E9D2" w14:textId="77777777" w:rsidR="003C3BEF" w:rsidRPr="00F92FF9" w:rsidRDefault="003C3BEF" w:rsidP="003C3BEF">
            <w:pPr>
              <w:spacing w:before="60" w:line="240" w:lineRule="auto"/>
              <w:jc w:val="center"/>
              <w:rPr>
                <w:color w:val="000000"/>
              </w:rPr>
            </w:pPr>
            <w:r w:rsidRPr="00F92FF9">
              <w:rPr>
                <w:color w:val="000000"/>
              </w:rPr>
              <w:t>-0.017</w:t>
            </w:r>
            <w:r w:rsidRPr="00F92FF9">
              <w:rPr>
                <w:color w:val="000000"/>
              </w:rPr>
              <w:br/>
              <w:t>[-0.032, -0.001]</w:t>
            </w:r>
          </w:p>
        </w:tc>
        <w:tc>
          <w:tcPr>
            <w:tcW w:w="1794" w:type="dxa"/>
            <w:shd w:val="clear" w:color="auto" w:fill="auto"/>
            <w:noWrap/>
            <w:vAlign w:val="bottom"/>
            <w:hideMark/>
          </w:tcPr>
          <w:p w14:paraId="42880464" w14:textId="77777777" w:rsidR="003C3BEF" w:rsidRPr="00F92FF9" w:rsidRDefault="003C3BEF" w:rsidP="003C3BEF">
            <w:pPr>
              <w:spacing w:before="60" w:line="240" w:lineRule="auto"/>
              <w:jc w:val="center"/>
              <w:rPr>
                <w:color w:val="000000"/>
              </w:rPr>
            </w:pPr>
            <w:r w:rsidRPr="00F92FF9">
              <w:rPr>
                <w:color w:val="000000"/>
              </w:rPr>
              <w:t>-0.016</w:t>
            </w:r>
            <w:r w:rsidRPr="00F92FF9">
              <w:rPr>
                <w:color w:val="000000"/>
              </w:rPr>
              <w:br/>
              <w:t>[-0.039, 0.006]</w:t>
            </w:r>
          </w:p>
        </w:tc>
        <w:tc>
          <w:tcPr>
            <w:tcW w:w="1794" w:type="dxa"/>
            <w:shd w:val="clear" w:color="auto" w:fill="auto"/>
            <w:noWrap/>
            <w:vAlign w:val="bottom"/>
            <w:hideMark/>
          </w:tcPr>
          <w:p w14:paraId="771D47C4" w14:textId="77777777" w:rsidR="003C3BEF" w:rsidRPr="00F92FF9" w:rsidRDefault="003C3BEF" w:rsidP="003C3BEF">
            <w:pPr>
              <w:spacing w:before="60" w:line="240" w:lineRule="auto"/>
              <w:jc w:val="center"/>
              <w:rPr>
                <w:color w:val="000000"/>
              </w:rPr>
            </w:pPr>
            <w:r w:rsidRPr="00F92FF9">
              <w:rPr>
                <w:color w:val="000000"/>
              </w:rPr>
              <w:t>-0.015</w:t>
            </w:r>
            <w:r w:rsidRPr="00F92FF9">
              <w:rPr>
                <w:color w:val="000000"/>
              </w:rPr>
              <w:br/>
              <w:t>[-0.036, 0.006]</w:t>
            </w:r>
          </w:p>
        </w:tc>
      </w:tr>
      <w:tr w:rsidR="003C3BEF" w:rsidRPr="00F92FF9" w14:paraId="50917048" w14:textId="77777777" w:rsidTr="003C3BEF">
        <w:trPr>
          <w:trHeight w:val="20"/>
        </w:trPr>
        <w:tc>
          <w:tcPr>
            <w:tcW w:w="2699" w:type="dxa"/>
            <w:shd w:val="clear" w:color="auto" w:fill="auto"/>
            <w:noWrap/>
            <w:vAlign w:val="bottom"/>
          </w:tcPr>
          <w:p w14:paraId="5FDD4B48" w14:textId="77777777" w:rsidR="003C3BEF" w:rsidRPr="00F92FF9" w:rsidRDefault="003C3BEF" w:rsidP="003C3BEF">
            <w:pPr>
              <w:spacing w:line="240" w:lineRule="auto"/>
              <w:rPr>
                <w:color w:val="000000"/>
              </w:rPr>
            </w:pPr>
          </w:p>
        </w:tc>
        <w:tc>
          <w:tcPr>
            <w:tcW w:w="578" w:type="dxa"/>
            <w:shd w:val="clear" w:color="auto" w:fill="auto"/>
            <w:noWrap/>
            <w:vAlign w:val="bottom"/>
          </w:tcPr>
          <w:p w14:paraId="479DFFB1" w14:textId="77777777" w:rsidR="003C3BEF" w:rsidRPr="00F92FF9" w:rsidRDefault="003C3BEF" w:rsidP="003C3BEF">
            <w:pPr>
              <w:spacing w:line="240" w:lineRule="auto"/>
              <w:rPr>
                <w:color w:val="000000"/>
              </w:rPr>
            </w:pPr>
          </w:p>
        </w:tc>
        <w:tc>
          <w:tcPr>
            <w:tcW w:w="1793" w:type="dxa"/>
            <w:shd w:val="clear" w:color="auto" w:fill="auto"/>
            <w:noWrap/>
            <w:vAlign w:val="bottom"/>
            <w:hideMark/>
          </w:tcPr>
          <w:p w14:paraId="136710C8" w14:textId="77777777" w:rsidR="003C3BEF" w:rsidRPr="00F92FF9" w:rsidRDefault="003C3BEF" w:rsidP="003C3BEF">
            <w:pPr>
              <w:spacing w:after="60" w:line="240" w:lineRule="auto"/>
              <w:jc w:val="center"/>
              <w:rPr>
                <w:color w:val="000000"/>
              </w:rPr>
            </w:pPr>
            <w:r w:rsidRPr="00F92FF9">
              <w:rPr>
                <w:color w:val="000000"/>
              </w:rPr>
              <w:t>0.036</w:t>
            </w:r>
          </w:p>
        </w:tc>
        <w:tc>
          <w:tcPr>
            <w:tcW w:w="1794" w:type="dxa"/>
            <w:shd w:val="clear" w:color="auto" w:fill="auto"/>
            <w:noWrap/>
            <w:vAlign w:val="bottom"/>
            <w:hideMark/>
          </w:tcPr>
          <w:p w14:paraId="73FB7636" w14:textId="77777777" w:rsidR="003C3BEF" w:rsidRPr="00F92FF9" w:rsidRDefault="003C3BEF" w:rsidP="003C3BEF">
            <w:pPr>
              <w:spacing w:after="60" w:line="240" w:lineRule="auto"/>
              <w:jc w:val="center"/>
              <w:rPr>
                <w:color w:val="000000"/>
              </w:rPr>
            </w:pPr>
            <w:r w:rsidRPr="00F92FF9">
              <w:rPr>
                <w:color w:val="000000"/>
              </w:rPr>
              <w:t>0.159</w:t>
            </w:r>
          </w:p>
        </w:tc>
        <w:tc>
          <w:tcPr>
            <w:tcW w:w="1794" w:type="dxa"/>
            <w:shd w:val="clear" w:color="auto" w:fill="auto"/>
            <w:noWrap/>
            <w:vAlign w:val="bottom"/>
            <w:hideMark/>
          </w:tcPr>
          <w:p w14:paraId="10F2E03E" w14:textId="77777777" w:rsidR="003C3BEF" w:rsidRPr="00F92FF9" w:rsidRDefault="003C3BEF" w:rsidP="003C3BEF">
            <w:pPr>
              <w:spacing w:after="60" w:line="240" w:lineRule="auto"/>
              <w:jc w:val="center"/>
              <w:rPr>
                <w:color w:val="000000"/>
              </w:rPr>
            </w:pPr>
            <w:r w:rsidRPr="00F92FF9">
              <w:rPr>
                <w:color w:val="000000"/>
              </w:rPr>
              <w:t>0.171</w:t>
            </w:r>
          </w:p>
        </w:tc>
      </w:tr>
    </w:tbl>
    <w:p w14:paraId="0DAC830C" w14:textId="77777777" w:rsidR="003C3BEF" w:rsidRPr="00F92FF9" w:rsidRDefault="003C3BEF" w:rsidP="003C3BEF">
      <w:pPr>
        <w:spacing w:after="240" w:line="240" w:lineRule="auto"/>
        <w:jc w:val="center"/>
        <w:rPr>
          <w:b/>
          <w:bCs/>
        </w:rPr>
      </w:pPr>
      <w:r w:rsidRPr="00F92FF9">
        <w:rPr>
          <w:b/>
          <w:bCs/>
        </w:rPr>
        <w:t>Table 2. Multivariable linear regression models representing standard deviation change in fluid intelligence and reaction time per one standard deviation increase in CMR measures</w:t>
      </w:r>
    </w:p>
    <w:p w14:paraId="6635E611" w14:textId="70F390EE" w:rsidR="003C3BEF" w:rsidRPr="00F92FF9" w:rsidRDefault="003C3BEF" w:rsidP="003C3BEF">
      <w:pPr>
        <w:spacing w:before="120" w:line="240" w:lineRule="auto"/>
      </w:pPr>
      <w:r w:rsidRPr="00F92FF9">
        <w:rPr>
          <w:b/>
          <w:bCs/>
        </w:rPr>
        <w:t>Table 2 footnote.</w:t>
      </w:r>
      <w:r w:rsidRPr="00F92FF9">
        <w:t xml:space="preserve"> Results are standardised beta coefficients with 95% confidence interval and p-value. An asterisk indicates where the p-value is significant using a false discovery rate of 5%. Each cell represents results from an individual linear regression model. Models are adjusted for: age, sex (whole cohort only), education, deprivation, diabetes, hypertension, hypercholesterolaemia, prior myocardial infarction, smoking, alcohol, exercise. CMR: cardiovascular magnetic resonance; FI: fluid intelligence; </w:t>
      </w:r>
      <w:proofErr w:type="spellStart"/>
      <w:r w:rsidRPr="00F92FF9">
        <w:t>LVEDVi</w:t>
      </w:r>
      <w:proofErr w:type="spellEnd"/>
      <w:r w:rsidRPr="00F92FF9">
        <w:t xml:space="preserve">: left ventricular end-diastolic volume; LVEF: left ventricular ejection fraction; </w:t>
      </w:r>
      <w:proofErr w:type="spellStart"/>
      <w:r w:rsidRPr="00F92FF9">
        <w:t>LVESVi</w:t>
      </w:r>
      <w:proofErr w:type="spellEnd"/>
      <w:r w:rsidRPr="00F92FF9">
        <w:t xml:space="preserve">: left ventricular end-systolic volume; </w:t>
      </w:r>
      <w:proofErr w:type="spellStart"/>
      <w:r w:rsidRPr="00F92FF9">
        <w:t>LVSVi</w:t>
      </w:r>
      <w:proofErr w:type="spellEnd"/>
      <w:r w:rsidRPr="00F92FF9">
        <w:t xml:space="preserve">: left ventricular stroke volume; PDA </w:t>
      </w:r>
      <w:proofErr w:type="spellStart"/>
      <w:r w:rsidRPr="00F92FF9">
        <w:t>AoD</w:t>
      </w:r>
      <w:proofErr w:type="spellEnd"/>
      <w:r w:rsidRPr="00F92FF9">
        <w:t xml:space="preserve">: Aortic distensibility at the proximal descending aorta. RT: reaction time. i denotes indexation to body surface area. PDA </w:t>
      </w:r>
      <w:proofErr w:type="spellStart"/>
      <w:r w:rsidRPr="00F92FF9">
        <w:t>AoD</w:t>
      </w:r>
      <w:proofErr w:type="spellEnd"/>
      <w:r w:rsidRPr="00F92FF9">
        <w:t xml:space="preserve"> has been scaled to remove skew.</w:t>
      </w:r>
      <w:r w:rsidRPr="00F92FF9">
        <w:br w:type="page"/>
      </w:r>
    </w:p>
    <w:p w14:paraId="4B0BDB45" w14:textId="4CF3899F" w:rsidR="003C3BEF" w:rsidRPr="00F92FF9" w:rsidRDefault="003C3BEF" w:rsidP="003C3BEF">
      <w:pPr>
        <w:spacing w:before="120" w:line="240" w:lineRule="auto"/>
        <w:rPr>
          <w:b/>
          <w:bCs/>
        </w:rPr>
      </w:pPr>
      <w:r w:rsidRPr="00F92FF9">
        <w:rPr>
          <w:b/>
          <w:bCs/>
        </w:rPr>
        <w:lastRenderedPageBreak/>
        <w:t>Figure legends</w:t>
      </w:r>
    </w:p>
    <w:p w14:paraId="35F3657D" w14:textId="77777777" w:rsidR="003C3BEF" w:rsidRPr="00F92FF9" w:rsidRDefault="003C3BEF" w:rsidP="003C3BEF">
      <w:pPr>
        <w:spacing w:before="120" w:line="240" w:lineRule="auto"/>
      </w:pPr>
    </w:p>
    <w:p w14:paraId="3AD6760B" w14:textId="531E179D" w:rsidR="003C3BEF" w:rsidRPr="00F92FF9" w:rsidRDefault="003C3BEF" w:rsidP="003C3BEF">
      <w:pPr>
        <w:rPr>
          <w:b/>
          <w:bCs/>
        </w:rPr>
      </w:pPr>
      <w:r w:rsidRPr="00F92FF9">
        <w:rPr>
          <w:b/>
          <w:bCs/>
        </w:rPr>
        <w:t>Figure 1 footnote. CMR: cardiovascular magnetic resonance; FI: fluid intelligence; RT: reaction time</w:t>
      </w:r>
    </w:p>
    <w:p w14:paraId="447CC2B2" w14:textId="0145F1BF" w:rsidR="003C3BEF" w:rsidRPr="00F92FF9" w:rsidRDefault="003C3BEF" w:rsidP="003C3BEF">
      <w:pPr>
        <w:rPr>
          <w:b/>
          <w:bCs/>
        </w:rPr>
      </w:pPr>
    </w:p>
    <w:p w14:paraId="0D39B2B4" w14:textId="25438F68" w:rsidR="003C3BEF" w:rsidRPr="00F92FF9" w:rsidRDefault="003C3BEF" w:rsidP="003C3BEF">
      <w:r w:rsidRPr="00F92FF9">
        <w:rPr>
          <w:b/>
          <w:bCs/>
        </w:rPr>
        <w:t xml:space="preserve">Figure 2 footnote. </w:t>
      </w:r>
      <w:r w:rsidRPr="00F92FF9">
        <w:t>Each graph displays a kernel density plot of one CMR variable against one cognition variable. The nine coloured rings each represent a decile of the data, while the remaining 10% lies in the uncoloured area. Univariate linear regression is shown by black line. All plot areas are trimmed at the 1</w:t>
      </w:r>
      <w:r w:rsidRPr="00F92FF9">
        <w:rPr>
          <w:vertAlign w:val="superscript"/>
        </w:rPr>
        <w:t>st</w:t>
      </w:r>
      <w:r w:rsidRPr="00F92FF9">
        <w:t xml:space="preserve"> and 99</w:t>
      </w:r>
      <w:r w:rsidRPr="00F92FF9">
        <w:rPr>
          <w:vertAlign w:val="superscript"/>
        </w:rPr>
        <w:t>th</w:t>
      </w:r>
      <w:r w:rsidRPr="00F92FF9">
        <w:t xml:space="preserve"> percentile in both x and y directions. Fluid intelligence has had uniform random jitter/noise (-0.5, 0.5) added for visual smoothing. CMR: cardiovascular magnetic resonance; </w:t>
      </w:r>
      <w:proofErr w:type="spellStart"/>
      <w:r w:rsidRPr="00F92FF9">
        <w:t>LVEDVi</w:t>
      </w:r>
      <w:proofErr w:type="spellEnd"/>
      <w:r w:rsidRPr="00F92FF9">
        <w:t xml:space="preserve">: left ventricular end-diastolic volume; LVEF: left ventricular ejection fraction; </w:t>
      </w:r>
      <w:proofErr w:type="spellStart"/>
      <w:r w:rsidRPr="00F92FF9">
        <w:t>LVESVi</w:t>
      </w:r>
      <w:proofErr w:type="spellEnd"/>
      <w:r w:rsidRPr="00F92FF9">
        <w:t xml:space="preserve">: left ventricular end-systolic volume; </w:t>
      </w:r>
      <w:proofErr w:type="spellStart"/>
      <w:r w:rsidRPr="00F92FF9">
        <w:t>LVSVi</w:t>
      </w:r>
      <w:proofErr w:type="spellEnd"/>
      <w:r w:rsidRPr="00F92FF9">
        <w:t xml:space="preserve">: left ventricular stroke volume; PDA </w:t>
      </w:r>
      <w:proofErr w:type="spellStart"/>
      <w:r w:rsidRPr="00F92FF9">
        <w:t>AoD</w:t>
      </w:r>
      <w:proofErr w:type="spellEnd"/>
      <w:r w:rsidRPr="00F92FF9">
        <w:t>: Aortic distensibility at the proximal descending aorta. i denotes indexation to body surface area.</w:t>
      </w:r>
    </w:p>
    <w:p w14:paraId="7357E002" w14:textId="77777777" w:rsidR="003C3BEF" w:rsidRPr="00F92FF9" w:rsidRDefault="003C3BEF" w:rsidP="003C3BEF"/>
    <w:p w14:paraId="5B5DA21B" w14:textId="77777777" w:rsidR="003C3BEF" w:rsidRPr="00F92FF9" w:rsidRDefault="003C3BEF" w:rsidP="003C3BEF">
      <w:r w:rsidRPr="00F92FF9">
        <w:rPr>
          <w:b/>
          <w:bCs/>
        </w:rPr>
        <w:t xml:space="preserve">Figure 3 footnote. </w:t>
      </w:r>
      <w:r w:rsidRPr="00F92FF9">
        <w:t>Each graph displays a kernel density plot of one CMR variable against one cognition variable. The nine coloured rings each represent a decile of the data, while the remaining 10% lies in the uncoloured area. Univariate linear regression is shown by black line. All plot areas are trimmed at the 1</w:t>
      </w:r>
      <w:r w:rsidRPr="00F92FF9">
        <w:rPr>
          <w:vertAlign w:val="superscript"/>
        </w:rPr>
        <w:t>st</w:t>
      </w:r>
      <w:r w:rsidRPr="00F92FF9">
        <w:t xml:space="preserve"> and 99</w:t>
      </w:r>
      <w:r w:rsidRPr="00F92FF9">
        <w:rPr>
          <w:vertAlign w:val="superscript"/>
        </w:rPr>
        <w:t>th</w:t>
      </w:r>
      <w:r w:rsidRPr="00F92FF9">
        <w:t xml:space="preserve"> percentile in both x and y directions. CMR: cardiovascular magnetic resonance; </w:t>
      </w:r>
      <w:proofErr w:type="spellStart"/>
      <w:r w:rsidRPr="00F92FF9">
        <w:t>LVEDVi</w:t>
      </w:r>
      <w:proofErr w:type="spellEnd"/>
      <w:r w:rsidRPr="00F92FF9">
        <w:t xml:space="preserve">: left ventricular end-diastolic volume; LVEF: left ventricular ejection fraction; </w:t>
      </w:r>
      <w:proofErr w:type="spellStart"/>
      <w:r w:rsidRPr="00F92FF9">
        <w:t>LVESVi</w:t>
      </w:r>
      <w:proofErr w:type="spellEnd"/>
      <w:r w:rsidRPr="00F92FF9">
        <w:t xml:space="preserve">: left ventricular end-systolic volume; </w:t>
      </w:r>
      <w:proofErr w:type="spellStart"/>
      <w:r w:rsidRPr="00F92FF9">
        <w:t>LVSVi</w:t>
      </w:r>
      <w:proofErr w:type="spellEnd"/>
      <w:r w:rsidRPr="00F92FF9">
        <w:t xml:space="preserve">: left ventricular stroke volume; PDA </w:t>
      </w:r>
      <w:proofErr w:type="spellStart"/>
      <w:r w:rsidRPr="00F92FF9">
        <w:t>AoD</w:t>
      </w:r>
      <w:proofErr w:type="spellEnd"/>
      <w:r w:rsidRPr="00F92FF9">
        <w:t>: Aortic distensibility at the proximal descending aorta. i denotes indexation to body surface area.</w:t>
      </w:r>
    </w:p>
    <w:p w14:paraId="2FC0B9D2" w14:textId="0FA57141" w:rsidR="003C3BEF" w:rsidRPr="00F92FF9" w:rsidRDefault="003C3BEF" w:rsidP="003C3BEF"/>
    <w:p w14:paraId="7711BD1D" w14:textId="0BAB788C" w:rsidR="003C3BEF" w:rsidRPr="00F92FF9" w:rsidRDefault="003C3BEF" w:rsidP="003C3BEF">
      <w:pPr>
        <w:rPr>
          <w:b/>
          <w:bCs/>
        </w:rPr>
      </w:pPr>
      <w:r w:rsidRPr="00F92FF9">
        <w:rPr>
          <w:b/>
          <w:bCs/>
        </w:rPr>
        <w:t xml:space="preserve">Figure 4 footnote: </w:t>
      </w:r>
      <w:r w:rsidRPr="00F92FF9">
        <w:t>Figure created with BioRender.com</w:t>
      </w:r>
      <w:r w:rsidRPr="00F92FF9">
        <w:br w:type="page"/>
      </w:r>
    </w:p>
    <w:p w14:paraId="7E90F24C" w14:textId="77777777" w:rsidR="003C3BEF" w:rsidRPr="00F92FF9" w:rsidRDefault="003C3BEF" w:rsidP="003C3BEF">
      <w:pPr>
        <w:jc w:val="center"/>
        <w:rPr>
          <w:b/>
          <w:bCs/>
        </w:rPr>
      </w:pPr>
      <w:r w:rsidRPr="00F92FF9">
        <w:rPr>
          <w:b/>
          <w:bCs/>
        </w:rPr>
        <w:lastRenderedPageBreak/>
        <w:t>Figure 1. Flow chart of UK Biobank participants included in the analysis</w:t>
      </w:r>
    </w:p>
    <w:p w14:paraId="19AC5C0D" w14:textId="77777777" w:rsidR="003C3BEF" w:rsidRPr="00F92FF9" w:rsidRDefault="003C3BEF" w:rsidP="003C3BEF">
      <w:r w:rsidRPr="00F92FF9">
        <w:rPr>
          <w:noProof/>
        </w:rPr>
        <mc:AlternateContent>
          <mc:Choice Requires="wpg">
            <w:drawing>
              <wp:anchor distT="0" distB="0" distL="114300" distR="114300" simplePos="0" relativeHeight="251660288" behindDoc="0" locked="0" layoutInCell="1" allowOverlap="1" wp14:anchorId="56E1E861" wp14:editId="539C05B5">
                <wp:simplePos x="0" y="0"/>
                <wp:positionH relativeFrom="column">
                  <wp:posOffset>1347537</wp:posOffset>
                </wp:positionH>
                <wp:positionV relativeFrom="paragraph">
                  <wp:posOffset>101867</wp:posOffset>
                </wp:positionV>
                <wp:extent cx="3286377" cy="4997713"/>
                <wp:effectExtent l="0" t="0" r="15875" b="19050"/>
                <wp:wrapNone/>
                <wp:docPr id="1" name="Group 18"/>
                <wp:cNvGraphicFramePr/>
                <a:graphic xmlns:a="http://schemas.openxmlformats.org/drawingml/2006/main">
                  <a:graphicData uri="http://schemas.microsoft.com/office/word/2010/wordprocessingGroup">
                    <wpg:wgp>
                      <wpg:cNvGrpSpPr/>
                      <wpg:grpSpPr>
                        <a:xfrm>
                          <a:off x="0" y="0"/>
                          <a:ext cx="3286377" cy="4997713"/>
                          <a:chOff x="0" y="0"/>
                          <a:chExt cx="3286377" cy="4997713"/>
                        </a:xfrm>
                      </wpg:grpSpPr>
                      <wps:wsp>
                        <wps:cNvPr id="16" name="Rectangle 16"/>
                        <wps:cNvSpPr/>
                        <wps:spPr>
                          <a:xfrm>
                            <a:off x="855295" y="0"/>
                            <a:ext cx="1618123" cy="443491"/>
                          </a:xfrm>
                          <a:prstGeom prst="rect">
                            <a:avLst/>
                          </a:prstGeom>
                        </wps:spPr>
                        <wps:style>
                          <a:lnRef idx="2">
                            <a:schemeClr val="dk1"/>
                          </a:lnRef>
                          <a:fillRef idx="1">
                            <a:schemeClr val="lt1"/>
                          </a:fillRef>
                          <a:effectRef idx="0">
                            <a:schemeClr val="dk1"/>
                          </a:effectRef>
                          <a:fontRef idx="minor">
                            <a:schemeClr val="dk1"/>
                          </a:fontRef>
                        </wps:style>
                        <wps:txbx>
                          <w:txbxContent>
                            <w:p w14:paraId="0CE5E4C4"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Baseline UK Biobank visit</w:t>
                              </w:r>
                            </w:p>
                            <w:p w14:paraId="6A85F669" w14:textId="77777777" w:rsidR="00966C57" w:rsidRDefault="00966C57" w:rsidP="003C3BEF">
                              <w:pPr>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502,505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581012" y="763400"/>
                            <a:ext cx="1705227" cy="481460"/>
                          </a:xfrm>
                          <a:prstGeom prst="rect">
                            <a:avLst/>
                          </a:prstGeom>
                        </wps:spPr>
                        <wps:style>
                          <a:lnRef idx="2">
                            <a:schemeClr val="dk1"/>
                          </a:lnRef>
                          <a:fillRef idx="1">
                            <a:schemeClr val="lt1"/>
                          </a:fillRef>
                          <a:effectRef idx="0">
                            <a:schemeClr val="dk1"/>
                          </a:effectRef>
                          <a:fontRef idx="minor">
                            <a:schemeClr val="dk1"/>
                          </a:fontRef>
                        </wps:style>
                        <wps:txbx>
                          <w:txbxContent>
                            <w:p w14:paraId="4BD9FE88"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Participants withdrawn as of 02/08/2020</w:t>
                              </w:r>
                              <w:r>
                                <w:rPr>
                                  <w:rFonts w:ascii="Arial" w:eastAsia="Calibri" w:hAnsi="Arial" w:cstheme="minorBidi"/>
                                  <w:color w:val="000000"/>
                                  <w:kern w:val="24"/>
                                  <w:sz w:val="18"/>
                                  <w:szCs w:val="18"/>
                                </w:rPr>
                                <w:br/>
                                <w:t>n= 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739491" y="1414685"/>
                            <a:ext cx="1546886" cy="547085"/>
                          </a:xfrm>
                          <a:prstGeom prst="rect">
                            <a:avLst/>
                          </a:prstGeom>
                        </wps:spPr>
                        <wps:style>
                          <a:lnRef idx="2">
                            <a:schemeClr val="dk1"/>
                          </a:lnRef>
                          <a:fillRef idx="1">
                            <a:schemeClr val="lt1"/>
                          </a:fillRef>
                          <a:effectRef idx="0">
                            <a:schemeClr val="dk1"/>
                          </a:effectRef>
                          <a:fontRef idx="minor">
                            <a:schemeClr val="dk1"/>
                          </a:fontRef>
                        </wps:style>
                        <wps:txbx>
                          <w:txbxContent>
                            <w:p w14:paraId="6426503D" w14:textId="77777777" w:rsidR="00966C57" w:rsidRDefault="00966C57" w:rsidP="003C3BEF">
                              <w:pPr>
                                <w:spacing w:line="276"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Participants excluded due to dementia</w:t>
                              </w:r>
                              <w:r>
                                <w:rPr>
                                  <w:rFonts w:ascii="Arial" w:eastAsia="Calibri" w:hAnsi="Arial" w:cstheme="minorBidi"/>
                                  <w:color w:val="000000"/>
                                  <w:kern w:val="24"/>
                                  <w:sz w:val="18"/>
                                  <w:szCs w:val="18"/>
                                </w:rPr>
                                <w:br/>
                                <w:t>n= 2,732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79267" y="2329785"/>
                            <a:ext cx="1994147" cy="445920"/>
                          </a:xfrm>
                          <a:prstGeom prst="rect">
                            <a:avLst/>
                          </a:prstGeom>
                        </wps:spPr>
                        <wps:style>
                          <a:lnRef idx="2">
                            <a:schemeClr val="dk1"/>
                          </a:lnRef>
                          <a:fillRef idx="1">
                            <a:schemeClr val="lt1"/>
                          </a:fillRef>
                          <a:effectRef idx="0">
                            <a:schemeClr val="dk1"/>
                          </a:effectRef>
                          <a:fontRef idx="minor">
                            <a:schemeClr val="dk1"/>
                          </a:fontRef>
                        </wps:style>
                        <wps:txbx>
                          <w:txbxContent>
                            <w:p w14:paraId="55BF8FAC"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UK Biobank Main set</w:t>
                              </w:r>
                            </w:p>
                            <w:p w14:paraId="30F7A588"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499,762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918215" y="4503100"/>
                            <a:ext cx="1378881" cy="494613"/>
                          </a:xfrm>
                          <a:prstGeom prst="rect">
                            <a:avLst/>
                          </a:prstGeom>
                        </wps:spPr>
                        <wps:style>
                          <a:lnRef idx="2">
                            <a:schemeClr val="dk1"/>
                          </a:lnRef>
                          <a:fillRef idx="1">
                            <a:schemeClr val="lt1"/>
                          </a:fillRef>
                          <a:effectRef idx="0">
                            <a:schemeClr val="dk1"/>
                          </a:effectRef>
                          <a:fontRef idx="minor">
                            <a:schemeClr val="dk1"/>
                          </a:fontRef>
                        </wps:style>
                        <wps:txbx>
                          <w:txbxContent>
                            <w:p w14:paraId="46BF0379"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CMR and at least one of FI or RT</w:t>
                              </w:r>
                            </w:p>
                            <w:p w14:paraId="28F5157F"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29,763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a:cxnSpLocks/>
                        </wps:cNvCnPr>
                        <wps:spPr>
                          <a:xfrm>
                            <a:off x="1101728" y="996110"/>
                            <a:ext cx="464832" cy="0"/>
                          </a:xfrm>
                          <a:prstGeom prst="straightConnector1">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cxnSpLocks/>
                        </wps:cNvCnPr>
                        <wps:spPr>
                          <a:xfrm>
                            <a:off x="1101728" y="1681613"/>
                            <a:ext cx="643015" cy="0"/>
                          </a:xfrm>
                          <a:prstGeom prst="straightConnector1">
                            <a:avLst/>
                          </a:prstGeom>
                          <a:ln w="12700">
                            <a:solidFill>
                              <a:schemeClr val="tx1"/>
                            </a:solidFill>
                            <a:headEnd type="none" w="med" len="med"/>
                            <a:tailEnd type="arrow" w="lg" len="lg"/>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1910102" y="3454558"/>
                            <a:ext cx="1081009" cy="586757"/>
                          </a:xfrm>
                          <a:prstGeom prst="rect">
                            <a:avLst/>
                          </a:prstGeom>
                        </wps:spPr>
                        <wps:style>
                          <a:lnRef idx="2">
                            <a:schemeClr val="dk1"/>
                          </a:lnRef>
                          <a:fillRef idx="1">
                            <a:schemeClr val="lt1"/>
                          </a:fillRef>
                          <a:effectRef idx="0">
                            <a:schemeClr val="dk1"/>
                          </a:effectRef>
                          <a:fontRef idx="minor">
                            <a:schemeClr val="dk1"/>
                          </a:fontRef>
                        </wps:style>
                        <wps:txbx>
                          <w:txbxContent>
                            <w:p w14:paraId="713BCF1B"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CMR Imaging</w:t>
                              </w:r>
                            </w:p>
                            <w:p w14:paraId="1E8540E3"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32,107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3458850"/>
                            <a:ext cx="1273788" cy="586757"/>
                          </a:xfrm>
                          <a:prstGeom prst="rect">
                            <a:avLst/>
                          </a:prstGeom>
                        </wps:spPr>
                        <wps:style>
                          <a:lnRef idx="2">
                            <a:schemeClr val="dk1"/>
                          </a:lnRef>
                          <a:fillRef idx="1">
                            <a:schemeClr val="lt1"/>
                          </a:fillRef>
                          <a:effectRef idx="0">
                            <a:schemeClr val="dk1"/>
                          </a:effectRef>
                          <a:fontRef idx="minor">
                            <a:schemeClr val="dk1"/>
                          </a:fontRef>
                        </wps:style>
                        <wps:txbx>
                          <w:txbxContent>
                            <w:p w14:paraId="03159480"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Cognitive functioning (RT or FI) at imaging  n= 45,722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cxnSpLocks/>
                        </wps:cNvCnPr>
                        <wps:spPr>
                          <a:xfrm rot="5400000">
                            <a:off x="760155" y="2652446"/>
                            <a:ext cx="683145" cy="929665"/>
                          </a:xfrm>
                          <a:prstGeom prst="bentConnector3">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cxnSpLocks/>
                        </wps:cNvCnPr>
                        <wps:spPr>
                          <a:xfrm rot="16200000" flipH="1">
                            <a:off x="1669158" y="2673108"/>
                            <a:ext cx="678853" cy="884047"/>
                          </a:xfrm>
                          <a:prstGeom prst="bentConnector3">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wps:spPr>
                          <a:xfrm rot="5400000">
                            <a:off x="1798239" y="3850731"/>
                            <a:ext cx="461785" cy="842951"/>
                          </a:xfrm>
                          <a:prstGeom prst="bentConnector3">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s:wsp>
                        <wps:cNvPr id="30" name="Elbow Connector 30"/>
                        <wps:cNvCnPr/>
                        <wps:spPr>
                          <a:xfrm rot="16200000" flipH="1">
                            <a:off x="893528" y="3788973"/>
                            <a:ext cx="457492" cy="970761"/>
                          </a:xfrm>
                          <a:prstGeom prst="bentConnector3">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cxnSpLocks/>
                        </wps:cNvCnPr>
                        <wps:spPr>
                          <a:xfrm>
                            <a:off x="1101728" y="440688"/>
                            <a:ext cx="0" cy="1889098"/>
                          </a:xfrm>
                          <a:prstGeom prst="straightConnector1">
                            <a:avLst/>
                          </a:prstGeom>
                          <a:ln w="12700">
                            <a:solidFill>
                              <a:schemeClr val="tx1"/>
                            </a:solidFill>
                            <a:headEnd type="none" w="med" len="med"/>
                            <a:tailEnd type="arrow" w="lg"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E1E861" id="Group 18" o:spid="_x0000_s1026" style="position:absolute;margin-left:106.1pt;margin-top:8pt;width:258.75pt;height:393.5pt;z-index:251660288" coordsize="32863,4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">
                <v:rect id="Rectangle 16" o:spid="_x0000_s1027" style="position:absolute;left:8552;width:16182;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0CE5E4C4"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Baseline UK Biobank visit</w:t>
                        </w:r>
                      </w:p>
                      <w:p w14:paraId="6A85F669" w14:textId="77777777" w:rsidR="00966C57" w:rsidRDefault="00966C57" w:rsidP="003C3BEF">
                        <w:pPr>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502,505</w:t>
                        </w:r>
                      </w:p>
                    </w:txbxContent>
                  </v:textbox>
                </v:rect>
                <v:rect id="Rectangle 18" o:spid="_x0000_s1028" style="position:absolute;left:15810;top:7634;width:17052;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4BD9FE88"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Participants withdrawn as of 02/08/2020</w:t>
                        </w:r>
                        <w:r>
                          <w:rPr>
                            <w:rFonts w:ascii="Arial" w:eastAsia="Calibri" w:hAnsi="Arial" w:cstheme="minorBidi"/>
                            <w:color w:val="000000"/>
                            <w:kern w:val="24"/>
                            <w:sz w:val="18"/>
                            <w:szCs w:val="18"/>
                          </w:rPr>
                          <w:br/>
                          <w:t>n= 11</w:t>
                        </w:r>
                      </w:p>
                    </w:txbxContent>
                  </v:textbox>
                </v:rect>
                <v:rect id="Rectangle 19" o:spid="_x0000_s1029" style="position:absolute;left:17394;top:14146;width:15469;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426503D" w14:textId="77777777" w:rsidR="00966C57" w:rsidRDefault="00966C57" w:rsidP="003C3BEF">
                        <w:pPr>
                          <w:spacing w:line="276"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Participants excluded due to dementia</w:t>
                        </w:r>
                        <w:r>
                          <w:rPr>
                            <w:rFonts w:ascii="Arial" w:eastAsia="Calibri" w:hAnsi="Arial" w:cstheme="minorBidi"/>
                            <w:color w:val="000000"/>
                            <w:kern w:val="24"/>
                            <w:sz w:val="18"/>
                            <w:szCs w:val="18"/>
                          </w:rPr>
                          <w:br/>
                          <w:t>n= 2,732</w:t>
                        </w:r>
                      </w:p>
                    </w:txbxContent>
                  </v:textbox>
                </v:rect>
                <v:rect id="Rectangle 20" o:spid="_x0000_s1030" style="position:absolute;left:4792;top:23297;width:19942;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55BF8FAC"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UK Biobank Main set</w:t>
                        </w:r>
                      </w:p>
                      <w:p w14:paraId="30F7A588"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499,762</w:t>
                        </w:r>
                      </w:p>
                    </w:txbxContent>
                  </v:textbox>
                </v:rect>
                <v:rect id="Rectangle 21" o:spid="_x0000_s1031" style="position:absolute;left:9182;top:45031;width:13788;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46BF0379"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CMR and at least one of FI or RT</w:t>
                        </w:r>
                      </w:p>
                      <w:p w14:paraId="28F5157F"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29,763</w:t>
                        </w:r>
                      </w:p>
                    </w:txbxContent>
                  </v:textbox>
                </v:rect>
                <v:shapetype id="_x0000_t32" coordsize="21600,21600" o:spt="32" o:oned="t" path="m,l21600,21600e" filled="f">
                  <v:path arrowok="t" fillok="f" o:connecttype="none"/>
                  <o:lock v:ext="edit" shapetype="t"/>
                </v:shapetype>
                <v:shape id="Straight Arrow Connector 22" o:spid="_x0000_s1032" type="#_x0000_t32" style="position:absolute;left:11017;top:9961;width:4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" strokecolor="black [3213]" strokeweight="1pt">
                  <v:stroke endarrow="open" endarrowwidth="wide" joinstyle="miter"/>
                  <o:lock v:ext="edit" shapetype="f"/>
                </v:shape>
                <v:shape id="Straight Arrow Connector 24" o:spid="_x0000_s1033" type="#_x0000_t32" style="position:absolute;left:11017;top:16816;width:6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" strokecolor="black [3213]" strokeweight="1pt">
                  <v:stroke endarrow="open" endarrowwidth="wide" endarrowlength="long" joinstyle="miter"/>
                  <o:lock v:ext="edit" shapetype="f"/>
                </v:shape>
                <v:rect id="Rectangle 25" o:spid="_x0000_s1034" style="position:absolute;left:19101;top:34545;width:10810;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13BCF1B"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CMR Imaging</w:t>
                        </w:r>
                      </w:p>
                      <w:p w14:paraId="1E8540E3"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n= 32,107</w:t>
                        </w:r>
                      </w:p>
                    </w:txbxContent>
                  </v:textbox>
                </v:rect>
                <v:rect id="Rectangle 26" o:spid="_x0000_s1035" style="position:absolute;top:34588;width:12737;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w:txbxContent>
                      <w:p w14:paraId="03159480" w14:textId="77777777" w:rsidR="00966C57" w:rsidRDefault="00966C57" w:rsidP="003C3BEF">
                        <w:pPr>
                          <w:spacing w:line="240" w:lineRule="auto"/>
                          <w:jc w:val="center"/>
                          <w:rPr>
                            <w:rFonts w:ascii="Arial" w:eastAsia="Calibri" w:hAnsi="Arial" w:cstheme="minorBidi"/>
                            <w:color w:val="000000"/>
                            <w:kern w:val="24"/>
                            <w:sz w:val="18"/>
                            <w:szCs w:val="18"/>
                          </w:rPr>
                        </w:pPr>
                        <w:r>
                          <w:rPr>
                            <w:rFonts w:ascii="Arial" w:eastAsia="Calibri" w:hAnsi="Arial" w:cstheme="minorBidi"/>
                            <w:color w:val="000000"/>
                            <w:kern w:val="24"/>
                            <w:sz w:val="18"/>
                            <w:szCs w:val="18"/>
                          </w:rPr>
                          <w:t>Cognitive functioning (RT or FI) at imaging  n= 45,722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36" type="#_x0000_t34" style="position:absolute;left:7601;top:26524;width:6831;height:92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" strokecolor="black [3213]" strokeweight="1pt">
                  <v:stroke endarrow="open" endarrowwidth="wide"/>
                  <o:lock v:ext="edit" shapetype="f"/>
                </v:shape>
                <v:shape id="Elbow Connector 28" o:spid="_x0000_s1037" type="#_x0000_t34" style="position:absolute;left:16692;top:26730;width:6788;height:88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" strokecolor="black [3213]" strokeweight="1pt">
                  <v:stroke endarrow="open" endarrowwidth="wide"/>
                  <o:lock v:ext="edit" shapetype="f"/>
                </v:shape>
                <v:shape id="Elbow Connector 29" o:spid="_x0000_s1038" type="#_x0000_t34" style="position:absolute;left:17982;top:38507;width:4617;height:84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" strokecolor="black [3213]" strokeweight="1pt">
                  <v:stroke endarrow="open" endarrowwidth="wide"/>
                </v:shape>
                <v:shape id="Elbow Connector 30" o:spid="_x0000_s1039" type="#_x0000_t34" style="position:absolute;left:8934;top:37890;width:4575;height:97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" strokecolor="black [3213]" strokeweight="1pt">
                  <v:stroke endarrow="open" endarrowwidth="wide"/>
                </v:shape>
                <v:shape id="Straight Arrow Connector 31" o:spid="_x0000_s1040" type="#_x0000_t32" style="position:absolute;left:11017;top:4406;width:0;height:18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" strokecolor="black [3213]" strokeweight="1pt">
                  <v:stroke endarrow="open" endarrowwidth="wide" joinstyle="miter"/>
                  <o:lock v:ext="edit" shapetype="f"/>
                </v:shape>
              </v:group>
            </w:pict>
          </mc:Fallback>
        </mc:AlternateContent>
      </w:r>
    </w:p>
    <w:p w14:paraId="04541DBE" w14:textId="77777777" w:rsidR="003C3BEF" w:rsidRPr="00F92FF9" w:rsidRDefault="003C3BEF" w:rsidP="003C3BEF"/>
    <w:p w14:paraId="2A05AC49" w14:textId="77777777" w:rsidR="003C3BEF" w:rsidRPr="00F92FF9" w:rsidRDefault="003C3BEF" w:rsidP="003C3BEF"/>
    <w:p w14:paraId="36AF3114" w14:textId="77777777" w:rsidR="003C3BEF" w:rsidRPr="00F92FF9" w:rsidRDefault="003C3BEF" w:rsidP="003C3BEF"/>
    <w:p w14:paraId="79FAADD2" w14:textId="77777777" w:rsidR="003C3BEF" w:rsidRPr="00F92FF9" w:rsidRDefault="003C3BEF" w:rsidP="003C3BEF"/>
    <w:p w14:paraId="20EB3E29" w14:textId="77777777" w:rsidR="003C3BEF" w:rsidRPr="00F92FF9" w:rsidRDefault="003C3BEF" w:rsidP="003C3BEF"/>
    <w:p w14:paraId="2D0DBA6A" w14:textId="77777777" w:rsidR="003C3BEF" w:rsidRPr="00F92FF9" w:rsidRDefault="003C3BEF" w:rsidP="003C3BEF"/>
    <w:p w14:paraId="02B54A28" w14:textId="77777777" w:rsidR="003C3BEF" w:rsidRPr="00F92FF9" w:rsidRDefault="003C3BEF" w:rsidP="003C3BEF"/>
    <w:p w14:paraId="7FEA853E" w14:textId="77777777" w:rsidR="003C3BEF" w:rsidRPr="00F92FF9" w:rsidRDefault="003C3BEF" w:rsidP="003C3BEF"/>
    <w:p w14:paraId="63069BE0" w14:textId="77777777" w:rsidR="003C3BEF" w:rsidRPr="00F92FF9" w:rsidRDefault="003C3BEF" w:rsidP="003C3BEF"/>
    <w:p w14:paraId="0F96D6FD" w14:textId="77777777" w:rsidR="003C3BEF" w:rsidRPr="00F92FF9" w:rsidRDefault="003C3BEF" w:rsidP="003C3BEF"/>
    <w:p w14:paraId="28C26FFE" w14:textId="77777777" w:rsidR="003C3BEF" w:rsidRPr="00F92FF9" w:rsidRDefault="003C3BEF" w:rsidP="003C3BEF"/>
    <w:p w14:paraId="464F3312" w14:textId="77777777" w:rsidR="003C3BEF" w:rsidRPr="00F92FF9" w:rsidRDefault="003C3BEF" w:rsidP="003C3BEF"/>
    <w:p w14:paraId="67672489" w14:textId="77777777" w:rsidR="003C3BEF" w:rsidRPr="00F92FF9" w:rsidRDefault="003C3BEF" w:rsidP="003C3BEF"/>
    <w:p w14:paraId="7AF1844B" w14:textId="77777777" w:rsidR="003C3BEF" w:rsidRPr="00F92FF9" w:rsidRDefault="003C3BEF" w:rsidP="003C3BEF"/>
    <w:p w14:paraId="1E6D1A00" w14:textId="77777777" w:rsidR="003C3BEF" w:rsidRPr="00F92FF9" w:rsidRDefault="003C3BEF" w:rsidP="003C3BEF"/>
    <w:p w14:paraId="5A8B2314" w14:textId="77777777" w:rsidR="003C3BEF" w:rsidRPr="00F92FF9" w:rsidRDefault="003C3BEF" w:rsidP="003C3BEF"/>
    <w:p w14:paraId="26CD8F22" w14:textId="77777777" w:rsidR="003C3BEF" w:rsidRPr="00F92FF9" w:rsidRDefault="003C3BEF" w:rsidP="003C3BEF">
      <w:r w:rsidRPr="00F92FF9">
        <w:rPr>
          <w:b/>
          <w:bCs/>
        </w:rPr>
        <w:t>Figure 1 footnote. CMR: cardiovascular magnetic resonance; FI: fluid intelligence; RT: reaction time</w:t>
      </w:r>
    </w:p>
    <w:p w14:paraId="36F8CF2A" w14:textId="77777777" w:rsidR="003C3BEF" w:rsidRPr="00F92FF9" w:rsidRDefault="003C3BEF" w:rsidP="003C3BEF">
      <w:pPr>
        <w:jc w:val="center"/>
        <w:rPr>
          <w:b/>
          <w:bCs/>
        </w:rPr>
      </w:pPr>
      <w:r w:rsidRPr="00F92FF9">
        <w:br w:type="page"/>
      </w:r>
      <w:r w:rsidRPr="00F92FF9">
        <w:rPr>
          <w:b/>
          <w:bCs/>
        </w:rPr>
        <w:lastRenderedPageBreak/>
        <w:t>Figure 2. Univariate linear regression models of the association between fluid intelligence and CMR measures</w:t>
      </w:r>
    </w:p>
    <w:p w14:paraId="02304080" w14:textId="77777777" w:rsidR="003C3BEF" w:rsidRPr="00F92FF9" w:rsidRDefault="003C3BEF" w:rsidP="003C3BEF">
      <w:pPr>
        <w:jc w:val="center"/>
        <w:rPr>
          <w:b/>
          <w:bCs/>
        </w:rPr>
      </w:pPr>
      <w:r w:rsidRPr="00F92FF9">
        <w:rPr>
          <w:b/>
          <w:bCs/>
          <w:noProof/>
        </w:rPr>
        <w:drawing>
          <wp:inline distT="0" distB="0" distL="0" distR="0" wp14:anchorId="1CA98C73" wp14:editId="2F7DCEA0">
            <wp:extent cx="5727700" cy="2577465"/>
            <wp:effectExtent l="0" t="0" r="0" b="635"/>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577465"/>
                    </a:xfrm>
                    <a:prstGeom prst="rect">
                      <a:avLst/>
                    </a:prstGeom>
                  </pic:spPr>
                </pic:pic>
              </a:graphicData>
            </a:graphic>
          </wp:inline>
        </w:drawing>
      </w:r>
    </w:p>
    <w:p w14:paraId="1027117F" w14:textId="77777777" w:rsidR="003C3BEF" w:rsidRPr="00F92FF9" w:rsidRDefault="003C3BEF" w:rsidP="003C3BEF">
      <w:r w:rsidRPr="00F92FF9">
        <w:rPr>
          <w:b/>
          <w:bCs/>
        </w:rPr>
        <w:t xml:space="preserve">Figure 2 footnote. </w:t>
      </w:r>
      <w:r w:rsidRPr="00F92FF9">
        <w:t>Each graph displays a kernel density plot of one CMR variable against one cognition variable. The nine coloured rings each represent a decile of the data, while the remaining 10% lies in the uncoloured area. Univariate linear regression is shown by black line. All plot areas are trimmed at the 1</w:t>
      </w:r>
      <w:r w:rsidRPr="00F92FF9">
        <w:rPr>
          <w:vertAlign w:val="superscript"/>
        </w:rPr>
        <w:t>st</w:t>
      </w:r>
      <w:r w:rsidRPr="00F92FF9">
        <w:t xml:space="preserve"> and 99</w:t>
      </w:r>
      <w:r w:rsidRPr="00F92FF9">
        <w:rPr>
          <w:vertAlign w:val="superscript"/>
        </w:rPr>
        <w:t>th</w:t>
      </w:r>
      <w:r w:rsidRPr="00F92FF9">
        <w:t xml:space="preserve"> percentile in both x and y directions. Fluid intelligence has had uniform random jitter/noise (-0.5, 0.5) added for visual smoothing. CMR: cardiovascular magnetic resonance; </w:t>
      </w:r>
      <w:proofErr w:type="spellStart"/>
      <w:r w:rsidRPr="00F92FF9">
        <w:t>LVEDVi</w:t>
      </w:r>
      <w:proofErr w:type="spellEnd"/>
      <w:r w:rsidRPr="00F92FF9">
        <w:t xml:space="preserve">: left ventricular end-diastolic volume; LVEF: left ventricular ejection fraction; </w:t>
      </w:r>
      <w:proofErr w:type="spellStart"/>
      <w:r w:rsidRPr="00F92FF9">
        <w:t>LVESVi</w:t>
      </w:r>
      <w:proofErr w:type="spellEnd"/>
      <w:r w:rsidRPr="00F92FF9">
        <w:t xml:space="preserve">: left ventricular end-systolic volume; </w:t>
      </w:r>
      <w:proofErr w:type="spellStart"/>
      <w:r w:rsidRPr="00F92FF9">
        <w:t>LVSVi</w:t>
      </w:r>
      <w:proofErr w:type="spellEnd"/>
      <w:r w:rsidRPr="00F92FF9">
        <w:t xml:space="preserve">: left ventricular stroke volume; PDA </w:t>
      </w:r>
      <w:proofErr w:type="spellStart"/>
      <w:r w:rsidRPr="00F92FF9">
        <w:t>AoD</w:t>
      </w:r>
      <w:proofErr w:type="spellEnd"/>
      <w:r w:rsidRPr="00F92FF9">
        <w:t>: Aortic distensibility at the proximal descending aorta. i denotes indexation to body surface area.</w:t>
      </w:r>
    </w:p>
    <w:p w14:paraId="45D6E1F2" w14:textId="77777777" w:rsidR="003C3BEF" w:rsidRPr="00F92FF9" w:rsidRDefault="003C3BEF" w:rsidP="003C3BEF">
      <w:pPr>
        <w:rPr>
          <w:b/>
          <w:bCs/>
        </w:rPr>
      </w:pPr>
      <w:r w:rsidRPr="00F92FF9">
        <w:rPr>
          <w:b/>
          <w:bCs/>
        </w:rPr>
        <w:br w:type="page"/>
      </w:r>
    </w:p>
    <w:p w14:paraId="5FA6E338" w14:textId="77777777" w:rsidR="003C3BEF" w:rsidRPr="00F92FF9" w:rsidRDefault="003C3BEF" w:rsidP="003C3BEF">
      <w:pPr>
        <w:rPr>
          <w:b/>
          <w:bCs/>
        </w:rPr>
      </w:pPr>
    </w:p>
    <w:p w14:paraId="2067C12C" w14:textId="77777777" w:rsidR="003C3BEF" w:rsidRPr="00F92FF9" w:rsidRDefault="003C3BEF" w:rsidP="003C3BEF">
      <w:pPr>
        <w:rPr>
          <w:b/>
          <w:bCs/>
        </w:rPr>
      </w:pPr>
    </w:p>
    <w:p w14:paraId="476A890E" w14:textId="77777777" w:rsidR="003C3BEF" w:rsidRPr="00F92FF9" w:rsidRDefault="003C3BEF" w:rsidP="003C3BEF">
      <w:pPr>
        <w:jc w:val="center"/>
        <w:rPr>
          <w:b/>
          <w:bCs/>
        </w:rPr>
      </w:pPr>
      <w:r w:rsidRPr="00F92FF9">
        <w:rPr>
          <w:b/>
          <w:bCs/>
        </w:rPr>
        <w:t>Figure 3. Univariate linear regression models of the association between reaction time and CMR measures</w:t>
      </w:r>
    </w:p>
    <w:p w14:paraId="5D18B048" w14:textId="77777777" w:rsidR="003C3BEF" w:rsidRPr="00F92FF9" w:rsidRDefault="003C3BEF" w:rsidP="003C3BEF">
      <w:pPr>
        <w:rPr>
          <w:b/>
          <w:bCs/>
        </w:rPr>
      </w:pPr>
      <w:r w:rsidRPr="00F92FF9">
        <w:rPr>
          <w:b/>
          <w:bCs/>
          <w:noProof/>
        </w:rPr>
        <w:drawing>
          <wp:inline distT="0" distB="0" distL="0" distR="0" wp14:anchorId="086CA878" wp14:editId="4B87BCFD">
            <wp:extent cx="5727700" cy="2577465"/>
            <wp:effectExtent l="0" t="0" r="0" b="635"/>
            <wp:docPr id="4" name="Picture 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rfac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577465"/>
                    </a:xfrm>
                    <a:prstGeom prst="rect">
                      <a:avLst/>
                    </a:prstGeom>
                  </pic:spPr>
                </pic:pic>
              </a:graphicData>
            </a:graphic>
          </wp:inline>
        </w:drawing>
      </w:r>
    </w:p>
    <w:p w14:paraId="172F9DF7" w14:textId="77777777" w:rsidR="003C3BEF" w:rsidRPr="00F92FF9" w:rsidRDefault="003C3BEF" w:rsidP="003C3BEF">
      <w:r w:rsidRPr="00F92FF9">
        <w:rPr>
          <w:b/>
          <w:bCs/>
        </w:rPr>
        <w:t xml:space="preserve">Figure 3 footnote. </w:t>
      </w:r>
      <w:r w:rsidRPr="00F92FF9">
        <w:t>Each graph displays a kernel density plot of one CMR variable against one cognition variable. The nine coloured rings each represent a decile of the data, while the remaining 10% lies in the uncoloured area. Univariate linear regression is shown by black line. All plot areas are trimmed at the 1</w:t>
      </w:r>
      <w:r w:rsidRPr="00F92FF9">
        <w:rPr>
          <w:vertAlign w:val="superscript"/>
        </w:rPr>
        <w:t>st</w:t>
      </w:r>
      <w:r w:rsidRPr="00F92FF9">
        <w:t xml:space="preserve"> and 99</w:t>
      </w:r>
      <w:r w:rsidRPr="00F92FF9">
        <w:rPr>
          <w:vertAlign w:val="superscript"/>
        </w:rPr>
        <w:t>th</w:t>
      </w:r>
      <w:r w:rsidRPr="00F92FF9">
        <w:t xml:space="preserve"> percentile in both x and y directions. CMR: cardiovascular magnetic resonance; </w:t>
      </w:r>
      <w:proofErr w:type="spellStart"/>
      <w:r w:rsidRPr="00F92FF9">
        <w:t>LVEDVi</w:t>
      </w:r>
      <w:proofErr w:type="spellEnd"/>
      <w:r w:rsidRPr="00F92FF9">
        <w:t xml:space="preserve">: left ventricular end-diastolic volume; LVEF: left ventricular ejection fraction; </w:t>
      </w:r>
      <w:proofErr w:type="spellStart"/>
      <w:r w:rsidRPr="00F92FF9">
        <w:t>LVESVi</w:t>
      </w:r>
      <w:proofErr w:type="spellEnd"/>
      <w:r w:rsidRPr="00F92FF9">
        <w:t xml:space="preserve">: left ventricular end-systolic volume; </w:t>
      </w:r>
      <w:proofErr w:type="spellStart"/>
      <w:r w:rsidRPr="00F92FF9">
        <w:t>LVSVi</w:t>
      </w:r>
      <w:proofErr w:type="spellEnd"/>
      <w:r w:rsidRPr="00F92FF9">
        <w:t xml:space="preserve">: left ventricular stroke volume; PDA </w:t>
      </w:r>
      <w:proofErr w:type="spellStart"/>
      <w:r w:rsidRPr="00F92FF9">
        <w:t>AoD</w:t>
      </w:r>
      <w:proofErr w:type="spellEnd"/>
      <w:r w:rsidRPr="00F92FF9">
        <w:t>: Aortic distensibility at the proximal descending aorta. i denotes indexation to body surface area.</w:t>
      </w:r>
    </w:p>
    <w:p w14:paraId="18CBBE1C" w14:textId="77777777" w:rsidR="003C3BEF" w:rsidRPr="00F92FF9" w:rsidRDefault="003C3BEF" w:rsidP="003C3BEF">
      <w:r w:rsidRPr="00F92FF9">
        <w:t>.</w:t>
      </w:r>
      <w:r w:rsidRPr="00F92FF9">
        <w:rPr>
          <w:b/>
          <w:bCs/>
        </w:rPr>
        <w:br w:type="page"/>
      </w:r>
    </w:p>
    <w:p w14:paraId="5B49068C" w14:textId="311FAD67" w:rsidR="003C3BEF" w:rsidRPr="00F92FF9" w:rsidRDefault="003C3BEF" w:rsidP="003C3BEF">
      <w:pPr>
        <w:jc w:val="center"/>
        <w:rPr>
          <w:b/>
          <w:bCs/>
        </w:rPr>
      </w:pPr>
      <w:r w:rsidRPr="00F92FF9">
        <w:rPr>
          <w:noProof/>
        </w:rPr>
        <w:lastRenderedPageBreak/>
        <w:drawing>
          <wp:anchor distT="0" distB="0" distL="114300" distR="114300" simplePos="0" relativeHeight="251659264" behindDoc="1" locked="0" layoutInCell="1" allowOverlap="1" wp14:anchorId="316A14FF" wp14:editId="7323085B">
            <wp:simplePos x="0" y="0"/>
            <wp:positionH relativeFrom="column">
              <wp:posOffset>-89010</wp:posOffset>
            </wp:positionH>
            <wp:positionV relativeFrom="paragraph">
              <wp:posOffset>196823</wp:posOffset>
            </wp:positionV>
            <wp:extent cx="5933661" cy="5626452"/>
            <wp:effectExtent l="0" t="0" r="0" b="0"/>
            <wp:wrapNone/>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3661" cy="5626452"/>
                    </a:xfrm>
                    <a:prstGeom prst="rect">
                      <a:avLst/>
                    </a:prstGeom>
                  </pic:spPr>
                </pic:pic>
              </a:graphicData>
            </a:graphic>
            <wp14:sizeRelH relativeFrom="page">
              <wp14:pctWidth>0</wp14:pctWidth>
            </wp14:sizeRelH>
            <wp14:sizeRelV relativeFrom="page">
              <wp14:pctHeight>0</wp14:pctHeight>
            </wp14:sizeRelV>
          </wp:anchor>
        </w:drawing>
      </w:r>
      <w:r w:rsidRPr="00F92FF9">
        <w:rPr>
          <w:b/>
          <w:bCs/>
        </w:rPr>
        <w:t>Figure 4. Potential underlying mechanism of heart-brain associations*</w:t>
      </w:r>
    </w:p>
    <w:p w14:paraId="1B8D028D" w14:textId="43EA1F3F" w:rsidR="003C3BEF" w:rsidRPr="00F92FF9" w:rsidRDefault="003C3BEF" w:rsidP="003C3BEF">
      <w:pPr>
        <w:jc w:val="center"/>
        <w:rPr>
          <w:b/>
          <w:bCs/>
        </w:rPr>
      </w:pPr>
    </w:p>
    <w:p w14:paraId="0BA79EF6" w14:textId="50707650" w:rsidR="003C3BEF" w:rsidRPr="00F92FF9" w:rsidRDefault="003C3BEF" w:rsidP="003C3BEF">
      <w:pPr>
        <w:jc w:val="center"/>
      </w:pPr>
    </w:p>
    <w:p w14:paraId="3889FEA3" w14:textId="7308BBF5" w:rsidR="003C3BEF" w:rsidRPr="00F92FF9" w:rsidRDefault="003C3BEF" w:rsidP="003C3BEF">
      <w:pPr>
        <w:jc w:val="center"/>
      </w:pPr>
    </w:p>
    <w:p w14:paraId="20FA80B1" w14:textId="77777777" w:rsidR="003C3BEF" w:rsidRPr="00F92FF9" w:rsidRDefault="003C3BEF" w:rsidP="003C3BEF">
      <w:pPr>
        <w:jc w:val="center"/>
      </w:pPr>
    </w:p>
    <w:p w14:paraId="4527D919" w14:textId="77777777" w:rsidR="003C3BEF" w:rsidRPr="00F92FF9" w:rsidRDefault="003C3BEF" w:rsidP="003C3BEF">
      <w:pPr>
        <w:jc w:val="center"/>
      </w:pPr>
    </w:p>
    <w:p w14:paraId="24C062E9" w14:textId="77777777" w:rsidR="003C3BEF" w:rsidRPr="00F92FF9" w:rsidRDefault="003C3BEF" w:rsidP="003C3BEF">
      <w:pPr>
        <w:jc w:val="center"/>
      </w:pPr>
    </w:p>
    <w:p w14:paraId="039F3B6C" w14:textId="77777777" w:rsidR="003C3BEF" w:rsidRPr="00F92FF9" w:rsidRDefault="003C3BEF" w:rsidP="003C3BEF">
      <w:pPr>
        <w:jc w:val="center"/>
      </w:pPr>
    </w:p>
    <w:p w14:paraId="0EB7493F" w14:textId="77777777" w:rsidR="003C3BEF" w:rsidRPr="00F92FF9" w:rsidRDefault="003C3BEF" w:rsidP="003C3BEF">
      <w:pPr>
        <w:jc w:val="center"/>
      </w:pPr>
    </w:p>
    <w:p w14:paraId="2881B368" w14:textId="77777777" w:rsidR="003C3BEF" w:rsidRPr="00F92FF9" w:rsidRDefault="003C3BEF" w:rsidP="003C3BEF">
      <w:pPr>
        <w:jc w:val="center"/>
      </w:pPr>
    </w:p>
    <w:p w14:paraId="12CC5521" w14:textId="77777777" w:rsidR="003C3BEF" w:rsidRPr="00F92FF9" w:rsidRDefault="003C3BEF" w:rsidP="003C3BEF"/>
    <w:p w14:paraId="43EA9D3E" w14:textId="77777777" w:rsidR="003C3BEF" w:rsidRPr="00F92FF9" w:rsidRDefault="003C3BEF" w:rsidP="003C3BEF"/>
    <w:p w14:paraId="1A9F2D97" w14:textId="77777777" w:rsidR="003C3BEF" w:rsidRPr="00F92FF9" w:rsidRDefault="003C3BEF" w:rsidP="003C3BEF"/>
    <w:p w14:paraId="0713C91D" w14:textId="77777777" w:rsidR="003C3BEF" w:rsidRPr="00F92FF9" w:rsidRDefault="003C3BEF" w:rsidP="003C3BEF">
      <w:pPr>
        <w:rPr>
          <w:b/>
          <w:bCs/>
        </w:rPr>
      </w:pPr>
    </w:p>
    <w:p w14:paraId="1D1704E0" w14:textId="77777777" w:rsidR="003C3BEF" w:rsidRPr="00F92FF9" w:rsidRDefault="003C3BEF" w:rsidP="003C3BEF">
      <w:pPr>
        <w:rPr>
          <w:b/>
          <w:bCs/>
        </w:rPr>
      </w:pPr>
    </w:p>
    <w:p w14:paraId="1722C6B7" w14:textId="77777777" w:rsidR="003C3BEF" w:rsidRPr="00F92FF9" w:rsidRDefault="003C3BEF" w:rsidP="003C3BEF">
      <w:pPr>
        <w:rPr>
          <w:b/>
          <w:bCs/>
        </w:rPr>
      </w:pPr>
    </w:p>
    <w:p w14:paraId="2C2E1CF2" w14:textId="77777777" w:rsidR="003C3BEF" w:rsidRPr="00F92FF9" w:rsidRDefault="003C3BEF" w:rsidP="003C3BEF">
      <w:pPr>
        <w:rPr>
          <w:b/>
          <w:bCs/>
        </w:rPr>
      </w:pPr>
    </w:p>
    <w:p w14:paraId="001927D1" w14:textId="77777777" w:rsidR="003C3BEF" w:rsidRPr="00F92FF9" w:rsidRDefault="003C3BEF" w:rsidP="003C3BEF">
      <w:pPr>
        <w:rPr>
          <w:b/>
          <w:bCs/>
        </w:rPr>
      </w:pPr>
    </w:p>
    <w:p w14:paraId="2A58C2DD" w14:textId="77777777" w:rsidR="003C3BEF" w:rsidRPr="00F92FF9" w:rsidRDefault="003C3BEF" w:rsidP="003C3BEF">
      <w:pPr>
        <w:rPr>
          <w:b/>
          <w:bCs/>
        </w:rPr>
      </w:pPr>
    </w:p>
    <w:p w14:paraId="64060B07" w14:textId="274C0496" w:rsidR="003C3BEF" w:rsidRPr="00DF7532" w:rsidRDefault="003C3BEF" w:rsidP="003C3BEF">
      <w:pPr>
        <w:rPr>
          <w:b/>
          <w:bCs/>
        </w:rPr>
      </w:pPr>
      <w:r w:rsidRPr="00F92FF9">
        <w:rPr>
          <w:b/>
          <w:bCs/>
        </w:rPr>
        <w:t xml:space="preserve">Figure 4 footnote: </w:t>
      </w:r>
      <w:r w:rsidRPr="00F92FF9">
        <w:t>Figure created with BioRender.com</w:t>
      </w:r>
    </w:p>
    <w:p w14:paraId="6134F948" w14:textId="68182275" w:rsidR="00620174" w:rsidRDefault="00620174" w:rsidP="003C3BEF">
      <w:r>
        <w:br w:type="page"/>
      </w:r>
    </w:p>
    <w:p w14:paraId="5917AFD1" w14:textId="39CD4691" w:rsidR="00620174" w:rsidRDefault="00620174" w:rsidP="00620174">
      <w:pPr>
        <w:spacing w:line="360" w:lineRule="auto"/>
        <w:rPr>
          <w:b/>
          <w:bCs/>
        </w:rPr>
      </w:pPr>
      <w:r>
        <w:rPr>
          <w:b/>
          <w:bCs/>
        </w:rPr>
        <w:lastRenderedPageBreak/>
        <w:t>SUPPLEMENTAL MATEREIAL</w:t>
      </w:r>
    </w:p>
    <w:p w14:paraId="0DD583AA" w14:textId="77777777" w:rsidR="00620174" w:rsidRDefault="00620174" w:rsidP="00620174">
      <w:pPr>
        <w:spacing w:line="360" w:lineRule="auto"/>
        <w:rPr>
          <w:b/>
          <w:bCs/>
        </w:rPr>
      </w:pPr>
    </w:p>
    <w:p w14:paraId="66B5B459" w14:textId="378DE1AE" w:rsidR="00620174" w:rsidRDefault="00620174" w:rsidP="00620174">
      <w:pPr>
        <w:spacing w:line="360" w:lineRule="auto"/>
        <w:jc w:val="center"/>
        <w:rPr>
          <w:b/>
          <w:bCs/>
        </w:rPr>
      </w:pPr>
      <w:r>
        <w:rPr>
          <w:b/>
          <w:bCs/>
        </w:rPr>
        <w:t>Supplementary Table 1. Fluid intelligence assessment questions</w:t>
      </w:r>
    </w:p>
    <w:tbl>
      <w:tblPr>
        <w:tblStyle w:val="TableGrid"/>
        <w:tblW w:w="0" w:type="auto"/>
        <w:jc w:val="center"/>
        <w:tblLook w:val="04A0" w:firstRow="1" w:lastRow="0" w:firstColumn="1" w:lastColumn="0" w:noHBand="0" w:noVBand="1"/>
      </w:tblPr>
      <w:tblGrid>
        <w:gridCol w:w="4505"/>
        <w:gridCol w:w="4505"/>
      </w:tblGrid>
      <w:tr w:rsidR="00620174" w:rsidRPr="00A6581A" w14:paraId="620FF738" w14:textId="77777777" w:rsidTr="00472150">
        <w:trPr>
          <w:jc w:val="center"/>
        </w:trPr>
        <w:tc>
          <w:tcPr>
            <w:tcW w:w="4505" w:type="dxa"/>
            <w:shd w:val="clear" w:color="auto" w:fill="EDEDED" w:themeFill="accent3" w:themeFillTint="33"/>
          </w:tcPr>
          <w:p w14:paraId="63D4A388" w14:textId="77777777" w:rsidR="00620174" w:rsidRPr="00A6581A" w:rsidRDefault="00620174" w:rsidP="00472150">
            <w:pPr>
              <w:pStyle w:val="NormalWeb"/>
              <w:spacing w:line="360" w:lineRule="auto"/>
              <w:rPr>
                <w:sz w:val="22"/>
                <w:szCs w:val="22"/>
              </w:rPr>
            </w:pPr>
            <w:r w:rsidRPr="00A6581A">
              <w:rPr>
                <w:sz w:val="22"/>
                <w:szCs w:val="22"/>
              </w:rPr>
              <w:t>Question</w:t>
            </w:r>
          </w:p>
        </w:tc>
        <w:tc>
          <w:tcPr>
            <w:tcW w:w="4505" w:type="dxa"/>
            <w:shd w:val="clear" w:color="auto" w:fill="EDEDED" w:themeFill="accent3" w:themeFillTint="33"/>
          </w:tcPr>
          <w:p w14:paraId="6F927E9B" w14:textId="77777777" w:rsidR="00620174" w:rsidRPr="00A6581A" w:rsidRDefault="00620174" w:rsidP="00472150">
            <w:pPr>
              <w:pStyle w:val="NormalWeb"/>
              <w:spacing w:line="360" w:lineRule="auto"/>
              <w:rPr>
                <w:sz w:val="22"/>
                <w:szCs w:val="22"/>
              </w:rPr>
            </w:pPr>
            <w:r w:rsidRPr="00A6581A">
              <w:rPr>
                <w:sz w:val="22"/>
                <w:szCs w:val="22"/>
              </w:rPr>
              <w:t>Multiple choice options</w:t>
            </w:r>
          </w:p>
        </w:tc>
      </w:tr>
      <w:tr w:rsidR="00620174" w:rsidRPr="00A6581A" w14:paraId="262C26E9" w14:textId="77777777" w:rsidTr="00472150">
        <w:trPr>
          <w:jc w:val="center"/>
        </w:trPr>
        <w:tc>
          <w:tcPr>
            <w:tcW w:w="4505" w:type="dxa"/>
          </w:tcPr>
          <w:p w14:paraId="198C0360"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Add the following numbers together: 1 2 3 4 5</w:t>
            </w:r>
            <w:r>
              <w:rPr>
                <w:sz w:val="22"/>
                <w:szCs w:val="22"/>
              </w:rPr>
              <w:t>,</w:t>
            </w:r>
            <w:r w:rsidRPr="00A6581A">
              <w:rPr>
                <w:sz w:val="22"/>
                <w:szCs w:val="22"/>
              </w:rPr>
              <w:t xml:space="preserve"> is the answer? </w:t>
            </w:r>
          </w:p>
        </w:tc>
        <w:tc>
          <w:tcPr>
            <w:tcW w:w="4505" w:type="dxa"/>
          </w:tcPr>
          <w:p w14:paraId="2B6A4029"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13, 14, 15, 16, 17, Do not know, Prefer not to answer </w:t>
            </w:r>
          </w:p>
        </w:tc>
      </w:tr>
      <w:tr w:rsidR="00620174" w:rsidRPr="00A6581A" w14:paraId="1235B4CC" w14:textId="77777777" w:rsidTr="00472150">
        <w:trPr>
          <w:jc w:val="center"/>
        </w:trPr>
        <w:tc>
          <w:tcPr>
            <w:tcW w:w="4505" w:type="dxa"/>
          </w:tcPr>
          <w:p w14:paraId="06DD6D19"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Which number is the largest? </w:t>
            </w:r>
          </w:p>
        </w:tc>
        <w:tc>
          <w:tcPr>
            <w:tcW w:w="4505" w:type="dxa"/>
          </w:tcPr>
          <w:p w14:paraId="77AF1140"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642, 308, 987, 714, 253, Do not know, Prefer not to answer </w:t>
            </w:r>
          </w:p>
        </w:tc>
      </w:tr>
      <w:tr w:rsidR="00620174" w:rsidRPr="00A6581A" w14:paraId="660D29AF" w14:textId="77777777" w:rsidTr="00472150">
        <w:trPr>
          <w:jc w:val="center"/>
        </w:trPr>
        <w:tc>
          <w:tcPr>
            <w:tcW w:w="4505" w:type="dxa"/>
          </w:tcPr>
          <w:p w14:paraId="3165A2FE"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Bud is to flower as child is </w:t>
            </w:r>
            <w:proofErr w:type="gramStart"/>
            <w:r w:rsidRPr="00A6581A">
              <w:rPr>
                <w:sz w:val="22"/>
                <w:szCs w:val="22"/>
              </w:rPr>
              <w:t>to?</w:t>
            </w:r>
            <w:proofErr w:type="gramEnd"/>
            <w:r w:rsidRPr="00A6581A">
              <w:rPr>
                <w:sz w:val="22"/>
                <w:szCs w:val="22"/>
              </w:rPr>
              <w:t xml:space="preserve"> </w:t>
            </w:r>
          </w:p>
          <w:p w14:paraId="232ABC8C" w14:textId="77777777" w:rsidR="00620174" w:rsidRPr="00A6581A" w:rsidRDefault="00620174" w:rsidP="00472150">
            <w:pPr>
              <w:pStyle w:val="NormalWeb"/>
              <w:spacing w:line="360" w:lineRule="auto"/>
              <w:rPr>
                <w:sz w:val="22"/>
                <w:szCs w:val="22"/>
              </w:rPr>
            </w:pPr>
          </w:p>
        </w:tc>
        <w:tc>
          <w:tcPr>
            <w:tcW w:w="4505" w:type="dxa"/>
          </w:tcPr>
          <w:p w14:paraId="39900B45"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Grow, Develop, Improve, Adult, Old, Do not know, Prefer not to answer </w:t>
            </w:r>
          </w:p>
        </w:tc>
      </w:tr>
      <w:tr w:rsidR="00620174" w:rsidRPr="00A6581A" w14:paraId="0547FD8E" w14:textId="77777777" w:rsidTr="00472150">
        <w:trPr>
          <w:jc w:val="center"/>
        </w:trPr>
        <w:tc>
          <w:tcPr>
            <w:tcW w:w="4505" w:type="dxa"/>
          </w:tcPr>
          <w:p w14:paraId="220513B0"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11 12 13 14 15 16 17 18 </w:t>
            </w:r>
          </w:p>
          <w:p w14:paraId="37D11D1B"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Divide the sixth number to the right of twelve by three. Is the answer? </w:t>
            </w:r>
          </w:p>
        </w:tc>
        <w:tc>
          <w:tcPr>
            <w:tcW w:w="4505" w:type="dxa"/>
          </w:tcPr>
          <w:p w14:paraId="6C566A4D"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5, 6, 7, 8, Do not know, Prefer not to answer </w:t>
            </w:r>
          </w:p>
          <w:p w14:paraId="4A38EF7A" w14:textId="77777777" w:rsidR="00620174" w:rsidRPr="00A6581A" w:rsidRDefault="00620174" w:rsidP="00472150">
            <w:pPr>
              <w:pStyle w:val="NormalWeb"/>
              <w:spacing w:line="360" w:lineRule="auto"/>
              <w:rPr>
                <w:sz w:val="22"/>
                <w:szCs w:val="22"/>
              </w:rPr>
            </w:pPr>
          </w:p>
        </w:tc>
      </w:tr>
      <w:tr w:rsidR="00620174" w:rsidRPr="00A6581A" w14:paraId="164B241D" w14:textId="77777777" w:rsidTr="00472150">
        <w:trPr>
          <w:jc w:val="center"/>
        </w:trPr>
        <w:tc>
          <w:tcPr>
            <w:tcW w:w="4505" w:type="dxa"/>
          </w:tcPr>
          <w:p w14:paraId="35D6E915"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If </w:t>
            </w:r>
            <w:proofErr w:type="spellStart"/>
            <w:r w:rsidRPr="00A6581A">
              <w:rPr>
                <w:sz w:val="22"/>
                <w:szCs w:val="22"/>
              </w:rPr>
              <w:t>Truda’s</w:t>
            </w:r>
            <w:proofErr w:type="spellEnd"/>
            <w:r w:rsidRPr="00A6581A">
              <w:rPr>
                <w:sz w:val="22"/>
                <w:szCs w:val="22"/>
              </w:rPr>
              <w:t xml:space="preserve"> mother’s brother is Tim’s sister’s father, what relation is </w:t>
            </w:r>
            <w:proofErr w:type="spellStart"/>
            <w:r w:rsidRPr="00A6581A">
              <w:rPr>
                <w:sz w:val="22"/>
                <w:szCs w:val="22"/>
              </w:rPr>
              <w:t>Truda</w:t>
            </w:r>
            <w:proofErr w:type="spellEnd"/>
            <w:r w:rsidRPr="00A6581A">
              <w:rPr>
                <w:sz w:val="22"/>
                <w:szCs w:val="22"/>
              </w:rPr>
              <w:t xml:space="preserve"> to Tim?</w:t>
            </w:r>
          </w:p>
        </w:tc>
        <w:tc>
          <w:tcPr>
            <w:tcW w:w="4505" w:type="dxa"/>
          </w:tcPr>
          <w:p w14:paraId="10B8A2D3"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Aunt, Sister, Niece, Cousin, No relation, Do not know, Prefer not to answer </w:t>
            </w:r>
          </w:p>
        </w:tc>
      </w:tr>
      <w:tr w:rsidR="00620174" w:rsidRPr="00A6581A" w14:paraId="0A6C5A8D" w14:textId="77777777" w:rsidTr="00472150">
        <w:trPr>
          <w:jc w:val="center"/>
        </w:trPr>
        <w:tc>
          <w:tcPr>
            <w:tcW w:w="4505" w:type="dxa"/>
          </w:tcPr>
          <w:p w14:paraId="5BB52D7F"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If sixty is more than half of seventy-five, multiply twenty- three by three. If not subtract 15 from eighty-five. Is the answer? </w:t>
            </w:r>
          </w:p>
        </w:tc>
        <w:tc>
          <w:tcPr>
            <w:tcW w:w="4505" w:type="dxa"/>
          </w:tcPr>
          <w:p w14:paraId="509F4D7B"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68, 69, 70, 71, 72, Do not know, Prefer not to answer </w:t>
            </w:r>
          </w:p>
        </w:tc>
      </w:tr>
      <w:tr w:rsidR="00620174" w:rsidRPr="00A6581A" w14:paraId="347DD704" w14:textId="77777777" w:rsidTr="00472150">
        <w:trPr>
          <w:jc w:val="center"/>
        </w:trPr>
        <w:tc>
          <w:tcPr>
            <w:tcW w:w="4505" w:type="dxa"/>
          </w:tcPr>
          <w:p w14:paraId="79DA9827"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Stop means the same as? </w:t>
            </w:r>
          </w:p>
        </w:tc>
        <w:tc>
          <w:tcPr>
            <w:tcW w:w="4505" w:type="dxa"/>
          </w:tcPr>
          <w:p w14:paraId="520C1491"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Pause, Close, Cease, Break, Rest, Do not know, Prefer not to answer </w:t>
            </w:r>
          </w:p>
        </w:tc>
      </w:tr>
      <w:tr w:rsidR="00620174" w:rsidRPr="00A6581A" w14:paraId="109F5220" w14:textId="77777777" w:rsidTr="00472150">
        <w:trPr>
          <w:jc w:val="center"/>
        </w:trPr>
        <w:tc>
          <w:tcPr>
            <w:tcW w:w="4505" w:type="dxa"/>
          </w:tcPr>
          <w:p w14:paraId="5AAE9436"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If David is twenty-one and Owen is nineteen and Daniel is nine years younger than David, what is half their combined age? </w:t>
            </w:r>
          </w:p>
        </w:tc>
        <w:tc>
          <w:tcPr>
            <w:tcW w:w="4505" w:type="dxa"/>
          </w:tcPr>
          <w:p w14:paraId="7678BAB3"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25, 26, 27, 28, 29, Do not know, Prefer not to answer</w:t>
            </w:r>
          </w:p>
        </w:tc>
      </w:tr>
      <w:tr w:rsidR="00620174" w:rsidRPr="00A6581A" w14:paraId="1AFD6A0D" w14:textId="77777777" w:rsidTr="00472150">
        <w:trPr>
          <w:jc w:val="center"/>
        </w:trPr>
        <w:tc>
          <w:tcPr>
            <w:tcW w:w="4505" w:type="dxa"/>
          </w:tcPr>
          <w:p w14:paraId="4B1E5B15"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Age is to years as height is to? </w:t>
            </w:r>
          </w:p>
        </w:tc>
        <w:tc>
          <w:tcPr>
            <w:tcW w:w="4505" w:type="dxa"/>
          </w:tcPr>
          <w:p w14:paraId="66991D14"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Long, Deep, Top, Metres, Tall, Do not know, Prefer not to answer </w:t>
            </w:r>
          </w:p>
        </w:tc>
      </w:tr>
      <w:tr w:rsidR="00620174" w:rsidRPr="00A6581A" w14:paraId="33237101" w14:textId="77777777" w:rsidTr="00472150">
        <w:trPr>
          <w:jc w:val="center"/>
        </w:trPr>
        <w:tc>
          <w:tcPr>
            <w:tcW w:w="4505" w:type="dxa"/>
          </w:tcPr>
          <w:p w14:paraId="06DA29C7"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150...137...125...114...104... What comes next? </w:t>
            </w:r>
          </w:p>
          <w:p w14:paraId="7A815B7B" w14:textId="77777777" w:rsidR="00620174" w:rsidRPr="00A6581A" w:rsidRDefault="00620174" w:rsidP="00472150">
            <w:pPr>
              <w:pStyle w:val="NormalWeb"/>
              <w:spacing w:line="360" w:lineRule="auto"/>
              <w:rPr>
                <w:sz w:val="22"/>
                <w:szCs w:val="22"/>
              </w:rPr>
            </w:pPr>
          </w:p>
        </w:tc>
        <w:tc>
          <w:tcPr>
            <w:tcW w:w="4505" w:type="dxa"/>
          </w:tcPr>
          <w:p w14:paraId="4F9F739F"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96, 95, 94, 93, 92, Do not know, Prefer not to answer </w:t>
            </w:r>
          </w:p>
        </w:tc>
      </w:tr>
      <w:tr w:rsidR="00620174" w:rsidRPr="00A6581A" w14:paraId="3D95C8F3" w14:textId="77777777" w:rsidTr="00472150">
        <w:trPr>
          <w:jc w:val="center"/>
        </w:trPr>
        <w:tc>
          <w:tcPr>
            <w:tcW w:w="4505" w:type="dxa"/>
          </w:tcPr>
          <w:p w14:paraId="71B30FD2"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Relaxed means the opposite of? </w:t>
            </w:r>
          </w:p>
        </w:tc>
        <w:tc>
          <w:tcPr>
            <w:tcW w:w="4505" w:type="dxa"/>
          </w:tcPr>
          <w:p w14:paraId="7D72F108"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Calm, Anxious, Cool, Worried, Tense, Do not know, Prefer not to answer </w:t>
            </w:r>
          </w:p>
        </w:tc>
      </w:tr>
      <w:tr w:rsidR="00620174" w:rsidRPr="00A6581A" w14:paraId="22B73DF7" w14:textId="77777777" w:rsidTr="00472150">
        <w:trPr>
          <w:jc w:val="center"/>
        </w:trPr>
        <w:tc>
          <w:tcPr>
            <w:tcW w:w="4505" w:type="dxa"/>
          </w:tcPr>
          <w:p w14:paraId="364AF4A9"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100...99...95...86...70... What comes next? </w:t>
            </w:r>
          </w:p>
        </w:tc>
        <w:tc>
          <w:tcPr>
            <w:tcW w:w="4505" w:type="dxa"/>
          </w:tcPr>
          <w:p w14:paraId="7498BDD3"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50, 49, 48, 47, 46, 45, Do not know, Prefer not to answer</w:t>
            </w:r>
          </w:p>
        </w:tc>
      </w:tr>
      <w:tr w:rsidR="00620174" w:rsidRPr="00A6581A" w14:paraId="6C52CA27" w14:textId="77777777" w:rsidTr="00472150">
        <w:trPr>
          <w:trHeight w:val="696"/>
          <w:jc w:val="center"/>
        </w:trPr>
        <w:tc>
          <w:tcPr>
            <w:tcW w:w="4505" w:type="dxa"/>
          </w:tcPr>
          <w:p w14:paraId="6AD0FF60"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If some </w:t>
            </w:r>
            <w:proofErr w:type="spellStart"/>
            <w:r w:rsidRPr="00A6581A">
              <w:rPr>
                <w:sz w:val="22"/>
                <w:szCs w:val="22"/>
              </w:rPr>
              <w:t>flinks</w:t>
            </w:r>
            <w:proofErr w:type="spellEnd"/>
            <w:r w:rsidRPr="00A6581A">
              <w:rPr>
                <w:sz w:val="22"/>
                <w:szCs w:val="22"/>
              </w:rPr>
              <w:t xml:space="preserve"> are plinks and some plinks are </w:t>
            </w:r>
            <w:proofErr w:type="gramStart"/>
            <w:r w:rsidRPr="00A6581A">
              <w:rPr>
                <w:sz w:val="22"/>
                <w:szCs w:val="22"/>
              </w:rPr>
              <w:t>stinks</w:t>
            </w:r>
            <w:proofErr w:type="gramEnd"/>
            <w:r w:rsidRPr="00A6581A">
              <w:rPr>
                <w:sz w:val="22"/>
                <w:szCs w:val="22"/>
              </w:rPr>
              <w:t xml:space="preserve"> then some </w:t>
            </w:r>
            <w:proofErr w:type="spellStart"/>
            <w:r w:rsidRPr="00A6581A">
              <w:rPr>
                <w:sz w:val="22"/>
                <w:szCs w:val="22"/>
              </w:rPr>
              <w:t>flinks</w:t>
            </w:r>
            <w:proofErr w:type="spellEnd"/>
            <w:r w:rsidRPr="00A6581A">
              <w:rPr>
                <w:sz w:val="22"/>
                <w:szCs w:val="22"/>
              </w:rPr>
              <w:t xml:space="preserve"> are definitely stinks? </w:t>
            </w:r>
          </w:p>
        </w:tc>
        <w:tc>
          <w:tcPr>
            <w:tcW w:w="4505" w:type="dxa"/>
          </w:tcPr>
          <w:p w14:paraId="6EE1ED20" w14:textId="77777777" w:rsidR="00620174" w:rsidRPr="00A6581A" w:rsidRDefault="00620174" w:rsidP="00472150">
            <w:pPr>
              <w:pStyle w:val="NormalWeb"/>
              <w:shd w:val="clear" w:color="auto" w:fill="FFFFFF"/>
              <w:spacing w:line="360" w:lineRule="auto"/>
              <w:rPr>
                <w:sz w:val="22"/>
                <w:szCs w:val="22"/>
              </w:rPr>
            </w:pPr>
            <w:r w:rsidRPr="00A6581A">
              <w:rPr>
                <w:sz w:val="22"/>
                <w:szCs w:val="22"/>
              </w:rPr>
              <w:t xml:space="preserve">False, True, Neither true nor false, Not sure, Do not know, Prefer not to answer </w:t>
            </w:r>
          </w:p>
        </w:tc>
      </w:tr>
    </w:tbl>
    <w:p w14:paraId="3F2218CE" w14:textId="77777777" w:rsidR="00620174" w:rsidRDefault="00620174" w:rsidP="00620174">
      <w:pPr>
        <w:spacing w:line="360" w:lineRule="auto"/>
        <w:jc w:val="center"/>
        <w:rPr>
          <w:b/>
          <w:bCs/>
        </w:rPr>
      </w:pPr>
    </w:p>
    <w:p w14:paraId="1A1E5A33" w14:textId="77777777" w:rsidR="00620174" w:rsidRDefault="00620174" w:rsidP="00620174">
      <w:pPr>
        <w:spacing w:line="360" w:lineRule="auto"/>
        <w:rPr>
          <w:b/>
          <w:bCs/>
        </w:rPr>
      </w:pPr>
    </w:p>
    <w:p w14:paraId="19771552" w14:textId="77777777" w:rsidR="00620174" w:rsidRDefault="00620174" w:rsidP="00620174">
      <w:pPr>
        <w:spacing w:line="276" w:lineRule="auto"/>
        <w:rPr>
          <w:rStyle w:val="Hyperlink"/>
          <w:color w:val="000000" w:themeColor="text1"/>
          <w:bdr w:val="none" w:sz="0" w:space="0" w:color="auto" w:frame="1"/>
          <w:lang w:val="en"/>
        </w:rPr>
      </w:pPr>
      <w:r w:rsidRPr="00ED3CE6">
        <w:rPr>
          <w:rStyle w:val="Hyperlink"/>
          <w:color w:val="000000" w:themeColor="text1"/>
          <w:bdr w:val="none" w:sz="0" w:space="0" w:color="auto" w:frame="1"/>
          <w:lang w:val="en"/>
        </w:rPr>
        <w:t>.</w:t>
      </w:r>
      <w:r>
        <w:rPr>
          <w:rStyle w:val="Hyperlink"/>
          <w:color w:val="000000" w:themeColor="text1"/>
          <w:bdr w:val="none" w:sz="0" w:space="0" w:color="auto" w:frame="1"/>
          <w:lang w:val="en"/>
        </w:rPr>
        <w:br w:type="page"/>
      </w:r>
    </w:p>
    <w:p w14:paraId="0879A683" w14:textId="77777777" w:rsidR="00620174" w:rsidRPr="00B147C2" w:rsidRDefault="00620174" w:rsidP="00620174">
      <w:pPr>
        <w:jc w:val="center"/>
        <w:rPr>
          <w:b/>
          <w:bCs/>
        </w:rPr>
      </w:pPr>
      <w:r>
        <w:rPr>
          <w:noProof/>
        </w:rPr>
        <w:lastRenderedPageBreak/>
        <w:drawing>
          <wp:anchor distT="0" distB="0" distL="114300" distR="114300" simplePos="0" relativeHeight="251662336" behindDoc="0" locked="0" layoutInCell="1" allowOverlap="1" wp14:anchorId="204D2887" wp14:editId="4B187625">
            <wp:simplePos x="0" y="0"/>
            <wp:positionH relativeFrom="column">
              <wp:posOffset>590550</wp:posOffset>
            </wp:positionH>
            <wp:positionV relativeFrom="paragraph">
              <wp:posOffset>543800</wp:posOffset>
            </wp:positionV>
            <wp:extent cx="4572000" cy="4572000"/>
            <wp:effectExtent l="0" t="0" r="0" b="0"/>
            <wp:wrapNone/>
            <wp:docPr id="7" name="Picture 7"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b_sn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14:sizeRelH relativeFrom="page">
              <wp14:pctWidth>0</wp14:pctWidth>
            </wp14:sizeRelH>
            <wp14:sizeRelV relativeFrom="page">
              <wp14:pctHeight>0</wp14:pctHeight>
            </wp14:sizeRelV>
          </wp:anchor>
        </w:drawing>
      </w:r>
      <w:r w:rsidRPr="00B147C2">
        <w:rPr>
          <w:b/>
          <w:bCs/>
        </w:rPr>
        <w:t>Supplementary Figure 1. Reaction time was tested by measuring time to identifying matching cards as they appeared on a screen</w:t>
      </w:r>
      <w:r>
        <w:rPr>
          <w:b/>
          <w:bCs/>
        </w:rPr>
        <w:t>*</w:t>
      </w:r>
    </w:p>
    <w:p w14:paraId="3DF59A26" w14:textId="77777777" w:rsidR="00620174" w:rsidRDefault="00620174" w:rsidP="00620174">
      <w:pPr>
        <w:jc w:val="center"/>
      </w:pPr>
    </w:p>
    <w:p w14:paraId="1227843E" w14:textId="77777777" w:rsidR="00620174" w:rsidRDefault="00620174" w:rsidP="00620174">
      <w:pPr>
        <w:jc w:val="center"/>
      </w:pPr>
    </w:p>
    <w:p w14:paraId="1108E93C" w14:textId="77777777" w:rsidR="00620174" w:rsidRDefault="00620174" w:rsidP="00620174">
      <w:pPr>
        <w:jc w:val="center"/>
      </w:pPr>
    </w:p>
    <w:p w14:paraId="1DE86ACE" w14:textId="77777777" w:rsidR="00620174" w:rsidRDefault="00620174" w:rsidP="00620174">
      <w:pPr>
        <w:jc w:val="center"/>
      </w:pPr>
    </w:p>
    <w:p w14:paraId="785629AA" w14:textId="77777777" w:rsidR="00620174" w:rsidRDefault="00620174" w:rsidP="00620174">
      <w:pPr>
        <w:jc w:val="center"/>
      </w:pPr>
    </w:p>
    <w:p w14:paraId="1C894DE1" w14:textId="77777777" w:rsidR="00620174" w:rsidRDefault="00620174" w:rsidP="00620174">
      <w:pPr>
        <w:jc w:val="center"/>
      </w:pPr>
    </w:p>
    <w:p w14:paraId="5A7D7299" w14:textId="77777777" w:rsidR="00620174" w:rsidRDefault="00620174" w:rsidP="00620174">
      <w:pPr>
        <w:jc w:val="center"/>
      </w:pPr>
    </w:p>
    <w:p w14:paraId="19A24AD3" w14:textId="77777777" w:rsidR="00620174" w:rsidRDefault="00620174" w:rsidP="00620174">
      <w:pPr>
        <w:jc w:val="center"/>
      </w:pPr>
    </w:p>
    <w:p w14:paraId="021D4212" w14:textId="77777777" w:rsidR="00620174" w:rsidRDefault="00620174" w:rsidP="00620174">
      <w:pPr>
        <w:jc w:val="center"/>
      </w:pPr>
    </w:p>
    <w:p w14:paraId="377C4F9B" w14:textId="77777777" w:rsidR="00620174" w:rsidRDefault="00620174" w:rsidP="00620174">
      <w:pPr>
        <w:jc w:val="center"/>
      </w:pPr>
    </w:p>
    <w:p w14:paraId="3706C773" w14:textId="77777777" w:rsidR="00620174" w:rsidRDefault="00620174" w:rsidP="00620174">
      <w:pPr>
        <w:jc w:val="center"/>
      </w:pPr>
    </w:p>
    <w:p w14:paraId="1A1E64F7" w14:textId="77777777" w:rsidR="00620174" w:rsidRDefault="00620174" w:rsidP="00620174">
      <w:pPr>
        <w:jc w:val="center"/>
      </w:pPr>
    </w:p>
    <w:p w14:paraId="1B141792" w14:textId="77777777" w:rsidR="00620174" w:rsidRDefault="00620174" w:rsidP="00620174">
      <w:pPr>
        <w:jc w:val="center"/>
      </w:pPr>
    </w:p>
    <w:p w14:paraId="6CD90C96" w14:textId="77777777" w:rsidR="00620174" w:rsidRDefault="00620174" w:rsidP="00620174"/>
    <w:p w14:paraId="5DC4BA72" w14:textId="77777777" w:rsidR="00620174" w:rsidRPr="00B147C2" w:rsidRDefault="00620174" w:rsidP="00620174">
      <w:r>
        <w:t xml:space="preserve">*Image from UK Biobank, data showcase, cognitive function, resources,  link: </w:t>
      </w:r>
      <w:hyperlink r:id="rId10" w:history="1">
        <w:r w:rsidRPr="00E115B6">
          <w:rPr>
            <w:rStyle w:val="Hyperlink"/>
          </w:rPr>
          <w:t>http://biobank.ctsu.ox.ac.uk/crystal/crystal/images/ukb_snap.jpg</w:t>
        </w:r>
      </w:hyperlink>
    </w:p>
    <w:p w14:paraId="5F318D3D" w14:textId="77777777" w:rsidR="00620174" w:rsidRDefault="00620174" w:rsidP="00620174">
      <w:pPr>
        <w:spacing w:line="276" w:lineRule="auto"/>
        <w:rPr>
          <w:rStyle w:val="Hyperlink"/>
          <w:color w:val="000000" w:themeColor="text1"/>
          <w:bdr w:val="none" w:sz="0" w:space="0" w:color="auto" w:frame="1"/>
          <w:lang w:val="en"/>
        </w:rPr>
      </w:pPr>
      <w:r>
        <w:rPr>
          <w:rStyle w:val="Hyperlink"/>
          <w:color w:val="000000" w:themeColor="text1"/>
          <w:bdr w:val="none" w:sz="0" w:space="0" w:color="auto" w:frame="1"/>
          <w:lang w:val="en"/>
        </w:rPr>
        <w:br w:type="page"/>
      </w:r>
    </w:p>
    <w:p w14:paraId="0B045799" w14:textId="04793EA4" w:rsidR="00620174" w:rsidRDefault="00620174" w:rsidP="00620174">
      <w:pPr>
        <w:spacing w:line="240" w:lineRule="auto"/>
        <w:jc w:val="center"/>
        <w:rPr>
          <w:b/>
          <w:bCs/>
        </w:rPr>
      </w:pPr>
      <w:r>
        <w:rPr>
          <w:b/>
          <w:bCs/>
        </w:rPr>
        <w:lastRenderedPageBreak/>
        <w:t>Supplementary Table 2.</w:t>
      </w:r>
      <w:r w:rsidRPr="0068284C">
        <w:rPr>
          <w:b/>
          <w:bCs/>
        </w:rPr>
        <w:t xml:space="preserve"> </w:t>
      </w:r>
      <w:r>
        <w:rPr>
          <w:b/>
          <w:bCs/>
        </w:rPr>
        <w:t xml:space="preserve">Beta coefficients from linear regression models representing standard deviation </w:t>
      </w:r>
      <w:r w:rsidRPr="00860AFB">
        <w:rPr>
          <w:b/>
          <w:bCs/>
        </w:rPr>
        <w:t xml:space="preserve">change in </w:t>
      </w:r>
      <w:r>
        <w:rPr>
          <w:b/>
          <w:bCs/>
        </w:rPr>
        <w:t xml:space="preserve">fluid intelligence </w:t>
      </w:r>
      <w:r w:rsidRPr="00860AFB">
        <w:rPr>
          <w:b/>
          <w:bCs/>
        </w:rPr>
        <w:t xml:space="preserve">per one standard deviation increase in </w:t>
      </w:r>
      <w:r>
        <w:rPr>
          <w:b/>
          <w:bCs/>
        </w:rPr>
        <w:t xml:space="preserve">CMR measure in </w:t>
      </w:r>
      <w:r w:rsidRPr="001F5118">
        <w:rPr>
          <w:b/>
          <w:bCs/>
        </w:rPr>
        <w:t>women</w:t>
      </w:r>
    </w:p>
    <w:tbl>
      <w:tblPr>
        <w:tblStyle w:val="TableGridLight"/>
        <w:tblpPr w:leftFromText="180" w:rightFromText="180" w:vertAnchor="page" w:horzAnchor="margin" w:tblpY="2354"/>
        <w:tblW w:w="984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130"/>
        <w:gridCol w:w="1835"/>
        <w:gridCol w:w="1720"/>
        <w:gridCol w:w="1720"/>
        <w:gridCol w:w="1720"/>
        <w:gridCol w:w="1720"/>
      </w:tblGrid>
      <w:tr w:rsidR="00620174" w:rsidRPr="00620174" w14:paraId="200F325C" w14:textId="77777777" w:rsidTr="00620174">
        <w:trPr>
          <w:trHeight w:val="565"/>
        </w:trPr>
        <w:tc>
          <w:tcPr>
            <w:tcW w:w="1130" w:type="dxa"/>
            <w:tcBorders>
              <w:top w:val="single" w:sz="4" w:space="0" w:color="auto"/>
              <w:bottom w:val="single" w:sz="4" w:space="0" w:color="auto"/>
              <w:right w:val="single" w:sz="4" w:space="0" w:color="auto"/>
            </w:tcBorders>
            <w:shd w:val="clear" w:color="auto" w:fill="E7E6E6" w:themeFill="background2"/>
            <w:vAlign w:val="center"/>
          </w:tcPr>
          <w:p w14:paraId="6BA75240" w14:textId="77777777" w:rsidR="00620174" w:rsidRPr="00620174" w:rsidRDefault="00620174" w:rsidP="00620174">
            <w:pPr>
              <w:snapToGrid w:val="0"/>
              <w:spacing w:line="240" w:lineRule="auto"/>
              <w:jc w:val="center"/>
              <w:rPr>
                <w:sz w:val="20"/>
                <w:szCs w:val="20"/>
              </w:rPr>
            </w:pPr>
            <w:r w:rsidRPr="00620174">
              <w:rPr>
                <w:b/>
                <w:bCs/>
                <w:sz w:val="20"/>
                <w:szCs w:val="20"/>
              </w:rPr>
              <w:t>CMR</w:t>
            </w:r>
          </w:p>
        </w:tc>
        <w:tc>
          <w:tcPr>
            <w:tcW w:w="1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D0B51B9" w14:textId="77777777" w:rsidR="00620174" w:rsidRPr="00620174" w:rsidRDefault="00620174" w:rsidP="00620174">
            <w:pPr>
              <w:snapToGrid w:val="0"/>
              <w:spacing w:line="240" w:lineRule="auto"/>
              <w:jc w:val="center"/>
              <w:rPr>
                <w:sz w:val="20"/>
                <w:szCs w:val="20"/>
              </w:rPr>
            </w:pPr>
            <w:r w:rsidRPr="00620174">
              <w:rPr>
                <w:b/>
                <w:bCs/>
                <w:sz w:val="20"/>
                <w:szCs w:val="20"/>
              </w:rPr>
              <w:t>Univariate</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4ACC0D" w14:textId="77777777" w:rsidR="00620174" w:rsidRPr="00620174" w:rsidRDefault="00620174" w:rsidP="00620174">
            <w:pPr>
              <w:snapToGrid w:val="0"/>
              <w:spacing w:line="240" w:lineRule="auto"/>
              <w:jc w:val="center"/>
              <w:rPr>
                <w:sz w:val="20"/>
                <w:szCs w:val="20"/>
              </w:rPr>
            </w:pPr>
            <w:r w:rsidRPr="00620174">
              <w:rPr>
                <w:b/>
                <w:bCs/>
                <w:sz w:val="20"/>
                <w:szCs w:val="20"/>
              </w:rPr>
              <w:t>Model 1</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82B7C8" w14:textId="77777777" w:rsidR="00620174" w:rsidRPr="00620174" w:rsidRDefault="00620174" w:rsidP="00620174">
            <w:pPr>
              <w:snapToGrid w:val="0"/>
              <w:spacing w:line="240" w:lineRule="auto"/>
              <w:jc w:val="center"/>
              <w:rPr>
                <w:sz w:val="20"/>
                <w:szCs w:val="20"/>
              </w:rPr>
            </w:pPr>
            <w:r w:rsidRPr="00620174">
              <w:rPr>
                <w:b/>
                <w:bCs/>
                <w:sz w:val="20"/>
                <w:szCs w:val="20"/>
              </w:rPr>
              <w:t>Model 2</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7D1622C" w14:textId="77777777" w:rsidR="00620174" w:rsidRPr="00620174" w:rsidRDefault="00620174" w:rsidP="00620174">
            <w:pPr>
              <w:snapToGrid w:val="0"/>
              <w:spacing w:line="240" w:lineRule="auto"/>
              <w:jc w:val="center"/>
              <w:rPr>
                <w:sz w:val="20"/>
                <w:szCs w:val="20"/>
              </w:rPr>
            </w:pPr>
            <w:r w:rsidRPr="00620174">
              <w:rPr>
                <w:b/>
                <w:bCs/>
                <w:sz w:val="20"/>
                <w:szCs w:val="20"/>
              </w:rPr>
              <w:t>Model 3</w:t>
            </w:r>
          </w:p>
        </w:tc>
        <w:tc>
          <w:tcPr>
            <w:tcW w:w="1720" w:type="dxa"/>
            <w:tcBorders>
              <w:top w:val="single" w:sz="4" w:space="0" w:color="auto"/>
              <w:left w:val="single" w:sz="4" w:space="0" w:color="auto"/>
              <w:bottom w:val="single" w:sz="4" w:space="0" w:color="auto"/>
            </w:tcBorders>
            <w:shd w:val="clear" w:color="auto" w:fill="E7E6E6" w:themeFill="background2"/>
            <w:vAlign w:val="center"/>
          </w:tcPr>
          <w:p w14:paraId="36B02F31" w14:textId="77777777" w:rsidR="00620174" w:rsidRPr="00620174" w:rsidRDefault="00620174" w:rsidP="00620174">
            <w:pPr>
              <w:snapToGrid w:val="0"/>
              <w:spacing w:line="240" w:lineRule="auto"/>
              <w:jc w:val="center"/>
              <w:rPr>
                <w:sz w:val="20"/>
                <w:szCs w:val="20"/>
              </w:rPr>
            </w:pPr>
            <w:r w:rsidRPr="00620174">
              <w:rPr>
                <w:b/>
                <w:bCs/>
                <w:sz w:val="20"/>
                <w:szCs w:val="20"/>
              </w:rPr>
              <w:t>Model 4</w:t>
            </w:r>
          </w:p>
        </w:tc>
      </w:tr>
      <w:tr w:rsidR="00620174" w:rsidRPr="00620174" w14:paraId="3465402B"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020BB8CF"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LVEDVi</w:t>
            </w:r>
            <w:proofErr w:type="spellEnd"/>
          </w:p>
        </w:tc>
        <w:tc>
          <w:tcPr>
            <w:tcW w:w="1835" w:type="dxa"/>
            <w:tcBorders>
              <w:top w:val="single" w:sz="4" w:space="0" w:color="auto"/>
              <w:left w:val="single" w:sz="4" w:space="0" w:color="auto"/>
              <w:right w:val="single" w:sz="4" w:space="0" w:color="auto"/>
            </w:tcBorders>
            <w:vAlign w:val="bottom"/>
          </w:tcPr>
          <w:p w14:paraId="16BD985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0.057*</w:t>
            </w:r>
          </w:p>
        </w:tc>
        <w:tc>
          <w:tcPr>
            <w:tcW w:w="1720" w:type="dxa"/>
            <w:tcBorders>
              <w:top w:val="single" w:sz="4" w:space="0" w:color="auto"/>
              <w:left w:val="single" w:sz="4" w:space="0" w:color="auto"/>
              <w:right w:val="single" w:sz="4" w:space="0" w:color="auto"/>
            </w:tcBorders>
            <w:vAlign w:val="bottom"/>
          </w:tcPr>
          <w:p w14:paraId="02894156"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0.040*</w:t>
            </w:r>
          </w:p>
        </w:tc>
        <w:tc>
          <w:tcPr>
            <w:tcW w:w="1720" w:type="dxa"/>
            <w:tcBorders>
              <w:top w:val="single" w:sz="4" w:space="0" w:color="auto"/>
              <w:left w:val="single" w:sz="4" w:space="0" w:color="auto"/>
              <w:right w:val="single" w:sz="4" w:space="0" w:color="auto"/>
            </w:tcBorders>
            <w:vAlign w:val="bottom"/>
          </w:tcPr>
          <w:p w14:paraId="669C258E"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0.028*</w:t>
            </w:r>
          </w:p>
        </w:tc>
        <w:tc>
          <w:tcPr>
            <w:tcW w:w="1720" w:type="dxa"/>
            <w:tcBorders>
              <w:top w:val="single" w:sz="4" w:space="0" w:color="auto"/>
              <w:left w:val="single" w:sz="4" w:space="0" w:color="auto"/>
              <w:right w:val="single" w:sz="4" w:space="0" w:color="auto"/>
            </w:tcBorders>
            <w:vAlign w:val="bottom"/>
          </w:tcPr>
          <w:p w14:paraId="0F59A3F7"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0.027*</w:t>
            </w:r>
          </w:p>
        </w:tc>
        <w:tc>
          <w:tcPr>
            <w:tcW w:w="1720" w:type="dxa"/>
            <w:tcBorders>
              <w:top w:val="single" w:sz="4" w:space="0" w:color="auto"/>
              <w:left w:val="single" w:sz="4" w:space="0" w:color="auto"/>
            </w:tcBorders>
            <w:vAlign w:val="bottom"/>
          </w:tcPr>
          <w:p w14:paraId="7CF3EA0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0.029*</w:t>
            </w:r>
          </w:p>
        </w:tc>
      </w:tr>
      <w:tr w:rsidR="00620174" w:rsidRPr="00620174" w14:paraId="3500D797" w14:textId="77777777" w:rsidTr="00620174">
        <w:tc>
          <w:tcPr>
            <w:tcW w:w="1130" w:type="dxa"/>
            <w:tcBorders>
              <w:bottom w:val="nil"/>
              <w:right w:val="single" w:sz="4" w:space="0" w:color="auto"/>
            </w:tcBorders>
            <w:shd w:val="clear" w:color="auto" w:fill="F2F2F2" w:themeFill="background1" w:themeFillShade="F2"/>
            <w:vAlign w:val="bottom"/>
          </w:tcPr>
          <w:p w14:paraId="2B5B8BC3"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720D7F0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0.073]</w:t>
            </w:r>
          </w:p>
        </w:tc>
        <w:tc>
          <w:tcPr>
            <w:tcW w:w="1720" w:type="dxa"/>
            <w:tcBorders>
              <w:left w:val="single" w:sz="4" w:space="0" w:color="auto"/>
              <w:bottom w:val="nil"/>
              <w:right w:val="single" w:sz="4" w:space="0" w:color="auto"/>
            </w:tcBorders>
            <w:vAlign w:val="bottom"/>
          </w:tcPr>
          <w:p w14:paraId="0ACED217"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[0.023, 0.056]</w:t>
            </w:r>
          </w:p>
        </w:tc>
        <w:tc>
          <w:tcPr>
            <w:tcW w:w="1720" w:type="dxa"/>
            <w:tcBorders>
              <w:left w:val="single" w:sz="4" w:space="0" w:color="auto"/>
              <w:bottom w:val="nil"/>
              <w:right w:val="single" w:sz="4" w:space="0" w:color="auto"/>
            </w:tcBorders>
            <w:vAlign w:val="bottom"/>
          </w:tcPr>
          <w:p w14:paraId="3B5E65CB"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[0.012, 0.044]</w:t>
            </w:r>
          </w:p>
        </w:tc>
        <w:tc>
          <w:tcPr>
            <w:tcW w:w="1720" w:type="dxa"/>
            <w:tcBorders>
              <w:left w:val="single" w:sz="4" w:space="0" w:color="auto"/>
              <w:bottom w:val="nil"/>
              <w:right w:val="single" w:sz="4" w:space="0" w:color="auto"/>
            </w:tcBorders>
            <w:vAlign w:val="bottom"/>
          </w:tcPr>
          <w:p w14:paraId="2F73E16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[0.011, 0.043]</w:t>
            </w:r>
          </w:p>
        </w:tc>
        <w:tc>
          <w:tcPr>
            <w:tcW w:w="1720" w:type="dxa"/>
            <w:tcBorders>
              <w:left w:val="single" w:sz="4" w:space="0" w:color="auto"/>
              <w:bottom w:val="nil"/>
            </w:tcBorders>
            <w:vAlign w:val="bottom"/>
          </w:tcPr>
          <w:p w14:paraId="0B9A2EC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[0.013, 0.045]</w:t>
            </w:r>
          </w:p>
        </w:tc>
      </w:tr>
      <w:tr w:rsidR="00620174" w:rsidRPr="00620174" w14:paraId="7F1DC160"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7C5B9325"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6028E3B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1.08x10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right w:val="single" w:sz="4" w:space="0" w:color="auto"/>
            </w:tcBorders>
            <w:vAlign w:val="bottom"/>
          </w:tcPr>
          <w:p w14:paraId="1BB56F5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6.70x10</w:t>
            </w:r>
            <w:r w:rsidRPr="00620174">
              <w:rPr>
                <w:color w:val="000000"/>
                <w:position w:val="6"/>
                <w:sz w:val="20"/>
                <w:szCs w:val="20"/>
                <w:vertAlign w:val="superscript"/>
              </w:rPr>
              <w:t>-6</w:t>
            </w:r>
          </w:p>
        </w:tc>
        <w:tc>
          <w:tcPr>
            <w:tcW w:w="1720" w:type="dxa"/>
            <w:tcBorders>
              <w:top w:val="nil"/>
              <w:left w:val="single" w:sz="4" w:space="0" w:color="auto"/>
              <w:bottom w:val="single" w:sz="4" w:space="0" w:color="auto"/>
              <w:right w:val="single" w:sz="4" w:space="0" w:color="auto"/>
            </w:tcBorders>
            <w:vAlign w:val="bottom"/>
          </w:tcPr>
          <w:p w14:paraId="1A7D912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1.23x10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vAlign w:val="bottom"/>
          </w:tcPr>
          <w:p w14:paraId="5E378879"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1.64x10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tcBorders>
            <w:vAlign w:val="bottom"/>
          </w:tcPr>
          <w:p w14:paraId="137B5FF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8.18x10</w:t>
            </w:r>
            <w:r w:rsidRPr="00620174">
              <w:rPr>
                <w:color w:val="000000"/>
                <w:position w:val="6"/>
                <w:sz w:val="20"/>
                <w:szCs w:val="20"/>
                <w:vertAlign w:val="superscript"/>
              </w:rPr>
              <w:t>-4</w:t>
            </w:r>
          </w:p>
        </w:tc>
      </w:tr>
      <w:tr w:rsidR="00620174" w:rsidRPr="00620174" w14:paraId="670F65D8"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33906B9F"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LVESVi</w:t>
            </w:r>
            <w:proofErr w:type="spellEnd"/>
          </w:p>
        </w:tc>
        <w:tc>
          <w:tcPr>
            <w:tcW w:w="1835" w:type="dxa"/>
            <w:tcBorders>
              <w:top w:val="single" w:sz="4" w:space="0" w:color="auto"/>
              <w:left w:val="single" w:sz="4" w:space="0" w:color="auto"/>
              <w:right w:val="single" w:sz="4" w:space="0" w:color="auto"/>
            </w:tcBorders>
            <w:vAlign w:val="bottom"/>
          </w:tcPr>
          <w:p w14:paraId="467D9465"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0.048*</w:t>
            </w:r>
          </w:p>
        </w:tc>
        <w:tc>
          <w:tcPr>
            <w:tcW w:w="1720" w:type="dxa"/>
            <w:tcBorders>
              <w:top w:val="single" w:sz="4" w:space="0" w:color="auto"/>
              <w:left w:val="single" w:sz="4" w:space="0" w:color="auto"/>
              <w:right w:val="single" w:sz="4" w:space="0" w:color="auto"/>
            </w:tcBorders>
            <w:shd w:val="clear" w:color="auto" w:fill="auto"/>
            <w:vAlign w:val="bottom"/>
          </w:tcPr>
          <w:p w14:paraId="5AB2B42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0.033*</w:t>
            </w:r>
          </w:p>
        </w:tc>
        <w:tc>
          <w:tcPr>
            <w:tcW w:w="1720" w:type="dxa"/>
            <w:tcBorders>
              <w:top w:val="single" w:sz="4" w:space="0" w:color="auto"/>
              <w:left w:val="single" w:sz="4" w:space="0" w:color="auto"/>
              <w:right w:val="single" w:sz="4" w:space="0" w:color="auto"/>
            </w:tcBorders>
            <w:shd w:val="clear" w:color="auto" w:fill="auto"/>
            <w:vAlign w:val="bottom"/>
          </w:tcPr>
          <w:p w14:paraId="14B6A86B"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0.024*</w:t>
            </w:r>
          </w:p>
        </w:tc>
        <w:tc>
          <w:tcPr>
            <w:tcW w:w="1720" w:type="dxa"/>
            <w:tcBorders>
              <w:top w:val="single" w:sz="4" w:space="0" w:color="auto"/>
              <w:left w:val="single" w:sz="4" w:space="0" w:color="auto"/>
              <w:right w:val="single" w:sz="4" w:space="0" w:color="auto"/>
            </w:tcBorders>
            <w:shd w:val="clear" w:color="auto" w:fill="auto"/>
            <w:vAlign w:val="bottom"/>
          </w:tcPr>
          <w:p w14:paraId="3E67DFB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0.024*</w:t>
            </w:r>
          </w:p>
        </w:tc>
        <w:tc>
          <w:tcPr>
            <w:tcW w:w="1720" w:type="dxa"/>
            <w:tcBorders>
              <w:top w:val="single" w:sz="4" w:space="0" w:color="auto"/>
              <w:left w:val="single" w:sz="4" w:space="0" w:color="auto"/>
            </w:tcBorders>
            <w:shd w:val="clear" w:color="auto" w:fill="auto"/>
            <w:vAlign w:val="bottom"/>
          </w:tcPr>
          <w:p w14:paraId="31FD8CCD"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r>
      <w:tr w:rsidR="00620174" w:rsidRPr="00620174" w14:paraId="6756759A" w14:textId="77777777" w:rsidTr="00620174">
        <w:tc>
          <w:tcPr>
            <w:tcW w:w="1130" w:type="dxa"/>
            <w:tcBorders>
              <w:bottom w:val="nil"/>
              <w:right w:val="single" w:sz="4" w:space="0" w:color="auto"/>
            </w:tcBorders>
            <w:shd w:val="clear" w:color="auto" w:fill="F2F2F2" w:themeFill="background1" w:themeFillShade="F2"/>
            <w:vAlign w:val="bottom"/>
          </w:tcPr>
          <w:p w14:paraId="54C2F359"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55FE7C0A"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[0.032, 0.063]</w:t>
            </w:r>
          </w:p>
        </w:tc>
        <w:tc>
          <w:tcPr>
            <w:tcW w:w="1720" w:type="dxa"/>
            <w:tcBorders>
              <w:left w:val="single" w:sz="4" w:space="0" w:color="auto"/>
              <w:bottom w:val="nil"/>
              <w:right w:val="single" w:sz="4" w:space="0" w:color="auto"/>
            </w:tcBorders>
            <w:shd w:val="clear" w:color="auto" w:fill="auto"/>
            <w:vAlign w:val="bottom"/>
          </w:tcPr>
          <w:p w14:paraId="1EE97C41"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[0.017, 0.049]</w:t>
            </w:r>
          </w:p>
        </w:tc>
        <w:tc>
          <w:tcPr>
            <w:tcW w:w="1720" w:type="dxa"/>
            <w:tcBorders>
              <w:left w:val="single" w:sz="4" w:space="0" w:color="auto"/>
              <w:bottom w:val="nil"/>
              <w:right w:val="single" w:sz="4" w:space="0" w:color="auto"/>
            </w:tcBorders>
            <w:shd w:val="clear" w:color="auto" w:fill="auto"/>
            <w:vAlign w:val="bottom"/>
          </w:tcPr>
          <w:p w14:paraId="7E507D4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[0.009, 0.040]</w:t>
            </w:r>
          </w:p>
        </w:tc>
        <w:tc>
          <w:tcPr>
            <w:tcW w:w="1720" w:type="dxa"/>
            <w:tcBorders>
              <w:left w:val="single" w:sz="4" w:space="0" w:color="auto"/>
              <w:bottom w:val="nil"/>
              <w:right w:val="single" w:sz="4" w:space="0" w:color="auto"/>
            </w:tcBorders>
            <w:shd w:val="clear" w:color="auto" w:fill="auto"/>
            <w:vAlign w:val="bottom"/>
          </w:tcPr>
          <w:p w14:paraId="70E44CA3"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[0.008, 0.040]</w:t>
            </w:r>
          </w:p>
        </w:tc>
        <w:tc>
          <w:tcPr>
            <w:tcW w:w="1720" w:type="dxa"/>
            <w:tcBorders>
              <w:left w:val="single" w:sz="4" w:space="0" w:color="auto"/>
              <w:bottom w:val="nil"/>
            </w:tcBorders>
            <w:shd w:val="clear" w:color="auto" w:fill="auto"/>
            <w:vAlign w:val="bottom"/>
          </w:tcPr>
          <w:p w14:paraId="015CFCA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[0.010, 0.041]</w:t>
            </w:r>
          </w:p>
        </w:tc>
      </w:tr>
      <w:tr w:rsidR="00620174" w:rsidRPr="00620174" w14:paraId="673008B1"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7AEA7F57"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11243594"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2.24x10</w:t>
            </w:r>
            <w:r w:rsidRPr="00620174">
              <w:rPr>
                <w:color w:val="000000"/>
                <w:position w:val="6"/>
                <w:sz w:val="20"/>
                <w:szCs w:val="20"/>
                <w:vertAlign w:val="superscript"/>
              </w:rPr>
              <w:t>-8</w:t>
            </w:r>
          </w:p>
        </w:tc>
        <w:tc>
          <w:tcPr>
            <w:tcW w:w="1720" w:type="dxa"/>
            <w:tcBorders>
              <w:top w:val="nil"/>
              <w:left w:val="single" w:sz="4" w:space="0" w:color="auto"/>
              <w:bottom w:val="single" w:sz="4" w:space="0" w:color="auto"/>
              <w:right w:val="single" w:sz="4" w:space="0" w:color="auto"/>
            </w:tcBorders>
            <w:shd w:val="clear" w:color="auto" w:fill="auto"/>
            <w:vAlign w:val="bottom"/>
          </w:tcPr>
          <w:p w14:paraId="352823BE"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1.82x10</w:t>
            </w:r>
            <w:r w:rsidRPr="00620174">
              <w:rPr>
                <w:color w:val="000000"/>
                <w:position w:val="6"/>
                <w:sz w:val="20"/>
                <w:szCs w:val="20"/>
                <w:vertAlign w:val="superscript"/>
              </w:rPr>
              <w:t>-4</w:t>
            </w:r>
          </w:p>
        </w:tc>
        <w:tc>
          <w:tcPr>
            <w:tcW w:w="1720" w:type="dxa"/>
            <w:tcBorders>
              <w:top w:val="nil"/>
              <w:left w:val="single" w:sz="4" w:space="0" w:color="auto"/>
              <w:bottom w:val="single" w:sz="4" w:space="0" w:color="auto"/>
              <w:right w:val="single" w:sz="4" w:space="0" w:color="auto"/>
            </w:tcBorders>
            <w:shd w:val="clear" w:color="auto" w:fill="auto"/>
            <w:vAlign w:val="bottom"/>
          </w:tcPr>
          <w:p w14:paraId="5FEFF39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4.09x10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shd w:val="clear" w:color="auto" w:fill="auto"/>
            <w:vAlign w:val="bottom"/>
          </w:tcPr>
          <w:p w14:paraId="13617B5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4.91x10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tcBorders>
            <w:shd w:val="clear" w:color="auto" w:fill="auto"/>
            <w:vAlign w:val="bottom"/>
          </w:tcPr>
          <w:p w14:paraId="1DC69ADE"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2.94x10</w:t>
            </w:r>
            <w:r w:rsidRPr="00620174">
              <w:rPr>
                <w:color w:val="000000"/>
                <w:position w:val="6"/>
                <w:sz w:val="20"/>
                <w:szCs w:val="20"/>
                <w:vertAlign w:val="superscript"/>
              </w:rPr>
              <w:t>-3</w:t>
            </w:r>
          </w:p>
        </w:tc>
      </w:tr>
      <w:tr w:rsidR="00620174" w:rsidRPr="00620174" w14:paraId="6E8BF6F1"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38CA6A88" w14:textId="77777777" w:rsidR="00620174" w:rsidRPr="00620174" w:rsidRDefault="00620174" w:rsidP="00620174">
            <w:pPr>
              <w:snapToGrid w:val="0"/>
              <w:spacing w:before="60" w:line="240" w:lineRule="auto"/>
              <w:jc w:val="center"/>
              <w:rPr>
                <w:sz w:val="20"/>
                <w:szCs w:val="20"/>
              </w:rPr>
            </w:pPr>
            <w:r w:rsidRPr="00620174">
              <w:rPr>
                <w:sz w:val="20"/>
                <w:szCs w:val="20"/>
              </w:rPr>
              <w:t>LVEF</w:t>
            </w:r>
          </w:p>
        </w:tc>
        <w:tc>
          <w:tcPr>
            <w:tcW w:w="1835" w:type="dxa"/>
            <w:tcBorders>
              <w:top w:val="single" w:sz="4" w:space="0" w:color="auto"/>
              <w:left w:val="single" w:sz="4" w:space="0" w:color="auto"/>
              <w:right w:val="single" w:sz="4" w:space="0" w:color="auto"/>
            </w:tcBorders>
            <w:shd w:val="clear" w:color="auto" w:fill="F2F2F2" w:themeFill="background1" w:themeFillShade="F2"/>
            <w:vAlign w:val="bottom"/>
          </w:tcPr>
          <w:p w14:paraId="4865C36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-0.016</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0305A0F5"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-0.010</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09FC9160"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-0.008</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3961D676"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-0.008</w:t>
            </w:r>
          </w:p>
        </w:tc>
        <w:tc>
          <w:tcPr>
            <w:tcW w:w="1720" w:type="dxa"/>
            <w:tcBorders>
              <w:top w:val="single" w:sz="4" w:space="0" w:color="auto"/>
              <w:left w:val="single" w:sz="4" w:space="0" w:color="auto"/>
            </w:tcBorders>
            <w:shd w:val="clear" w:color="auto" w:fill="F2F2F2" w:themeFill="background1" w:themeFillShade="F2"/>
            <w:vAlign w:val="bottom"/>
          </w:tcPr>
          <w:p w14:paraId="796D3B6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-0.009</w:t>
            </w:r>
          </w:p>
        </w:tc>
      </w:tr>
      <w:tr w:rsidR="00620174" w:rsidRPr="00620174" w14:paraId="5B764E7F" w14:textId="77777777" w:rsidTr="00620174">
        <w:tc>
          <w:tcPr>
            <w:tcW w:w="1130" w:type="dxa"/>
            <w:tcBorders>
              <w:bottom w:val="nil"/>
              <w:right w:val="single" w:sz="4" w:space="0" w:color="auto"/>
            </w:tcBorders>
            <w:shd w:val="clear" w:color="auto" w:fill="F2F2F2" w:themeFill="background1" w:themeFillShade="F2"/>
            <w:vAlign w:val="bottom"/>
          </w:tcPr>
          <w:p w14:paraId="0A8D5B63"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shd w:val="clear" w:color="auto" w:fill="F2F2F2" w:themeFill="background1" w:themeFillShade="F2"/>
            <w:vAlign w:val="bottom"/>
          </w:tcPr>
          <w:p w14:paraId="6BF7A4BA"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[-0.032, 0.000]</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1677638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[-0.026, 0.006]</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7D3180D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[-0.024, 0.007]</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6F279ECD"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[-0.024, 0.007]</w:t>
            </w:r>
          </w:p>
        </w:tc>
        <w:tc>
          <w:tcPr>
            <w:tcW w:w="1720" w:type="dxa"/>
            <w:tcBorders>
              <w:left w:val="single" w:sz="4" w:space="0" w:color="auto"/>
              <w:bottom w:val="nil"/>
            </w:tcBorders>
            <w:shd w:val="clear" w:color="auto" w:fill="F2F2F2" w:themeFill="background1" w:themeFillShade="F2"/>
            <w:vAlign w:val="bottom"/>
          </w:tcPr>
          <w:p w14:paraId="5E04066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[-0.024, 0.007]</w:t>
            </w:r>
          </w:p>
        </w:tc>
      </w:tr>
      <w:tr w:rsidR="00620174" w:rsidRPr="00620174" w14:paraId="1B25DDA8"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64AE3700"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0A80E52D"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0.0655</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0DE4B19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0.2179</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197D90D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0.3008</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012AA80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0.3090</w:t>
            </w:r>
          </w:p>
        </w:tc>
        <w:tc>
          <w:tcPr>
            <w:tcW w:w="1720" w:type="dxa"/>
            <w:tcBorders>
              <w:top w:val="nil"/>
              <w:left w:val="single" w:sz="4" w:space="0" w:color="auto"/>
              <w:bottom w:val="single" w:sz="4" w:space="0" w:color="auto"/>
            </w:tcBorders>
            <w:shd w:val="clear" w:color="auto" w:fill="F2F2F2" w:themeFill="background1" w:themeFillShade="F2"/>
            <w:vAlign w:val="bottom"/>
          </w:tcPr>
          <w:p w14:paraId="5C7BF9A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0.2867</w:t>
            </w:r>
          </w:p>
        </w:tc>
      </w:tr>
      <w:tr w:rsidR="00620174" w:rsidRPr="00620174" w14:paraId="6C55C9BD"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16B52E61"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LVSVi</w:t>
            </w:r>
            <w:proofErr w:type="spellEnd"/>
          </w:p>
        </w:tc>
        <w:tc>
          <w:tcPr>
            <w:tcW w:w="1835" w:type="dxa"/>
            <w:tcBorders>
              <w:top w:val="single" w:sz="4" w:space="0" w:color="auto"/>
              <w:left w:val="single" w:sz="4" w:space="0" w:color="auto"/>
              <w:right w:val="single" w:sz="4" w:space="0" w:color="auto"/>
            </w:tcBorders>
            <w:vAlign w:val="bottom"/>
          </w:tcPr>
          <w:p w14:paraId="3FC1097E"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0.044*</w:t>
            </w:r>
          </w:p>
        </w:tc>
        <w:tc>
          <w:tcPr>
            <w:tcW w:w="1720" w:type="dxa"/>
            <w:tcBorders>
              <w:top w:val="single" w:sz="4" w:space="0" w:color="auto"/>
              <w:left w:val="single" w:sz="4" w:space="0" w:color="auto"/>
              <w:right w:val="single" w:sz="4" w:space="0" w:color="auto"/>
            </w:tcBorders>
            <w:vAlign w:val="bottom"/>
          </w:tcPr>
          <w:p w14:paraId="6B9600D6"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0.029*</w:t>
            </w:r>
          </w:p>
        </w:tc>
        <w:tc>
          <w:tcPr>
            <w:tcW w:w="1720" w:type="dxa"/>
            <w:tcBorders>
              <w:top w:val="single" w:sz="4" w:space="0" w:color="auto"/>
              <w:left w:val="single" w:sz="4" w:space="0" w:color="auto"/>
              <w:right w:val="single" w:sz="4" w:space="0" w:color="auto"/>
            </w:tcBorders>
            <w:vAlign w:val="bottom"/>
          </w:tcPr>
          <w:p w14:paraId="74AAF85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0.019*</w:t>
            </w:r>
          </w:p>
        </w:tc>
        <w:tc>
          <w:tcPr>
            <w:tcW w:w="1720" w:type="dxa"/>
            <w:tcBorders>
              <w:top w:val="single" w:sz="4" w:space="0" w:color="auto"/>
              <w:left w:val="single" w:sz="4" w:space="0" w:color="auto"/>
              <w:right w:val="single" w:sz="4" w:space="0" w:color="auto"/>
            </w:tcBorders>
            <w:shd w:val="clear" w:color="auto" w:fill="auto"/>
            <w:vAlign w:val="bottom"/>
          </w:tcPr>
          <w:p w14:paraId="5E052EE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0.019*</w:t>
            </w:r>
          </w:p>
        </w:tc>
        <w:tc>
          <w:tcPr>
            <w:tcW w:w="1720" w:type="dxa"/>
            <w:tcBorders>
              <w:top w:val="single" w:sz="4" w:space="0" w:color="auto"/>
              <w:left w:val="single" w:sz="4" w:space="0" w:color="auto"/>
            </w:tcBorders>
            <w:shd w:val="clear" w:color="auto" w:fill="auto"/>
            <w:vAlign w:val="bottom"/>
          </w:tcPr>
          <w:p w14:paraId="07E4B73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0.020*</w:t>
            </w:r>
          </w:p>
        </w:tc>
      </w:tr>
      <w:tr w:rsidR="00620174" w:rsidRPr="00620174" w14:paraId="6B250AA7" w14:textId="77777777" w:rsidTr="00620174">
        <w:tc>
          <w:tcPr>
            <w:tcW w:w="1130" w:type="dxa"/>
            <w:tcBorders>
              <w:bottom w:val="nil"/>
              <w:right w:val="single" w:sz="4" w:space="0" w:color="auto"/>
            </w:tcBorders>
            <w:shd w:val="clear" w:color="auto" w:fill="F2F2F2" w:themeFill="background1" w:themeFillShade="F2"/>
            <w:vAlign w:val="bottom"/>
          </w:tcPr>
          <w:p w14:paraId="3229552B"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76B50FA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[0.028, 0.060]</w:t>
            </w:r>
          </w:p>
        </w:tc>
        <w:tc>
          <w:tcPr>
            <w:tcW w:w="1720" w:type="dxa"/>
            <w:tcBorders>
              <w:left w:val="single" w:sz="4" w:space="0" w:color="auto"/>
              <w:bottom w:val="nil"/>
              <w:right w:val="single" w:sz="4" w:space="0" w:color="auto"/>
            </w:tcBorders>
            <w:vAlign w:val="bottom"/>
          </w:tcPr>
          <w:p w14:paraId="1B27AE3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[0.013, 0.045]</w:t>
            </w:r>
          </w:p>
        </w:tc>
        <w:tc>
          <w:tcPr>
            <w:tcW w:w="1720" w:type="dxa"/>
            <w:tcBorders>
              <w:left w:val="single" w:sz="4" w:space="0" w:color="auto"/>
              <w:bottom w:val="nil"/>
              <w:right w:val="single" w:sz="4" w:space="0" w:color="auto"/>
            </w:tcBorders>
            <w:vAlign w:val="bottom"/>
          </w:tcPr>
          <w:p w14:paraId="5C52BDA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[0.003, 0.035]</w:t>
            </w:r>
          </w:p>
        </w:tc>
        <w:tc>
          <w:tcPr>
            <w:tcW w:w="1720" w:type="dxa"/>
            <w:tcBorders>
              <w:left w:val="single" w:sz="4" w:space="0" w:color="auto"/>
              <w:bottom w:val="nil"/>
              <w:right w:val="single" w:sz="4" w:space="0" w:color="auto"/>
            </w:tcBorders>
            <w:shd w:val="clear" w:color="auto" w:fill="auto"/>
            <w:vAlign w:val="bottom"/>
          </w:tcPr>
          <w:p w14:paraId="6D42BBC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[0.003, 0.034]</w:t>
            </w:r>
          </w:p>
        </w:tc>
        <w:tc>
          <w:tcPr>
            <w:tcW w:w="1720" w:type="dxa"/>
            <w:tcBorders>
              <w:left w:val="single" w:sz="4" w:space="0" w:color="auto"/>
              <w:bottom w:val="nil"/>
            </w:tcBorders>
            <w:shd w:val="clear" w:color="auto" w:fill="auto"/>
            <w:vAlign w:val="bottom"/>
          </w:tcPr>
          <w:p w14:paraId="342ADB1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[0.004, 0.036]</w:t>
            </w:r>
          </w:p>
        </w:tc>
      </w:tr>
      <w:tr w:rsidR="00620174" w:rsidRPr="00620174" w14:paraId="4D834926"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07169312"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0814CA5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2.65x10</w:t>
            </w:r>
            <w:r w:rsidRPr="00620174">
              <w:rPr>
                <w:color w:val="000000"/>
                <w:position w:val="6"/>
                <w:sz w:val="20"/>
                <w:szCs w:val="20"/>
                <w:vertAlign w:val="superscript"/>
              </w:rPr>
              <w:t>-7</w:t>
            </w:r>
          </w:p>
        </w:tc>
        <w:tc>
          <w:tcPr>
            <w:tcW w:w="1720" w:type="dxa"/>
            <w:tcBorders>
              <w:top w:val="nil"/>
              <w:left w:val="single" w:sz="4" w:space="0" w:color="auto"/>
              <w:bottom w:val="single" w:sz="4" w:space="0" w:color="auto"/>
              <w:right w:val="single" w:sz="4" w:space="0" w:color="auto"/>
            </w:tcBorders>
            <w:vAlign w:val="bottom"/>
          </w:tcPr>
          <w:p w14:paraId="20A268C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8.61x10</w:t>
            </w:r>
            <w:r w:rsidRPr="00620174">
              <w:rPr>
                <w:color w:val="000000"/>
                <w:position w:val="6"/>
                <w:sz w:val="20"/>
                <w:szCs w:val="20"/>
                <w:vertAlign w:val="superscript"/>
              </w:rPr>
              <w:t>-4</w:t>
            </w:r>
          </w:p>
        </w:tc>
        <w:tc>
          <w:tcPr>
            <w:tcW w:w="1720" w:type="dxa"/>
            <w:tcBorders>
              <w:top w:val="nil"/>
              <w:left w:val="single" w:sz="4" w:space="0" w:color="auto"/>
              <w:bottom w:val="single" w:sz="4" w:space="0" w:color="auto"/>
              <w:right w:val="single" w:sz="4" w:space="0" w:color="auto"/>
            </w:tcBorders>
            <w:vAlign w:val="bottom"/>
          </w:tcPr>
          <w:p w14:paraId="119A94F4"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0.0227</w:t>
            </w:r>
          </w:p>
        </w:tc>
        <w:tc>
          <w:tcPr>
            <w:tcW w:w="1720" w:type="dxa"/>
            <w:tcBorders>
              <w:top w:val="nil"/>
              <w:left w:val="single" w:sz="4" w:space="0" w:color="auto"/>
              <w:bottom w:val="single" w:sz="4" w:space="0" w:color="auto"/>
              <w:right w:val="single" w:sz="4" w:space="0" w:color="auto"/>
            </w:tcBorders>
            <w:shd w:val="clear" w:color="auto" w:fill="auto"/>
            <w:vAlign w:val="bottom"/>
          </w:tcPr>
          <w:p w14:paraId="72511560"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0.0271</w:t>
            </w:r>
          </w:p>
        </w:tc>
        <w:tc>
          <w:tcPr>
            <w:tcW w:w="1720" w:type="dxa"/>
            <w:tcBorders>
              <w:top w:val="nil"/>
              <w:left w:val="single" w:sz="4" w:space="0" w:color="auto"/>
              <w:bottom w:val="single" w:sz="4" w:space="0" w:color="auto"/>
            </w:tcBorders>
            <w:shd w:val="clear" w:color="auto" w:fill="auto"/>
            <w:vAlign w:val="bottom"/>
          </w:tcPr>
          <w:p w14:paraId="2BAE01AE"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0.0202</w:t>
            </w:r>
          </w:p>
        </w:tc>
      </w:tr>
      <w:tr w:rsidR="00620174" w:rsidRPr="00620174" w14:paraId="5058E823"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409A27F2" w14:textId="77777777" w:rsidR="00620174" w:rsidRPr="00620174" w:rsidRDefault="00620174" w:rsidP="00620174">
            <w:pPr>
              <w:snapToGrid w:val="0"/>
              <w:spacing w:before="60" w:line="240" w:lineRule="auto"/>
              <w:jc w:val="center"/>
              <w:rPr>
                <w:sz w:val="20"/>
                <w:szCs w:val="20"/>
              </w:rPr>
            </w:pPr>
            <w:r w:rsidRPr="00620174">
              <w:rPr>
                <w:sz w:val="20"/>
                <w:szCs w:val="20"/>
              </w:rPr>
              <w:t>LVMi</w:t>
            </w:r>
          </w:p>
        </w:tc>
        <w:tc>
          <w:tcPr>
            <w:tcW w:w="1835" w:type="dxa"/>
            <w:tcBorders>
              <w:top w:val="single" w:sz="4" w:space="0" w:color="auto"/>
              <w:left w:val="single" w:sz="4" w:space="0" w:color="auto"/>
              <w:right w:val="single" w:sz="4" w:space="0" w:color="auto"/>
            </w:tcBorders>
            <w:vAlign w:val="bottom"/>
          </w:tcPr>
          <w:p w14:paraId="74FB536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0.040*</w:t>
            </w:r>
          </w:p>
        </w:tc>
        <w:tc>
          <w:tcPr>
            <w:tcW w:w="1720" w:type="dxa"/>
            <w:tcBorders>
              <w:top w:val="single" w:sz="4" w:space="0" w:color="auto"/>
              <w:left w:val="single" w:sz="4" w:space="0" w:color="auto"/>
              <w:right w:val="single" w:sz="4" w:space="0" w:color="auto"/>
            </w:tcBorders>
            <w:vAlign w:val="bottom"/>
          </w:tcPr>
          <w:p w14:paraId="68BB136B"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0.037*</w:t>
            </w:r>
          </w:p>
        </w:tc>
        <w:tc>
          <w:tcPr>
            <w:tcW w:w="1720" w:type="dxa"/>
            <w:tcBorders>
              <w:top w:val="single" w:sz="4" w:space="0" w:color="auto"/>
              <w:left w:val="single" w:sz="4" w:space="0" w:color="auto"/>
              <w:right w:val="single" w:sz="4" w:space="0" w:color="auto"/>
            </w:tcBorders>
            <w:vAlign w:val="bottom"/>
          </w:tcPr>
          <w:p w14:paraId="6BE4E5E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0.030*</w:t>
            </w:r>
          </w:p>
        </w:tc>
        <w:tc>
          <w:tcPr>
            <w:tcW w:w="1720" w:type="dxa"/>
            <w:tcBorders>
              <w:top w:val="single" w:sz="4" w:space="0" w:color="auto"/>
              <w:left w:val="single" w:sz="4" w:space="0" w:color="auto"/>
              <w:right w:val="single" w:sz="4" w:space="0" w:color="auto"/>
            </w:tcBorders>
            <w:vAlign w:val="bottom"/>
          </w:tcPr>
          <w:p w14:paraId="4753EC2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0.033*</w:t>
            </w:r>
          </w:p>
        </w:tc>
        <w:tc>
          <w:tcPr>
            <w:tcW w:w="1720" w:type="dxa"/>
            <w:tcBorders>
              <w:top w:val="single" w:sz="4" w:space="0" w:color="auto"/>
              <w:left w:val="single" w:sz="4" w:space="0" w:color="auto"/>
            </w:tcBorders>
            <w:vAlign w:val="bottom"/>
          </w:tcPr>
          <w:p w14:paraId="7997D1C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0.036*</w:t>
            </w:r>
          </w:p>
        </w:tc>
      </w:tr>
      <w:tr w:rsidR="00620174" w:rsidRPr="00620174" w14:paraId="71DDCDA3" w14:textId="77777777" w:rsidTr="00620174">
        <w:tc>
          <w:tcPr>
            <w:tcW w:w="1130" w:type="dxa"/>
            <w:tcBorders>
              <w:bottom w:val="nil"/>
              <w:right w:val="single" w:sz="4" w:space="0" w:color="auto"/>
            </w:tcBorders>
            <w:shd w:val="clear" w:color="auto" w:fill="F2F2F2" w:themeFill="background1" w:themeFillShade="F2"/>
            <w:vAlign w:val="bottom"/>
          </w:tcPr>
          <w:p w14:paraId="7DCE5CF4"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70D0FF7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[0.024, 0.056]</w:t>
            </w:r>
          </w:p>
        </w:tc>
        <w:tc>
          <w:tcPr>
            <w:tcW w:w="1720" w:type="dxa"/>
            <w:tcBorders>
              <w:left w:val="single" w:sz="4" w:space="0" w:color="auto"/>
              <w:bottom w:val="nil"/>
              <w:right w:val="single" w:sz="4" w:space="0" w:color="auto"/>
            </w:tcBorders>
            <w:vAlign w:val="bottom"/>
          </w:tcPr>
          <w:p w14:paraId="1CE557C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[0.021, 0.053]</w:t>
            </w:r>
          </w:p>
        </w:tc>
        <w:tc>
          <w:tcPr>
            <w:tcW w:w="1720" w:type="dxa"/>
            <w:tcBorders>
              <w:left w:val="single" w:sz="4" w:space="0" w:color="auto"/>
              <w:bottom w:val="nil"/>
              <w:right w:val="single" w:sz="4" w:space="0" w:color="auto"/>
            </w:tcBorders>
            <w:vAlign w:val="bottom"/>
          </w:tcPr>
          <w:p w14:paraId="2564C47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[0.015, 0.046]</w:t>
            </w:r>
          </w:p>
        </w:tc>
        <w:tc>
          <w:tcPr>
            <w:tcW w:w="1720" w:type="dxa"/>
            <w:tcBorders>
              <w:left w:val="single" w:sz="4" w:space="0" w:color="auto"/>
              <w:bottom w:val="nil"/>
              <w:right w:val="single" w:sz="4" w:space="0" w:color="auto"/>
            </w:tcBorders>
            <w:vAlign w:val="bottom"/>
          </w:tcPr>
          <w:p w14:paraId="25D1969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[0.017, 0.048]</w:t>
            </w:r>
          </w:p>
        </w:tc>
        <w:tc>
          <w:tcPr>
            <w:tcW w:w="1720" w:type="dxa"/>
            <w:tcBorders>
              <w:left w:val="single" w:sz="4" w:space="0" w:color="auto"/>
              <w:bottom w:val="nil"/>
            </w:tcBorders>
            <w:vAlign w:val="bottom"/>
          </w:tcPr>
          <w:p w14:paraId="748A1F4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[0.020, 0.051]</w:t>
            </w:r>
          </w:p>
        </w:tc>
      </w:tr>
      <w:tr w:rsidR="00620174" w:rsidRPr="00620174" w14:paraId="1A7AA5FB"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6526DBED"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1ECFFAB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2.58x10</w:t>
            </w:r>
            <w:r w:rsidRPr="00620174">
              <w:rPr>
                <w:color w:val="000000"/>
                <w:position w:val="6"/>
                <w:sz w:val="20"/>
                <w:szCs w:val="20"/>
                <w:vertAlign w:val="superscript"/>
              </w:rPr>
              <w:t>-6</w:t>
            </w:r>
          </w:p>
        </w:tc>
        <w:tc>
          <w:tcPr>
            <w:tcW w:w="1720" w:type="dxa"/>
            <w:tcBorders>
              <w:top w:val="nil"/>
              <w:left w:val="single" w:sz="4" w:space="0" w:color="auto"/>
              <w:bottom w:val="single" w:sz="4" w:space="0" w:color="auto"/>
              <w:right w:val="single" w:sz="4" w:space="0" w:color="auto"/>
            </w:tcBorders>
            <w:vAlign w:val="bottom"/>
          </w:tcPr>
          <w:p w14:paraId="2BD26D11"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1.97x10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vAlign w:val="bottom"/>
          </w:tcPr>
          <w:p w14:paraId="42AEE13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2.57x10</w:t>
            </w:r>
            <w:r w:rsidRPr="00620174">
              <w:rPr>
                <w:color w:val="000000"/>
                <w:position w:val="6"/>
                <w:sz w:val="20"/>
                <w:szCs w:val="20"/>
                <w:vertAlign w:val="superscript"/>
              </w:rPr>
              <w:t>-4</w:t>
            </w:r>
          </w:p>
        </w:tc>
        <w:tc>
          <w:tcPr>
            <w:tcW w:w="1720" w:type="dxa"/>
            <w:tcBorders>
              <w:top w:val="nil"/>
              <w:left w:val="single" w:sz="4" w:space="0" w:color="auto"/>
              <w:bottom w:val="single" w:sz="4" w:space="0" w:color="auto"/>
              <w:right w:val="single" w:sz="4" w:space="0" w:color="auto"/>
            </w:tcBorders>
            <w:vAlign w:val="bottom"/>
          </w:tcPr>
          <w:p w14:paraId="4A020199"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9.46x10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tcBorders>
            <w:vAlign w:val="bottom"/>
          </w:tcPr>
          <w:p w14:paraId="4A041A8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1.97x10</w:t>
            </w:r>
            <w:r w:rsidRPr="00620174">
              <w:rPr>
                <w:color w:val="000000"/>
                <w:position w:val="6"/>
                <w:sz w:val="20"/>
                <w:szCs w:val="20"/>
                <w:vertAlign w:val="superscript"/>
              </w:rPr>
              <w:t>-5</w:t>
            </w:r>
          </w:p>
        </w:tc>
      </w:tr>
      <w:tr w:rsidR="00620174" w:rsidRPr="00620174" w14:paraId="27064F09"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6E3E481A"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RVEDVi</w:t>
            </w:r>
            <w:proofErr w:type="spellEnd"/>
          </w:p>
        </w:tc>
        <w:tc>
          <w:tcPr>
            <w:tcW w:w="1835" w:type="dxa"/>
            <w:tcBorders>
              <w:top w:val="single" w:sz="4" w:space="0" w:color="auto"/>
              <w:left w:val="single" w:sz="4" w:space="0" w:color="auto"/>
              <w:right w:val="single" w:sz="4" w:space="0" w:color="auto"/>
            </w:tcBorders>
            <w:vAlign w:val="bottom"/>
          </w:tcPr>
          <w:p w14:paraId="6660F6F1" w14:textId="77777777" w:rsidR="00620174" w:rsidRPr="00620174" w:rsidRDefault="00620174" w:rsidP="00620174">
            <w:pPr>
              <w:snapToGrid w:val="0"/>
              <w:spacing w:before="60" w:line="240" w:lineRule="auto"/>
              <w:jc w:val="center"/>
              <w:rPr>
                <w:b/>
                <w:bCs/>
                <w:color w:val="000000"/>
                <w:position w:val="6"/>
                <w:sz w:val="20"/>
                <w:szCs w:val="20"/>
              </w:rPr>
            </w:pPr>
            <w:r w:rsidRPr="00620174">
              <w:rPr>
                <w:color w:val="000000"/>
                <w:position w:val="6"/>
                <w:sz w:val="20"/>
                <w:szCs w:val="20"/>
              </w:rPr>
              <w:t>0.091*</w:t>
            </w:r>
          </w:p>
        </w:tc>
        <w:tc>
          <w:tcPr>
            <w:tcW w:w="1720" w:type="dxa"/>
            <w:tcBorders>
              <w:top w:val="single" w:sz="4" w:space="0" w:color="auto"/>
              <w:left w:val="single" w:sz="4" w:space="0" w:color="auto"/>
              <w:right w:val="single" w:sz="4" w:space="0" w:color="auto"/>
            </w:tcBorders>
            <w:vAlign w:val="bottom"/>
          </w:tcPr>
          <w:p w14:paraId="30EE722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0.076*</w:t>
            </w:r>
          </w:p>
        </w:tc>
        <w:tc>
          <w:tcPr>
            <w:tcW w:w="1720" w:type="dxa"/>
            <w:tcBorders>
              <w:top w:val="single" w:sz="4" w:space="0" w:color="auto"/>
              <w:left w:val="single" w:sz="4" w:space="0" w:color="auto"/>
              <w:right w:val="single" w:sz="4" w:space="0" w:color="auto"/>
            </w:tcBorders>
            <w:vAlign w:val="bottom"/>
          </w:tcPr>
          <w:p w14:paraId="469E7D57"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0.056*</w:t>
            </w:r>
          </w:p>
        </w:tc>
        <w:tc>
          <w:tcPr>
            <w:tcW w:w="1720" w:type="dxa"/>
            <w:tcBorders>
              <w:top w:val="single" w:sz="4" w:space="0" w:color="auto"/>
              <w:left w:val="single" w:sz="4" w:space="0" w:color="auto"/>
              <w:right w:val="single" w:sz="4" w:space="0" w:color="auto"/>
            </w:tcBorders>
            <w:vAlign w:val="bottom"/>
          </w:tcPr>
          <w:p w14:paraId="493B4267"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0.055*</w:t>
            </w:r>
          </w:p>
        </w:tc>
        <w:tc>
          <w:tcPr>
            <w:tcW w:w="1720" w:type="dxa"/>
            <w:tcBorders>
              <w:top w:val="single" w:sz="4" w:space="0" w:color="auto"/>
              <w:left w:val="single" w:sz="4" w:space="0" w:color="auto"/>
            </w:tcBorders>
            <w:vAlign w:val="bottom"/>
          </w:tcPr>
          <w:p w14:paraId="016F546B"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0.058*</w:t>
            </w:r>
          </w:p>
        </w:tc>
      </w:tr>
      <w:tr w:rsidR="00620174" w:rsidRPr="00620174" w14:paraId="4D70DA75" w14:textId="77777777" w:rsidTr="00620174">
        <w:tc>
          <w:tcPr>
            <w:tcW w:w="1130" w:type="dxa"/>
            <w:tcBorders>
              <w:bottom w:val="nil"/>
              <w:right w:val="single" w:sz="4" w:space="0" w:color="auto"/>
            </w:tcBorders>
            <w:shd w:val="clear" w:color="auto" w:fill="F2F2F2" w:themeFill="background1" w:themeFillShade="F2"/>
            <w:vAlign w:val="bottom"/>
          </w:tcPr>
          <w:p w14:paraId="3812CEA8"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448EE5D3"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[0.075, 0.107]</w:t>
            </w:r>
          </w:p>
        </w:tc>
        <w:tc>
          <w:tcPr>
            <w:tcW w:w="1720" w:type="dxa"/>
            <w:tcBorders>
              <w:left w:val="single" w:sz="4" w:space="0" w:color="auto"/>
              <w:bottom w:val="nil"/>
              <w:right w:val="single" w:sz="4" w:space="0" w:color="auto"/>
            </w:tcBorders>
            <w:vAlign w:val="bottom"/>
          </w:tcPr>
          <w:p w14:paraId="3913A94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[0.060, 0.092]</w:t>
            </w:r>
          </w:p>
        </w:tc>
        <w:tc>
          <w:tcPr>
            <w:tcW w:w="1720" w:type="dxa"/>
            <w:tcBorders>
              <w:left w:val="single" w:sz="4" w:space="0" w:color="auto"/>
              <w:bottom w:val="nil"/>
              <w:right w:val="single" w:sz="4" w:space="0" w:color="auto"/>
            </w:tcBorders>
            <w:vAlign w:val="bottom"/>
          </w:tcPr>
          <w:p w14:paraId="425178D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[0.040, 0.071]</w:t>
            </w:r>
          </w:p>
        </w:tc>
        <w:tc>
          <w:tcPr>
            <w:tcW w:w="1720" w:type="dxa"/>
            <w:tcBorders>
              <w:left w:val="single" w:sz="4" w:space="0" w:color="auto"/>
              <w:bottom w:val="nil"/>
              <w:right w:val="single" w:sz="4" w:space="0" w:color="auto"/>
            </w:tcBorders>
            <w:vAlign w:val="bottom"/>
          </w:tcPr>
          <w:p w14:paraId="4A95692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[0.039, 0.071]</w:t>
            </w:r>
          </w:p>
        </w:tc>
        <w:tc>
          <w:tcPr>
            <w:tcW w:w="1720" w:type="dxa"/>
            <w:tcBorders>
              <w:left w:val="single" w:sz="4" w:space="0" w:color="auto"/>
              <w:bottom w:val="nil"/>
            </w:tcBorders>
            <w:vAlign w:val="bottom"/>
          </w:tcPr>
          <w:p w14:paraId="60EF0A73"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0.074]</w:t>
            </w:r>
          </w:p>
        </w:tc>
      </w:tr>
      <w:tr w:rsidR="00620174" w:rsidRPr="00620174" w14:paraId="7E93C758"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7D799DEE"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3DACB51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5.80x10</w:t>
            </w:r>
            <w:r w:rsidRPr="00620174">
              <w:rPr>
                <w:color w:val="000000"/>
                <w:position w:val="6"/>
                <w:sz w:val="20"/>
                <w:szCs w:val="20"/>
                <w:vertAlign w:val="superscript"/>
              </w:rPr>
              <w:t>-28</w:t>
            </w:r>
          </w:p>
        </w:tc>
        <w:tc>
          <w:tcPr>
            <w:tcW w:w="1720" w:type="dxa"/>
            <w:tcBorders>
              <w:top w:val="nil"/>
              <w:left w:val="single" w:sz="4" w:space="0" w:color="auto"/>
              <w:bottom w:val="single" w:sz="4" w:space="0" w:color="auto"/>
              <w:right w:val="single" w:sz="4" w:space="0" w:color="auto"/>
            </w:tcBorders>
            <w:vAlign w:val="bottom"/>
          </w:tcPr>
          <w:p w14:paraId="25ABF020"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6.21x10</w:t>
            </w:r>
            <w:r w:rsidRPr="00620174">
              <w:rPr>
                <w:color w:val="000000"/>
                <w:position w:val="6"/>
                <w:sz w:val="20"/>
                <w:szCs w:val="20"/>
                <w:vertAlign w:val="superscript"/>
              </w:rPr>
              <w:t>-19</w:t>
            </w:r>
          </w:p>
        </w:tc>
        <w:tc>
          <w:tcPr>
            <w:tcW w:w="1720" w:type="dxa"/>
            <w:tcBorders>
              <w:top w:val="nil"/>
              <w:left w:val="single" w:sz="4" w:space="0" w:color="auto"/>
              <w:bottom w:val="single" w:sz="4" w:space="0" w:color="auto"/>
              <w:right w:val="single" w:sz="4" w:space="0" w:color="auto"/>
            </w:tcBorders>
            <w:vAlign w:val="bottom"/>
          </w:tcPr>
          <w:p w14:paraId="5027BB04"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3.43x10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right w:val="single" w:sz="4" w:space="0" w:color="auto"/>
            </w:tcBorders>
            <w:vAlign w:val="bottom"/>
          </w:tcPr>
          <w:p w14:paraId="1F3E558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8.43x10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tcBorders>
            <w:vAlign w:val="bottom"/>
          </w:tcPr>
          <w:p w14:paraId="3564FEE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1.20x10</w:t>
            </w:r>
            <w:r w:rsidRPr="00620174">
              <w:rPr>
                <w:color w:val="000000"/>
                <w:position w:val="6"/>
                <w:sz w:val="20"/>
                <w:szCs w:val="20"/>
                <w:vertAlign w:val="superscript"/>
              </w:rPr>
              <w:t>-11</w:t>
            </w:r>
          </w:p>
        </w:tc>
      </w:tr>
      <w:tr w:rsidR="00620174" w:rsidRPr="00620174" w14:paraId="5F40984A"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06537C99"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RVESVi</w:t>
            </w:r>
            <w:proofErr w:type="spellEnd"/>
          </w:p>
        </w:tc>
        <w:tc>
          <w:tcPr>
            <w:tcW w:w="1835" w:type="dxa"/>
            <w:tcBorders>
              <w:top w:val="single" w:sz="4" w:space="0" w:color="auto"/>
              <w:left w:val="single" w:sz="4" w:space="0" w:color="auto"/>
              <w:right w:val="single" w:sz="4" w:space="0" w:color="auto"/>
            </w:tcBorders>
            <w:vAlign w:val="bottom"/>
          </w:tcPr>
          <w:p w14:paraId="4BDFB65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0.103*</w:t>
            </w:r>
          </w:p>
        </w:tc>
        <w:tc>
          <w:tcPr>
            <w:tcW w:w="1720" w:type="dxa"/>
            <w:tcBorders>
              <w:top w:val="single" w:sz="4" w:space="0" w:color="auto"/>
              <w:left w:val="single" w:sz="4" w:space="0" w:color="auto"/>
              <w:right w:val="single" w:sz="4" w:space="0" w:color="auto"/>
            </w:tcBorders>
            <w:vAlign w:val="bottom"/>
          </w:tcPr>
          <w:p w14:paraId="60635A15"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0.089*</w:t>
            </w:r>
          </w:p>
        </w:tc>
        <w:tc>
          <w:tcPr>
            <w:tcW w:w="1720" w:type="dxa"/>
            <w:tcBorders>
              <w:top w:val="single" w:sz="4" w:space="0" w:color="auto"/>
              <w:left w:val="single" w:sz="4" w:space="0" w:color="auto"/>
              <w:right w:val="single" w:sz="4" w:space="0" w:color="auto"/>
            </w:tcBorders>
            <w:vAlign w:val="bottom"/>
          </w:tcPr>
          <w:p w14:paraId="5E83CB18"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0.066*</w:t>
            </w:r>
          </w:p>
        </w:tc>
        <w:tc>
          <w:tcPr>
            <w:tcW w:w="1720" w:type="dxa"/>
            <w:tcBorders>
              <w:top w:val="single" w:sz="4" w:space="0" w:color="auto"/>
              <w:left w:val="single" w:sz="4" w:space="0" w:color="auto"/>
              <w:right w:val="single" w:sz="4" w:space="0" w:color="auto"/>
            </w:tcBorders>
            <w:vAlign w:val="bottom"/>
          </w:tcPr>
          <w:p w14:paraId="01132E0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0.066*</w:t>
            </w:r>
          </w:p>
        </w:tc>
        <w:tc>
          <w:tcPr>
            <w:tcW w:w="1720" w:type="dxa"/>
            <w:tcBorders>
              <w:top w:val="single" w:sz="4" w:space="0" w:color="auto"/>
              <w:left w:val="single" w:sz="4" w:space="0" w:color="auto"/>
            </w:tcBorders>
            <w:vAlign w:val="bottom"/>
          </w:tcPr>
          <w:p w14:paraId="57D9F2B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0.068*</w:t>
            </w:r>
          </w:p>
        </w:tc>
      </w:tr>
      <w:tr w:rsidR="00620174" w:rsidRPr="00620174" w14:paraId="37617C88" w14:textId="77777777" w:rsidTr="00620174">
        <w:tc>
          <w:tcPr>
            <w:tcW w:w="1130" w:type="dxa"/>
            <w:tcBorders>
              <w:bottom w:val="nil"/>
              <w:right w:val="single" w:sz="4" w:space="0" w:color="auto"/>
            </w:tcBorders>
            <w:shd w:val="clear" w:color="auto" w:fill="F2F2F2" w:themeFill="background1" w:themeFillShade="F2"/>
            <w:vAlign w:val="bottom"/>
          </w:tcPr>
          <w:p w14:paraId="4C1F3D54"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65808F5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[0.087, 0.119]</w:t>
            </w:r>
          </w:p>
        </w:tc>
        <w:tc>
          <w:tcPr>
            <w:tcW w:w="1720" w:type="dxa"/>
            <w:tcBorders>
              <w:left w:val="single" w:sz="4" w:space="0" w:color="auto"/>
              <w:bottom w:val="nil"/>
              <w:right w:val="single" w:sz="4" w:space="0" w:color="auto"/>
            </w:tcBorders>
            <w:vAlign w:val="bottom"/>
          </w:tcPr>
          <w:p w14:paraId="1006DB1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[0.073, 0.106]</w:t>
            </w:r>
          </w:p>
        </w:tc>
        <w:tc>
          <w:tcPr>
            <w:tcW w:w="1720" w:type="dxa"/>
            <w:tcBorders>
              <w:left w:val="single" w:sz="4" w:space="0" w:color="auto"/>
              <w:bottom w:val="nil"/>
              <w:right w:val="single" w:sz="4" w:space="0" w:color="auto"/>
            </w:tcBorders>
            <w:vAlign w:val="bottom"/>
          </w:tcPr>
          <w:p w14:paraId="720EB6F9"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[0.051, 0.082]</w:t>
            </w:r>
          </w:p>
        </w:tc>
        <w:tc>
          <w:tcPr>
            <w:tcW w:w="1720" w:type="dxa"/>
            <w:tcBorders>
              <w:left w:val="single" w:sz="4" w:space="0" w:color="auto"/>
              <w:bottom w:val="nil"/>
              <w:right w:val="single" w:sz="4" w:space="0" w:color="auto"/>
            </w:tcBorders>
            <w:vAlign w:val="bottom"/>
          </w:tcPr>
          <w:p w14:paraId="398E573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[0.050, 0.081]</w:t>
            </w:r>
          </w:p>
        </w:tc>
        <w:tc>
          <w:tcPr>
            <w:tcW w:w="1720" w:type="dxa"/>
            <w:tcBorders>
              <w:left w:val="single" w:sz="4" w:space="0" w:color="auto"/>
              <w:bottom w:val="nil"/>
            </w:tcBorders>
            <w:vAlign w:val="bottom"/>
          </w:tcPr>
          <w:p w14:paraId="24B463B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[0.052, 0.084]</w:t>
            </w:r>
          </w:p>
        </w:tc>
      </w:tr>
      <w:tr w:rsidR="00620174" w:rsidRPr="00620174" w14:paraId="145E7FFE"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31F33138"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59B3F394"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3.47x10</w:t>
            </w:r>
            <w:r w:rsidRPr="00620174">
              <w:rPr>
                <w:color w:val="000000"/>
                <w:position w:val="6"/>
                <w:sz w:val="20"/>
                <w:szCs w:val="20"/>
                <w:vertAlign w:val="superscript"/>
              </w:rPr>
              <w:t>-35</w:t>
            </w:r>
          </w:p>
        </w:tc>
        <w:tc>
          <w:tcPr>
            <w:tcW w:w="1720" w:type="dxa"/>
            <w:tcBorders>
              <w:top w:val="nil"/>
              <w:left w:val="single" w:sz="4" w:space="0" w:color="auto"/>
              <w:bottom w:val="single" w:sz="4" w:space="0" w:color="auto"/>
              <w:right w:val="single" w:sz="4" w:space="0" w:color="auto"/>
            </w:tcBorders>
            <w:vAlign w:val="bottom"/>
          </w:tcPr>
          <w:p w14:paraId="6794647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6.50x10</w:t>
            </w:r>
            <w:r w:rsidRPr="00620174">
              <w:rPr>
                <w:color w:val="000000"/>
                <w:position w:val="6"/>
                <w:sz w:val="20"/>
                <w:szCs w:val="20"/>
                <w:vertAlign w:val="superscript"/>
              </w:rPr>
              <w:t>-26</w:t>
            </w:r>
          </w:p>
        </w:tc>
        <w:tc>
          <w:tcPr>
            <w:tcW w:w="1720" w:type="dxa"/>
            <w:tcBorders>
              <w:top w:val="nil"/>
              <w:left w:val="single" w:sz="4" w:space="0" w:color="auto"/>
              <w:bottom w:val="single" w:sz="4" w:space="0" w:color="auto"/>
              <w:right w:val="single" w:sz="4" w:space="0" w:color="auto"/>
            </w:tcBorders>
            <w:vAlign w:val="bottom"/>
          </w:tcPr>
          <w:p w14:paraId="42DFBC3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1.36x10</w:t>
            </w:r>
            <w:r w:rsidRPr="00620174">
              <w:rPr>
                <w:color w:val="000000"/>
                <w:position w:val="6"/>
                <w:sz w:val="20"/>
                <w:szCs w:val="20"/>
                <w:vertAlign w:val="superscript"/>
              </w:rPr>
              <w:t>-15</w:t>
            </w:r>
          </w:p>
        </w:tc>
        <w:tc>
          <w:tcPr>
            <w:tcW w:w="1720" w:type="dxa"/>
            <w:tcBorders>
              <w:top w:val="nil"/>
              <w:left w:val="single" w:sz="4" w:space="0" w:color="auto"/>
              <w:bottom w:val="single" w:sz="4" w:space="0" w:color="auto"/>
              <w:right w:val="single" w:sz="4" w:space="0" w:color="auto"/>
            </w:tcBorders>
            <w:vAlign w:val="bottom"/>
          </w:tcPr>
          <w:p w14:paraId="1C447BA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3.47x10</w:t>
            </w:r>
            <w:r w:rsidRPr="00620174">
              <w:rPr>
                <w:color w:val="000000"/>
                <w:position w:val="6"/>
                <w:sz w:val="20"/>
                <w:szCs w:val="20"/>
                <w:vertAlign w:val="superscript"/>
              </w:rPr>
              <w:t>-15</w:t>
            </w:r>
          </w:p>
        </w:tc>
        <w:tc>
          <w:tcPr>
            <w:tcW w:w="1720" w:type="dxa"/>
            <w:tcBorders>
              <w:top w:val="nil"/>
              <w:left w:val="single" w:sz="4" w:space="0" w:color="auto"/>
              <w:bottom w:val="single" w:sz="4" w:space="0" w:color="auto"/>
            </w:tcBorders>
            <w:vAlign w:val="bottom"/>
          </w:tcPr>
          <w:p w14:paraId="0A4857D7"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3.67x10</w:t>
            </w:r>
            <w:r w:rsidRPr="00620174">
              <w:rPr>
                <w:color w:val="000000"/>
                <w:position w:val="6"/>
                <w:sz w:val="20"/>
                <w:szCs w:val="20"/>
                <w:vertAlign w:val="superscript"/>
              </w:rPr>
              <w:t>-16</w:t>
            </w:r>
          </w:p>
        </w:tc>
      </w:tr>
      <w:tr w:rsidR="00620174" w:rsidRPr="00620174" w14:paraId="0B55C166"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0860DF2F" w14:textId="77777777" w:rsidR="00620174" w:rsidRPr="00620174" w:rsidRDefault="00620174" w:rsidP="00620174">
            <w:pPr>
              <w:snapToGrid w:val="0"/>
              <w:spacing w:before="60" w:line="240" w:lineRule="auto"/>
              <w:jc w:val="center"/>
              <w:rPr>
                <w:sz w:val="20"/>
                <w:szCs w:val="20"/>
              </w:rPr>
            </w:pPr>
            <w:r w:rsidRPr="00620174">
              <w:rPr>
                <w:sz w:val="20"/>
                <w:szCs w:val="20"/>
              </w:rPr>
              <w:t>RVEF</w:t>
            </w:r>
          </w:p>
        </w:tc>
        <w:tc>
          <w:tcPr>
            <w:tcW w:w="1835" w:type="dxa"/>
            <w:tcBorders>
              <w:top w:val="single" w:sz="4" w:space="0" w:color="auto"/>
              <w:left w:val="single" w:sz="4" w:space="0" w:color="auto"/>
              <w:right w:val="single" w:sz="4" w:space="0" w:color="auto"/>
            </w:tcBorders>
            <w:vAlign w:val="bottom"/>
          </w:tcPr>
          <w:p w14:paraId="075ED27D"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-0.061*</w:t>
            </w:r>
          </w:p>
        </w:tc>
        <w:tc>
          <w:tcPr>
            <w:tcW w:w="1720" w:type="dxa"/>
            <w:tcBorders>
              <w:top w:val="single" w:sz="4" w:space="0" w:color="auto"/>
              <w:left w:val="single" w:sz="4" w:space="0" w:color="auto"/>
              <w:right w:val="single" w:sz="4" w:space="0" w:color="auto"/>
            </w:tcBorders>
            <w:shd w:val="clear" w:color="auto" w:fill="auto"/>
            <w:vAlign w:val="bottom"/>
          </w:tcPr>
          <w:p w14:paraId="5BBDB2A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-0.055*</w:t>
            </w:r>
          </w:p>
        </w:tc>
        <w:tc>
          <w:tcPr>
            <w:tcW w:w="1720" w:type="dxa"/>
            <w:tcBorders>
              <w:top w:val="single" w:sz="4" w:space="0" w:color="auto"/>
              <w:left w:val="single" w:sz="4" w:space="0" w:color="auto"/>
              <w:right w:val="single" w:sz="4" w:space="0" w:color="auto"/>
            </w:tcBorders>
            <w:shd w:val="clear" w:color="auto" w:fill="auto"/>
            <w:vAlign w:val="bottom"/>
          </w:tcPr>
          <w:p w14:paraId="177C18E0"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-0.040*</w:t>
            </w:r>
          </w:p>
        </w:tc>
        <w:tc>
          <w:tcPr>
            <w:tcW w:w="1720" w:type="dxa"/>
            <w:tcBorders>
              <w:top w:val="single" w:sz="4" w:space="0" w:color="auto"/>
              <w:left w:val="single" w:sz="4" w:space="0" w:color="auto"/>
              <w:right w:val="single" w:sz="4" w:space="0" w:color="auto"/>
            </w:tcBorders>
            <w:shd w:val="clear" w:color="auto" w:fill="auto"/>
            <w:vAlign w:val="bottom"/>
          </w:tcPr>
          <w:p w14:paraId="0ED2F92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-0.040*</w:t>
            </w:r>
          </w:p>
        </w:tc>
        <w:tc>
          <w:tcPr>
            <w:tcW w:w="1720" w:type="dxa"/>
            <w:tcBorders>
              <w:top w:val="single" w:sz="4" w:space="0" w:color="auto"/>
              <w:left w:val="single" w:sz="4" w:space="0" w:color="auto"/>
            </w:tcBorders>
            <w:shd w:val="clear" w:color="auto" w:fill="auto"/>
            <w:vAlign w:val="bottom"/>
          </w:tcPr>
          <w:p w14:paraId="4EAE2F3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-0.041*</w:t>
            </w:r>
          </w:p>
        </w:tc>
      </w:tr>
      <w:tr w:rsidR="00620174" w:rsidRPr="00620174" w14:paraId="6C52C690" w14:textId="77777777" w:rsidTr="00620174">
        <w:tc>
          <w:tcPr>
            <w:tcW w:w="1130" w:type="dxa"/>
            <w:tcBorders>
              <w:bottom w:val="nil"/>
              <w:right w:val="single" w:sz="4" w:space="0" w:color="auto"/>
            </w:tcBorders>
            <w:shd w:val="clear" w:color="auto" w:fill="F2F2F2" w:themeFill="background1" w:themeFillShade="F2"/>
            <w:vAlign w:val="bottom"/>
          </w:tcPr>
          <w:p w14:paraId="73E921EB"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51C7399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[-0.077, -0.045]</w:t>
            </w:r>
          </w:p>
        </w:tc>
        <w:tc>
          <w:tcPr>
            <w:tcW w:w="1720" w:type="dxa"/>
            <w:tcBorders>
              <w:left w:val="single" w:sz="4" w:space="0" w:color="auto"/>
              <w:bottom w:val="nil"/>
              <w:right w:val="single" w:sz="4" w:space="0" w:color="auto"/>
            </w:tcBorders>
            <w:shd w:val="clear" w:color="auto" w:fill="auto"/>
            <w:vAlign w:val="bottom"/>
          </w:tcPr>
          <w:p w14:paraId="62F9548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[-0.070, -0.039]</w:t>
            </w:r>
          </w:p>
        </w:tc>
        <w:tc>
          <w:tcPr>
            <w:tcW w:w="1720" w:type="dxa"/>
            <w:tcBorders>
              <w:left w:val="single" w:sz="4" w:space="0" w:color="auto"/>
              <w:bottom w:val="nil"/>
              <w:right w:val="single" w:sz="4" w:space="0" w:color="auto"/>
            </w:tcBorders>
            <w:shd w:val="clear" w:color="auto" w:fill="auto"/>
            <w:vAlign w:val="bottom"/>
          </w:tcPr>
          <w:p w14:paraId="122DD1B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[-0.056, -0.025]</w:t>
            </w:r>
          </w:p>
        </w:tc>
        <w:tc>
          <w:tcPr>
            <w:tcW w:w="1720" w:type="dxa"/>
            <w:tcBorders>
              <w:left w:val="single" w:sz="4" w:space="0" w:color="auto"/>
              <w:bottom w:val="nil"/>
              <w:right w:val="single" w:sz="4" w:space="0" w:color="auto"/>
            </w:tcBorders>
            <w:shd w:val="clear" w:color="auto" w:fill="auto"/>
            <w:vAlign w:val="bottom"/>
          </w:tcPr>
          <w:p w14:paraId="02D2EBD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[-0.055, -0.025]</w:t>
            </w:r>
          </w:p>
        </w:tc>
        <w:tc>
          <w:tcPr>
            <w:tcW w:w="1720" w:type="dxa"/>
            <w:tcBorders>
              <w:left w:val="single" w:sz="4" w:space="0" w:color="auto"/>
              <w:bottom w:val="nil"/>
            </w:tcBorders>
            <w:shd w:val="clear" w:color="auto" w:fill="auto"/>
            <w:vAlign w:val="bottom"/>
          </w:tcPr>
          <w:p w14:paraId="70AE5DD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[-0.056, -0.026]</w:t>
            </w:r>
          </w:p>
        </w:tc>
      </w:tr>
      <w:tr w:rsidR="00620174" w:rsidRPr="00620174" w14:paraId="2AEDC880" w14:textId="77777777" w:rsidTr="00620174">
        <w:tc>
          <w:tcPr>
            <w:tcW w:w="1130" w:type="dxa"/>
            <w:tcBorders>
              <w:top w:val="nil"/>
              <w:bottom w:val="single" w:sz="4" w:space="0" w:color="auto"/>
              <w:right w:val="single" w:sz="4" w:space="0" w:color="auto"/>
            </w:tcBorders>
            <w:shd w:val="clear" w:color="auto" w:fill="F2F2F2" w:themeFill="background1" w:themeFillShade="F2"/>
            <w:vAlign w:val="bottom"/>
          </w:tcPr>
          <w:p w14:paraId="3E9881C4"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7BB714FD"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4.76x10</w:t>
            </w:r>
            <w:r w:rsidRPr="00620174">
              <w:rPr>
                <w:color w:val="000000"/>
                <w:position w:val="6"/>
                <w:sz w:val="20"/>
                <w:szCs w:val="20"/>
                <w:vertAlign w:val="superscript"/>
              </w:rPr>
              <w:t>-13</w:t>
            </w:r>
          </w:p>
        </w:tc>
        <w:tc>
          <w:tcPr>
            <w:tcW w:w="1720" w:type="dxa"/>
            <w:tcBorders>
              <w:top w:val="nil"/>
              <w:left w:val="single" w:sz="4" w:space="0" w:color="auto"/>
              <w:bottom w:val="single" w:sz="4" w:space="0" w:color="auto"/>
              <w:right w:val="single" w:sz="4" w:space="0" w:color="auto"/>
            </w:tcBorders>
            <w:shd w:val="clear" w:color="auto" w:fill="auto"/>
            <w:vAlign w:val="bottom"/>
          </w:tcPr>
          <w:p w14:paraId="39AD377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1.01x10</w:t>
            </w:r>
            <w:r w:rsidRPr="00620174">
              <w:rPr>
                <w:color w:val="000000"/>
                <w:position w:val="6"/>
                <w:sz w:val="20"/>
                <w:szCs w:val="20"/>
                <w:vertAlign w:val="superscript"/>
              </w:rPr>
              <w:t>-10</w:t>
            </w:r>
          </w:p>
        </w:tc>
        <w:tc>
          <w:tcPr>
            <w:tcW w:w="1720" w:type="dxa"/>
            <w:tcBorders>
              <w:top w:val="nil"/>
              <w:left w:val="single" w:sz="4" w:space="0" w:color="auto"/>
              <w:bottom w:val="single" w:sz="4" w:space="0" w:color="auto"/>
              <w:right w:val="single" w:sz="4" w:space="0" w:color="auto"/>
            </w:tcBorders>
            <w:shd w:val="clear" w:color="auto" w:fill="auto"/>
            <w:vAlign w:val="bottom"/>
          </w:tcPr>
          <w:p w14:paraId="4536300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1.21x10</w:t>
            </w:r>
            <w:r w:rsidRPr="00620174">
              <w:rPr>
                <w:color w:val="000000"/>
                <w:position w:val="6"/>
                <w:sz w:val="20"/>
                <w:szCs w:val="20"/>
                <w:vertAlign w:val="superscript"/>
              </w:rPr>
              <w:t>-6</w:t>
            </w:r>
          </w:p>
        </w:tc>
        <w:tc>
          <w:tcPr>
            <w:tcW w:w="1720" w:type="dxa"/>
            <w:tcBorders>
              <w:top w:val="nil"/>
              <w:left w:val="single" w:sz="4" w:space="0" w:color="auto"/>
              <w:bottom w:val="single" w:sz="4" w:space="0" w:color="auto"/>
              <w:right w:val="single" w:sz="4" w:space="0" w:color="auto"/>
            </w:tcBorders>
            <w:shd w:val="clear" w:color="auto" w:fill="auto"/>
            <w:vAlign w:val="bottom"/>
          </w:tcPr>
          <w:p w14:paraId="4ADDDEF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1.42x10</w:t>
            </w:r>
            <w:r w:rsidRPr="00620174">
              <w:rPr>
                <w:color w:val="000000"/>
                <w:position w:val="6"/>
                <w:sz w:val="20"/>
                <w:szCs w:val="20"/>
                <w:vertAlign w:val="superscript"/>
              </w:rPr>
              <w:t>-6</w:t>
            </w:r>
          </w:p>
        </w:tc>
        <w:tc>
          <w:tcPr>
            <w:tcW w:w="1720" w:type="dxa"/>
            <w:tcBorders>
              <w:top w:val="nil"/>
              <w:left w:val="single" w:sz="4" w:space="0" w:color="auto"/>
              <w:bottom w:val="single" w:sz="4" w:space="0" w:color="auto"/>
            </w:tcBorders>
            <w:shd w:val="clear" w:color="auto" w:fill="auto"/>
            <w:vAlign w:val="bottom"/>
          </w:tcPr>
          <w:p w14:paraId="3CBFF383"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8.07x10</w:t>
            </w:r>
            <w:r w:rsidRPr="00620174">
              <w:rPr>
                <w:color w:val="000000"/>
                <w:position w:val="6"/>
                <w:sz w:val="20"/>
                <w:szCs w:val="20"/>
                <w:vertAlign w:val="superscript"/>
              </w:rPr>
              <w:t>-7</w:t>
            </w:r>
          </w:p>
        </w:tc>
      </w:tr>
      <w:tr w:rsidR="00620174" w:rsidRPr="00620174" w14:paraId="60A877F0" w14:textId="77777777" w:rsidTr="00620174">
        <w:tc>
          <w:tcPr>
            <w:tcW w:w="1130" w:type="dxa"/>
            <w:tcBorders>
              <w:top w:val="single" w:sz="4" w:space="0" w:color="auto"/>
              <w:right w:val="single" w:sz="4" w:space="0" w:color="auto"/>
            </w:tcBorders>
            <w:shd w:val="clear" w:color="auto" w:fill="F2F2F2" w:themeFill="background1" w:themeFillShade="F2"/>
            <w:vAlign w:val="bottom"/>
          </w:tcPr>
          <w:p w14:paraId="7F319D27"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RVSVi</w:t>
            </w:r>
            <w:proofErr w:type="spellEnd"/>
          </w:p>
        </w:tc>
        <w:tc>
          <w:tcPr>
            <w:tcW w:w="1835" w:type="dxa"/>
            <w:tcBorders>
              <w:top w:val="single" w:sz="4" w:space="0" w:color="auto"/>
              <w:left w:val="single" w:sz="4" w:space="0" w:color="auto"/>
              <w:right w:val="single" w:sz="4" w:space="0" w:color="auto"/>
            </w:tcBorders>
            <w:vAlign w:val="bottom"/>
          </w:tcPr>
          <w:p w14:paraId="2D66EC6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0.048*</w:t>
            </w:r>
          </w:p>
        </w:tc>
        <w:tc>
          <w:tcPr>
            <w:tcW w:w="1720" w:type="dxa"/>
            <w:tcBorders>
              <w:top w:val="single" w:sz="4" w:space="0" w:color="auto"/>
              <w:left w:val="single" w:sz="4" w:space="0" w:color="auto"/>
              <w:right w:val="single" w:sz="4" w:space="0" w:color="auto"/>
            </w:tcBorders>
            <w:vAlign w:val="bottom"/>
          </w:tcPr>
          <w:p w14:paraId="6087585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0.035*</w:t>
            </w:r>
          </w:p>
        </w:tc>
        <w:tc>
          <w:tcPr>
            <w:tcW w:w="1720" w:type="dxa"/>
            <w:tcBorders>
              <w:top w:val="single" w:sz="4" w:space="0" w:color="auto"/>
              <w:left w:val="single" w:sz="4" w:space="0" w:color="auto"/>
              <w:right w:val="single" w:sz="4" w:space="0" w:color="auto"/>
            </w:tcBorders>
            <w:shd w:val="clear" w:color="auto" w:fill="auto"/>
            <w:vAlign w:val="bottom"/>
          </w:tcPr>
          <w:p w14:paraId="4354312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c>
          <w:tcPr>
            <w:tcW w:w="1720" w:type="dxa"/>
            <w:tcBorders>
              <w:top w:val="single" w:sz="4" w:space="0" w:color="auto"/>
              <w:left w:val="single" w:sz="4" w:space="0" w:color="auto"/>
              <w:right w:val="single" w:sz="4" w:space="0" w:color="auto"/>
            </w:tcBorders>
            <w:shd w:val="clear" w:color="auto" w:fill="auto"/>
            <w:vAlign w:val="bottom"/>
          </w:tcPr>
          <w:p w14:paraId="0FEDBC0C"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0.024*</w:t>
            </w:r>
          </w:p>
        </w:tc>
        <w:tc>
          <w:tcPr>
            <w:tcW w:w="1720" w:type="dxa"/>
            <w:tcBorders>
              <w:top w:val="single" w:sz="4" w:space="0" w:color="auto"/>
              <w:left w:val="single" w:sz="4" w:space="0" w:color="auto"/>
            </w:tcBorders>
            <w:shd w:val="clear" w:color="auto" w:fill="auto"/>
            <w:vAlign w:val="bottom"/>
          </w:tcPr>
          <w:p w14:paraId="2E53D1E8"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r>
      <w:tr w:rsidR="00620174" w:rsidRPr="00620174" w14:paraId="41853BA2" w14:textId="77777777" w:rsidTr="00620174">
        <w:tc>
          <w:tcPr>
            <w:tcW w:w="1130" w:type="dxa"/>
            <w:tcBorders>
              <w:right w:val="single" w:sz="4" w:space="0" w:color="auto"/>
            </w:tcBorders>
            <w:shd w:val="clear" w:color="auto" w:fill="F2F2F2" w:themeFill="background1" w:themeFillShade="F2"/>
            <w:vAlign w:val="center"/>
          </w:tcPr>
          <w:p w14:paraId="3A0E170B" w14:textId="77777777" w:rsidR="00620174" w:rsidRPr="00620174" w:rsidRDefault="00620174" w:rsidP="00620174">
            <w:pPr>
              <w:snapToGrid w:val="0"/>
              <w:spacing w:line="240" w:lineRule="auto"/>
              <w:jc w:val="center"/>
              <w:rPr>
                <w:sz w:val="20"/>
                <w:szCs w:val="20"/>
              </w:rPr>
            </w:pPr>
            <w:r w:rsidRPr="00620174">
              <w:rPr>
                <w:b/>
                <w:bCs/>
                <w:sz w:val="20"/>
                <w:szCs w:val="20"/>
              </w:rPr>
              <w:t xml:space="preserve"> </w:t>
            </w:r>
          </w:p>
        </w:tc>
        <w:tc>
          <w:tcPr>
            <w:tcW w:w="1835" w:type="dxa"/>
            <w:tcBorders>
              <w:left w:val="single" w:sz="4" w:space="0" w:color="auto"/>
              <w:right w:val="single" w:sz="4" w:space="0" w:color="auto"/>
            </w:tcBorders>
            <w:vAlign w:val="bottom"/>
          </w:tcPr>
          <w:p w14:paraId="4996C73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[0.032, 0.064]</w:t>
            </w:r>
          </w:p>
        </w:tc>
        <w:tc>
          <w:tcPr>
            <w:tcW w:w="1720" w:type="dxa"/>
            <w:tcBorders>
              <w:left w:val="single" w:sz="4" w:space="0" w:color="auto"/>
              <w:right w:val="single" w:sz="4" w:space="0" w:color="auto"/>
            </w:tcBorders>
            <w:vAlign w:val="bottom"/>
          </w:tcPr>
          <w:p w14:paraId="3864F74C"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[0.019, 0.051]</w:t>
            </w:r>
          </w:p>
        </w:tc>
        <w:tc>
          <w:tcPr>
            <w:tcW w:w="1720" w:type="dxa"/>
            <w:tcBorders>
              <w:left w:val="single" w:sz="4" w:space="0" w:color="auto"/>
              <w:right w:val="single" w:sz="4" w:space="0" w:color="auto"/>
            </w:tcBorders>
            <w:shd w:val="clear" w:color="auto" w:fill="auto"/>
            <w:vAlign w:val="bottom"/>
          </w:tcPr>
          <w:p w14:paraId="146FFD8C"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[0.009, 0.040]</w:t>
            </w:r>
          </w:p>
        </w:tc>
        <w:tc>
          <w:tcPr>
            <w:tcW w:w="1720" w:type="dxa"/>
            <w:tcBorders>
              <w:left w:val="single" w:sz="4" w:space="0" w:color="auto"/>
              <w:right w:val="single" w:sz="4" w:space="0" w:color="auto"/>
            </w:tcBorders>
            <w:shd w:val="clear" w:color="auto" w:fill="auto"/>
            <w:vAlign w:val="bottom"/>
          </w:tcPr>
          <w:p w14:paraId="275E9CA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[0.008, 0.039]</w:t>
            </w:r>
          </w:p>
        </w:tc>
        <w:tc>
          <w:tcPr>
            <w:tcW w:w="1720" w:type="dxa"/>
            <w:tcBorders>
              <w:left w:val="single" w:sz="4" w:space="0" w:color="auto"/>
            </w:tcBorders>
            <w:shd w:val="clear" w:color="auto" w:fill="auto"/>
            <w:vAlign w:val="bottom"/>
          </w:tcPr>
          <w:p w14:paraId="73ACA6BB"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[0.009, 0.041]</w:t>
            </w:r>
          </w:p>
        </w:tc>
      </w:tr>
      <w:tr w:rsidR="00620174" w:rsidRPr="00620174" w14:paraId="2A50FF6C" w14:textId="77777777" w:rsidTr="00620174">
        <w:tc>
          <w:tcPr>
            <w:tcW w:w="1130" w:type="dxa"/>
            <w:tcBorders>
              <w:bottom w:val="single" w:sz="4" w:space="0" w:color="auto"/>
              <w:right w:val="single" w:sz="4" w:space="0" w:color="auto"/>
            </w:tcBorders>
            <w:shd w:val="clear" w:color="auto" w:fill="F2F2F2" w:themeFill="background1" w:themeFillShade="F2"/>
            <w:vAlign w:val="bottom"/>
          </w:tcPr>
          <w:p w14:paraId="2F4D9EAD" w14:textId="77777777" w:rsidR="00620174" w:rsidRPr="00620174" w:rsidRDefault="00620174" w:rsidP="00620174">
            <w:pPr>
              <w:snapToGrid w:val="0"/>
              <w:spacing w:line="240" w:lineRule="auto"/>
              <w:jc w:val="center"/>
              <w:rPr>
                <w:sz w:val="20"/>
                <w:szCs w:val="20"/>
              </w:rPr>
            </w:pPr>
            <w:r w:rsidRPr="00620174">
              <w:rPr>
                <w:sz w:val="20"/>
                <w:szCs w:val="20"/>
              </w:rPr>
              <w:t xml:space="preserve"> </w:t>
            </w:r>
          </w:p>
        </w:tc>
        <w:tc>
          <w:tcPr>
            <w:tcW w:w="1835" w:type="dxa"/>
            <w:tcBorders>
              <w:left w:val="single" w:sz="4" w:space="0" w:color="auto"/>
              <w:right w:val="single" w:sz="4" w:space="0" w:color="auto"/>
            </w:tcBorders>
            <w:vAlign w:val="bottom"/>
          </w:tcPr>
          <w:p w14:paraId="4FCD311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1.65x10</w:t>
            </w:r>
            <w:r w:rsidRPr="00620174">
              <w:rPr>
                <w:color w:val="000000"/>
                <w:position w:val="6"/>
                <w:sz w:val="20"/>
                <w:szCs w:val="20"/>
                <w:vertAlign w:val="superscript"/>
              </w:rPr>
              <w:t>-8</w:t>
            </w:r>
          </w:p>
        </w:tc>
        <w:tc>
          <w:tcPr>
            <w:tcW w:w="1720" w:type="dxa"/>
            <w:tcBorders>
              <w:left w:val="single" w:sz="4" w:space="0" w:color="auto"/>
              <w:bottom w:val="single" w:sz="4" w:space="0" w:color="auto"/>
              <w:right w:val="single" w:sz="4" w:space="0" w:color="auto"/>
            </w:tcBorders>
            <w:vAlign w:val="bottom"/>
          </w:tcPr>
          <w:p w14:paraId="0DE1C5FC"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5.35x10</w:t>
            </w:r>
            <w:r w:rsidRPr="00620174">
              <w:rPr>
                <w:color w:val="000000"/>
                <w:position w:val="6"/>
                <w:sz w:val="20"/>
                <w:szCs w:val="20"/>
                <w:vertAlign w:val="superscript"/>
              </w:rPr>
              <w:t>-5</w:t>
            </w:r>
          </w:p>
        </w:tc>
        <w:tc>
          <w:tcPr>
            <w:tcW w:w="1720" w:type="dxa"/>
            <w:tcBorders>
              <w:left w:val="single" w:sz="4" w:space="0" w:color="auto"/>
              <w:right w:val="single" w:sz="4" w:space="0" w:color="auto"/>
            </w:tcBorders>
            <w:shd w:val="clear" w:color="auto" w:fill="auto"/>
            <w:vAlign w:val="bottom"/>
          </w:tcPr>
          <w:p w14:paraId="2974FA9D"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3.46x10</w:t>
            </w:r>
            <w:r w:rsidRPr="00620174">
              <w:rPr>
                <w:color w:val="000000"/>
                <w:position w:val="6"/>
                <w:sz w:val="20"/>
                <w:szCs w:val="20"/>
                <w:vertAlign w:val="superscript"/>
              </w:rPr>
              <w:t>-3</w:t>
            </w:r>
          </w:p>
        </w:tc>
        <w:tc>
          <w:tcPr>
            <w:tcW w:w="1720" w:type="dxa"/>
            <w:tcBorders>
              <w:left w:val="single" w:sz="4" w:space="0" w:color="auto"/>
              <w:bottom w:val="single" w:sz="4" w:space="0" w:color="auto"/>
              <w:right w:val="single" w:sz="4" w:space="0" w:color="auto"/>
            </w:tcBorders>
            <w:shd w:val="clear" w:color="auto" w:fill="auto"/>
            <w:vAlign w:val="bottom"/>
          </w:tcPr>
          <w:p w14:paraId="07BF1701"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4.82x10</w:t>
            </w:r>
            <w:r w:rsidRPr="00620174">
              <w:rPr>
                <w:color w:val="000000"/>
                <w:position w:val="6"/>
                <w:sz w:val="20"/>
                <w:szCs w:val="20"/>
                <w:vertAlign w:val="superscript"/>
              </w:rPr>
              <w:t>-3</w:t>
            </w:r>
          </w:p>
        </w:tc>
        <w:tc>
          <w:tcPr>
            <w:tcW w:w="1720" w:type="dxa"/>
            <w:tcBorders>
              <w:left w:val="single" w:sz="4" w:space="0" w:color="auto"/>
            </w:tcBorders>
            <w:shd w:val="clear" w:color="auto" w:fill="auto"/>
            <w:vAlign w:val="bottom"/>
          </w:tcPr>
          <w:p w14:paraId="48E23D2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3.07x10</w:t>
            </w:r>
            <w:r w:rsidRPr="00620174">
              <w:rPr>
                <w:color w:val="000000"/>
                <w:position w:val="6"/>
                <w:sz w:val="20"/>
                <w:szCs w:val="20"/>
                <w:vertAlign w:val="superscript"/>
              </w:rPr>
              <w:t>-3</w:t>
            </w:r>
          </w:p>
        </w:tc>
      </w:tr>
    </w:tbl>
    <w:p w14:paraId="30F85F70" w14:textId="0B2C024F" w:rsidR="00620174" w:rsidRDefault="00620174" w:rsidP="00620174">
      <w:pPr>
        <w:spacing w:line="240" w:lineRule="auto"/>
        <w:rPr>
          <w:b/>
          <w:bCs/>
        </w:rPr>
      </w:pPr>
    </w:p>
    <w:p w14:paraId="59DCD693" w14:textId="77777777" w:rsidR="00620174" w:rsidRPr="00EC617E" w:rsidRDefault="00620174" w:rsidP="00620174">
      <w:pPr>
        <w:spacing w:line="240" w:lineRule="auto"/>
      </w:pPr>
      <w:r w:rsidRPr="00EC617E">
        <w:rPr>
          <w:b/>
          <w:bCs/>
        </w:rPr>
        <w:t xml:space="preserve">Supplementary Table </w:t>
      </w:r>
      <w:r>
        <w:rPr>
          <w:b/>
          <w:bCs/>
        </w:rPr>
        <w:t>2</w:t>
      </w:r>
      <w:r w:rsidRPr="00EC617E">
        <w:rPr>
          <w:b/>
          <w:bCs/>
        </w:rPr>
        <w:t xml:space="preserve"> </w:t>
      </w:r>
      <w:r>
        <w:rPr>
          <w:b/>
          <w:bCs/>
        </w:rPr>
        <w:t>footnote:</w:t>
      </w:r>
      <w:r w:rsidRPr="00EC617E">
        <w:t xml:space="preserve"> Results are standardised beta coefficients with 95% confidence interval and p-value</w:t>
      </w:r>
      <w:r>
        <w:t xml:space="preserve"> adjusted for multiple testing</w:t>
      </w:r>
      <w:r w:rsidRPr="00EC617E">
        <w:t xml:space="preserve">. Each cell represents results from an individual linear regression model. </w:t>
      </w:r>
      <w:r w:rsidRPr="00AA1BCA">
        <w:t xml:space="preserve">Model </w:t>
      </w:r>
      <w:r>
        <w:t>1</w:t>
      </w:r>
      <w:r w:rsidRPr="00AA1BCA">
        <w:t xml:space="preserve">: age, sex. Model </w:t>
      </w:r>
      <w:r>
        <w:t>2</w:t>
      </w:r>
      <w:r w:rsidRPr="00AA1BCA">
        <w:t xml:space="preserve">: age, sex, education, deprivation. Model </w:t>
      </w:r>
      <w:r>
        <w:t>3</w:t>
      </w:r>
      <w:r w:rsidRPr="00AA1BCA">
        <w:t xml:space="preserve">: age, sex, education, deprivation, diabetes, hypertension, hypercholesterolaemia, prior myocardial infarction. Model </w:t>
      </w:r>
      <w:r>
        <w:t>4</w:t>
      </w:r>
      <w:r w:rsidRPr="00AA1BCA">
        <w:t>: age, sex, education, deprivation, diabetes, hypertension, hypercholesterolaemia, prior myocardial infarction, smoking, alcohol, exercise</w:t>
      </w:r>
      <w:r w:rsidRPr="00EC617E">
        <w:t xml:space="preserve">.  </w:t>
      </w:r>
      <w:proofErr w:type="spellStart"/>
      <w:r w:rsidRPr="00EC617E">
        <w:t>LVEDVi</w:t>
      </w:r>
      <w:proofErr w:type="spellEnd"/>
      <w:r w:rsidRPr="00EC617E">
        <w:t xml:space="preserve">: left ventricular end-diastolic volume; LVEF: left ventricular ejection fraction; </w:t>
      </w:r>
      <w:proofErr w:type="spellStart"/>
      <w:r w:rsidRPr="00EC617E">
        <w:t>LVESVi</w:t>
      </w:r>
      <w:proofErr w:type="spellEnd"/>
      <w:r w:rsidRPr="00EC617E">
        <w:t xml:space="preserve">: left ventricular end-systolic volume; </w:t>
      </w:r>
      <w:proofErr w:type="spellStart"/>
      <w:r w:rsidRPr="00EC617E">
        <w:t>RVEDVi</w:t>
      </w:r>
      <w:proofErr w:type="spellEnd"/>
      <w:r w:rsidRPr="00EC617E">
        <w:t xml:space="preserve">: right ventricular end-diastolic volume; RVEF: right ventricular ejection fraction; </w:t>
      </w:r>
      <w:proofErr w:type="spellStart"/>
      <w:r w:rsidRPr="00EC617E">
        <w:t>RVESVi</w:t>
      </w:r>
      <w:proofErr w:type="spellEnd"/>
      <w:r w:rsidRPr="00EC617E">
        <w:t xml:space="preserve">: right ventricular end-systolic volume; </w:t>
      </w:r>
      <w:proofErr w:type="spellStart"/>
      <w:r w:rsidRPr="00EC617E">
        <w:t>LVSVi</w:t>
      </w:r>
      <w:proofErr w:type="spellEnd"/>
      <w:r w:rsidRPr="00EC617E">
        <w:t xml:space="preserve">: left ventricular stroke volume; </w:t>
      </w:r>
      <w:proofErr w:type="spellStart"/>
      <w:r w:rsidRPr="00EC617E">
        <w:t>RVSVi</w:t>
      </w:r>
      <w:proofErr w:type="spellEnd"/>
      <w:r w:rsidRPr="00EC617E">
        <w:t xml:space="preserve">: right ventricular stroke volume. i denotes indexation to body surface area calculated by Du </w:t>
      </w:r>
      <w:proofErr w:type="spellStart"/>
      <w:r w:rsidRPr="00EC617E">
        <w:t>Bois</w:t>
      </w:r>
      <w:proofErr w:type="spellEnd"/>
      <w:r w:rsidRPr="00EC617E">
        <w:t xml:space="preserve"> formula.</w:t>
      </w:r>
    </w:p>
    <w:p w14:paraId="0820BA25" w14:textId="77777777" w:rsidR="00620174" w:rsidRDefault="00620174" w:rsidP="00620174">
      <w:pPr>
        <w:rPr>
          <w:b/>
          <w:bCs/>
        </w:rPr>
      </w:pPr>
      <w:r>
        <w:rPr>
          <w:b/>
          <w:bCs/>
        </w:rPr>
        <w:br w:type="page"/>
      </w:r>
    </w:p>
    <w:p w14:paraId="6A91D0C4" w14:textId="77777777" w:rsidR="00620174" w:rsidRPr="003363ED" w:rsidRDefault="00620174" w:rsidP="00620174">
      <w:pPr>
        <w:spacing w:line="240" w:lineRule="auto"/>
        <w:jc w:val="center"/>
        <w:rPr>
          <w:rStyle w:val="Hyperlink"/>
          <w:b/>
          <w:bCs/>
        </w:rPr>
      </w:pPr>
      <w:r>
        <w:rPr>
          <w:b/>
          <w:bCs/>
        </w:rPr>
        <w:lastRenderedPageBreak/>
        <w:t>Supplementary Table 3.</w:t>
      </w:r>
      <w:r w:rsidRPr="0068284C">
        <w:rPr>
          <w:b/>
          <w:bCs/>
        </w:rPr>
        <w:t xml:space="preserve"> </w:t>
      </w:r>
      <w:r>
        <w:rPr>
          <w:b/>
          <w:bCs/>
        </w:rPr>
        <w:t xml:space="preserve">Beta coefficients from linear regression models representing standard deviation </w:t>
      </w:r>
      <w:r w:rsidRPr="00860AFB">
        <w:rPr>
          <w:b/>
          <w:bCs/>
        </w:rPr>
        <w:t xml:space="preserve">change in </w:t>
      </w:r>
      <w:r>
        <w:rPr>
          <w:b/>
          <w:bCs/>
        </w:rPr>
        <w:t xml:space="preserve">fluid intelligence </w:t>
      </w:r>
      <w:r w:rsidRPr="00860AFB">
        <w:rPr>
          <w:b/>
          <w:bCs/>
        </w:rPr>
        <w:t xml:space="preserve">per one standard deviation increase in </w:t>
      </w:r>
      <w:r>
        <w:rPr>
          <w:b/>
          <w:bCs/>
        </w:rPr>
        <w:t xml:space="preserve">CMR measure in </w:t>
      </w:r>
      <w:r w:rsidRPr="009F7CAC">
        <w:rPr>
          <w:b/>
          <w:bCs/>
        </w:rPr>
        <w:t>men</w:t>
      </w:r>
      <w:r>
        <w:rPr>
          <w:b/>
          <w:bCs/>
        </w:rPr>
        <w:t xml:space="preserve"> </w:t>
      </w:r>
    </w:p>
    <w:p w14:paraId="7702D94C" w14:textId="77777777" w:rsidR="00620174" w:rsidRDefault="00620174" w:rsidP="00620174">
      <w:pPr>
        <w:spacing w:line="240" w:lineRule="auto"/>
        <w:rPr>
          <w:b/>
          <w:bCs/>
        </w:rPr>
      </w:pPr>
    </w:p>
    <w:tbl>
      <w:tblPr>
        <w:tblStyle w:val="TableGridLight"/>
        <w:tblpPr w:leftFromText="180" w:rightFromText="180" w:vertAnchor="page" w:horzAnchor="margin" w:tblpXSpec="center" w:tblpY="2321"/>
        <w:tblW w:w="984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130"/>
        <w:gridCol w:w="1835"/>
        <w:gridCol w:w="1720"/>
        <w:gridCol w:w="1720"/>
        <w:gridCol w:w="1720"/>
        <w:gridCol w:w="1720"/>
      </w:tblGrid>
      <w:tr w:rsidR="00620174" w:rsidRPr="00620174" w14:paraId="2A64E788" w14:textId="77777777" w:rsidTr="00472150">
        <w:trPr>
          <w:trHeight w:val="565"/>
        </w:trPr>
        <w:tc>
          <w:tcPr>
            <w:tcW w:w="1130" w:type="dxa"/>
            <w:tcBorders>
              <w:top w:val="single" w:sz="4" w:space="0" w:color="auto"/>
              <w:bottom w:val="single" w:sz="4" w:space="0" w:color="auto"/>
              <w:right w:val="single" w:sz="4" w:space="0" w:color="auto"/>
            </w:tcBorders>
            <w:shd w:val="clear" w:color="auto" w:fill="E7E6E6" w:themeFill="background2"/>
            <w:vAlign w:val="center"/>
          </w:tcPr>
          <w:p w14:paraId="4357409B" w14:textId="77777777" w:rsidR="00620174" w:rsidRPr="00620174" w:rsidRDefault="00620174" w:rsidP="00620174">
            <w:pPr>
              <w:spacing w:line="240" w:lineRule="auto"/>
              <w:jc w:val="center"/>
              <w:rPr>
                <w:sz w:val="20"/>
                <w:szCs w:val="20"/>
              </w:rPr>
            </w:pPr>
            <w:r w:rsidRPr="00620174">
              <w:rPr>
                <w:b/>
                <w:bCs/>
                <w:sz w:val="20"/>
                <w:szCs w:val="20"/>
              </w:rPr>
              <w:t>CMR</w:t>
            </w:r>
          </w:p>
        </w:tc>
        <w:tc>
          <w:tcPr>
            <w:tcW w:w="1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5647DD" w14:textId="77777777" w:rsidR="00620174" w:rsidRPr="00620174" w:rsidRDefault="00620174" w:rsidP="00620174">
            <w:pPr>
              <w:spacing w:line="240" w:lineRule="auto"/>
              <w:jc w:val="center"/>
              <w:rPr>
                <w:sz w:val="20"/>
                <w:szCs w:val="20"/>
              </w:rPr>
            </w:pPr>
            <w:r w:rsidRPr="00620174">
              <w:rPr>
                <w:b/>
                <w:bCs/>
                <w:sz w:val="20"/>
                <w:szCs w:val="20"/>
              </w:rPr>
              <w:t>Univariate</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0F9CAF" w14:textId="77777777" w:rsidR="00620174" w:rsidRPr="00620174" w:rsidRDefault="00620174" w:rsidP="00620174">
            <w:pPr>
              <w:spacing w:line="240" w:lineRule="auto"/>
              <w:jc w:val="center"/>
              <w:rPr>
                <w:sz w:val="20"/>
                <w:szCs w:val="20"/>
              </w:rPr>
            </w:pPr>
            <w:r w:rsidRPr="00620174">
              <w:rPr>
                <w:b/>
                <w:bCs/>
                <w:sz w:val="20"/>
                <w:szCs w:val="20"/>
              </w:rPr>
              <w:t>Model 1</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FAD6A5" w14:textId="77777777" w:rsidR="00620174" w:rsidRPr="00620174" w:rsidRDefault="00620174" w:rsidP="00620174">
            <w:pPr>
              <w:spacing w:line="240" w:lineRule="auto"/>
              <w:jc w:val="center"/>
              <w:rPr>
                <w:sz w:val="20"/>
                <w:szCs w:val="20"/>
              </w:rPr>
            </w:pPr>
            <w:r w:rsidRPr="00620174">
              <w:rPr>
                <w:b/>
                <w:bCs/>
                <w:sz w:val="20"/>
                <w:szCs w:val="20"/>
              </w:rPr>
              <w:t>Model 2</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092F16" w14:textId="77777777" w:rsidR="00620174" w:rsidRPr="00620174" w:rsidRDefault="00620174" w:rsidP="00620174">
            <w:pPr>
              <w:spacing w:line="240" w:lineRule="auto"/>
              <w:jc w:val="center"/>
              <w:rPr>
                <w:sz w:val="20"/>
                <w:szCs w:val="20"/>
              </w:rPr>
            </w:pPr>
            <w:r w:rsidRPr="00620174">
              <w:rPr>
                <w:b/>
                <w:bCs/>
                <w:sz w:val="20"/>
                <w:szCs w:val="20"/>
              </w:rPr>
              <w:t>Model 3</w:t>
            </w:r>
          </w:p>
        </w:tc>
        <w:tc>
          <w:tcPr>
            <w:tcW w:w="1720" w:type="dxa"/>
            <w:tcBorders>
              <w:top w:val="single" w:sz="4" w:space="0" w:color="auto"/>
              <w:left w:val="single" w:sz="4" w:space="0" w:color="auto"/>
              <w:bottom w:val="single" w:sz="4" w:space="0" w:color="auto"/>
            </w:tcBorders>
            <w:shd w:val="clear" w:color="auto" w:fill="E7E6E6" w:themeFill="background2"/>
            <w:vAlign w:val="center"/>
          </w:tcPr>
          <w:p w14:paraId="20605335" w14:textId="77777777" w:rsidR="00620174" w:rsidRPr="00620174" w:rsidRDefault="00620174" w:rsidP="00620174">
            <w:pPr>
              <w:spacing w:line="240" w:lineRule="auto"/>
              <w:jc w:val="center"/>
              <w:rPr>
                <w:sz w:val="20"/>
                <w:szCs w:val="20"/>
              </w:rPr>
            </w:pPr>
            <w:r w:rsidRPr="00620174">
              <w:rPr>
                <w:b/>
                <w:bCs/>
                <w:sz w:val="20"/>
                <w:szCs w:val="20"/>
              </w:rPr>
              <w:t>Model 4</w:t>
            </w:r>
          </w:p>
        </w:tc>
      </w:tr>
      <w:tr w:rsidR="00620174" w:rsidRPr="00620174" w14:paraId="6F607C7D"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7C13069F"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LVEDVi</w:t>
            </w:r>
            <w:proofErr w:type="spellEnd"/>
          </w:p>
        </w:tc>
        <w:tc>
          <w:tcPr>
            <w:tcW w:w="1835" w:type="dxa"/>
            <w:tcBorders>
              <w:top w:val="single" w:sz="4" w:space="0" w:color="auto"/>
              <w:left w:val="single" w:sz="4" w:space="0" w:color="auto"/>
              <w:right w:val="single" w:sz="4" w:space="0" w:color="auto"/>
            </w:tcBorders>
            <w:vAlign w:val="bottom"/>
          </w:tcPr>
          <w:p w14:paraId="00F2072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0.058*</w:t>
            </w:r>
          </w:p>
        </w:tc>
        <w:tc>
          <w:tcPr>
            <w:tcW w:w="1720" w:type="dxa"/>
            <w:tcBorders>
              <w:top w:val="single" w:sz="4" w:space="0" w:color="auto"/>
              <w:left w:val="single" w:sz="4" w:space="0" w:color="auto"/>
              <w:right w:val="single" w:sz="4" w:space="0" w:color="auto"/>
            </w:tcBorders>
            <w:vAlign w:val="bottom"/>
          </w:tcPr>
          <w:p w14:paraId="6008897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0.043*</w:t>
            </w:r>
          </w:p>
        </w:tc>
        <w:tc>
          <w:tcPr>
            <w:tcW w:w="1720" w:type="dxa"/>
            <w:tcBorders>
              <w:top w:val="single" w:sz="4" w:space="0" w:color="auto"/>
              <w:left w:val="single" w:sz="4" w:space="0" w:color="auto"/>
              <w:right w:val="single" w:sz="4" w:space="0" w:color="auto"/>
            </w:tcBorders>
            <w:vAlign w:val="bottom"/>
          </w:tcPr>
          <w:p w14:paraId="428EFD4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0.036*</w:t>
            </w:r>
          </w:p>
        </w:tc>
        <w:tc>
          <w:tcPr>
            <w:tcW w:w="1720" w:type="dxa"/>
            <w:tcBorders>
              <w:top w:val="single" w:sz="4" w:space="0" w:color="auto"/>
              <w:left w:val="single" w:sz="4" w:space="0" w:color="auto"/>
              <w:right w:val="single" w:sz="4" w:space="0" w:color="auto"/>
            </w:tcBorders>
            <w:vAlign w:val="bottom"/>
          </w:tcPr>
          <w:p w14:paraId="0296E6E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0.034*</w:t>
            </w:r>
          </w:p>
        </w:tc>
        <w:tc>
          <w:tcPr>
            <w:tcW w:w="1720" w:type="dxa"/>
            <w:tcBorders>
              <w:top w:val="single" w:sz="4" w:space="0" w:color="auto"/>
              <w:left w:val="single" w:sz="4" w:space="0" w:color="auto"/>
            </w:tcBorders>
            <w:vAlign w:val="bottom"/>
          </w:tcPr>
          <w:p w14:paraId="72242305"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0.043*</w:t>
            </w:r>
          </w:p>
        </w:tc>
      </w:tr>
      <w:tr w:rsidR="00620174" w:rsidRPr="00620174" w14:paraId="55EA54AF" w14:textId="77777777" w:rsidTr="00472150">
        <w:tc>
          <w:tcPr>
            <w:tcW w:w="1130" w:type="dxa"/>
            <w:tcBorders>
              <w:bottom w:val="nil"/>
              <w:right w:val="single" w:sz="4" w:space="0" w:color="auto"/>
            </w:tcBorders>
            <w:shd w:val="clear" w:color="auto" w:fill="F2F2F2" w:themeFill="background1" w:themeFillShade="F2"/>
            <w:vAlign w:val="bottom"/>
          </w:tcPr>
          <w:p w14:paraId="6394BA20"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5BB53B0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0.074]</w:t>
            </w:r>
          </w:p>
        </w:tc>
        <w:tc>
          <w:tcPr>
            <w:tcW w:w="1720" w:type="dxa"/>
            <w:tcBorders>
              <w:left w:val="single" w:sz="4" w:space="0" w:color="auto"/>
              <w:bottom w:val="nil"/>
              <w:right w:val="single" w:sz="4" w:space="0" w:color="auto"/>
            </w:tcBorders>
            <w:vAlign w:val="bottom"/>
          </w:tcPr>
          <w:p w14:paraId="52A79BB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[0.026, 0.060]</w:t>
            </w:r>
          </w:p>
        </w:tc>
        <w:tc>
          <w:tcPr>
            <w:tcW w:w="1720" w:type="dxa"/>
            <w:tcBorders>
              <w:left w:val="single" w:sz="4" w:space="0" w:color="auto"/>
              <w:bottom w:val="nil"/>
              <w:right w:val="single" w:sz="4" w:space="0" w:color="auto"/>
            </w:tcBorders>
            <w:vAlign w:val="bottom"/>
          </w:tcPr>
          <w:p w14:paraId="030CCF1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[0.020, 0.052]</w:t>
            </w:r>
          </w:p>
        </w:tc>
        <w:tc>
          <w:tcPr>
            <w:tcW w:w="1720" w:type="dxa"/>
            <w:tcBorders>
              <w:left w:val="single" w:sz="4" w:space="0" w:color="auto"/>
              <w:bottom w:val="nil"/>
              <w:right w:val="single" w:sz="4" w:space="0" w:color="auto"/>
            </w:tcBorders>
            <w:vAlign w:val="bottom"/>
          </w:tcPr>
          <w:p w14:paraId="1D7052A9"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[0.018, 0.051]</w:t>
            </w:r>
          </w:p>
        </w:tc>
        <w:tc>
          <w:tcPr>
            <w:tcW w:w="1720" w:type="dxa"/>
            <w:tcBorders>
              <w:left w:val="single" w:sz="4" w:space="0" w:color="auto"/>
              <w:bottom w:val="nil"/>
            </w:tcBorders>
            <w:vAlign w:val="bottom"/>
          </w:tcPr>
          <w:p w14:paraId="791FD99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[0.027, 0.060]</w:t>
            </w:r>
          </w:p>
        </w:tc>
      </w:tr>
      <w:tr w:rsidR="00620174" w:rsidRPr="00620174" w14:paraId="1AC988C5"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19BFA2A8"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67CFBBC7"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4.53x10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right w:val="single" w:sz="4" w:space="0" w:color="auto"/>
            </w:tcBorders>
            <w:vAlign w:val="bottom"/>
          </w:tcPr>
          <w:p w14:paraId="2763BCB4"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1.71x10</w:t>
            </w:r>
            <w:r w:rsidRPr="00620174">
              <w:rPr>
                <w:color w:val="000000"/>
                <w:position w:val="6"/>
                <w:sz w:val="20"/>
                <w:szCs w:val="20"/>
                <w:vertAlign w:val="superscript"/>
              </w:rPr>
              <w:t>-6</w:t>
            </w:r>
          </w:p>
        </w:tc>
        <w:tc>
          <w:tcPr>
            <w:tcW w:w="1720" w:type="dxa"/>
            <w:tcBorders>
              <w:top w:val="nil"/>
              <w:left w:val="single" w:sz="4" w:space="0" w:color="auto"/>
              <w:bottom w:val="single" w:sz="4" w:space="0" w:color="auto"/>
              <w:right w:val="single" w:sz="4" w:space="0" w:color="auto"/>
            </w:tcBorders>
            <w:vAlign w:val="bottom"/>
          </w:tcPr>
          <w:p w14:paraId="384AFF1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3.02x10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vAlign w:val="bottom"/>
          </w:tcPr>
          <w:p w14:paraId="3028C39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7.02x10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tcBorders>
            <w:vAlign w:val="bottom"/>
          </w:tcPr>
          <w:p w14:paraId="26E42E1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1.00x10</w:t>
            </w:r>
            <w:r w:rsidRPr="00620174">
              <w:rPr>
                <w:color w:val="000000"/>
                <w:position w:val="6"/>
                <w:sz w:val="20"/>
                <w:szCs w:val="20"/>
                <w:vertAlign w:val="superscript"/>
              </w:rPr>
              <w:t>-6</w:t>
            </w:r>
          </w:p>
        </w:tc>
      </w:tr>
      <w:tr w:rsidR="00620174" w:rsidRPr="00620174" w14:paraId="4919B324"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4090A191"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LVESVi</w:t>
            </w:r>
            <w:proofErr w:type="spellEnd"/>
          </w:p>
        </w:tc>
        <w:tc>
          <w:tcPr>
            <w:tcW w:w="1835" w:type="dxa"/>
            <w:tcBorders>
              <w:top w:val="single" w:sz="4" w:space="0" w:color="auto"/>
              <w:left w:val="single" w:sz="4" w:space="0" w:color="auto"/>
              <w:right w:val="single" w:sz="4" w:space="0" w:color="auto"/>
            </w:tcBorders>
            <w:vAlign w:val="bottom"/>
          </w:tcPr>
          <w:p w14:paraId="079313C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0.048*</w:t>
            </w:r>
          </w:p>
        </w:tc>
        <w:tc>
          <w:tcPr>
            <w:tcW w:w="1720" w:type="dxa"/>
            <w:tcBorders>
              <w:top w:val="single" w:sz="4" w:space="0" w:color="auto"/>
              <w:left w:val="single" w:sz="4" w:space="0" w:color="auto"/>
              <w:right w:val="single" w:sz="4" w:space="0" w:color="auto"/>
            </w:tcBorders>
            <w:shd w:val="clear" w:color="auto" w:fill="auto"/>
            <w:vAlign w:val="bottom"/>
          </w:tcPr>
          <w:p w14:paraId="306A02B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0.038*</w:t>
            </w:r>
          </w:p>
        </w:tc>
        <w:tc>
          <w:tcPr>
            <w:tcW w:w="1720" w:type="dxa"/>
            <w:tcBorders>
              <w:top w:val="single" w:sz="4" w:space="0" w:color="auto"/>
              <w:left w:val="single" w:sz="4" w:space="0" w:color="auto"/>
              <w:right w:val="single" w:sz="4" w:space="0" w:color="auto"/>
            </w:tcBorders>
            <w:shd w:val="clear" w:color="auto" w:fill="auto"/>
            <w:vAlign w:val="bottom"/>
          </w:tcPr>
          <w:p w14:paraId="6DF82A3B"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0.033*</w:t>
            </w:r>
          </w:p>
        </w:tc>
        <w:tc>
          <w:tcPr>
            <w:tcW w:w="1720" w:type="dxa"/>
            <w:tcBorders>
              <w:top w:val="single" w:sz="4" w:space="0" w:color="auto"/>
              <w:left w:val="single" w:sz="4" w:space="0" w:color="auto"/>
              <w:right w:val="single" w:sz="4" w:space="0" w:color="auto"/>
            </w:tcBorders>
            <w:shd w:val="clear" w:color="auto" w:fill="auto"/>
            <w:vAlign w:val="bottom"/>
          </w:tcPr>
          <w:p w14:paraId="6479194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0.034*</w:t>
            </w:r>
          </w:p>
        </w:tc>
        <w:tc>
          <w:tcPr>
            <w:tcW w:w="1720" w:type="dxa"/>
            <w:tcBorders>
              <w:top w:val="single" w:sz="4" w:space="0" w:color="auto"/>
              <w:left w:val="single" w:sz="4" w:space="0" w:color="auto"/>
            </w:tcBorders>
            <w:shd w:val="clear" w:color="auto" w:fill="auto"/>
            <w:vAlign w:val="bottom"/>
          </w:tcPr>
          <w:p w14:paraId="14CAF4B0"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0.041*</w:t>
            </w:r>
          </w:p>
        </w:tc>
      </w:tr>
      <w:tr w:rsidR="00620174" w:rsidRPr="00620174" w14:paraId="41286E7C" w14:textId="77777777" w:rsidTr="00472150">
        <w:tc>
          <w:tcPr>
            <w:tcW w:w="1130" w:type="dxa"/>
            <w:tcBorders>
              <w:bottom w:val="nil"/>
              <w:right w:val="single" w:sz="4" w:space="0" w:color="auto"/>
            </w:tcBorders>
            <w:shd w:val="clear" w:color="auto" w:fill="F2F2F2" w:themeFill="background1" w:themeFillShade="F2"/>
            <w:vAlign w:val="bottom"/>
          </w:tcPr>
          <w:p w14:paraId="79FA568C"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13D73D5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[0.032, 0.065]</w:t>
            </w:r>
          </w:p>
        </w:tc>
        <w:tc>
          <w:tcPr>
            <w:tcW w:w="1720" w:type="dxa"/>
            <w:tcBorders>
              <w:left w:val="single" w:sz="4" w:space="0" w:color="auto"/>
              <w:bottom w:val="nil"/>
              <w:right w:val="single" w:sz="4" w:space="0" w:color="auto"/>
            </w:tcBorders>
            <w:shd w:val="clear" w:color="auto" w:fill="auto"/>
            <w:vAlign w:val="bottom"/>
          </w:tcPr>
          <w:p w14:paraId="4358C51D"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[0.021, 0.054]</w:t>
            </w:r>
          </w:p>
        </w:tc>
        <w:tc>
          <w:tcPr>
            <w:tcW w:w="1720" w:type="dxa"/>
            <w:tcBorders>
              <w:left w:val="single" w:sz="4" w:space="0" w:color="auto"/>
              <w:bottom w:val="nil"/>
              <w:right w:val="single" w:sz="4" w:space="0" w:color="auto"/>
            </w:tcBorders>
            <w:shd w:val="clear" w:color="auto" w:fill="auto"/>
            <w:vAlign w:val="bottom"/>
          </w:tcPr>
          <w:p w14:paraId="3F8EBE3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[0.018, 0.049]</w:t>
            </w:r>
          </w:p>
        </w:tc>
        <w:tc>
          <w:tcPr>
            <w:tcW w:w="1720" w:type="dxa"/>
            <w:tcBorders>
              <w:left w:val="single" w:sz="4" w:space="0" w:color="auto"/>
              <w:bottom w:val="nil"/>
              <w:right w:val="single" w:sz="4" w:space="0" w:color="auto"/>
            </w:tcBorders>
            <w:shd w:val="clear" w:color="auto" w:fill="auto"/>
            <w:vAlign w:val="bottom"/>
          </w:tcPr>
          <w:p w14:paraId="6223B47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[0.018, 0.050]</w:t>
            </w:r>
          </w:p>
        </w:tc>
        <w:tc>
          <w:tcPr>
            <w:tcW w:w="1720" w:type="dxa"/>
            <w:tcBorders>
              <w:left w:val="single" w:sz="4" w:space="0" w:color="auto"/>
              <w:bottom w:val="nil"/>
            </w:tcBorders>
            <w:shd w:val="clear" w:color="auto" w:fill="auto"/>
            <w:vAlign w:val="bottom"/>
          </w:tcPr>
          <w:p w14:paraId="0ECF48CC"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[0.024, 0.057]</w:t>
            </w:r>
          </w:p>
        </w:tc>
      </w:tr>
      <w:tr w:rsidR="00620174" w:rsidRPr="00620174" w14:paraId="01D44F89"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4723639D"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33B14C5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4.91x10</w:t>
            </w:r>
            <w:r w:rsidRPr="00620174">
              <w:rPr>
                <w:color w:val="000000"/>
                <w:position w:val="6"/>
                <w:sz w:val="20"/>
                <w:szCs w:val="20"/>
                <w:vertAlign w:val="superscript"/>
              </w:rPr>
              <w:t>-8</w:t>
            </w:r>
          </w:p>
        </w:tc>
        <w:tc>
          <w:tcPr>
            <w:tcW w:w="1720" w:type="dxa"/>
            <w:tcBorders>
              <w:top w:val="nil"/>
              <w:left w:val="single" w:sz="4" w:space="0" w:color="auto"/>
              <w:bottom w:val="single" w:sz="4" w:space="0" w:color="auto"/>
              <w:right w:val="single" w:sz="4" w:space="0" w:color="auto"/>
            </w:tcBorders>
            <w:shd w:val="clear" w:color="auto" w:fill="auto"/>
            <w:vAlign w:val="bottom"/>
          </w:tcPr>
          <w:p w14:paraId="33CA51F7"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2.11x10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shd w:val="clear" w:color="auto" w:fill="auto"/>
            <w:vAlign w:val="bottom"/>
          </w:tcPr>
          <w:p w14:paraId="73B73895"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7.69x10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shd w:val="clear" w:color="auto" w:fill="auto"/>
            <w:vAlign w:val="bottom"/>
          </w:tcPr>
          <w:p w14:paraId="5702B3B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7.87x10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tcBorders>
            <w:shd w:val="clear" w:color="auto" w:fill="auto"/>
            <w:vAlign w:val="bottom"/>
          </w:tcPr>
          <w:p w14:paraId="1DB69DE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2.97x10</w:t>
            </w:r>
            <w:r w:rsidRPr="00620174">
              <w:rPr>
                <w:color w:val="000000"/>
                <w:position w:val="6"/>
                <w:sz w:val="20"/>
                <w:szCs w:val="20"/>
                <w:vertAlign w:val="superscript"/>
              </w:rPr>
              <w:t>-6</w:t>
            </w:r>
          </w:p>
        </w:tc>
      </w:tr>
      <w:tr w:rsidR="00620174" w:rsidRPr="00620174" w14:paraId="75F92567"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48FBD91E" w14:textId="77777777" w:rsidR="00620174" w:rsidRPr="00620174" w:rsidRDefault="00620174" w:rsidP="00620174">
            <w:pPr>
              <w:snapToGrid w:val="0"/>
              <w:spacing w:before="60" w:line="240" w:lineRule="auto"/>
              <w:jc w:val="center"/>
              <w:rPr>
                <w:sz w:val="20"/>
                <w:szCs w:val="20"/>
              </w:rPr>
            </w:pPr>
            <w:r w:rsidRPr="00620174">
              <w:rPr>
                <w:sz w:val="20"/>
                <w:szCs w:val="20"/>
              </w:rPr>
              <w:t>LVEF</w:t>
            </w:r>
          </w:p>
        </w:tc>
        <w:tc>
          <w:tcPr>
            <w:tcW w:w="1835" w:type="dxa"/>
            <w:tcBorders>
              <w:top w:val="single" w:sz="4" w:space="0" w:color="auto"/>
              <w:left w:val="single" w:sz="4" w:space="0" w:color="auto"/>
              <w:right w:val="single" w:sz="4" w:space="0" w:color="auto"/>
            </w:tcBorders>
            <w:shd w:val="clear" w:color="auto" w:fill="auto"/>
            <w:vAlign w:val="bottom"/>
          </w:tcPr>
          <w:p w14:paraId="00C51D0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-0.021*</w:t>
            </w:r>
          </w:p>
        </w:tc>
        <w:tc>
          <w:tcPr>
            <w:tcW w:w="1720" w:type="dxa"/>
            <w:tcBorders>
              <w:top w:val="single" w:sz="4" w:space="0" w:color="auto"/>
              <w:left w:val="single" w:sz="4" w:space="0" w:color="auto"/>
              <w:right w:val="single" w:sz="4" w:space="0" w:color="auto"/>
            </w:tcBorders>
            <w:shd w:val="clear" w:color="auto" w:fill="auto"/>
            <w:vAlign w:val="bottom"/>
          </w:tcPr>
          <w:p w14:paraId="24F7912D"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-0.020*</w:t>
            </w:r>
          </w:p>
        </w:tc>
        <w:tc>
          <w:tcPr>
            <w:tcW w:w="1720" w:type="dxa"/>
            <w:tcBorders>
              <w:top w:val="single" w:sz="4" w:space="0" w:color="auto"/>
              <w:left w:val="single" w:sz="4" w:space="0" w:color="auto"/>
              <w:right w:val="single" w:sz="4" w:space="0" w:color="auto"/>
            </w:tcBorders>
            <w:shd w:val="clear" w:color="auto" w:fill="auto"/>
            <w:vAlign w:val="bottom"/>
          </w:tcPr>
          <w:p w14:paraId="488939F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-0.019*</w:t>
            </w:r>
          </w:p>
        </w:tc>
        <w:tc>
          <w:tcPr>
            <w:tcW w:w="1720" w:type="dxa"/>
            <w:tcBorders>
              <w:top w:val="single" w:sz="4" w:space="0" w:color="auto"/>
              <w:left w:val="single" w:sz="4" w:space="0" w:color="auto"/>
              <w:right w:val="single" w:sz="4" w:space="0" w:color="auto"/>
            </w:tcBorders>
            <w:shd w:val="clear" w:color="auto" w:fill="auto"/>
            <w:vAlign w:val="bottom"/>
          </w:tcPr>
          <w:p w14:paraId="5380F30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-0.020*</w:t>
            </w:r>
          </w:p>
        </w:tc>
        <w:tc>
          <w:tcPr>
            <w:tcW w:w="1720" w:type="dxa"/>
            <w:tcBorders>
              <w:top w:val="single" w:sz="4" w:space="0" w:color="auto"/>
              <w:left w:val="single" w:sz="4" w:space="0" w:color="auto"/>
            </w:tcBorders>
            <w:shd w:val="clear" w:color="auto" w:fill="auto"/>
            <w:vAlign w:val="bottom"/>
          </w:tcPr>
          <w:p w14:paraId="14F7801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-0.022*</w:t>
            </w:r>
          </w:p>
        </w:tc>
      </w:tr>
      <w:tr w:rsidR="00620174" w:rsidRPr="00620174" w14:paraId="10C4940D" w14:textId="77777777" w:rsidTr="00472150">
        <w:tc>
          <w:tcPr>
            <w:tcW w:w="1130" w:type="dxa"/>
            <w:tcBorders>
              <w:bottom w:val="nil"/>
              <w:right w:val="single" w:sz="4" w:space="0" w:color="auto"/>
            </w:tcBorders>
            <w:shd w:val="clear" w:color="auto" w:fill="F2F2F2" w:themeFill="background1" w:themeFillShade="F2"/>
            <w:vAlign w:val="bottom"/>
          </w:tcPr>
          <w:p w14:paraId="721CCBB6"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shd w:val="clear" w:color="auto" w:fill="auto"/>
            <w:vAlign w:val="bottom"/>
          </w:tcPr>
          <w:p w14:paraId="55C0098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[-0.038, -0.005]</w:t>
            </w:r>
          </w:p>
        </w:tc>
        <w:tc>
          <w:tcPr>
            <w:tcW w:w="1720" w:type="dxa"/>
            <w:tcBorders>
              <w:left w:val="single" w:sz="4" w:space="0" w:color="auto"/>
              <w:bottom w:val="nil"/>
              <w:right w:val="single" w:sz="4" w:space="0" w:color="auto"/>
            </w:tcBorders>
            <w:shd w:val="clear" w:color="auto" w:fill="auto"/>
            <w:vAlign w:val="bottom"/>
          </w:tcPr>
          <w:p w14:paraId="4339E54B"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[-0.036, -0.003]</w:t>
            </w:r>
          </w:p>
        </w:tc>
        <w:tc>
          <w:tcPr>
            <w:tcW w:w="1720" w:type="dxa"/>
            <w:tcBorders>
              <w:left w:val="single" w:sz="4" w:space="0" w:color="auto"/>
              <w:bottom w:val="nil"/>
              <w:right w:val="single" w:sz="4" w:space="0" w:color="auto"/>
            </w:tcBorders>
            <w:shd w:val="clear" w:color="auto" w:fill="auto"/>
            <w:vAlign w:val="bottom"/>
          </w:tcPr>
          <w:p w14:paraId="1F1E4E0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[-0.034, -0.003]</w:t>
            </w:r>
          </w:p>
        </w:tc>
        <w:tc>
          <w:tcPr>
            <w:tcW w:w="1720" w:type="dxa"/>
            <w:tcBorders>
              <w:left w:val="single" w:sz="4" w:space="0" w:color="auto"/>
              <w:bottom w:val="nil"/>
              <w:right w:val="single" w:sz="4" w:space="0" w:color="auto"/>
            </w:tcBorders>
            <w:shd w:val="clear" w:color="auto" w:fill="auto"/>
            <w:vAlign w:val="bottom"/>
          </w:tcPr>
          <w:p w14:paraId="68A35B7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[-0.036, -0.004]</w:t>
            </w:r>
          </w:p>
        </w:tc>
        <w:tc>
          <w:tcPr>
            <w:tcW w:w="1720" w:type="dxa"/>
            <w:tcBorders>
              <w:left w:val="single" w:sz="4" w:space="0" w:color="auto"/>
              <w:bottom w:val="nil"/>
            </w:tcBorders>
            <w:shd w:val="clear" w:color="auto" w:fill="auto"/>
            <w:vAlign w:val="bottom"/>
          </w:tcPr>
          <w:p w14:paraId="5DF8118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[-0.038, -0.006]</w:t>
            </w:r>
          </w:p>
        </w:tc>
      </w:tr>
      <w:tr w:rsidR="00620174" w:rsidRPr="00620174" w14:paraId="7E69F515"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607078CF"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shd w:val="clear" w:color="auto" w:fill="auto"/>
            <w:vAlign w:val="bottom"/>
          </w:tcPr>
          <w:p w14:paraId="55D77EF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0.0153</w:t>
            </w:r>
          </w:p>
        </w:tc>
        <w:tc>
          <w:tcPr>
            <w:tcW w:w="1720" w:type="dxa"/>
            <w:tcBorders>
              <w:top w:val="nil"/>
              <w:left w:val="single" w:sz="4" w:space="0" w:color="auto"/>
              <w:bottom w:val="single" w:sz="4" w:space="0" w:color="auto"/>
              <w:right w:val="single" w:sz="4" w:space="0" w:color="auto"/>
            </w:tcBorders>
            <w:shd w:val="clear" w:color="auto" w:fill="auto"/>
            <w:vAlign w:val="bottom"/>
          </w:tcPr>
          <w:p w14:paraId="472F3E99"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0.0221</w:t>
            </w:r>
          </w:p>
        </w:tc>
        <w:tc>
          <w:tcPr>
            <w:tcW w:w="1720" w:type="dxa"/>
            <w:tcBorders>
              <w:top w:val="nil"/>
              <w:left w:val="single" w:sz="4" w:space="0" w:color="auto"/>
              <w:bottom w:val="single" w:sz="4" w:space="0" w:color="auto"/>
              <w:right w:val="single" w:sz="4" w:space="0" w:color="auto"/>
            </w:tcBorders>
            <w:shd w:val="clear" w:color="auto" w:fill="auto"/>
            <w:vAlign w:val="bottom"/>
          </w:tcPr>
          <w:p w14:paraId="7A813E2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0.0247</w:t>
            </w:r>
          </w:p>
        </w:tc>
        <w:tc>
          <w:tcPr>
            <w:tcW w:w="1720" w:type="dxa"/>
            <w:tcBorders>
              <w:top w:val="nil"/>
              <w:left w:val="single" w:sz="4" w:space="0" w:color="auto"/>
              <w:bottom w:val="single" w:sz="4" w:space="0" w:color="auto"/>
              <w:right w:val="single" w:sz="4" w:space="0" w:color="auto"/>
            </w:tcBorders>
            <w:shd w:val="clear" w:color="auto" w:fill="auto"/>
            <w:vAlign w:val="bottom"/>
          </w:tcPr>
          <w:p w14:paraId="4B39944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0.0172</w:t>
            </w:r>
          </w:p>
        </w:tc>
        <w:tc>
          <w:tcPr>
            <w:tcW w:w="1720" w:type="dxa"/>
            <w:tcBorders>
              <w:top w:val="nil"/>
              <w:left w:val="single" w:sz="4" w:space="0" w:color="auto"/>
              <w:bottom w:val="single" w:sz="4" w:space="0" w:color="auto"/>
            </w:tcBorders>
            <w:shd w:val="clear" w:color="auto" w:fill="auto"/>
            <w:vAlign w:val="bottom"/>
          </w:tcPr>
          <w:p w14:paraId="7AFAB11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8.80x10</w:t>
            </w:r>
            <w:r w:rsidRPr="00620174">
              <w:rPr>
                <w:color w:val="000000"/>
                <w:position w:val="6"/>
                <w:sz w:val="20"/>
                <w:szCs w:val="20"/>
                <w:vertAlign w:val="superscript"/>
              </w:rPr>
              <w:t>-3</w:t>
            </w:r>
          </w:p>
        </w:tc>
      </w:tr>
      <w:tr w:rsidR="00620174" w:rsidRPr="00620174" w14:paraId="36A831B1"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41EC2C87"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LVSVi</w:t>
            </w:r>
            <w:proofErr w:type="spellEnd"/>
          </w:p>
        </w:tc>
        <w:tc>
          <w:tcPr>
            <w:tcW w:w="1835" w:type="dxa"/>
            <w:tcBorders>
              <w:top w:val="single" w:sz="4" w:space="0" w:color="auto"/>
              <w:left w:val="single" w:sz="4" w:space="0" w:color="auto"/>
              <w:right w:val="single" w:sz="4" w:space="0" w:color="auto"/>
            </w:tcBorders>
            <w:vAlign w:val="bottom"/>
          </w:tcPr>
          <w:p w14:paraId="1C75014D"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0.045*</w:t>
            </w:r>
          </w:p>
        </w:tc>
        <w:tc>
          <w:tcPr>
            <w:tcW w:w="1720" w:type="dxa"/>
            <w:tcBorders>
              <w:top w:val="single" w:sz="4" w:space="0" w:color="auto"/>
              <w:left w:val="single" w:sz="4" w:space="0" w:color="auto"/>
              <w:right w:val="single" w:sz="4" w:space="0" w:color="auto"/>
            </w:tcBorders>
            <w:shd w:val="clear" w:color="auto" w:fill="auto"/>
            <w:vAlign w:val="bottom"/>
          </w:tcPr>
          <w:p w14:paraId="4FBF9AAC"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0.031*</w:t>
            </w:r>
          </w:p>
        </w:tc>
        <w:tc>
          <w:tcPr>
            <w:tcW w:w="1720" w:type="dxa"/>
            <w:tcBorders>
              <w:top w:val="single" w:sz="4" w:space="0" w:color="auto"/>
              <w:left w:val="single" w:sz="4" w:space="0" w:color="auto"/>
              <w:right w:val="single" w:sz="4" w:space="0" w:color="auto"/>
            </w:tcBorders>
            <w:shd w:val="clear" w:color="auto" w:fill="auto"/>
            <w:vAlign w:val="bottom"/>
          </w:tcPr>
          <w:p w14:paraId="049D9F1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0.023*</w:t>
            </w:r>
          </w:p>
        </w:tc>
        <w:tc>
          <w:tcPr>
            <w:tcW w:w="1720" w:type="dxa"/>
            <w:tcBorders>
              <w:top w:val="single" w:sz="4" w:space="0" w:color="auto"/>
              <w:left w:val="single" w:sz="4" w:space="0" w:color="auto"/>
              <w:right w:val="single" w:sz="4" w:space="0" w:color="auto"/>
            </w:tcBorders>
            <w:shd w:val="clear" w:color="auto" w:fill="auto"/>
            <w:vAlign w:val="bottom"/>
          </w:tcPr>
          <w:p w14:paraId="2DEBF5D7"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0.021*</w:t>
            </w:r>
          </w:p>
        </w:tc>
        <w:tc>
          <w:tcPr>
            <w:tcW w:w="1720" w:type="dxa"/>
            <w:tcBorders>
              <w:top w:val="single" w:sz="4" w:space="0" w:color="auto"/>
              <w:left w:val="single" w:sz="4" w:space="0" w:color="auto"/>
            </w:tcBorders>
            <w:shd w:val="clear" w:color="auto" w:fill="auto"/>
            <w:vAlign w:val="bottom"/>
          </w:tcPr>
          <w:p w14:paraId="5043087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0.027*</w:t>
            </w:r>
          </w:p>
        </w:tc>
      </w:tr>
      <w:tr w:rsidR="00620174" w:rsidRPr="00620174" w14:paraId="14D68321" w14:textId="77777777" w:rsidTr="00472150">
        <w:tc>
          <w:tcPr>
            <w:tcW w:w="1130" w:type="dxa"/>
            <w:tcBorders>
              <w:bottom w:val="nil"/>
              <w:right w:val="single" w:sz="4" w:space="0" w:color="auto"/>
            </w:tcBorders>
            <w:shd w:val="clear" w:color="auto" w:fill="F2F2F2" w:themeFill="background1" w:themeFillShade="F2"/>
            <w:vAlign w:val="bottom"/>
          </w:tcPr>
          <w:p w14:paraId="6D872E30"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7603CDF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[0.028, 0.061]</w:t>
            </w:r>
          </w:p>
        </w:tc>
        <w:tc>
          <w:tcPr>
            <w:tcW w:w="1720" w:type="dxa"/>
            <w:tcBorders>
              <w:left w:val="single" w:sz="4" w:space="0" w:color="auto"/>
              <w:bottom w:val="nil"/>
              <w:right w:val="single" w:sz="4" w:space="0" w:color="auto"/>
            </w:tcBorders>
            <w:shd w:val="clear" w:color="auto" w:fill="auto"/>
            <w:vAlign w:val="bottom"/>
          </w:tcPr>
          <w:p w14:paraId="0B005C9D"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[0.014, 0.047]</w:t>
            </w:r>
          </w:p>
        </w:tc>
        <w:tc>
          <w:tcPr>
            <w:tcW w:w="1720" w:type="dxa"/>
            <w:tcBorders>
              <w:left w:val="single" w:sz="4" w:space="0" w:color="auto"/>
              <w:bottom w:val="nil"/>
              <w:right w:val="single" w:sz="4" w:space="0" w:color="auto"/>
            </w:tcBorders>
            <w:shd w:val="clear" w:color="auto" w:fill="auto"/>
            <w:vAlign w:val="bottom"/>
          </w:tcPr>
          <w:p w14:paraId="27EDA03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[0.007, 0.039]</w:t>
            </w:r>
          </w:p>
        </w:tc>
        <w:tc>
          <w:tcPr>
            <w:tcW w:w="1720" w:type="dxa"/>
            <w:tcBorders>
              <w:left w:val="single" w:sz="4" w:space="0" w:color="auto"/>
              <w:bottom w:val="nil"/>
              <w:right w:val="single" w:sz="4" w:space="0" w:color="auto"/>
            </w:tcBorders>
            <w:shd w:val="clear" w:color="auto" w:fill="auto"/>
            <w:vAlign w:val="bottom"/>
          </w:tcPr>
          <w:p w14:paraId="62284C2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[0.004, 0.037]</w:t>
            </w:r>
          </w:p>
        </w:tc>
        <w:tc>
          <w:tcPr>
            <w:tcW w:w="1720" w:type="dxa"/>
            <w:tcBorders>
              <w:left w:val="single" w:sz="4" w:space="0" w:color="auto"/>
              <w:bottom w:val="nil"/>
            </w:tcBorders>
            <w:shd w:val="clear" w:color="auto" w:fill="auto"/>
            <w:vAlign w:val="bottom"/>
          </w:tcPr>
          <w:p w14:paraId="3EFD41EA"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[0.011, 0.043]</w:t>
            </w:r>
          </w:p>
        </w:tc>
      </w:tr>
      <w:tr w:rsidR="00620174" w:rsidRPr="00620174" w14:paraId="7819BB0C"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047149A8"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09235C25"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3.92x10</w:t>
            </w:r>
            <w:r w:rsidRPr="00620174">
              <w:rPr>
                <w:color w:val="000000"/>
                <w:position w:val="6"/>
                <w:sz w:val="20"/>
                <w:szCs w:val="20"/>
                <w:vertAlign w:val="superscript"/>
              </w:rPr>
              <w:t>-7</w:t>
            </w:r>
          </w:p>
        </w:tc>
        <w:tc>
          <w:tcPr>
            <w:tcW w:w="1720" w:type="dxa"/>
            <w:tcBorders>
              <w:top w:val="nil"/>
              <w:left w:val="single" w:sz="4" w:space="0" w:color="auto"/>
              <w:bottom w:val="single" w:sz="4" w:space="0" w:color="auto"/>
              <w:right w:val="single" w:sz="4" w:space="0" w:color="auto"/>
            </w:tcBorders>
            <w:shd w:val="clear" w:color="auto" w:fill="auto"/>
            <w:vAlign w:val="bottom"/>
          </w:tcPr>
          <w:p w14:paraId="2C92AE11"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5.33x10</w:t>
            </w:r>
            <w:r w:rsidRPr="00620174">
              <w:rPr>
                <w:color w:val="000000"/>
                <w:position w:val="6"/>
                <w:sz w:val="20"/>
                <w:szCs w:val="20"/>
                <w:vertAlign w:val="superscript"/>
              </w:rPr>
              <w:t>-4</w:t>
            </w:r>
          </w:p>
        </w:tc>
        <w:tc>
          <w:tcPr>
            <w:tcW w:w="1720" w:type="dxa"/>
            <w:tcBorders>
              <w:top w:val="nil"/>
              <w:left w:val="single" w:sz="4" w:space="0" w:color="auto"/>
              <w:bottom w:val="single" w:sz="4" w:space="0" w:color="auto"/>
              <w:right w:val="single" w:sz="4" w:space="0" w:color="auto"/>
            </w:tcBorders>
            <w:shd w:val="clear" w:color="auto" w:fill="auto"/>
            <w:vAlign w:val="bottom"/>
          </w:tcPr>
          <w:p w14:paraId="122C859D"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5.70x10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shd w:val="clear" w:color="auto" w:fill="auto"/>
            <w:vAlign w:val="bottom"/>
          </w:tcPr>
          <w:p w14:paraId="510E9DC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0.0153</w:t>
            </w:r>
          </w:p>
        </w:tc>
        <w:tc>
          <w:tcPr>
            <w:tcW w:w="1720" w:type="dxa"/>
            <w:tcBorders>
              <w:top w:val="nil"/>
              <w:left w:val="single" w:sz="4" w:space="0" w:color="auto"/>
              <w:bottom w:val="single" w:sz="4" w:space="0" w:color="auto"/>
            </w:tcBorders>
            <w:shd w:val="clear" w:color="auto" w:fill="auto"/>
            <w:vAlign w:val="bottom"/>
          </w:tcPr>
          <w:p w14:paraId="38C852B5"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1.59x10-3</w:t>
            </w:r>
          </w:p>
        </w:tc>
      </w:tr>
      <w:tr w:rsidR="00620174" w:rsidRPr="00620174" w14:paraId="6506C00B"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0E29BEA3" w14:textId="77777777" w:rsidR="00620174" w:rsidRPr="00620174" w:rsidRDefault="00620174" w:rsidP="00620174">
            <w:pPr>
              <w:snapToGrid w:val="0"/>
              <w:spacing w:before="60" w:line="240" w:lineRule="auto"/>
              <w:jc w:val="center"/>
              <w:rPr>
                <w:sz w:val="20"/>
                <w:szCs w:val="20"/>
              </w:rPr>
            </w:pPr>
            <w:r w:rsidRPr="00620174">
              <w:rPr>
                <w:sz w:val="20"/>
                <w:szCs w:val="20"/>
              </w:rPr>
              <w:t>LVMi</w:t>
            </w:r>
          </w:p>
        </w:tc>
        <w:tc>
          <w:tcPr>
            <w:tcW w:w="1835" w:type="dxa"/>
            <w:tcBorders>
              <w:top w:val="single" w:sz="4" w:space="0" w:color="auto"/>
              <w:left w:val="single" w:sz="4" w:space="0" w:color="auto"/>
              <w:right w:val="single" w:sz="4" w:space="0" w:color="auto"/>
            </w:tcBorders>
            <w:vAlign w:val="bottom"/>
          </w:tcPr>
          <w:p w14:paraId="72832FAE"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0.036*</w:t>
            </w:r>
          </w:p>
        </w:tc>
        <w:tc>
          <w:tcPr>
            <w:tcW w:w="1720" w:type="dxa"/>
            <w:tcBorders>
              <w:top w:val="single" w:sz="4" w:space="0" w:color="auto"/>
              <w:left w:val="single" w:sz="4" w:space="0" w:color="auto"/>
              <w:right w:val="single" w:sz="4" w:space="0" w:color="auto"/>
            </w:tcBorders>
            <w:vAlign w:val="bottom"/>
          </w:tcPr>
          <w:p w14:paraId="2DC9167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c>
          <w:tcPr>
            <w:tcW w:w="1720" w:type="dxa"/>
            <w:tcBorders>
              <w:top w:val="single" w:sz="4" w:space="0" w:color="auto"/>
              <w:left w:val="single" w:sz="4" w:space="0" w:color="auto"/>
              <w:right w:val="single" w:sz="4" w:space="0" w:color="auto"/>
            </w:tcBorders>
            <w:vAlign w:val="bottom"/>
          </w:tcPr>
          <w:p w14:paraId="166F3DE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0.027*</w:t>
            </w:r>
          </w:p>
        </w:tc>
        <w:tc>
          <w:tcPr>
            <w:tcW w:w="1720" w:type="dxa"/>
            <w:tcBorders>
              <w:top w:val="single" w:sz="4" w:space="0" w:color="auto"/>
              <w:left w:val="single" w:sz="4" w:space="0" w:color="auto"/>
              <w:right w:val="single" w:sz="4" w:space="0" w:color="auto"/>
            </w:tcBorders>
            <w:vAlign w:val="bottom"/>
          </w:tcPr>
          <w:p w14:paraId="44A59D2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0.028*</w:t>
            </w:r>
          </w:p>
        </w:tc>
        <w:tc>
          <w:tcPr>
            <w:tcW w:w="1720" w:type="dxa"/>
            <w:tcBorders>
              <w:top w:val="single" w:sz="4" w:space="0" w:color="auto"/>
              <w:left w:val="single" w:sz="4" w:space="0" w:color="auto"/>
            </w:tcBorders>
            <w:vAlign w:val="bottom"/>
          </w:tcPr>
          <w:p w14:paraId="2089E44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0.034*</w:t>
            </w:r>
          </w:p>
        </w:tc>
      </w:tr>
      <w:tr w:rsidR="00620174" w:rsidRPr="00620174" w14:paraId="74C447F9" w14:textId="77777777" w:rsidTr="00472150">
        <w:tc>
          <w:tcPr>
            <w:tcW w:w="1130" w:type="dxa"/>
            <w:tcBorders>
              <w:bottom w:val="nil"/>
              <w:right w:val="single" w:sz="4" w:space="0" w:color="auto"/>
            </w:tcBorders>
            <w:shd w:val="clear" w:color="auto" w:fill="F2F2F2" w:themeFill="background1" w:themeFillShade="F2"/>
            <w:vAlign w:val="bottom"/>
          </w:tcPr>
          <w:p w14:paraId="4F0260CE"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29488D83"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[0.020, 0.053]</w:t>
            </w:r>
          </w:p>
        </w:tc>
        <w:tc>
          <w:tcPr>
            <w:tcW w:w="1720" w:type="dxa"/>
            <w:tcBorders>
              <w:left w:val="single" w:sz="4" w:space="0" w:color="auto"/>
              <w:bottom w:val="nil"/>
              <w:right w:val="single" w:sz="4" w:space="0" w:color="auto"/>
            </w:tcBorders>
            <w:vAlign w:val="bottom"/>
          </w:tcPr>
          <w:p w14:paraId="5F69A9CA"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[0.008, 0.041]</w:t>
            </w:r>
          </w:p>
        </w:tc>
        <w:tc>
          <w:tcPr>
            <w:tcW w:w="1720" w:type="dxa"/>
            <w:tcBorders>
              <w:left w:val="single" w:sz="4" w:space="0" w:color="auto"/>
              <w:bottom w:val="nil"/>
              <w:right w:val="single" w:sz="4" w:space="0" w:color="auto"/>
            </w:tcBorders>
            <w:vAlign w:val="bottom"/>
          </w:tcPr>
          <w:p w14:paraId="73A383FF"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[0.011, 0.043]</w:t>
            </w:r>
          </w:p>
        </w:tc>
        <w:tc>
          <w:tcPr>
            <w:tcW w:w="1720" w:type="dxa"/>
            <w:tcBorders>
              <w:left w:val="single" w:sz="4" w:space="0" w:color="auto"/>
              <w:bottom w:val="nil"/>
              <w:right w:val="single" w:sz="4" w:space="0" w:color="auto"/>
            </w:tcBorders>
            <w:vAlign w:val="bottom"/>
          </w:tcPr>
          <w:p w14:paraId="630BB0C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[0.011, 0.044]</w:t>
            </w:r>
          </w:p>
        </w:tc>
        <w:tc>
          <w:tcPr>
            <w:tcW w:w="1720" w:type="dxa"/>
            <w:tcBorders>
              <w:left w:val="single" w:sz="4" w:space="0" w:color="auto"/>
              <w:bottom w:val="nil"/>
            </w:tcBorders>
            <w:vAlign w:val="bottom"/>
          </w:tcPr>
          <w:p w14:paraId="5289350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[0.018, 0.050]</w:t>
            </w:r>
          </w:p>
        </w:tc>
      </w:tr>
      <w:tr w:rsidR="00620174" w:rsidRPr="00620174" w14:paraId="5DDEDA25"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290A1405"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02AEC15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3.97x10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vAlign w:val="bottom"/>
          </w:tcPr>
          <w:p w14:paraId="053BB89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4.76x10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vAlign w:val="bottom"/>
          </w:tcPr>
          <w:p w14:paraId="5F25431C"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1.59x10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vAlign w:val="bottom"/>
          </w:tcPr>
          <w:p w14:paraId="338C7A3B"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1.13x10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tcBorders>
            <w:vAlign w:val="bottom"/>
          </w:tcPr>
          <w:p w14:paraId="2F39F7A9"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7.89x10</w:t>
            </w:r>
            <w:r w:rsidRPr="00620174">
              <w:rPr>
                <w:color w:val="000000"/>
                <w:position w:val="6"/>
                <w:sz w:val="20"/>
                <w:szCs w:val="20"/>
                <w:vertAlign w:val="superscript"/>
              </w:rPr>
              <w:t>-5</w:t>
            </w:r>
          </w:p>
        </w:tc>
      </w:tr>
      <w:tr w:rsidR="00620174" w:rsidRPr="00620174" w14:paraId="7160C0C8"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4963AFC8"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RVEDVi</w:t>
            </w:r>
            <w:proofErr w:type="spellEnd"/>
          </w:p>
        </w:tc>
        <w:tc>
          <w:tcPr>
            <w:tcW w:w="1835" w:type="dxa"/>
            <w:tcBorders>
              <w:top w:val="single" w:sz="4" w:space="0" w:color="auto"/>
              <w:left w:val="single" w:sz="4" w:space="0" w:color="auto"/>
              <w:right w:val="single" w:sz="4" w:space="0" w:color="auto"/>
            </w:tcBorders>
            <w:vAlign w:val="bottom"/>
          </w:tcPr>
          <w:p w14:paraId="105B6C8B" w14:textId="77777777" w:rsidR="00620174" w:rsidRPr="00620174" w:rsidRDefault="00620174" w:rsidP="00620174">
            <w:pPr>
              <w:snapToGrid w:val="0"/>
              <w:spacing w:before="60" w:line="240" w:lineRule="auto"/>
              <w:jc w:val="center"/>
              <w:rPr>
                <w:b/>
                <w:bCs/>
                <w:color w:val="000000"/>
                <w:position w:val="6"/>
                <w:sz w:val="20"/>
                <w:szCs w:val="20"/>
              </w:rPr>
            </w:pPr>
            <w:r w:rsidRPr="00620174">
              <w:rPr>
                <w:color w:val="000000"/>
                <w:position w:val="6"/>
                <w:sz w:val="20"/>
                <w:szCs w:val="20"/>
              </w:rPr>
              <w:t>0.092*</w:t>
            </w:r>
          </w:p>
        </w:tc>
        <w:tc>
          <w:tcPr>
            <w:tcW w:w="1720" w:type="dxa"/>
            <w:tcBorders>
              <w:top w:val="single" w:sz="4" w:space="0" w:color="auto"/>
              <w:left w:val="single" w:sz="4" w:space="0" w:color="auto"/>
              <w:right w:val="single" w:sz="4" w:space="0" w:color="auto"/>
            </w:tcBorders>
            <w:vAlign w:val="bottom"/>
          </w:tcPr>
          <w:p w14:paraId="1E5FBEA8"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0.076*</w:t>
            </w:r>
          </w:p>
        </w:tc>
        <w:tc>
          <w:tcPr>
            <w:tcW w:w="1720" w:type="dxa"/>
            <w:tcBorders>
              <w:top w:val="single" w:sz="4" w:space="0" w:color="auto"/>
              <w:left w:val="single" w:sz="4" w:space="0" w:color="auto"/>
              <w:right w:val="single" w:sz="4" w:space="0" w:color="auto"/>
            </w:tcBorders>
            <w:vAlign w:val="bottom"/>
          </w:tcPr>
          <w:p w14:paraId="5A21E24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0.056*</w:t>
            </w:r>
          </w:p>
        </w:tc>
        <w:tc>
          <w:tcPr>
            <w:tcW w:w="1720" w:type="dxa"/>
            <w:tcBorders>
              <w:top w:val="single" w:sz="4" w:space="0" w:color="auto"/>
              <w:left w:val="single" w:sz="4" w:space="0" w:color="auto"/>
              <w:right w:val="single" w:sz="4" w:space="0" w:color="auto"/>
            </w:tcBorders>
            <w:vAlign w:val="bottom"/>
          </w:tcPr>
          <w:p w14:paraId="60F3E22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0.053*</w:t>
            </w:r>
          </w:p>
        </w:tc>
        <w:tc>
          <w:tcPr>
            <w:tcW w:w="1720" w:type="dxa"/>
            <w:tcBorders>
              <w:top w:val="single" w:sz="4" w:space="0" w:color="auto"/>
              <w:left w:val="single" w:sz="4" w:space="0" w:color="auto"/>
            </w:tcBorders>
            <w:vAlign w:val="bottom"/>
          </w:tcPr>
          <w:p w14:paraId="07375912"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0.063*</w:t>
            </w:r>
          </w:p>
        </w:tc>
      </w:tr>
      <w:tr w:rsidR="00620174" w:rsidRPr="00620174" w14:paraId="70F9709B" w14:textId="77777777" w:rsidTr="00472150">
        <w:tc>
          <w:tcPr>
            <w:tcW w:w="1130" w:type="dxa"/>
            <w:tcBorders>
              <w:bottom w:val="nil"/>
              <w:right w:val="single" w:sz="4" w:space="0" w:color="auto"/>
            </w:tcBorders>
            <w:shd w:val="clear" w:color="auto" w:fill="F2F2F2" w:themeFill="background1" w:themeFillShade="F2"/>
            <w:vAlign w:val="bottom"/>
          </w:tcPr>
          <w:p w14:paraId="27D0B02B"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0C0330AD"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[0.076, 0.109]</w:t>
            </w:r>
          </w:p>
        </w:tc>
        <w:tc>
          <w:tcPr>
            <w:tcW w:w="1720" w:type="dxa"/>
            <w:tcBorders>
              <w:left w:val="single" w:sz="4" w:space="0" w:color="auto"/>
              <w:bottom w:val="nil"/>
              <w:right w:val="single" w:sz="4" w:space="0" w:color="auto"/>
            </w:tcBorders>
            <w:vAlign w:val="bottom"/>
          </w:tcPr>
          <w:p w14:paraId="716F0229"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[0.059, 0.093]</w:t>
            </w:r>
          </w:p>
        </w:tc>
        <w:tc>
          <w:tcPr>
            <w:tcW w:w="1720" w:type="dxa"/>
            <w:tcBorders>
              <w:left w:val="single" w:sz="4" w:space="0" w:color="auto"/>
              <w:bottom w:val="nil"/>
              <w:right w:val="single" w:sz="4" w:space="0" w:color="auto"/>
            </w:tcBorders>
            <w:vAlign w:val="bottom"/>
          </w:tcPr>
          <w:p w14:paraId="4AB2CA4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[0.040, 0.072]</w:t>
            </w:r>
          </w:p>
        </w:tc>
        <w:tc>
          <w:tcPr>
            <w:tcW w:w="1720" w:type="dxa"/>
            <w:tcBorders>
              <w:left w:val="single" w:sz="4" w:space="0" w:color="auto"/>
              <w:bottom w:val="nil"/>
              <w:right w:val="single" w:sz="4" w:space="0" w:color="auto"/>
            </w:tcBorders>
            <w:vAlign w:val="bottom"/>
          </w:tcPr>
          <w:p w14:paraId="480677C8"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[0.037, 0.069]</w:t>
            </w:r>
          </w:p>
        </w:tc>
        <w:tc>
          <w:tcPr>
            <w:tcW w:w="1720" w:type="dxa"/>
            <w:tcBorders>
              <w:left w:val="single" w:sz="4" w:space="0" w:color="auto"/>
              <w:bottom w:val="nil"/>
            </w:tcBorders>
            <w:vAlign w:val="bottom"/>
          </w:tcPr>
          <w:p w14:paraId="3B2E0EC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[0.046, 0.080]</w:t>
            </w:r>
          </w:p>
        </w:tc>
      </w:tr>
      <w:tr w:rsidR="00620174" w:rsidRPr="00620174" w14:paraId="428331AC"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2C61F0BB"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445D0AAD"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1.42x10</w:t>
            </w:r>
            <w:r w:rsidRPr="00620174">
              <w:rPr>
                <w:color w:val="000000"/>
                <w:position w:val="6"/>
                <w:sz w:val="20"/>
                <w:szCs w:val="20"/>
                <w:vertAlign w:val="superscript"/>
              </w:rPr>
              <w:t>-26</w:t>
            </w:r>
          </w:p>
        </w:tc>
        <w:tc>
          <w:tcPr>
            <w:tcW w:w="1720" w:type="dxa"/>
            <w:tcBorders>
              <w:top w:val="nil"/>
              <w:left w:val="single" w:sz="4" w:space="0" w:color="auto"/>
              <w:bottom w:val="single" w:sz="4" w:space="0" w:color="auto"/>
              <w:right w:val="single" w:sz="4" w:space="0" w:color="auto"/>
            </w:tcBorders>
            <w:vAlign w:val="bottom"/>
          </w:tcPr>
          <w:p w14:paraId="406F7965"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1.11x10</w:t>
            </w:r>
            <w:r w:rsidRPr="00620174">
              <w:rPr>
                <w:color w:val="000000"/>
                <w:position w:val="6"/>
                <w:sz w:val="20"/>
                <w:szCs w:val="20"/>
                <w:vertAlign w:val="superscript"/>
              </w:rPr>
              <w:t>-17</w:t>
            </w:r>
          </w:p>
        </w:tc>
        <w:tc>
          <w:tcPr>
            <w:tcW w:w="1720" w:type="dxa"/>
            <w:tcBorders>
              <w:top w:val="nil"/>
              <w:left w:val="single" w:sz="4" w:space="0" w:color="auto"/>
              <w:bottom w:val="single" w:sz="4" w:space="0" w:color="auto"/>
              <w:right w:val="single" w:sz="4" w:space="0" w:color="auto"/>
            </w:tcBorders>
            <w:vAlign w:val="bottom"/>
          </w:tcPr>
          <w:p w14:paraId="0F90FCC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9.38x10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right w:val="single" w:sz="4" w:space="0" w:color="auto"/>
            </w:tcBorders>
            <w:vAlign w:val="bottom"/>
          </w:tcPr>
          <w:p w14:paraId="483DECAE"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1.52x10</w:t>
            </w:r>
            <w:r w:rsidRPr="00620174">
              <w:rPr>
                <w:color w:val="000000"/>
                <w:position w:val="6"/>
                <w:sz w:val="20"/>
                <w:szCs w:val="20"/>
                <w:vertAlign w:val="superscript"/>
              </w:rPr>
              <w:t>-9</w:t>
            </w:r>
          </w:p>
        </w:tc>
        <w:tc>
          <w:tcPr>
            <w:tcW w:w="1720" w:type="dxa"/>
            <w:tcBorders>
              <w:top w:val="nil"/>
              <w:left w:val="single" w:sz="4" w:space="0" w:color="auto"/>
              <w:bottom w:val="single" w:sz="4" w:space="0" w:color="auto"/>
            </w:tcBorders>
            <w:vAlign w:val="bottom"/>
          </w:tcPr>
          <w:p w14:paraId="0AADA44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1.04x10</w:t>
            </w:r>
            <w:r w:rsidRPr="00620174">
              <w:rPr>
                <w:color w:val="000000"/>
                <w:position w:val="6"/>
                <w:sz w:val="20"/>
                <w:szCs w:val="20"/>
                <w:vertAlign w:val="superscript"/>
              </w:rPr>
              <w:t>-12</w:t>
            </w:r>
          </w:p>
        </w:tc>
      </w:tr>
      <w:tr w:rsidR="00620174" w:rsidRPr="00620174" w14:paraId="49BD6E52"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3E156814"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RVESVi</w:t>
            </w:r>
            <w:proofErr w:type="spellEnd"/>
          </w:p>
        </w:tc>
        <w:tc>
          <w:tcPr>
            <w:tcW w:w="1835" w:type="dxa"/>
            <w:tcBorders>
              <w:top w:val="single" w:sz="4" w:space="0" w:color="auto"/>
              <w:left w:val="single" w:sz="4" w:space="0" w:color="auto"/>
              <w:right w:val="single" w:sz="4" w:space="0" w:color="auto"/>
            </w:tcBorders>
            <w:vAlign w:val="bottom"/>
          </w:tcPr>
          <w:p w14:paraId="5646A3E0"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0.090*</w:t>
            </w:r>
          </w:p>
        </w:tc>
        <w:tc>
          <w:tcPr>
            <w:tcW w:w="1720" w:type="dxa"/>
            <w:tcBorders>
              <w:top w:val="single" w:sz="4" w:space="0" w:color="auto"/>
              <w:left w:val="single" w:sz="4" w:space="0" w:color="auto"/>
              <w:right w:val="single" w:sz="4" w:space="0" w:color="auto"/>
            </w:tcBorders>
            <w:vAlign w:val="bottom"/>
          </w:tcPr>
          <w:p w14:paraId="6F09B5B1"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0.074*</w:t>
            </w:r>
          </w:p>
        </w:tc>
        <w:tc>
          <w:tcPr>
            <w:tcW w:w="1720" w:type="dxa"/>
            <w:tcBorders>
              <w:top w:val="single" w:sz="4" w:space="0" w:color="auto"/>
              <w:left w:val="single" w:sz="4" w:space="0" w:color="auto"/>
              <w:right w:val="single" w:sz="4" w:space="0" w:color="auto"/>
            </w:tcBorders>
            <w:vAlign w:val="bottom"/>
          </w:tcPr>
          <w:p w14:paraId="628C4807"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0.057*</w:t>
            </w:r>
          </w:p>
        </w:tc>
        <w:tc>
          <w:tcPr>
            <w:tcW w:w="1720" w:type="dxa"/>
            <w:tcBorders>
              <w:top w:val="single" w:sz="4" w:space="0" w:color="auto"/>
              <w:left w:val="single" w:sz="4" w:space="0" w:color="auto"/>
              <w:right w:val="single" w:sz="4" w:space="0" w:color="auto"/>
            </w:tcBorders>
            <w:vAlign w:val="bottom"/>
          </w:tcPr>
          <w:p w14:paraId="3AB410C8"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0.055*</w:t>
            </w:r>
          </w:p>
        </w:tc>
        <w:tc>
          <w:tcPr>
            <w:tcW w:w="1720" w:type="dxa"/>
            <w:tcBorders>
              <w:top w:val="single" w:sz="4" w:space="0" w:color="auto"/>
              <w:left w:val="single" w:sz="4" w:space="0" w:color="auto"/>
            </w:tcBorders>
            <w:vAlign w:val="bottom"/>
          </w:tcPr>
          <w:p w14:paraId="28F49323"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0.063*</w:t>
            </w:r>
          </w:p>
        </w:tc>
      </w:tr>
      <w:tr w:rsidR="00620174" w:rsidRPr="00620174" w14:paraId="4E2CD0E8" w14:textId="77777777" w:rsidTr="00472150">
        <w:tc>
          <w:tcPr>
            <w:tcW w:w="1130" w:type="dxa"/>
            <w:tcBorders>
              <w:bottom w:val="nil"/>
              <w:right w:val="single" w:sz="4" w:space="0" w:color="auto"/>
            </w:tcBorders>
            <w:shd w:val="clear" w:color="auto" w:fill="F2F2F2" w:themeFill="background1" w:themeFillShade="F2"/>
            <w:vAlign w:val="bottom"/>
          </w:tcPr>
          <w:p w14:paraId="033E1A02"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0078668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[0.073, 0.106]</w:t>
            </w:r>
          </w:p>
        </w:tc>
        <w:tc>
          <w:tcPr>
            <w:tcW w:w="1720" w:type="dxa"/>
            <w:tcBorders>
              <w:left w:val="single" w:sz="4" w:space="0" w:color="auto"/>
              <w:bottom w:val="nil"/>
              <w:right w:val="single" w:sz="4" w:space="0" w:color="auto"/>
            </w:tcBorders>
            <w:vAlign w:val="bottom"/>
          </w:tcPr>
          <w:p w14:paraId="26019ABE"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[0.057, 0.091]</w:t>
            </w:r>
          </w:p>
        </w:tc>
        <w:tc>
          <w:tcPr>
            <w:tcW w:w="1720" w:type="dxa"/>
            <w:tcBorders>
              <w:left w:val="single" w:sz="4" w:space="0" w:color="auto"/>
              <w:bottom w:val="nil"/>
              <w:right w:val="single" w:sz="4" w:space="0" w:color="auto"/>
            </w:tcBorders>
            <w:vAlign w:val="bottom"/>
          </w:tcPr>
          <w:p w14:paraId="269A2BC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0.073]</w:t>
            </w:r>
          </w:p>
        </w:tc>
        <w:tc>
          <w:tcPr>
            <w:tcW w:w="1720" w:type="dxa"/>
            <w:tcBorders>
              <w:left w:val="single" w:sz="4" w:space="0" w:color="auto"/>
              <w:bottom w:val="nil"/>
              <w:right w:val="single" w:sz="4" w:space="0" w:color="auto"/>
            </w:tcBorders>
            <w:vAlign w:val="bottom"/>
          </w:tcPr>
          <w:p w14:paraId="038D75C7"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[0.038, 0.071]</w:t>
            </w:r>
          </w:p>
        </w:tc>
        <w:tc>
          <w:tcPr>
            <w:tcW w:w="1720" w:type="dxa"/>
            <w:tcBorders>
              <w:left w:val="single" w:sz="4" w:space="0" w:color="auto"/>
              <w:bottom w:val="nil"/>
            </w:tcBorders>
            <w:vAlign w:val="bottom"/>
          </w:tcPr>
          <w:p w14:paraId="64EC0947"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[0.047, 0.080]</w:t>
            </w:r>
          </w:p>
        </w:tc>
      </w:tr>
      <w:tr w:rsidR="00620174" w:rsidRPr="00620174" w14:paraId="3451B036"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285729DA"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32ED544E"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3.49x10</w:t>
            </w:r>
            <w:r w:rsidRPr="00620174">
              <w:rPr>
                <w:color w:val="000000"/>
                <w:position w:val="6"/>
                <w:sz w:val="20"/>
                <w:szCs w:val="20"/>
                <w:vertAlign w:val="superscript"/>
              </w:rPr>
              <w:t>-25</w:t>
            </w:r>
          </w:p>
        </w:tc>
        <w:tc>
          <w:tcPr>
            <w:tcW w:w="1720" w:type="dxa"/>
            <w:tcBorders>
              <w:top w:val="nil"/>
              <w:left w:val="single" w:sz="4" w:space="0" w:color="auto"/>
              <w:bottom w:val="single" w:sz="4" w:space="0" w:color="auto"/>
              <w:right w:val="single" w:sz="4" w:space="0" w:color="auto"/>
            </w:tcBorders>
            <w:vAlign w:val="bottom"/>
          </w:tcPr>
          <w:p w14:paraId="55C81272"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5.29x10</w:t>
            </w:r>
            <w:r w:rsidRPr="00620174">
              <w:rPr>
                <w:color w:val="000000"/>
                <w:position w:val="6"/>
                <w:sz w:val="20"/>
                <w:szCs w:val="20"/>
                <w:vertAlign w:val="superscript"/>
              </w:rPr>
              <w:t>-17</w:t>
            </w:r>
          </w:p>
        </w:tc>
        <w:tc>
          <w:tcPr>
            <w:tcW w:w="1720" w:type="dxa"/>
            <w:tcBorders>
              <w:top w:val="nil"/>
              <w:left w:val="single" w:sz="4" w:space="0" w:color="auto"/>
              <w:bottom w:val="single" w:sz="4" w:space="0" w:color="auto"/>
              <w:right w:val="single" w:sz="4" w:space="0" w:color="auto"/>
            </w:tcBorders>
            <w:vAlign w:val="bottom"/>
          </w:tcPr>
          <w:p w14:paraId="77787EA5"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3.65x10</w:t>
            </w:r>
            <w:r w:rsidRPr="00620174">
              <w:rPr>
                <w:color w:val="000000"/>
                <w:position w:val="6"/>
                <w:sz w:val="20"/>
                <w:szCs w:val="20"/>
                <w:vertAlign w:val="superscript"/>
              </w:rPr>
              <w:t>-11</w:t>
            </w:r>
          </w:p>
        </w:tc>
        <w:tc>
          <w:tcPr>
            <w:tcW w:w="1720" w:type="dxa"/>
            <w:tcBorders>
              <w:top w:val="nil"/>
              <w:left w:val="single" w:sz="4" w:space="0" w:color="auto"/>
              <w:bottom w:val="single" w:sz="4" w:space="0" w:color="auto"/>
              <w:right w:val="single" w:sz="4" w:space="0" w:color="auto"/>
            </w:tcBorders>
            <w:vAlign w:val="bottom"/>
          </w:tcPr>
          <w:p w14:paraId="649F7AF9"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3.02x10</w:t>
            </w:r>
            <w:r w:rsidRPr="00620174">
              <w:rPr>
                <w:color w:val="000000"/>
                <w:position w:val="6"/>
                <w:sz w:val="20"/>
                <w:szCs w:val="20"/>
                <w:vertAlign w:val="superscript"/>
              </w:rPr>
              <w:t>-10</w:t>
            </w:r>
          </w:p>
        </w:tc>
        <w:tc>
          <w:tcPr>
            <w:tcW w:w="1720" w:type="dxa"/>
            <w:tcBorders>
              <w:top w:val="nil"/>
              <w:left w:val="single" w:sz="4" w:space="0" w:color="auto"/>
              <w:bottom w:val="single" w:sz="4" w:space="0" w:color="auto"/>
            </w:tcBorders>
            <w:vAlign w:val="bottom"/>
          </w:tcPr>
          <w:p w14:paraId="553D8630"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3.85x10</w:t>
            </w:r>
            <w:r w:rsidRPr="00620174">
              <w:rPr>
                <w:color w:val="000000"/>
                <w:position w:val="6"/>
                <w:sz w:val="20"/>
                <w:szCs w:val="20"/>
                <w:vertAlign w:val="superscript"/>
              </w:rPr>
              <w:t>-13</w:t>
            </w:r>
          </w:p>
        </w:tc>
      </w:tr>
      <w:tr w:rsidR="00620174" w:rsidRPr="00620174" w14:paraId="64E88D88"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3CE1DA1D" w14:textId="77777777" w:rsidR="00620174" w:rsidRPr="00620174" w:rsidRDefault="00620174" w:rsidP="00620174">
            <w:pPr>
              <w:snapToGrid w:val="0"/>
              <w:spacing w:before="60" w:line="240" w:lineRule="auto"/>
              <w:jc w:val="center"/>
              <w:rPr>
                <w:sz w:val="20"/>
                <w:szCs w:val="20"/>
              </w:rPr>
            </w:pPr>
            <w:r w:rsidRPr="00620174">
              <w:rPr>
                <w:sz w:val="20"/>
                <w:szCs w:val="20"/>
              </w:rPr>
              <w:t>RVEF</w:t>
            </w:r>
          </w:p>
        </w:tc>
        <w:tc>
          <w:tcPr>
            <w:tcW w:w="1835" w:type="dxa"/>
            <w:tcBorders>
              <w:top w:val="single" w:sz="4" w:space="0" w:color="auto"/>
              <w:left w:val="single" w:sz="4" w:space="0" w:color="auto"/>
              <w:right w:val="single" w:sz="4" w:space="0" w:color="auto"/>
            </w:tcBorders>
            <w:vAlign w:val="bottom"/>
          </w:tcPr>
          <w:p w14:paraId="3F7963DA"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-0.034*</w:t>
            </w:r>
          </w:p>
        </w:tc>
        <w:tc>
          <w:tcPr>
            <w:tcW w:w="1720" w:type="dxa"/>
            <w:tcBorders>
              <w:top w:val="single" w:sz="4" w:space="0" w:color="auto"/>
              <w:left w:val="single" w:sz="4" w:space="0" w:color="auto"/>
              <w:right w:val="single" w:sz="4" w:space="0" w:color="auto"/>
            </w:tcBorders>
            <w:shd w:val="clear" w:color="auto" w:fill="auto"/>
            <w:vAlign w:val="bottom"/>
          </w:tcPr>
          <w:p w14:paraId="2EF86974"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-0.028*</w:t>
            </w:r>
          </w:p>
        </w:tc>
        <w:tc>
          <w:tcPr>
            <w:tcW w:w="1720" w:type="dxa"/>
            <w:tcBorders>
              <w:top w:val="single" w:sz="4" w:space="0" w:color="auto"/>
              <w:left w:val="single" w:sz="4" w:space="0" w:color="auto"/>
              <w:right w:val="single" w:sz="4" w:space="0" w:color="auto"/>
            </w:tcBorders>
            <w:shd w:val="clear" w:color="auto" w:fill="auto"/>
            <w:vAlign w:val="bottom"/>
          </w:tcPr>
          <w:p w14:paraId="0AF25705"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c>
          <w:tcPr>
            <w:tcW w:w="1720" w:type="dxa"/>
            <w:tcBorders>
              <w:top w:val="single" w:sz="4" w:space="0" w:color="auto"/>
              <w:left w:val="single" w:sz="4" w:space="0" w:color="auto"/>
              <w:right w:val="single" w:sz="4" w:space="0" w:color="auto"/>
            </w:tcBorders>
            <w:shd w:val="clear" w:color="auto" w:fill="auto"/>
            <w:vAlign w:val="bottom"/>
          </w:tcPr>
          <w:p w14:paraId="0E01000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-0.025*</w:t>
            </w:r>
          </w:p>
        </w:tc>
        <w:tc>
          <w:tcPr>
            <w:tcW w:w="1720" w:type="dxa"/>
            <w:tcBorders>
              <w:top w:val="single" w:sz="4" w:space="0" w:color="auto"/>
              <w:left w:val="single" w:sz="4" w:space="0" w:color="auto"/>
            </w:tcBorders>
            <w:shd w:val="clear" w:color="auto" w:fill="auto"/>
            <w:vAlign w:val="bottom"/>
          </w:tcPr>
          <w:p w14:paraId="576BFD7D"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-0.027*</w:t>
            </w:r>
          </w:p>
        </w:tc>
      </w:tr>
      <w:tr w:rsidR="00620174" w:rsidRPr="00620174" w14:paraId="107614F9" w14:textId="77777777" w:rsidTr="00472150">
        <w:tc>
          <w:tcPr>
            <w:tcW w:w="1130" w:type="dxa"/>
            <w:tcBorders>
              <w:bottom w:val="nil"/>
              <w:right w:val="single" w:sz="4" w:space="0" w:color="auto"/>
            </w:tcBorders>
            <w:shd w:val="clear" w:color="auto" w:fill="F2F2F2" w:themeFill="background1" w:themeFillShade="F2"/>
            <w:vAlign w:val="bottom"/>
          </w:tcPr>
          <w:p w14:paraId="488A948A" w14:textId="77777777" w:rsidR="00620174" w:rsidRPr="00620174" w:rsidRDefault="00620174" w:rsidP="00620174">
            <w:pPr>
              <w:snapToGrid w:val="0"/>
              <w:spacing w:line="240" w:lineRule="auto"/>
              <w:jc w:val="center"/>
              <w:rPr>
                <w:sz w:val="20"/>
                <w:szCs w:val="20"/>
              </w:rPr>
            </w:pPr>
          </w:p>
        </w:tc>
        <w:tc>
          <w:tcPr>
            <w:tcW w:w="1835" w:type="dxa"/>
            <w:tcBorders>
              <w:left w:val="single" w:sz="4" w:space="0" w:color="auto"/>
              <w:bottom w:val="nil"/>
              <w:right w:val="single" w:sz="4" w:space="0" w:color="auto"/>
            </w:tcBorders>
            <w:vAlign w:val="bottom"/>
          </w:tcPr>
          <w:p w14:paraId="07714ED3"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[-0.051, -0.018]</w:t>
            </w:r>
          </w:p>
        </w:tc>
        <w:tc>
          <w:tcPr>
            <w:tcW w:w="1720" w:type="dxa"/>
            <w:tcBorders>
              <w:left w:val="single" w:sz="4" w:space="0" w:color="auto"/>
              <w:bottom w:val="nil"/>
              <w:right w:val="single" w:sz="4" w:space="0" w:color="auto"/>
            </w:tcBorders>
            <w:shd w:val="clear" w:color="auto" w:fill="auto"/>
            <w:vAlign w:val="bottom"/>
          </w:tcPr>
          <w:p w14:paraId="20E99C37"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[-0.045, -0.012]</w:t>
            </w:r>
          </w:p>
        </w:tc>
        <w:tc>
          <w:tcPr>
            <w:tcW w:w="1720" w:type="dxa"/>
            <w:tcBorders>
              <w:left w:val="single" w:sz="4" w:space="0" w:color="auto"/>
              <w:bottom w:val="nil"/>
              <w:right w:val="single" w:sz="4" w:space="0" w:color="auto"/>
            </w:tcBorders>
            <w:shd w:val="clear" w:color="auto" w:fill="auto"/>
            <w:vAlign w:val="bottom"/>
          </w:tcPr>
          <w:p w14:paraId="3D1AC039"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-0.009]</w:t>
            </w:r>
          </w:p>
        </w:tc>
        <w:tc>
          <w:tcPr>
            <w:tcW w:w="1720" w:type="dxa"/>
            <w:tcBorders>
              <w:left w:val="single" w:sz="4" w:space="0" w:color="auto"/>
              <w:bottom w:val="nil"/>
              <w:right w:val="single" w:sz="4" w:space="0" w:color="auto"/>
            </w:tcBorders>
            <w:shd w:val="clear" w:color="auto" w:fill="auto"/>
            <w:vAlign w:val="bottom"/>
          </w:tcPr>
          <w:p w14:paraId="464D272B"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[-0.041, -0.009]</w:t>
            </w:r>
          </w:p>
        </w:tc>
        <w:tc>
          <w:tcPr>
            <w:tcW w:w="1720" w:type="dxa"/>
            <w:tcBorders>
              <w:left w:val="single" w:sz="4" w:space="0" w:color="auto"/>
              <w:bottom w:val="nil"/>
            </w:tcBorders>
            <w:shd w:val="clear" w:color="auto" w:fill="auto"/>
            <w:vAlign w:val="bottom"/>
          </w:tcPr>
          <w:p w14:paraId="18E47C02"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[-0.043, -0.012]</w:t>
            </w:r>
          </w:p>
        </w:tc>
      </w:tr>
      <w:tr w:rsidR="00620174" w:rsidRPr="00620174" w14:paraId="60D991E0" w14:textId="77777777" w:rsidTr="00472150">
        <w:tc>
          <w:tcPr>
            <w:tcW w:w="1130" w:type="dxa"/>
            <w:tcBorders>
              <w:top w:val="nil"/>
              <w:bottom w:val="single" w:sz="4" w:space="0" w:color="auto"/>
              <w:right w:val="single" w:sz="4" w:space="0" w:color="auto"/>
            </w:tcBorders>
            <w:shd w:val="clear" w:color="auto" w:fill="F2F2F2" w:themeFill="background1" w:themeFillShade="F2"/>
            <w:vAlign w:val="bottom"/>
          </w:tcPr>
          <w:p w14:paraId="1D0F496F" w14:textId="77777777" w:rsidR="00620174" w:rsidRPr="00620174" w:rsidRDefault="00620174" w:rsidP="00620174">
            <w:pPr>
              <w:snapToGrid w:val="0"/>
              <w:spacing w:line="240" w:lineRule="auto"/>
              <w:jc w:val="center"/>
              <w:rPr>
                <w:sz w:val="20"/>
                <w:szCs w:val="20"/>
              </w:rPr>
            </w:pPr>
          </w:p>
        </w:tc>
        <w:tc>
          <w:tcPr>
            <w:tcW w:w="1835" w:type="dxa"/>
            <w:tcBorders>
              <w:top w:val="nil"/>
              <w:left w:val="single" w:sz="4" w:space="0" w:color="auto"/>
              <w:bottom w:val="single" w:sz="4" w:space="0" w:color="auto"/>
              <w:right w:val="single" w:sz="4" w:space="0" w:color="auto"/>
            </w:tcBorders>
            <w:vAlign w:val="bottom"/>
          </w:tcPr>
          <w:p w14:paraId="6E80EAE8"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9.08x10</w:t>
            </w:r>
            <w:r w:rsidRPr="00620174">
              <w:rPr>
                <w:color w:val="000000"/>
                <w:position w:val="6"/>
                <w:sz w:val="20"/>
                <w:szCs w:val="20"/>
                <w:vertAlign w:val="superscript"/>
              </w:rPr>
              <w:t>-5</w:t>
            </w:r>
          </w:p>
        </w:tc>
        <w:tc>
          <w:tcPr>
            <w:tcW w:w="1720" w:type="dxa"/>
            <w:tcBorders>
              <w:top w:val="nil"/>
              <w:left w:val="single" w:sz="4" w:space="0" w:color="auto"/>
              <w:bottom w:val="single" w:sz="4" w:space="0" w:color="auto"/>
              <w:right w:val="single" w:sz="4" w:space="0" w:color="auto"/>
            </w:tcBorders>
            <w:shd w:val="clear" w:color="auto" w:fill="auto"/>
            <w:vAlign w:val="bottom"/>
          </w:tcPr>
          <w:p w14:paraId="62C0C056"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1.13x10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shd w:val="clear" w:color="auto" w:fill="auto"/>
            <w:vAlign w:val="bottom"/>
          </w:tcPr>
          <w:p w14:paraId="179F9F67"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2.73x10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right w:val="single" w:sz="4" w:space="0" w:color="auto"/>
            </w:tcBorders>
            <w:shd w:val="clear" w:color="auto" w:fill="auto"/>
            <w:vAlign w:val="bottom"/>
          </w:tcPr>
          <w:p w14:paraId="61B2E511"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2.73x10</w:t>
            </w:r>
            <w:r w:rsidRPr="00620174">
              <w:rPr>
                <w:color w:val="000000"/>
                <w:position w:val="6"/>
                <w:sz w:val="20"/>
                <w:szCs w:val="20"/>
                <w:vertAlign w:val="superscript"/>
              </w:rPr>
              <w:t>-3</w:t>
            </w:r>
          </w:p>
        </w:tc>
        <w:tc>
          <w:tcPr>
            <w:tcW w:w="1720" w:type="dxa"/>
            <w:tcBorders>
              <w:top w:val="nil"/>
              <w:left w:val="single" w:sz="4" w:space="0" w:color="auto"/>
              <w:bottom w:val="single" w:sz="4" w:space="0" w:color="auto"/>
            </w:tcBorders>
            <w:shd w:val="clear" w:color="auto" w:fill="auto"/>
            <w:vAlign w:val="bottom"/>
          </w:tcPr>
          <w:p w14:paraId="270AB54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9.77x10</w:t>
            </w:r>
            <w:r w:rsidRPr="00620174">
              <w:rPr>
                <w:color w:val="000000"/>
                <w:position w:val="6"/>
                <w:sz w:val="20"/>
                <w:szCs w:val="20"/>
                <w:vertAlign w:val="superscript"/>
              </w:rPr>
              <w:t>-4</w:t>
            </w:r>
          </w:p>
        </w:tc>
      </w:tr>
      <w:tr w:rsidR="00620174" w:rsidRPr="00620174" w14:paraId="36AA9832" w14:textId="77777777" w:rsidTr="00472150">
        <w:tc>
          <w:tcPr>
            <w:tcW w:w="1130" w:type="dxa"/>
            <w:tcBorders>
              <w:top w:val="single" w:sz="4" w:space="0" w:color="auto"/>
              <w:right w:val="single" w:sz="4" w:space="0" w:color="auto"/>
            </w:tcBorders>
            <w:shd w:val="clear" w:color="auto" w:fill="F2F2F2" w:themeFill="background1" w:themeFillShade="F2"/>
            <w:vAlign w:val="bottom"/>
          </w:tcPr>
          <w:p w14:paraId="15BE2ED8" w14:textId="77777777" w:rsidR="00620174" w:rsidRPr="00620174" w:rsidRDefault="00620174" w:rsidP="00620174">
            <w:pPr>
              <w:snapToGrid w:val="0"/>
              <w:spacing w:before="60" w:line="240" w:lineRule="auto"/>
              <w:jc w:val="center"/>
              <w:rPr>
                <w:sz w:val="20"/>
                <w:szCs w:val="20"/>
              </w:rPr>
            </w:pPr>
            <w:proofErr w:type="spellStart"/>
            <w:r w:rsidRPr="00620174">
              <w:rPr>
                <w:sz w:val="20"/>
                <w:szCs w:val="20"/>
              </w:rPr>
              <w:t>RVSVi</w:t>
            </w:r>
            <w:proofErr w:type="spellEnd"/>
          </w:p>
        </w:tc>
        <w:tc>
          <w:tcPr>
            <w:tcW w:w="1835" w:type="dxa"/>
            <w:tcBorders>
              <w:top w:val="single" w:sz="4" w:space="0" w:color="auto"/>
              <w:left w:val="single" w:sz="4" w:space="0" w:color="auto"/>
              <w:right w:val="single" w:sz="4" w:space="0" w:color="auto"/>
            </w:tcBorders>
            <w:vAlign w:val="bottom"/>
          </w:tcPr>
          <w:p w14:paraId="3C17E09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0.063*</w:t>
            </w:r>
          </w:p>
        </w:tc>
        <w:tc>
          <w:tcPr>
            <w:tcW w:w="1720" w:type="dxa"/>
            <w:tcBorders>
              <w:top w:val="single" w:sz="4" w:space="0" w:color="auto"/>
              <w:left w:val="single" w:sz="4" w:space="0" w:color="auto"/>
              <w:right w:val="single" w:sz="4" w:space="0" w:color="auto"/>
            </w:tcBorders>
            <w:vAlign w:val="bottom"/>
          </w:tcPr>
          <w:p w14:paraId="7B10160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0.049*</w:t>
            </w:r>
          </w:p>
        </w:tc>
        <w:tc>
          <w:tcPr>
            <w:tcW w:w="1720" w:type="dxa"/>
            <w:tcBorders>
              <w:top w:val="single" w:sz="4" w:space="0" w:color="auto"/>
              <w:left w:val="single" w:sz="4" w:space="0" w:color="auto"/>
              <w:right w:val="single" w:sz="4" w:space="0" w:color="auto"/>
            </w:tcBorders>
            <w:shd w:val="clear" w:color="auto" w:fill="auto"/>
            <w:vAlign w:val="bottom"/>
          </w:tcPr>
          <w:p w14:paraId="332A49E9"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0.034*</w:t>
            </w:r>
          </w:p>
        </w:tc>
        <w:tc>
          <w:tcPr>
            <w:tcW w:w="1720" w:type="dxa"/>
            <w:tcBorders>
              <w:top w:val="single" w:sz="4" w:space="0" w:color="auto"/>
              <w:left w:val="single" w:sz="4" w:space="0" w:color="auto"/>
              <w:right w:val="single" w:sz="4" w:space="0" w:color="auto"/>
            </w:tcBorders>
            <w:shd w:val="clear" w:color="auto" w:fill="auto"/>
            <w:vAlign w:val="bottom"/>
          </w:tcPr>
          <w:p w14:paraId="7862462F"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0.031*</w:t>
            </w:r>
          </w:p>
        </w:tc>
        <w:tc>
          <w:tcPr>
            <w:tcW w:w="1720" w:type="dxa"/>
            <w:tcBorders>
              <w:top w:val="single" w:sz="4" w:space="0" w:color="auto"/>
              <w:left w:val="single" w:sz="4" w:space="0" w:color="auto"/>
            </w:tcBorders>
            <w:shd w:val="clear" w:color="auto" w:fill="auto"/>
            <w:vAlign w:val="bottom"/>
          </w:tcPr>
          <w:p w14:paraId="6D2B7168" w14:textId="77777777" w:rsidR="00620174" w:rsidRPr="00620174" w:rsidRDefault="00620174" w:rsidP="00620174">
            <w:pPr>
              <w:snapToGrid w:val="0"/>
              <w:spacing w:before="60" w:line="240" w:lineRule="auto"/>
              <w:jc w:val="center"/>
              <w:rPr>
                <w:color w:val="000000"/>
                <w:position w:val="6"/>
                <w:sz w:val="20"/>
                <w:szCs w:val="20"/>
              </w:rPr>
            </w:pPr>
            <w:r w:rsidRPr="00620174">
              <w:rPr>
                <w:color w:val="000000"/>
                <w:position w:val="6"/>
                <w:sz w:val="20"/>
                <w:szCs w:val="20"/>
              </w:rPr>
              <w:t>0.037*</w:t>
            </w:r>
          </w:p>
        </w:tc>
      </w:tr>
      <w:tr w:rsidR="00620174" w:rsidRPr="00620174" w14:paraId="1A7ECB4F" w14:textId="77777777" w:rsidTr="00472150">
        <w:tc>
          <w:tcPr>
            <w:tcW w:w="1130" w:type="dxa"/>
            <w:tcBorders>
              <w:right w:val="single" w:sz="4" w:space="0" w:color="auto"/>
            </w:tcBorders>
            <w:shd w:val="clear" w:color="auto" w:fill="F2F2F2" w:themeFill="background1" w:themeFillShade="F2"/>
            <w:vAlign w:val="center"/>
          </w:tcPr>
          <w:p w14:paraId="499D81EB" w14:textId="77777777" w:rsidR="00620174" w:rsidRPr="00620174" w:rsidRDefault="00620174" w:rsidP="00620174">
            <w:pPr>
              <w:snapToGrid w:val="0"/>
              <w:spacing w:line="240" w:lineRule="auto"/>
              <w:jc w:val="center"/>
              <w:rPr>
                <w:sz w:val="20"/>
                <w:szCs w:val="20"/>
              </w:rPr>
            </w:pPr>
            <w:r w:rsidRPr="00620174">
              <w:rPr>
                <w:b/>
                <w:bCs/>
                <w:sz w:val="20"/>
                <w:szCs w:val="20"/>
              </w:rPr>
              <w:t xml:space="preserve"> </w:t>
            </w:r>
          </w:p>
        </w:tc>
        <w:tc>
          <w:tcPr>
            <w:tcW w:w="1835" w:type="dxa"/>
            <w:tcBorders>
              <w:left w:val="single" w:sz="4" w:space="0" w:color="auto"/>
              <w:right w:val="single" w:sz="4" w:space="0" w:color="auto"/>
            </w:tcBorders>
            <w:vAlign w:val="bottom"/>
          </w:tcPr>
          <w:p w14:paraId="3A8DE059"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[0.046, 0.079]</w:t>
            </w:r>
          </w:p>
        </w:tc>
        <w:tc>
          <w:tcPr>
            <w:tcW w:w="1720" w:type="dxa"/>
            <w:tcBorders>
              <w:left w:val="single" w:sz="4" w:space="0" w:color="auto"/>
              <w:right w:val="single" w:sz="4" w:space="0" w:color="auto"/>
            </w:tcBorders>
            <w:vAlign w:val="bottom"/>
          </w:tcPr>
          <w:p w14:paraId="6FE49736"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[0.033, 0.066]</w:t>
            </w:r>
          </w:p>
        </w:tc>
        <w:tc>
          <w:tcPr>
            <w:tcW w:w="1720" w:type="dxa"/>
            <w:tcBorders>
              <w:left w:val="single" w:sz="4" w:space="0" w:color="auto"/>
              <w:right w:val="single" w:sz="4" w:space="0" w:color="auto"/>
            </w:tcBorders>
            <w:shd w:val="clear" w:color="auto" w:fill="auto"/>
            <w:vAlign w:val="bottom"/>
          </w:tcPr>
          <w:p w14:paraId="2F89ED80"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[0.018, 0.050]</w:t>
            </w:r>
          </w:p>
        </w:tc>
        <w:tc>
          <w:tcPr>
            <w:tcW w:w="1720" w:type="dxa"/>
            <w:tcBorders>
              <w:left w:val="single" w:sz="4" w:space="0" w:color="auto"/>
              <w:right w:val="single" w:sz="4" w:space="0" w:color="auto"/>
            </w:tcBorders>
            <w:shd w:val="clear" w:color="auto" w:fill="auto"/>
            <w:vAlign w:val="bottom"/>
          </w:tcPr>
          <w:p w14:paraId="59691D24"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[0.015, 0.047]</w:t>
            </w:r>
          </w:p>
        </w:tc>
        <w:tc>
          <w:tcPr>
            <w:tcW w:w="1720" w:type="dxa"/>
            <w:tcBorders>
              <w:left w:val="single" w:sz="4" w:space="0" w:color="auto"/>
            </w:tcBorders>
            <w:shd w:val="clear" w:color="auto" w:fill="auto"/>
            <w:vAlign w:val="bottom"/>
          </w:tcPr>
          <w:p w14:paraId="308FDF85" w14:textId="77777777" w:rsidR="00620174" w:rsidRPr="00620174" w:rsidRDefault="00620174" w:rsidP="00620174">
            <w:pPr>
              <w:snapToGrid w:val="0"/>
              <w:spacing w:line="240" w:lineRule="auto"/>
              <w:jc w:val="center"/>
              <w:rPr>
                <w:color w:val="000000"/>
                <w:position w:val="6"/>
                <w:sz w:val="20"/>
                <w:szCs w:val="20"/>
              </w:rPr>
            </w:pPr>
            <w:r w:rsidRPr="00620174">
              <w:rPr>
                <w:color w:val="000000"/>
                <w:position w:val="6"/>
                <w:sz w:val="20"/>
                <w:szCs w:val="20"/>
              </w:rPr>
              <w:t>[0.021, 0.053]</w:t>
            </w:r>
          </w:p>
        </w:tc>
      </w:tr>
      <w:tr w:rsidR="00620174" w:rsidRPr="00620174" w14:paraId="3FC029F0" w14:textId="77777777" w:rsidTr="00472150">
        <w:tc>
          <w:tcPr>
            <w:tcW w:w="1130" w:type="dxa"/>
            <w:tcBorders>
              <w:bottom w:val="single" w:sz="4" w:space="0" w:color="auto"/>
              <w:right w:val="single" w:sz="4" w:space="0" w:color="auto"/>
            </w:tcBorders>
            <w:shd w:val="clear" w:color="auto" w:fill="F2F2F2" w:themeFill="background1" w:themeFillShade="F2"/>
            <w:vAlign w:val="bottom"/>
          </w:tcPr>
          <w:p w14:paraId="0D4A4EF3" w14:textId="77777777" w:rsidR="00620174" w:rsidRPr="00620174" w:rsidRDefault="00620174" w:rsidP="00620174">
            <w:pPr>
              <w:snapToGrid w:val="0"/>
              <w:spacing w:line="240" w:lineRule="auto"/>
              <w:jc w:val="center"/>
              <w:rPr>
                <w:sz w:val="20"/>
                <w:szCs w:val="20"/>
              </w:rPr>
            </w:pPr>
            <w:r w:rsidRPr="00620174">
              <w:rPr>
                <w:sz w:val="20"/>
                <w:szCs w:val="20"/>
              </w:rPr>
              <w:t xml:space="preserve"> </w:t>
            </w:r>
          </w:p>
        </w:tc>
        <w:tc>
          <w:tcPr>
            <w:tcW w:w="1835" w:type="dxa"/>
            <w:tcBorders>
              <w:left w:val="single" w:sz="4" w:space="0" w:color="auto"/>
              <w:right w:val="single" w:sz="4" w:space="0" w:color="auto"/>
            </w:tcBorders>
            <w:vAlign w:val="bottom"/>
          </w:tcPr>
          <w:p w14:paraId="76C36B0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6.56x10</w:t>
            </w:r>
            <w:r w:rsidRPr="00620174">
              <w:rPr>
                <w:color w:val="000000"/>
                <w:position w:val="6"/>
                <w:sz w:val="20"/>
                <w:szCs w:val="20"/>
                <w:vertAlign w:val="superscript"/>
              </w:rPr>
              <w:t>-13</w:t>
            </w:r>
          </w:p>
        </w:tc>
        <w:tc>
          <w:tcPr>
            <w:tcW w:w="1720" w:type="dxa"/>
            <w:tcBorders>
              <w:left w:val="single" w:sz="4" w:space="0" w:color="auto"/>
              <w:bottom w:val="single" w:sz="4" w:space="0" w:color="auto"/>
              <w:right w:val="single" w:sz="4" w:space="0" w:color="auto"/>
            </w:tcBorders>
            <w:vAlign w:val="bottom"/>
          </w:tcPr>
          <w:p w14:paraId="41EF13CA"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2.66x10</w:t>
            </w:r>
            <w:r w:rsidRPr="00620174">
              <w:rPr>
                <w:color w:val="000000"/>
                <w:position w:val="6"/>
                <w:sz w:val="20"/>
                <w:szCs w:val="20"/>
                <w:vertAlign w:val="superscript"/>
              </w:rPr>
              <w:t>-8</w:t>
            </w:r>
          </w:p>
        </w:tc>
        <w:tc>
          <w:tcPr>
            <w:tcW w:w="1720" w:type="dxa"/>
            <w:tcBorders>
              <w:left w:val="single" w:sz="4" w:space="0" w:color="auto"/>
              <w:right w:val="single" w:sz="4" w:space="0" w:color="auto"/>
            </w:tcBorders>
            <w:shd w:val="clear" w:color="auto" w:fill="auto"/>
            <w:vAlign w:val="bottom"/>
          </w:tcPr>
          <w:p w14:paraId="0BD6F13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7.02x10</w:t>
            </w:r>
            <w:r w:rsidRPr="00620174">
              <w:rPr>
                <w:color w:val="000000"/>
                <w:position w:val="6"/>
                <w:sz w:val="20"/>
                <w:szCs w:val="20"/>
                <w:vertAlign w:val="superscript"/>
              </w:rPr>
              <w:t>-5</w:t>
            </w:r>
          </w:p>
        </w:tc>
        <w:tc>
          <w:tcPr>
            <w:tcW w:w="1720" w:type="dxa"/>
            <w:tcBorders>
              <w:left w:val="single" w:sz="4" w:space="0" w:color="auto"/>
              <w:bottom w:val="single" w:sz="4" w:space="0" w:color="auto"/>
              <w:right w:val="single" w:sz="4" w:space="0" w:color="auto"/>
            </w:tcBorders>
            <w:shd w:val="clear" w:color="auto" w:fill="auto"/>
            <w:vAlign w:val="bottom"/>
          </w:tcPr>
          <w:p w14:paraId="4FF1AE97"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3.18x10</w:t>
            </w:r>
            <w:r w:rsidRPr="00620174">
              <w:rPr>
                <w:color w:val="000000"/>
                <w:position w:val="6"/>
                <w:sz w:val="20"/>
                <w:szCs w:val="20"/>
                <w:vertAlign w:val="superscript"/>
              </w:rPr>
              <w:t>-4</w:t>
            </w:r>
          </w:p>
        </w:tc>
        <w:tc>
          <w:tcPr>
            <w:tcW w:w="1720" w:type="dxa"/>
            <w:tcBorders>
              <w:left w:val="single" w:sz="4" w:space="0" w:color="auto"/>
            </w:tcBorders>
            <w:shd w:val="clear" w:color="auto" w:fill="auto"/>
            <w:vAlign w:val="bottom"/>
          </w:tcPr>
          <w:p w14:paraId="05C3B33F" w14:textId="77777777" w:rsidR="00620174" w:rsidRPr="00620174" w:rsidRDefault="00620174" w:rsidP="00620174">
            <w:pPr>
              <w:snapToGrid w:val="0"/>
              <w:spacing w:after="60" w:line="240" w:lineRule="auto"/>
              <w:jc w:val="center"/>
              <w:rPr>
                <w:color w:val="000000"/>
                <w:position w:val="6"/>
                <w:sz w:val="20"/>
                <w:szCs w:val="20"/>
              </w:rPr>
            </w:pPr>
            <w:r w:rsidRPr="00620174">
              <w:rPr>
                <w:color w:val="000000"/>
                <w:position w:val="6"/>
                <w:sz w:val="20"/>
                <w:szCs w:val="20"/>
              </w:rPr>
              <w:t>2.21x10</w:t>
            </w:r>
            <w:r w:rsidRPr="00620174">
              <w:rPr>
                <w:color w:val="000000"/>
                <w:position w:val="6"/>
                <w:sz w:val="20"/>
                <w:szCs w:val="20"/>
                <w:vertAlign w:val="superscript"/>
              </w:rPr>
              <w:t>-5</w:t>
            </w:r>
          </w:p>
        </w:tc>
      </w:tr>
    </w:tbl>
    <w:p w14:paraId="4A15C2EA" w14:textId="77777777" w:rsidR="00620174" w:rsidRPr="00EC617E" w:rsidRDefault="00620174" w:rsidP="00620174">
      <w:pPr>
        <w:spacing w:line="240" w:lineRule="auto"/>
      </w:pPr>
      <w:r w:rsidRPr="00EC617E">
        <w:rPr>
          <w:b/>
          <w:bCs/>
        </w:rPr>
        <w:t xml:space="preserve">Supplementary Table </w:t>
      </w:r>
      <w:r>
        <w:rPr>
          <w:b/>
          <w:bCs/>
        </w:rPr>
        <w:t>3</w:t>
      </w:r>
      <w:r w:rsidRPr="00EC617E">
        <w:rPr>
          <w:b/>
          <w:bCs/>
        </w:rPr>
        <w:t xml:space="preserve"> </w:t>
      </w:r>
      <w:r>
        <w:rPr>
          <w:b/>
          <w:bCs/>
        </w:rPr>
        <w:t>footnote</w:t>
      </w:r>
      <w:r w:rsidRPr="00EC617E">
        <w:rPr>
          <w:b/>
          <w:bCs/>
        </w:rPr>
        <w:t>.</w:t>
      </w:r>
      <w:r w:rsidRPr="00EC617E">
        <w:t xml:space="preserve"> Results are standardised beta coefficients with 95% confidence interval and p-value</w:t>
      </w:r>
      <w:r>
        <w:t xml:space="preserve"> adjusted for multiple testing</w:t>
      </w:r>
      <w:r w:rsidRPr="00EC617E">
        <w:t xml:space="preserve">. Each cell represents results from an individual linear regression model. </w:t>
      </w:r>
      <w:r w:rsidRPr="00AA1BCA">
        <w:t xml:space="preserve">Model </w:t>
      </w:r>
      <w:r>
        <w:t>1</w:t>
      </w:r>
      <w:r w:rsidRPr="00AA1BCA">
        <w:t xml:space="preserve">: age, sex. Model </w:t>
      </w:r>
      <w:r>
        <w:t>2</w:t>
      </w:r>
      <w:r w:rsidRPr="00AA1BCA">
        <w:t xml:space="preserve">: age, sex, education, deprivation. Model </w:t>
      </w:r>
      <w:r>
        <w:t>3</w:t>
      </w:r>
      <w:r w:rsidRPr="00AA1BCA">
        <w:t xml:space="preserve">: age, sex, education, deprivation, diabetes, hypertension, hypercholesterolaemia, prior myocardial infarction. Model </w:t>
      </w:r>
      <w:r>
        <w:t>4</w:t>
      </w:r>
      <w:r w:rsidRPr="00AA1BCA">
        <w:t>: age, sex, education, deprivation, diabetes, hypertension, hypercholesterolaemia, prior myocardial infarction, smoking, alcohol, exercise</w:t>
      </w:r>
      <w:r w:rsidRPr="00EC617E">
        <w:t xml:space="preserve">. </w:t>
      </w:r>
      <w:proofErr w:type="spellStart"/>
      <w:r w:rsidRPr="00EC617E">
        <w:t>LVEDVi</w:t>
      </w:r>
      <w:proofErr w:type="spellEnd"/>
      <w:r w:rsidRPr="00EC617E">
        <w:t xml:space="preserve">: left ventricular end-diastolic volume; LVEF: left ventricular ejection fraction; </w:t>
      </w:r>
      <w:proofErr w:type="spellStart"/>
      <w:r w:rsidRPr="00EC617E">
        <w:t>LVESVi</w:t>
      </w:r>
      <w:proofErr w:type="spellEnd"/>
      <w:r w:rsidRPr="00EC617E">
        <w:t xml:space="preserve">: left ventricular end-systolic volume; </w:t>
      </w:r>
      <w:proofErr w:type="spellStart"/>
      <w:r w:rsidRPr="00EC617E">
        <w:t>RVEDVi</w:t>
      </w:r>
      <w:proofErr w:type="spellEnd"/>
      <w:r w:rsidRPr="00EC617E">
        <w:t xml:space="preserve">: right ventricular end-diastolic volume; RVEF: right ventricular ejection fraction; </w:t>
      </w:r>
      <w:proofErr w:type="spellStart"/>
      <w:r w:rsidRPr="00EC617E">
        <w:t>RVESVi</w:t>
      </w:r>
      <w:proofErr w:type="spellEnd"/>
      <w:r w:rsidRPr="00EC617E">
        <w:t xml:space="preserve">: right ventricular end-systolic volume; </w:t>
      </w:r>
      <w:proofErr w:type="spellStart"/>
      <w:r w:rsidRPr="00EC617E">
        <w:t>LVSVi</w:t>
      </w:r>
      <w:proofErr w:type="spellEnd"/>
      <w:r w:rsidRPr="00EC617E">
        <w:t xml:space="preserve">: left ventricular stroke volume; </w:t>
      </w:r>
      <w:proofErr w:type="spellStart"/>
      <w:r w:rsidRPr="00EC617E">
        <w:t>RVSVi</w:t>
      </w:r>
      <w:proofErr w:type="spellEnd"/>
      <w:r w:rsidRPr="00EC617E">
        <w:t xml:space="preserve">: right ventricular stroke volume. i denotes indexation to body surface area calculated by Du </w:t>
      </w:r>
      <w:proofErr w:type="spellStart"/>
      <w:r w:rsidRPr="00EC617E">
        <w:t>Bois</w:t>
      </w:r>
      <w:proofErr w:type="spellEnd"/>
      <w:r w:rsidRPr="00EC617E">
        <w:t xml:space="preserve"> formula.</w:t>
      </w:r>
    </w:p>
    <w:p w14:paraId="3FE365F9" w14:textId="77777777" w:rsidR="00620174" w:rsidRDefault="00620174" w:rsidP="00620174">
      <w:pPr>
        <w:rPr>
          <w:rStyle w:val="Hyperlink"/>
          <w:color w:val="000000" w:themeColor="text1"/>
          <w:bdr w:val="none" w:sz="0" w:space="0" w:color="auto" w:frame="1"/>
          <w:lang w:val="en"/>
        </w:rPr>
      </w:pPr>
      <w:r>
        <w:rPr>
          <w:rStyle w:val="Hyperlink"/>
          <w:color w:val="000000" w:themeColor="text1"/>
          <w:bdr w:val="none" w:sz="0" w:space="0" w:color="auto" w:frame="1"/>
          <w:lang w:val="en"/>
        </w:rPr>
        <w:br w:type="page"/>
      </w:r>
    </w:p>
    <w:p w14:paraId="11CBC891" w14:textId="77777777" w:rsidR="00620174" w:rsidRPr="000E206D" w:rsidRDefault="00620174" w:rsidP="00620174">
      <w:pPr>
        <w:jc w:val="center"/>
      </w:pPr>
      <w:r w:rsidRPr="000E206D">
        <w:rPr>
          <w:b/>
          <w:bCs/>
        </w:rPr>
        <w:lastRenderedPageBreak/>
        <w:t xml:space="preserve">Supplementary Table 4. </w:t>
      </w:r>
      <w:r w:rsidRPr="000E206D">
        <w:rPr>
          <w:b/>
          <w:bCs/>
          <w:color w:val="201F1E"/>
        </w:rPr>
        <w:t>Interaction effects between CMR and age, and between CMR and sex for fluid intelligence in fully adjusted models*</w:t>
      </w:r>
    </w:p>
    <w:tbl>
      <w:tblPr>
        <w:tblStyle w:val="TableTheme"/>
        <w:tblW w:w="0" w:type="auto"/>
        <w:jc w:val="center"/>
        <w:tblLook w:val="04A0" w:firstRow="1" w:lastRow="0" w:firstColumn="1" w:lastColumn="0" w:noHBand="0" w:noVBand="1"/>
      </w:tblPr>
      <w:tblGrid>
        <w:gridCol w:w="1774"/>
        <w:gridCol w:w="1836"/>
        <w:gridCol w:w="1824"/>
      </w:tblGrid>
      <w:tr w:rsidR="00620174" w:rsidRPr="00AB252D" w14:paraId="636B997E" w14:textId="77777777" w:rsidTr="00472150">
        <w:trPr>
          <w:trHeight w:val="300"/>
          <w:jc w:val="center"/>
        </w:trPr>
        <w:tc>
          <w:tcPr>
            <w:tcW w:w="0" w:type="auto"/>
            <w:tcBorders>
              <w:bottom w:val="single" w:sz="4" w:space="0" w:color="auto"/>
            </w:tcBorders>
            <w:noWrap/>
            <w:hideMark/>
          </w:tcPr>
          <w:p w14:paraId="51DA249D" w14:textId="77777777" w:rsidR="00620174" w:rsidRPr="00AB252D" w:rsidRDefault="00620174" w:rsidP="00472150">
            <w:pPr>
              <w:spacing w:line="360" w:lineRule="auto"/>
              <w:jc w:val="center"/>
              <w:rPr>
                <w:b/>
                <w:bCs/>
                <w:color w:val="000000"/>
              </w:rPr>
            </w:pPr>
            <w:r w:rsidRPr="00AB252D">
              <w:rPr>
                <w:b/>
                <w:color w:val="000000"/>
              </w:rPr>
              <w:t>Interaction term</w:t>
            </w:r>
          </w:p>
        </w:tc>
        <w:tc>
          <w:tcPr>
            <w:tcW w:w="0" w:type="auto"/>
            <w:noWrap/>
            <w:hideMark/>
          </w:tcPr>
          <w:p w14:paraId="38BB6EE1" w14:textId="77777777" w:rsidR="00620174" w:rsidRPr="00AB252D" w:rsidRDefault="00620174" w:rsidP="00472150">
            <w:pPr>
              <w:spacing w:line="360" w:lineRule="auto"/>
              <w:jc w:val="center"/>
              <w:rPr>
                <w:b/>
                <w:bCs/>
                <w:color w:val="000000"/>
              </w:rPr>
            </w:pPr>
            <w:r w:rsidRPr="00AB252D">
              <w:rPr>
                <w:b/>
                <w:bCs/>
                <w:color w:val="000000"/>
              </w:rPr>
              <w:t>CMR component</w:t>
            </w:r>
          </w:p>
        </w:tc>
        <w:tc>
          <w:tcPr>
            <w:tcW w:w="0" w:type="auto"/>
            <w:noWrap/>
            <w:hideMark/>
          </w:tcPr>
          <w:p w14:paraId="09999166" w14:textId="77777777" w:rsidR="00620174" w:rsidRPr="00AB252D" w:rsidRDefault="00620174" w:rsidP="00472150">
            <w:pPr>
              <w:spacing w:line="360" w:lineRule="auto"/>
              <w:jc w:val="center"/>
              <w:rPr>
                <w:b/>
                <w:bCs/>
                <w:color w:val="000000"/>
              </w:rPr>
            </w:pPr>
            <w:r w:rsidRPr="00AB252D">
              <w:rPr>
                <w:b/>
                <w:bCs/>
                <w:color w:val="000000"/>
              </w:rPr>
              <w:t>Adj</w:t>
            </w:r>
            <w:r>
              <w:rPr>
                <w:b/>
                <w:bCs/>
                <w:color w:val="000000"/>
              </w:rPr>
              <w:t>usted</w:t>
            </w:r>
            <w:r w:rsidRPr="00AB252D">
              <w:rPr>
                <w:b/>
                <w:bCs/>
                <w:color w:val="000000"/>
              </w:rPr>
              <w:t xml:space="preserve"> p-value</w:t>
            </w:r>
          </w:p>
        </w:tc>
      </w:tr>
      <w:tr w:rsidR="00620174" w:rsidRPr="00AB252D" w14:paraId="46FB65C4" w14:textId="77777777" w:rsidTr="00472150">
        <w:trPr>
          <w:trHeight w:val="300"/>
          <w:jc w:val="center"/>
        </w:trPr>
        <w:tc>
          <w:tcPr>
            <w:tcW w:w="0" w:type="auto"/>
            <w:tcBorders>
              <w:top w:val="single" w:sz="4" w:space="0" w:color="auto"/>
              <w:left w:val="single" w:sz="4" w:space="0" w:color="auto"/>
              <w:bottom w:val="nil"/>
              <w:right w:val="single" w:sz="4" w:space="0" w:color="auto"/>
            </w:tcBorders>
            <w:noWrap/>
            <w:hideMark/>
          </w:tcPr>
          <w:p w14:paraId="31EC73C1" w14:textId="77777777" w:rsidR="00620174" w:rsidRPr="00AB252D" w:rsidRDefault="00620174" w:rsidP="00472150">
            <w:pPr>
              <w:spacing w:line="360" w:lineRule="auto"/>
              <w:rPr>
                <w:color w:val="000000"/>
              </w:rPr>
            </w:pPr>
            <w:r w:rsidRPr="00AB252D">
              <w:rPr>
                <w:color w:val="000000"/>
              </w:rPr>
              <w:t>CMR with age</w:t>
            </w:r>
          </w:p>
        </w:tc>
        <w:tc>
          <w:tcPr>
            <w:tcW w:w="0" w:type="auto"/>
            <w:tcBorders>
              <w:left w:val="single" w:sz="4" w:space="0" w:color="auto"/>
            </w:tcBorders>
            <w:noWrap/>
            <w:hideMark/>
          </w:tcPr>
          <w:p w14:paraId="57218C0D" w14:textId="77777777" w:rsidR="00620174" w:rsidRPr="00AB252D" w:rsidRDefault="00620174" w:rsidP="00472150">
            <w:pPr>
              <w:spacing w:line="360" w:lineRule="auto"/>
              <w:rPr>
                <w:color w:val="000000"/>
              </w:rPr>
            </w:pPr>
            <w:proofErr w:type="spellStart"/>
            <w:r w:rsidRPr="00AB252D">
              <w:rPr>
                <w:color w:val="000000"/>
              </w:rPr>
              <w:t>LVEDVi</w:t>
            </w:r>
            <w:proofErr w:type="spellEnd"/>
            <w:r w:rsidRPr="00AB252D">
              <w:rPr>
                <w:color w:val="000000"/>
              </w:rPr>
              <w:t xml:space="preserve"> (ml/m2)</w:t>
            </w:r>
          </w:p>
        </w:tc>
        <w:tc>
          <w:tcPr>
            <w:tcW w:w="0" w:type="auto"/>
            <w:noWrap/>
            <w:hideMark/>
          </w:tcPr>
          <w:p w14:paraId="3D06BFDD" w14:textId="77777777" w:rsidR="00620174" w:rsidRPr="00AB252D" w:rsidRDefault="00620174" w:rsidP="00472150">
            <w:pPr>
              <w:spacing w:line="360" w:lineRule="auto"/>
              <w:jc w:val="center"/>
              <w:rPr>
                <w:color w:val="000000"/>
              </w:rPr>
            </w:pPr>
            <w:r w:rsidRPr="00AB252D">
              <w:rPr>
                <w:color w:val="000000"/>
              </w:rPr>
              <w:t>0.9474</w:t>
            </w:r>
          </w:p>
        </w:tc>
      </w:tr>
      <w:tr w:rsidR="00620174" w:rsidRPr="00AB252D" w14:paraId="566B0A5E" w14:textId="77777777" w:rsidTr="00472150">
        <w:trPr>
          <w:trHeight w:val="300"/>
          <w:jc w:val="center"/>
        </w:trPr>
        <w:tc>
          <w:tcPr>
            <w:tcW w:w="0" w:type="auto"/>
            <w:tcBorders>
              <w:top w:val="nil"/>
              <w:left w:val="single" w:sz="4" w:space="0" w:color="auto"/>
              <w:bottom w:val="nil"/>
              <w:right w:val="single" w:sz="4" w:space="0" w:color="auto"/>
            </w:tcBorders>
            <w:noWrap/>
            <w:hideMark/>
          </w:tcPr>
          <w:p w14:paraId="357BD9EF"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6B647578" w14:textId="77777777" w:rsidR="00620174" w:rsidRPr="00AB252D" w:rsidRDefault="00620174" w:rsidP="00472150">
            <w:pPr>
              <w:spacing w:line="360" w:lineRule="auto"/>
              <w:rPr>
                <w:color w:val="000000"/>
              </w:rPr>
            </w:pPr>
            <w:proofErr w:type="spellStart"/>
            <w:r w:rsidRPr="00AB252D">
              <w:rPr>
                <w:color w:val="000000"/>
              </w:rPr>
              <w:t>LVESVi</w:t>
            </w:r>
            <w:proofErr w:type="spellEnd"/>
            <w:r w:rsidRPr="00AB252D">
              <w:rPr>
                <w:color w:val="000000"/>
              </w:rPr>
              <w:t xml:space="preserve"> (ml/m2)</w:t>
            </w:r>
          </w:p>
        </w:tc>
        <w:tc>
          <w:tcPr>
            <w:tcW w:w="0" w:type="auto"/>
            <w:noWrap/>
            <w:hideMark/>
          </w:tcPr>
          <w:p w14:paraId="07FB8006" w14:textId="77777777" w:rsidR="00620174" w:rsidRPr="00AB252D" w:rsidRDefault="00620174" w:rsidP="00472150">
            <w:pPr>
              <w:spacing w:line="360" w:lineRule="auto"/>
              <w:jc w:val="center"/>
              <w:rPr>
                <w:color w:val="000000"/>
              </w:rPr>
            </w:pPr>
            <w:r w:rsidRPr="00AB252D">
              <w:rPr>
                <w:color w:val="000000"/>
              </w:rPr>
              <w:t>0.8514</w:t>
            </w:r>
          </w:p>
        </w:tc>
      </w:tr>
      <w:tr w:rsidR="00620174" w:rsidRPr="00AB252D" w14:paraId="45EB3994" w14:textId="77777777" w:rsidTr="00472150">
        <w:trPr>
          <w:trHeight w:val="300"/>
          <w:jc w:val="center"/>
        </w:trPr>
        <w:tc>
          <w:tcPr>
            <w:tcW w:w="0" w:type="auto"/>
            <w:tcBorders>
              <w:top w:val="nil"/>
              <w:left w:val="single" w:sz="4" w:space="0" w:color="auto"/>
              <w:bottom w:val="nil"/>
              <w:right w:val="single" w:sz="4" w:space="0" w:color="auto"/>
            </w:tcBorders>
            <w:noWrap/>
            <w:hideMark/>
          </w:tcPr>
          <w:p w14:paraId="6379AE15"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4E185816" w14:textId="77777777" w:rsidR="00620174" w:rsidRPr="00AB252D" w:rsidRDefault="00620174" w:rsidP="00472150">
            <w:pPr>
              <w:spacing w:line="360" w:lineRule="auto"/>
              <w:rPr>
                <w:color w:val="000000"/>
              </w:rPr>
            </w:pPr>
            <w:r w:rsidRPr="00AB252D">
              <w:rPr>
                <w:color w:val="000000"/>
              </w:rPr>
              <w:t>LVEF (%)</w:t>
            </w:r>
          </w:p>
        </w:tc>
        <w:tc>
          <w:tcPr>
            <w:tcW w:w="0" w:type="auto"/>
            <w:noWrap/>
            <w:hideMark/>
          </w:tcPr>
          <w:p w14:paraId="16F81285" w14:textId="77777777" w:rsidR="00620174" w:rsidRPr="00AB252D" w:rsidRDefault="00620174" w:rsidP="00472150">
            <w:pPr>
              <w:spacing w:line="360" w:lineRule="auto"/>
              <w:jc w:val="center"/>
              <w:rPr>
                <w:color w:val="000000"/>
              </w:rPr>
            </w:pPr>
            <w:r w:rsidRPr="00AB252D">
              <w:rPr>
                <w:color w:val="000000"/>
              </w:rPr>
              <w:t>0.9674</w:t>
            </w:r>
          </w:p>
        </w:tc>
      </w:tr>
      <w:tr w:rsidR="00620174" w:rsidRPr="00AB252D" w14:paraId="7E6F6831" w14:textId="77777777" w:rsidTr="00472150">
        <w:trPr>
          <w:trHeight w:val="300"/>
          <w:jc w:val="center"/>
        </w:trPr>
        <w:tc>
          <w:tcPr>
            <w:tcW w:w="0" w:type="auto"/>
            <w:tcBorders>
              <w:top w:val="nil"/>
              <w:left w:val="single" w:sz="4" w:space="0" w:color="auto"/>
              <w:bottom w:val="nil"/>
              <w:right w:val="single" w:sz="4" w:space="0" w:color="auto"/>
            </w:tcBorders>
            <w:noWrap/>
            <w:hideMark/>
          </w:tcPr>
          <w:p w14:paraId="6C0CC49F" w14:textId="77777777" w:rsidR="00620174" w:rsidRPr="00AB252D" w:rsidRDefault="00620174" w:rsidP="00472150">
            <w:pPr>
              <w:spacing w:line="360" w:lineRule="auto"/>
              <w:rPr>
                <w:color w:val="000000"/>
              </w:rPr>
            </w:pPr>
          </w:p>
        </w:tc>
        <w:tc>
          <w:tcPr>
            <w:tcW w:w="0" w:type="auto"/>
            <w:tcBorders>
              <w:left w:val="single" w:sz="4" w:space="0" w:color="auto"/>
            </w:tcBorders>
            <w:noWrap/>
            <w:hideMark/>
          </w:tcPr>
          <w:p w14:paraId="40DFEA25" w14:textId="77777777" w:rsidR="00620174" w:rsidRPr="00AB252D" w:rsidRDefault="00620174" w:rsidP="00472150">
            <w:pPr>
              <w:spacing w:line="360" w:lineRule="auto"/>
              <w:rPr>
                <w:color w:val="000000"/>
              </w:rPr>
            </w:pPr>
            <w:proofErr w:type="spellStart"/>
            <w:r w:rsidRPr="00AB252D">
              <w:rPr>
                <w:color w:val="000000"/>
              </w:rPr>
              <w:t>LVSVi</w:t>
            </w:r>
            <w:proofErr w:type="spellEnd"/>
            <w:r w:rsidRPr="00AB252D">
              <w:rPr>
                <w:color w:val="000000"/>
              </w:rPr>
              <w:t xml:space="preserve"> (ml/m2)</w:t>
            </w:r>
          </w:p>
        </w:tc>
        <w:tc>
          <w:tcPr>
            <w:tcW w:w="0" w:type="auto"/>
            <w:noWrap/>
            <w:hideMark/>
          </w:tcPr>
          <w:p w14:paraId="692653F2" w14:textId="77777777" w:rsidR="00620174" w:rsidRPr="00AB252D" w:rsidRDefault="00620174" w:rsidP="00472150">
            <w:pPr>
              <w:spacing w:line="360" w:lineRule="auto"/>
              <w:jc w:val="center"/>
              <w:rPr>
                <w:color w:val="000000"/>
              </w:rPr>
            </w:pPr>
            <w:r w:rsidRPr="00AB252D">
              <w:rPr>
                <w:color w:val="000000"/>
              </w:rPr>
              <w:t>0.8890</w:t>
            </w:r>
          </w:p>
        </w:tc>
      </w:tr>
      <w:tr w:rsidR="00620174" w:rsidRPr="00AB252D" w14:paraId="5BE96EB0" w14:textId="77777777" w:rsidTr="00472150">
        <w:trPr>
          <w:trHeight w:val="300"/>
          <w:jc w:val="center"/>
        </w:trPr>
        <w:tc>
          <w:tcPr>
            <w:tcW w:w="0" w:type="auto"/>
            <w:tcBorders>
              <w:top w:val="nil"/>
              <w:left w:val="single" w:sz="4" w:space="0" w:color="auto"/>
              <w:bottom w:val="nil"/>
              <w:right w:val="single" w:sz="4" w:space="0" w:color="auto"/>
            </w:tcBorders>
            <w:noWrap/>
            <w:hideMark/>
          </w:tcPr>
          <w:p w14:paraId="12FD149E" w14:textId="77777777" w:rsidR="00620174" w:rsidRPr="00AB252D" w:rsidRDefault="00620174" w:rsidP="00472150">
            <w:pPr>
              <w:spacing w:line="360" w:lineRule="auto"/>
              <w:rPr>
                <w:color w:val="000000"/>
              </w:rPr>
            </w:pPr>
          </w:p>
        </w:tc>
        <w:tc>
          <w:tcPr>
            <w:tcW w:w="0" w:type="auto"/>
            <w:tcBorders>
              <w:left w:val="single" w:sz="4" w:space="0" w:color="auto"/>
            </w:tcBorders>
            <w:noWrap/>
            <w:hideMark/>
          </w:tcPr>
          <w:p w14:paraId="120CABC5" w14:textId="77777777" w:rsidR="00620174" w:rsidRPr="00AB252D" w:rsidRDefault="00620174" w:rsidP="00472150">
            <w:pPr>
              <w:spacing w:line="360" w:lineRule="auto"/>
              <w:rPr>
                <w:color w:val="000000"/>
              </w:rPr>
            </w:pPr>
            <w:r w:rsidRPr="00AB252D">
              <w:rPr>
                <w:color w:val="000000"/>
              </w:rPr>
              <w:t>LVMi (g/m2)</w:t>
            </w:r>
          </w:p>
        </w:tc>
        <w:tc>
          <w:tcPr>
            <w:tcW w:w="0" w:type="auto"/>
            <w:noWrap/>
            <w:hideMark/>
          </w:tcPr>
          <w:p w14:paraId="0B266B27" w14:textId="77777777" w:rsidR="00620174" w:rsidRPr="00AB252D" w:rsidRDefault="00620174" w:rsidP="00472150">
            <w:pPr>
              <w:spacing w:line="360" w:lineRule="auto"/>
              <w:jc w:val="center"/>
              <w:rPr>
                <w:color w:val="000000"/>
              </w:rPr>
            </w:pPr>
            <w:r w:rsidRPr="00AB252D">
              <w:rPr>
                <w:color w:val="000000"/>
              </w:rPr>
              <w:t>0.9086</w:t>
            </w:r>
          </w:p>
        </w:tc>
      </w:tr>
      <w:tr w:rsidR="00620174" w:rsidRPr="00AB252D" w14:paraId="18DA3055" w14:textId="77777777" w:rsidTr="00472150">
        <w:trPr>
          <w:trHeight w:val="300"/>
          <w:jc w:val="center"/>
        </w:trPr>
        <w:tc>
          <w:tcPr>
            <w:tcW w:w="0" w:type="auto"/>
            <w:tcBorders>
              <w:top w:val="nil"/>
              <w:left w:val="single" w:sz="4" w:space="0" w:color="auto"/>
              <w:bottom w:val="nil"/>
              <w:right w:val="single" w:sz="4" w:space="0" w:color="auto"/>
            </w:tcBorders>
            <w:noWrap/>
            <w:hideMark/>
          </w:tcPr>
          <w:p w14:paraId="254846A2"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60CA6F85" w14:textId="77777777" w:rsidR="00620174" w:rsidRPr="00AB252D" w:rsidRDefault="00620174" w:rsidP="00472150">
            <w:pPr>
              <w:spacing w:line="360" w:lineRule="auto"/>
              <w:rPr>
                <w:color w:val="000000"/>
              </w:rPr>
            </w:pPr>
            <w:proofErr w:type="spellStart"/>
            <w:r w:rsidRPr="00AB252D">
              <w:rPr>
                <w:color w:val="000000"/>
              </w:rPr>
              <w:t>RVEDVi</w:t>
            </w:r>
            <w:proofErr w:type="spellEnd"/>
            <w:r w:rsidRPr="00AB252D">
              <w:rPr>
                <w:color w:val="000000"/>
              </w:rPr>
              <w:t xml:space="preserve"> (ml/m2)</w:t>
            </w:r>
          </w:p>
        </w:tc>
        <w:tc>
          <w:tcPr>
            <w:tcW w:w="0" w:type="auto"/>
            <w:noWrap/>
            <w:hideMark/>
          </w:tcPr>
          <w:p w14:paraId="512523C5" w14:textId="77777777" w:rsidR="00620174" w:rsidRPr="00AB252D" w:rsidRDefault="00620174" w:rsidP="00472150">
            <w:pPr>
              <w:spacing w:line="360" w:lineRule="auto"/>
              <w:jc w:val="center"/>
              <w:rPr>
                <w:color w:val="000000"/>
              </w:rPr>
            </w:pPr>
            <w:r w:rsidRPr="00AB252D">
              <w:rPr>
                <w:color w:val="000000"/>
              </w:rPr>
              <w:t>0.8812</w:t>
            </w:r>
          </w:p>
        </w:tc>
      </w:tr>
      <w:tr w:rsidR="00620174" w:rsidRPr="00AB252D" w14:paraId="5FC78746" w14:textId="77777777" w:rsidTr="00472150">
        <w:trPr>
          <w:trHeight w:val="300"/>
          <w:jc w:val="center"/>
        </w:trPr>
        <w:tc>
          <w:tcPr>
            <w:tcW w:w="0" w:type="auto"/>
            <w:tcBorders>
              <w:top w:val="nil"/>
              <w:left w:val="single" w:sz="4" w:space="0" w:color="auto"/>
              <w:bottom w:val="nil"/>
              <w:right w:val="single" w:sz="4" w:space="0" w:color="auto"/>
            </w:tcBorders>
            <w:noWrap/>
            <w:hideMark/>
          </w:tcPr>
          <w:p w14:paraId="057CF8B6"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265E0AB4" w14:textId="77777777" w:rsidR="00620174" w:rsidRPr="00AB252D" w:rsidRDefault="00620174" w:rsidP="00472150">
            <w:pPr>
              <w:spacing w:line="360" w:lineRule="auto"/>
              <w:rPr>
                <w:color w:val="000000"/>
              </w:rPr>
            </w:pPr>
            <w:proofErr w:type="spellStart"/>
            <w:r w:rsidRPr="00AB252D">
              <w:rPr>
                <w:color w:val="000000"/>
              </w:rPr>
              <w:t>RVESVi</w:t>
            </w:r>
            <w:proofErr w:type="spellEnd"/>
            <w:r w:rsidRPr="00AB252D">
              <w:rPr>
                <w:color w:val="000000"/>
              </w:rPr>
              <w:t xml:space="preserve"> (ml/m2)</w:t>
            </w:r>
          </w:p>
        </w:tc>
        <w:tc>
          <w:tcPr>
            <w:tcW w:w="0" w:type="auto"/>
            <w:noWrap/>
            <w:hideMark/>
          </w:tcPr>
          <w:p w14:paraId="00CD51CB" w14:textId="77777777" w:rsidR="00620174" w:rsidRPr="00AB252D" w:rsidRDefault="00620174" w:rsidP="00472150">
            <w:pPr>
              <w:spacing w:line="360" w:lineRule="auto"/>
              <w:jc w:val="center"/>
              <w:rPr>
                <w:color w:val="000000"/>
              </w:rPr>
            </w:pPr>
            <w:r w:rsidRPr="00AB252D">
              <w:rPr>
                <w:color w:val="000000"/>
              </w:rPr>
              <w:t>0.8140</w:t>
            </w:r>
          </w:p>
        </w:tc>
      </w:tr>
      <w:tr w:rsidR="00620174" w:rsidRPr="00AB252D" w14:paraId="49E67B27" w14:textId="77777777" w:rsidTr="00472150">
        <w:trPr>
          <w:trHeight w:val="300"/>
          <w:jc w:val="center"/>
        </w:trPr>
        <w:tc>
          <w:tcPr>
            <w:tcW w:w="0" w:type="auto"/>
            <w:tcBorders>
              <w:top w:val="nil"/>
              <w:left w:val="single" w:sz="4" w:space="0" w:color="auto"/>
              <w:bottom w:val="nil"/>
              <w:right w:val="single" w:sz="4" w:space="0" w:color="auto"/>
            </w:tcBorders>
            <w:noWrap/>
            <w:hideMark/>
          </w:tcPr>
          <w:p w14:paraId="049D80EB"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2967794F" w14:textId="77777777" w:rsidR="00620174" w:rsidRPr="00AB252D" w:rsidRDefault="00620174" w:rsidP="00472150">
            <w:pPr>
              <w:spacing w:line="360" w:lineRule="auto"/>
              <w:rPr>
                <w:color w:val="000000"/>
              </w:rPr>
            </w:pPr>
            <w:r w:rsidRPr="00AB252D">
              <w:rPr>
                <w:color w:val="000000"/>
              </w:rPr>
              <w:t>RVEF (%)</w:t>
            </w:r>
          </w:p>
        </w:tc>
        <w:tc>
          <w:tcPr>
            <w:tcW w:w="0" w:type="auto"/>
            <w:noWrap/>
            <w:hideMark/>
          </w:tcPr>
          <w:p w14:paraId="01A59F8C" w14:textId="77777777" w:rsidR="00620174" w:rsidRPr="00AB252D" w:rsidRDefault="00620174" w:rsidP="00472150">
            <w:pPr>
              <w:spacing w:line="360" w:lineRule="auto"/>
              <w:jc w:val="center"/>
              <w:rPr>
                <w:color w:val="000000"/>
              </w:rPr>
            </w:pPr>
            <w:r w:rsidRPr="00AB252D">
              <w:rPr>
                <w:color w:val="000000"/>
              </w:rPr>
              <w:t>0.0892</w:t>
            </w:r>
          </w:p>
        </w:tc>
      </w:tr>
      <w:tr w:rsidR="00620174" w:rsidRPr="00AB252D" w14:paraId="5F33EE84" w14:textId="77777777" w:rsidTr="00472150">
        <w:trPr>
          <w:trHeight w:val="300"/>
          <w:jc w:val="center"/>
        </w:trPr>
        <w:tc>
          <w:tcPr>
            <w:tcW w:w="0" w:type="auto"/>
            <w:tcBorders>
              <w:top w:val="nil"/>
              <w:left w:val="single" w:sz="4" w:space="0" w:color="auto"/>
              <w:bottom w:val="single" w:sz="4" w:space="0" w:color="auto"/>
              <w:right w:val="single" w:sz="4" w:space="0" w:color="auto"/>
            </w:tcBorders>
            <w:noWrap/>
            <w:hideMark/>
          </w:tcPr>
          <w:p w14:paraId="2A0F50FA"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28A2428A" w14:textId="77777777" w:rsidR="00620174" w:rsidRPr="00AB252D" w:rsidRDefault="00620174" w:rsidP="00472150">
            <w:pPr>
              <w:spacing w:line="360" w:lineRule="auto"/>
              <w:rPr>
                <w:color w:val="000000"/>
              </w:rPr>
            </w:pPr>
            <w:proofErr w:type="spellStart"/>
            <w:r w:rsidRPr="00AB252D">
              <w:rPr>
                <w:color w:val="000000"/>
              </w:rPr>
              <w:t>RVSVi</w:t>
            </w:r>
            <w:proofErr w:type="spellEnd"/>
            <w:r w:rsidRPr="00AB252D">
              <w:rPr>
                <w:color w:val="000000"/>
              </w:rPr>
              <w:t xml:space="preserve"> (ml/m2)</w:t>
            </w:r>
          </w:p>
        </w:tc>
        <w:tc>
          <w:tcPr>
            <w:tcW w:w="0" w:type="auto"/>
            <w:noWrap/>
            <w:hideMark/>
          </w:tcPr>
          <w:p w14:paraId="73DF790D" w14:textId="77777777" w:rsidR="00620174" w:rsidRPr="00AB252D" w:rsidRDefault="00620174" w:rsidP="00472150">
            <w:pPr>
              <w:spacing w:line="360" w:lineRule="auto"/>
              <w:jc w:val="center"/>
              <w:rPr>
                <w:color w:val="000000"/>
              </w:rPr>
            </w:pPr>
            <w:r w:rsidRPr="00AB252D">
              <w:rPr>
                <w:color w:val="000000"/>
              </w:rPr>
              <w:t>0.7332</w:t>
            </w:r>
          </w:p>
        </w:tc>
      </w:tr>
      <w:tr w:rsidR="00620174" w:rsidRPr="00AB252D" w14:paraId="32BB5AF0" w14:textId="77777777" w:rsidTr="00472150">
        <w:trPr>
          <w:trHeight w:val="300"/>
          <w:jc w:val="center"/>
        </w:trPr>
        <w:tc>
          <w:tcPr>
            <w:tcW w:w="0" w:type="auto"/>
            <w:tcBorders>
              <w:top w:val="single" w:sz="4" w:space="0" w:color="auto"/>
              <w:left w:val="single" w:sz="4" w:space="0" w:color="auto"/>
              <w:bottom w:val="nil"/>
              <w:right w:val="single" w:sz="4" w:space="0" w:color="auto"/>
            </w:tcBorders>
            <w:noWrap/>
            <w:hideMark/>
          </w:tcPr>
          <w:p w14:paraId="66523576" w14:textId="77777777" w:rsidR="00620174" w:rsidRPr="00AB252D" w:rsidRDefault="00620174" w:rsidP="00472150">
            <w:pPr>
              <w:spacing w:line="360" w:lineRule="auto"/>
              <w:rPr>
                <w:color w:val="000000"/>
              </w:rPr>
            </w:pPr>
            <w:r w:rsidRPr="00AB252D">
              <w:rPr>
                <w:color w:val="000000"/>
              </w:rPr>
              <w:t>CMR with sex</w:t>
            </w:r>
          </w:p>
        </w:tc>
        <w:tc>
          <w:tcPr>
            <w:tcW w:w="0" w:type="auto"/>
            <w:tcBorders>
              <w:left w:val="single" w:sz="4" w:space="0" w:color="auto"/>
            </w:tcBorders>
            <w:noWrap/>
            <w:hideMark/>
          </w:tcPr>
          <w:p w14:paraId="7AD9E534" w14:textId="77777777" w:rsidR="00620174" w:rsidRPr="00AB252D" w:rsidRDefault="00620174" w:rsidP="00472150">
            <w:pPr>
              <w:spacing w:line="360" w:lineRule="auto"/>
              <w:rPr>
                <w:color w:val="000000"/>
              </w:rPr>
            </w:pPr>
            <w:proofErr w:type="spellStart"/>
            <w:r w:rsidRPr="00AB252D">
              <w:rPr>
                <w:color w:val="000000"/>
              </w:rPr>
              <w:t>LVEDVi</w:t>
            </w:r>
            <w:proofErr w:type="spellEnd"/>
            <w:r w:rsidRPr="00AB252D">
              <w:rPr>
                <w:color w:val="000000"/>
              </w:rPr>
              <w:t xml:space="preserve"> (ml/m2)</w:t>
            </w:r>
          </w:p>
        </w:tc>
        <w:tc>
          <w:tcPr>
            <w:tcW w:w="0" w:type="auto"/>
            <w:noWrap/>
            <w:hideMark/>
          </w:tcPr>
          <w:p w14:paraId="143AE6F7" w14:textId="77777777" w:rsidR="00620174" w:rsidRPr="00AB252D" w:rsidRDefault="00620174" w:rsidP="00472150">
            <w:pPr>
              <w:spacing w:line="360" w:lineRule="auto"/>
              <w:jc w:val="center"/>
              <w:rPr>
                <w:color w:val="000000"/>
              </w:rPr>
            </w:pPr>
            <w:r w:rsidRPr="00AB252D">
              <w:rPr>
                <w:color w:val="000000"/>
              </w:rPr>
              <w:t>0.4814</w:t>
            </w:r>
          </w:p>
        </w:tc>
      </w:tr>
      <w:tr w:rsidR="00620174" w:rsidRPr="00AB252D" w14:paraId="1F641AFA" w14:textId="77777777" w:rsidTr="00472150">
        <w:trPr>
          <w:trHeight w:val="300"/>
          <w:jc w:val="center"/>
        </w:trPr>
        <w:tc>
          <w:tcPr>
            <w:tcW w:w="0" w:type="auto"/>
            <w:tcBorders>
              <w:top w:val="nil"/>
              <w:left w:val="single" w:sz="4" w:space="0" w:color="auto"/>
              <w:bottom w:val="nil"/>
              <w:right w:val="single" w:sz="4" w:space="0" w:color="auto"/>
            </w:tcBorders>
            <w:noWrap/>
            <w:hideMark/>
          </w:tcPr>
          <w:p w14:paraId="589C6E6C"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0444F8C9" w14:textId="77777777" w:rsidR="00620174" w:rsidRPr="00AB252D" w:rsidRDefault="00620174" w:rsidP="00472150">
            <w:pPr>
              <w:spacing w:line="360" w:lineRule="auto"/>
              <w:rPr>
                <w:color w:val="000000"/>
              </w:rPr>
            </w:pPr>
            <w:proofErr w:type="spellStart"/>
            <w:r w:rsidRPr="00AB252D">
              <w:rPr>
                <w:color w:val="000000"/>
              </w:rPr>
              <w:t>LVESVi</w:t>
            </w:r>
            <w:proofErr w:type="spellEnd"/>
            <w:r w:rsidRPr="00AB252D">
              <w:rPr>
                <w:color w:val="000000"/>
              </w:rPr>
              <w:t xml:space="preserve"> (ml/m2)</w:t>
            </w:r>
          </w:p>
        </w:tc>
        <w:tc>
          <w:tcPr>
            <w:tcW w:w="0" w:type="auto"/>
            <w:noWrap/>
            <w:hideMark/>
          </w:tcPr>
          <w:p w14:paraId="6508D870" w14:textId="77777777" w:rsidR="00620174" w:rsidRPr="00AB252D" w:rsidRDefault="00620174" w:rsidP="00472150">
            <w:pPr>
              <w:spacing w:line="360" w:lineRule="auto"/>
              <w:jc w:val="center"/>
              <w:rPr>
                <w:color w:val="000000"/>
              </w:rPr>
            </w:pPr>
            <w:r w:rsidRPr="00AB252D">
              <w:rPr>
                <w:color w:val="000000"/>
              </w:rPr>
              <w:t>0.5499</w:t>
            </w:r>
          </w:p>
        </w:tc>
      </w:tr>
      <w:tr w:rsidR="00620174" w:rsidRPr="00AB252D" w14:paraId="6BDF5420" w14:textId="77777777" w:rsidTr="00472150">
        <w:trPr>
          <w:trHeight w:val="300"/>
          <w:jc w:val="center"/>
        </w:trPr>
        <w:tc>
          <w:tcPr>
            <w:tcW w:w="0" w:type="auto"/>
            <w:tcBorders>
              <w:top w:val="nil"/>
              <w:left w:val="single" w:sz="4" w:space="0" w:color="auto"/>
              <w:bottom w:val="nil"/>
              <w:right w:val="single" w:sz="4" w:space="0" w:color="auto"/>
            </w:tcBorders>
            <w:noWrap/>
            <w:hideMark/>
          </w:tcPr>
          <w:p w14:paraId="5E6BBDF0"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66628736" w14:textId="77777777" w:rsidR="00620174" w:rsidRPr="00AB252D" w:rsidRDefault="00620174" w:rsidP="00472150">
            <w:pPr>
              <w:spacing w:line="360" w:lineRule="auto"/>
              <w:rPr>
                <w:color w:val="000000"/>
              </w:rPr>
            </w:pPr>
            <w:r w:rsidRPr="00AB252D">
              <w:rPr>
                <w:color w:val="000000"/>
              </w:rPr>
              <w:t>LVEF (%)</w:t>
            </w:r>
          </w:p>
        </w:tc>
        <w:tc>
          <w:tcPr>
            <w:tcW w:w="0" w:type="auto"/>
            <w:noWrap/>
            <w:hideMark/>
          </w:tcPr>
          <w:p w14:paraId="6CEA1973" w14:textId="77777777" w:rsidR="00620174" w:rsidRPr="00AB252D" w:rsidRDefault="00620174" w:rsidP="00472150">
            <w:pPr>
              <w:spacing w:line="360" w:lineRule="auto"/>
              <w:jc w:val="center"/>
              <w:rPr>
                <w:color w:val="000000"/>
              </w:rPr>
            </w:pPr>
            <w:r w:rsidRPr="00AB252D">
              <w:rPr>
                <w:color w:val="000000"/>
              </w:rPr>
              <w:t>0.4411</w:t>
            </w:r>
          </w:p>
        </w:tc>
      </w:tr>
      <w:tr w:rsidR="00620174" w:rsidRPr="00AB252D" w14:paraId="38135814" w14:textId="77777777" w:rsidTr="00472150">
        <w:trPr>
          <w:trHeight w:val="300"/>
          <w:jc w:val="center"/>
        </w:trPr>
        <w:tc>
          <w:tcPr>
            <w:tcW w:w="0" w:type="auto"/>
            <w:tcBorders>
              <w:top w:val="nil"/>
              <w:left w:val="single" w:sz="4" w:space="0" w:color="auto"/>
              <w:bottom w:val="nil"/>
              <w:right w:val="single" w:sz="4" w:space="0" w:color="auto"/>
            </w:tcBorders>
            <w:noWrap/>
            <w:hideMark/>
          </w:tcPr>
          <w:p w14:paraId="71AB397F" w14:textId="77777777" w:rsidR="00620174" w:rsidRPr="00AB252D" w:rsidRDefault="00620174" w:rsidP="00472150">
            <w:pPr>
              <w:spacing w:line="360" w:lineRule="auto"/>
              <w:rPr>
                <w:color w:val="000000"/>
              </w:rPr>
            </w:pPr>
          </w:p>
        </w:tc>
        <w:tc>
          <w:tcPr>
            <w:tcW w:w="0" w:type="auto"/>
            <w:tcBorders>
              <w:left w:val="single" w:sz="4" w:space="0" w:color="auto"/>
            </w:tcBorders>
            <w:noWrap/>
            <w:hideMark/>
          </w:tcPr>
          <w:p w14:paraId="50C9B04D" w14:textId="77777777" w:rsidR="00620174" w:rsidRPr="00AB252D" w:rsidRDefault="00620174" w:rsidP="00472150">
            <w:pPr>
              <w:spacing w:line="360" w:lineRule="auto"/>
              <w:rPr>
                <w:color w:val="000000"/>
              </w:rPr>
            </w:pPr>
            <w:proofErr w:type="spellStart"/>
            <w:r w:rsidRPr="00AB252D">
              <w:rPr>
                <w:color w:val="000000"/>
              </w:rPr>
              <w:t>LVSVi</w:t>
            </w:r>
            <w:proofErr w:type="spellEnd"/>
            <w:r w:rsidRPr="00AB252D">
              <w:rPr>
                <w:color w:val="000000"/>
              </w:rPr>
              <w:t xml:space="preserve"> (ml/m2)</w:t>
            </w:r>
          </w:p>
        </w:tc>
        <w:tc>
          <w:tcPr>
            <w:tcW w:w="0" w:type="auto"/>
            <w:noWrap/>
            <w:hideMark/>
          </w:tcPr>
          <w:p w14:paraId="647D5ADA" w14:textId="77777777" w:rsidR="00620174" w:rsidRPr="00AB252D" w:rsidRDefault="00620174" w:rsidP="00472150">
            <w:pPr>
              <w:spacing w:line="360" w:lineRule="auto"/>
              <w:jc w:val="center"/>
              <w:rPr>
                <w:color w:val="000000"/>
              </w:rPr>
            </w:pPr>
            <w:r w:rsidRPr="00AB252D">
              <w:rPr>
                <w:color w:val="000000"/>
              </w:rPr>
              <w:t>0.5807</w:t>
            </w:r>
          </w:p>
        </w:tc>
      </w:tr>
      <w:tr w:rsidR="00620174" w:rsidRPr="00AB252D" w14:paraId="4BDBDDC6" w14:textId="77777777" w:rsidTr="00472150">
        <w:trPr>
          <w:trHeight w:val="300"/>
          <w:jc w:val="center"/>
        </w:trPr>
        <w:tc>
          <w:tcPr>
            <w:tcW w:w="0" w:type="auto"/>
            <w:tcBorders>
              <w:top w:val="nil"/>
              <w:left w:val="single" w:sz="4" w:space="0" w:color="auto"/>
              <w:bottom w:val="nil"/>
              <w:right w:val="single" w:sz="4" w:space="0" w:color="auto"/>
            </w:tcBorders>
            <w:noWrap/>
            <w:hideMark/>
          </w:tcPr>
          <w:p w14:paraId="5926CCE8" w14:textId="77777777" w:rsidR="00620174" w:rsidRPr="00AB252D" w:rsidRDefault="00620174" w:rsidP="00472150">
            <w:pPr>
              <w:spacing w:line="360" w:lineRule="auto"/>
              <w:rPr>
                <w:color w:val="000000"/>
              </w:rPr>
            </w:pPr>
          </w:p>
        </w:tc>
        <w:tc>
          <w:tcPr>
            <w:tcW w:w="0" w:type="auto"/>
            <w:tcBorders>
              <w:left w:val="single" w:sz="4" w:space="0" w:color="auto"/>
            </w:tcBorders>
            <w:noWrap/>
            <w:hideMark/>
          </w:tcPr>
          <w:p w14:paraId="408FD1B9" w14:textId="77777777" w:rsidR="00620174" w:rsidRPr="00AB252D" w:rsidRDefault="00620174" w:rsidP="00472150">
            <w:pPr>
              <w:spacing w:line="360" w:lineRule="auto"/>
              <w:rPr>
                <w:color w:val="000000"/>
              </w:rPr>
            </w:pPr>
            <w:r w:rsidRPr="00AB252D">
              <w:rPr>
                <w:color w:val="000000"/>
              </w:rPr>
              <w:t>LVMi (g/m2)</w:t>
            </w:r>
          </w:p>
        </w:tc>
        <w:tc>
          <w:tcPr>
            <w:tcW w:w="0" w:type="auto"/>
            <w:noWrap/>
            <w:hideMark/>
          </w:tcPr>
          <w:p w14:paraId="686D8032" w14:textId="77777777" w:rsidR="00620174" w:rsidRPr="00AB252D" w:rsidRDefault="00620174" w:rsidP="00472150">
            <w:pPr>
              <w:spacing w:line="360" w:lineRule="auto"/>
              <w:jc w:val="center"/>
              <w:rPr>
                <w:color w:val="000000"/>
              </w:rPr>
            </w:pPr>
            <w:r w:rsidRPr="00AB252D">
              <w:rPr>
                <w:color w:val="000000"/>
              </w:rPr>
              <w:t>0.7269</w:t>
            </w:r>
          </w:p>
        </w:tc>
      </w:tr>
      <w:tr w:rsidR="00620174" w:rsidRPr="00AB252D" w14:paraId="19B8D5EE" w14:textId="77777777" w:rsidTr="00472150">
        <w:trPr>
          <w:trHeight w:val="300"/>
          <w:jc w:val="center"/>
        </w:trPr>
        <w:tc>
          <w:tcPr>
            <w:tcW w:w="0" w:type="auto"/>
            <w:tcBorders>
              <w:top w:val="nil"/>
              <w:left w:val="single" w:sz="4" w:space="0" w:color="auto"/>
              <w:bottom w:val="nil"/>
              <w:right w:val="single" w:sz="4" w:space="0" w:color="auto"/>
            </w:tcBorders>
            <w:noWrap/>
            <w:hideMark/>
          </w:tcPr>
          <w:p w14:paraId="4CD7C614"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0CD6BC3E" w14:textId="77777777" w:rsidR="00620174" w:rsidRPr="00AB252D" w:rsidRDefault="00620174" w:rsidP="00472150">
            <w:pPr>
              <w:spacing w:line="360" w:lineRule="auto"/>
              <w:rPr>
                <w:color w:val="000000"/>
              </w:rPr>
            </w:pPr>
            <w:proofErr w:type="spellStart"/>
            <w:r w:rsidRPr="00AB252D">
              <w:rPr>
                <w:color w:val="000000"/>
              </w:rPr>
              <w:t>RVEDVi</w:t>
            </w:r>
            <w:proofErr w:type="spellEnd"/>
            <w:r w:rsidRPr="00AB252D">
              <w:rPr>
                <w:color w:val="000000"/>
              </w:rPr>
              <w:t xml:space="preserve"> (ml/m2)</w:t>
            </w:r>
          </w:p>
        </w:tc>
        <w:tc>
          <w:tcPr>
            <w:tcW w:w="0" w:type="auto"/>
            <w:noWrap/>
            <w:hideMark/>
          </w:tcPr>
          <w:p w14:paraId="25005B3C" w14:textId="77777777" w:rsidR="00620174" w:rsidRPr="00AB252D" w:rsidRDefault="00620174" w:rsidP="00472150">
            <w:pPr>
              <w:spacing w:line="360" w:lineRule="auto"/>
              <w:jc w:val="center"/>
              <w:rPr>
                <w:color w:val="000000"/>
              </w:rPr>
            </w:pPr>
            <w:r w:rsidRPr="00AB252D">
              <w:rPr>
                <w:color w:val="000000"/>
              </w:rPr>
              <w:t>0.9577</w:t>
            </w:r>
          </w:p>
        </w:tc>
      </w:tr>
      <w:tr w:rsidR="00620174" w:rsidRPr="00AB252D" w14:paraId="2CD8937D" w14:textId="77777777" w:rsidTr="00472150">
        <w:trPr>
          <w:trHeight w:val="300"/>
          <w:jc w:val="center"/>
        </w:trPr>
        <w:tc>
          <w:tcPr>
            <w:tcW w:w="0" w:type="auto"/>
            <w:tcBorders>
              <w:top w:val="nil"/>
              <w:left w:val="single" w:sz="4" w:space="0" w:color="auto"/>
              <w:bottom w:val="nil"/>
              <w:right w:val="single" w:sz="4" w:space="0" w:color="auto"/>
            </w:tcBorders>
            <w:noWrap/>
            <w:hideMark/>
          </w:tcPr>
          <w:p w14:paraId="62F3C9B9"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3D8EBC3D" w14:textId="77777777" w:rsidR="00620174" w:rsidRPr="00AB252D" w:rsidRDefault="00620174" w:rsidP="00472150">
            <w:pPr>
              <w:spacing w:line="360" w:lineRule="auto"/>
              <w:rPr>
                <w:color w:val="000000"/>
              </w:rPr>
            </w:pPr>
            <w:proofErr w:type="spellStart"/>
            <w:r w:rsidRPr="00AB252D">
              <w:rPr>
                <w:color w:val="000000"/>
              </w:rPr>
              <w:t>RVESVi</w:t>
            </w:r>
            <w:proofErr w:type="spellEnd"/>
            <w:r w:rsidRPr="00AB252D">
              <w:rPr>
                <w:color w:val="000000"/>
              </w:rPr>
              <w:t xml:space="preserve"> (ml/m2)</w:t>
            </w:r>
          </w:p>
        </w:tc>
        <w:tc>
          <w:tcPr>
            <w:tcW w:w="0" w:type="auto"/>
            <w:noWrap/>
            <w:hideMark/>
          </w:tcPr>
          <w:p w14:paraId="27D83792" w14:textId="77777777" w:rsidR="00620174" w:rsidRPr="00AB252D" w:rsidRDefault="00620174" w:rsidP="00472150">
            <w:pPr>
              <w:spacing w:line="360" w:lineRule="auto"/>
              <w:jc w:val="center"/>
              <w:rPr>
                <w:color w:val="000000"/>
              </w:rPr>
            </w:pPr>
            <w:r w:rsidRPr="00AB252D">
              <w:rPr>
                <w:color w:val="000000"/>
              </w:rPr>
              <w:t>0.4854</w:t>
            </w:r>
          </w:p>
        </w:tc>
      </w:tr>
      <w:tr w:rsidR="00620174" w:rsidRPr="00AB252D" w14:paraId="50AC2C05" w14:textId="77777777" w:rsidTr="00472150">
        <w:trPr>
          <w:trHeight w:val="300"/>
          <w:jc w:val="center"/>
        </w:trPr>
        <w:tc>
          <w:tcPr>
            <w:tcW w:w="0" w:type="auto"/>
            <w:tcBorders>
              <w:top w:val="nil"/>
              <w:left w:val="single" w:sz="4" w:space="0" w:color="auto"/>
              <w:bottom w:val="nil"/>
              <w:right w:val="single" w:sz="4" w:space="0" w:color="auto"/>
            </w:tcBorders>
            <w:noWrap/>
            <w:hideMark/>
          </w:tcPr>
          <w:p w14:paraId="0B9EE5C6"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69E19BB8" w14:textId="77777777" w:rsidR="00620174" w:rsidRPr="00AB252D" w:rsidRDefault="00620174" w:rsidP="00472150">
            <w:pPr>
              <w:spacing w:line="360" w:lineRule="auto"/>
              <w:rPr>
                <w:color w:val="000000"/>
              </w:rPr>
            </w:pPr>
            <w:r w:rsidRPr="00AB252D">
              <w:rPr>
                <w:color w:val="000000"/>
              </w:rPr>
              <w:t>RVEF (%)</w:t>
            </w:r>
          </w:p>
        </w:tc>
        <w:tc>
          <w:tcPr>
            <w:tcW w:w="0" w:type="auto"/>
            <w:noWrap/>
            <w:hideMark/>
          </w:tcPr>
          <w:p w14:paraId="0F1FC3EE" w14:textId="77777777" w:rsidR="00620174" w:rsidRPr="00AB252D" w:rsidRDefault="00620174" w:rsidP="00472150">
            <w:pPr>
              <w:spacing w:line="360" w:lineRule="auto"/>
              <w:jc w:val="center"/>
              <w:rPr>
                <w:color w:val="000000"/>
              </w:rPr>
            </w:pPr>
            <w:r w:rsidRPr="00AB252D">
              <w:rPr>
                <w:color w:val="000000"/>
              </w:rPr>
              <w:t>0.5095</w:t>
            </w:r>
          </w:p>
        </w:tc>
      </w:tr>
      <w:tr w:rsidR="00620174" w:rsidRPr="00AB252D" w14:paraId="4779B977" w14:textId="77777777" w:rsidTr="00472150">
        <w:trPr>
          <w:trHeight w:val="300"/>
          <w:jc w:val="center"/>
        </w:trPr>
        <w:tc>
          <w:tcPr>
            <w:tcW w:w="0" w:type="auto"/>
            <w:tcBorders>
              <w:top w:val="nil"/>
              <w:left w:val="single" w:sz="4" w:space="0" w:color="auto"/>
              <w:bottom w:val="single" w:sz="4" w:space="0" w:color="auto"/>
              <w:right w:val="single" w:sz="4" w:space="0" w:color="auto"/>
            </w:tcBorders>
            <w:noWrap/>
            <w:hideMark/>
          </w:tcPr>
          <w:p w14:paraId="78219C3F" w14:textId="77777777" w:rsidR="00620174" w:rsidRPr="00AB252D" w:rsidRDefault="00620174" w:rsidP="00472150">
            <w:pPr>
              <w:spacing w:line="360" w:lineRule="auto"/>
              <w:rPr>
                <w:color w:val="000000"/>
              </w:rPr>
            </w:pPr>
            <w:r w:rsidRPr="00AB252D">
              <w:rPr>
                <w:color w:val="000000"/>
              </w:rPr>
              <w:t xml:space="preserve"> </w:t>
            </w:r>
          </w:p>
        </w:tc>
        <w:tc>
          <w:tcPr>
            <w:tcW w:w="0" w:type="auto"/>
            <w:tcBorders>
              <w:left w:val="single" w:sz="4" w:space="0" w:color="auto"/>
            </w:tcBorders>
            <w:noWrap/>
            <w:hideMark/>
          </w:tcPr>
          <w:p w14:paraId="3C741453" w14:textId="77777777" w:rsidR="00620174" w:rsidRPr="00AB252D" w:rsidRDefault="00620174" w:rsidP="00472150">
            <w:pPr>
              <w:spacing w:line="360" w:lineRule="auto"/>
              <w:rPr>
                <w:color w:val="000000"/>
              </w:rPr>
            </w:pPr>
            <w:proofErr w:type="spellStart"/>
            <w:r w:rsidRPr="00AB252D">
              <w:rPr>
                <w:color w:val="000000"/>
              </w:rPr>
              <w:t>RVSVi</w:t>
            </w:r>
            <w:proofErr w:type="spellEnd"/>
            <w:r w:rsidRPr="00AB252D">
              <w:rPr>
                <w:color w:val="000000"/>
              </w:rPr>
              <w:t xml:space="preserve"> (ml/m2)</w:t>
            </w:r>
          </w:p>
        </w:tc>
        <w:tc>
          <w:tcPr>
            <w:tcW w:w="0" w:type="auto"/>
            <w:noWrap/>
            <w:hideMark/>
          </w:tcPr>
          <w:p w14:paraId="4C3C7C4F" w14:textId="77777777" w:rsidR="00620174" w:rsidRPr="00AB252D" w:rsidRDefault="00620174" w:rsidP="00472150">
            <w:pPr>
              <w:spacing w:line="360" w:lineRule="auto"/>
              <w:jc w:val="center"/>
              <w:rPr>
                <w:color w:val="000000"/>
              </w:rPr>
            </w:pPr>
            <w:r w:rsidRPr="00AB252D">
              <w:rPr>
                <w:color w:val="000000"/>
              </w:rPr>
              <w:t>0.4814</w:t>
            </w:r>
          </w:p>
        </w:tc>
      </w:tr>
    </w:tbl>
    <w:p w14:paraId="23CCF11C" w14:textId="77777777" w:rsidR="00620174" w:rsidRDefault="00620174" w:rsidP="00620174">
      <w:pPr>
        <w:rPr>
          <w:rStyle w:val="Hyperlink"/>
          <w:color w:val="000000" w:themeColor="text1"/>
          <w:bdr w:val="none" w:sz="0" w:space="0" w:color="auto" w:frame="1"/>
          <w:lang w:val="en"/>
        </w:rPr>
      </w:pPr>
      <w:r w:rsidRPr="00620174">
        <w:rPr>
          <w:rStyle w:val="Hyperlink"/>
          <w:b/>
          <w:bCs/>
          <w:color w:val="000000" w:themeColor="text1"/>
          <w:u w:val="none"/>
          <w:bdr w:val="none" w:sz="0" w:space="0" w:color="auto" w:frame="1"/>
          <w:lang w:val="en"/>
        </w:rPr>
        <w:t>Supplementary Table 4 footnote</w:t>
      </w:r>
      <w:r w:rsidRPr="00620174">
        <w:rPr>
          <w:rStyle w:val="Hyperlink"/>
          <w:color w:val="000000" w:themeColor="text1"/>
          <w:u w:val="none"/>
          <w:bdr w:val="none" w:sz="0" w:space="0" w:color="auto" w:frame="1"/>
          <w:lang w:val="en"/>
        </w:rPr>
        <w:t>: *</w:t>
      </w:r>
      <w:r w:rsidRPr="00620174">
        <w:t>adjusted</w:t>
      </w:r>
      <w:r w:rsidRPr="00AB252D">
        <w:t xml:space="preserve"> for: age, sex, education, deprivation, diabetes, hypertension, hypercholesterolaemia, prior myocardial</w:t>
      </w:r>
      <w:r w:rsidRPr="00EC617E">
        <w:t xml:space="preserve"> infarction, smoking, alcohol, exercise</w:t>
      </w:r>
      <w:r>
        <w:t>. CI: confidence interval.</w:t>
      </w:r>
    </w:p>
    <w:tbl>
      <w:tblPr>
        <w:tblStyle w:val="TableGridLight"/>
        <w:tblpPr w:leftFromText="180" w:rightFromText="180" w:vertAnchor="page" w:horzAnchor="margin" w:tblpXSpec="center" w:tblpY="2260"/>
        <w:tblW w:w="985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130"/>
        <w:gridCol w:w="1841"/>
        <w:gridCol w:w="1720"/>
        <w:gridCol w:w="1720"/>
        <w:gridCol w:w="1720"/>
        <w:gridCol w:w="1720"/>
      </w:tblGrid>
      <w:tr w:rsidR="00620174" w:rsidRPr="006850EF" w14:paraId="73C7F980" w14:textId="77777777" w:rsidTr="00472150">
        <w:trPr>
          <w:trHeight w:val="20"/>
        </w:trPr>
        <w:tc>
          <w:tcPr>
            <w:tcW w:w="1130" w:type="dxa"/>
            <w:tcBorders>
              <w:top w:val="single" w:sz="4" w:space="0" w:color="auto"/>
              <w:bottom w:val="single" w:sz="4" w:space="0" w:color="auto"/>
              <w:right w:val="single" w:sz="4" w:space="0" w:color="auto"/>
            </w:tcBorders>
            <w:shd w:val="clear" w:color="auto" w:fill="E7E6E6" w:themeFill="background2"/>
            <w:vAlign w:val="center"/>
          </w:tcPr>
          <w:p w14:paraId="084A81B6" w14:textId="77777777" w:rsidR="00620174" w:rsidRPr="006850EF" w:rsidRDefault="00620174" w:rsidP="00620174">
            <w:pPr>
              <w:spacing w:line="240" w:lineRule="auto"/>
              <w:jc w:val="center"/>
            </w:pPr>
            <w:r w:rsidRPr="006850EF">
              <w:rPr>
                <w:b/>
                <w:bCs/>
              </w:rPr>
              <w:lastRenderedPageBreak/>
              <w:t>CMR</w:t>
            </w:r>
          </w:p>
        </w:tc>
        <w:tc>
          <w:tcPr>
            <w:tcW w:w="1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5EE1FC" w14:textId="77777777" w:rsidR="00620174" w:rsidRPr="006850EF" w:rsidRDefault="00620174" w:rsidP="00620174">
            <w:pPr>
              <w:spacing w:line="240" w:lineRule="auto"/>
              <w:jc w:val="center"/>
            </w:pPr>
            <w:r>
              <w:rPr>
                <w:b/>
                <w:bCs/>
              </w:rPr>
              <w:t>Univariate</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10433C" w14:textId="77777777" w:rsidR="00620174" w:rsidRPr="006850EF" w:rsidRDefault="00620174" w:rsidP="00620174">
            <w:pPr>
              <w:spacing w:line="240" w:lineRule="auto"/>
              <w:jc w:val="center"/>
            </w:pPr>
            <w:r w:rsidRPr="006850EF">
              <w:rPr>
                <w:b/>
                <w:bCs/>
              </w:rPr>
              <w:t xml:space="preserve">Model </w:t>
            </w:r>
            <w:r>
              <w:rPr>
                <w:b/>
                <w:bCs/>
              </w:rPr>
              <w:t>1</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F0219A" w14:textId="77777777" w:rsidR="00620174" w:rsidRPr="006850EF" w:rsidRDefault="00620174" w:rsidP="00620174">
            <w:pPr>
              <w:spacing w:line="240" w:lineRule="auto"/>
              <w:jc w:val="center"/>
            </w:pPr>
            <w:r w:rsidRPr="006850EF">
              <w:rPr>
                <w:b/>
                <w:bCs/>
              </w:rPr>
              <w:t xml:space="preserve">Model </w:t>
            </w:r>
            <w:r>
              <w:rPr>
                <w:b/>
                <w:bCs/>
              </w:rPr>
              <w:t>2</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45CB64" w14:textId="77777777" w:rsidR="00620174" w:rsidRPr="006850EF" w:rsidRDefault="00620174" w:rsidP="00620174">
            <w:pPr>
              <w:spacing w:line="240" w:lineRule="auto"/>
              <w:jc w:val="center"/>
            </w:pPr>
            <w:r w:rsidRPr="006850EF">
              <w:rPr>
                <w:b/>
                <w:bCs/>
              </w:rPr>
              <w:t xml:space="preserve">Model </w:t>
            </w:r>
            <w:r>
              <w:rPr>
                <w:b/>
                <w:bCs/>
              </w:rPr>
              <w:t>3</w:t>
            </w:r>
          </w:p>
        </w:tc>
        <w:tc>
          <w:tcPr>
            <w:tcW w:w="1720" w:type="dxa"/>
            <w:tcBorders>
              <w:top w:val="single" w:sz="4" w:space="0" w:color="auto"/>
              <w:left w:val="single" w:sz="4" w:space="0" w:color="auto"/>
              <w:bottom w:val="single" w:sz="4" w:space="0" w:color="auto"/>
            </w:tcBorders>
            <w:shd w:val="clear" w:color="auto" w:fill="E7E6E6" w:themeFill="background2"/>
            <w:vAlign w:val="center"/>
          </w:tcPr>
          <w:p w14:paraId="219888E2" w14:textId="77777777" w:rsidR="00620174" w:rsidRPr="006850EF" w:rsidRDefault="00620174" w:rsidP="00620174">
            <w:pPr>
              <w:spacing w:line="240" w:lineRule="auto"/>
              <w:jc w:val="center"/>
            </w:pPr>
            <w:r w:rsidRPr="006850EF">
              <w:rPr>
                <w:b/>
                <w:bCs/>
              </w:rPr>
              <w:t xml:space="preserve">Model </w:t>
            </w:r>
            <w:r>
              <w:rPr>
                <w:b/>
                <w:bCs/>
              </w:rPr>
              <w:t>4</w:t>
            </w:r>
          </w:p>
        </w:tc>
      </w:tr>
      <w:tr w:rsidR="00620174" w:rsidRPr="006850EF" w14:paraId="78F9526B"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59BB9491" w14:textId="77777777" w:rsidR="00620174" w:rsidRPr="006850EF" w:rsidRDefault="00620174" w:rsidP="00620174">
            <w:pPr>
              <w:spacing w:before="60" w:line="240" w:lineRule="auto"/>
              <w:jc w:val="center"/>
            </w:pPr>
            <w:proofErr w:type="spellStart"/>
            <w:r w:rsidRPr="006850EF">
              <w:t>LVEDVi</w:t>
            </w:r>
            <w:proofErr w:type="spellEnd"/>
          </w:p>
        </w:tc>
        <w:tc>
          <w:tcPr>
            <w:tcW w:w="1841" w:type="dxa"/>
            <w:tcBorders>
              <w:top w:val="single" w:sz="4" w:space="0" w:color="auto"/>
              <w:left w:val="single" w:sz="4" w:space="0" w:color="auto"/>
              <w:right w:val="single" w:sz="4" w:space="0" w:color="auto"/>
            </w:tcBorders>
            <w:vAlign w:val="bottom"/>
          </w:tcPr>
          <w:p w14:paraId="0C3F5C44" w14:textId="77777777" w:rsidR="00620174" w:rsidRPr="006850EF" w:rsidRDefault="00620174" w:rsidP="00620174">
            <w:pPr>
              <w:spacing w:before="60" w:line="240" w:lineRule="auto"/>
              <w:jc w:val="center"/>
              <w:rPr>
                <w:color w:val="000000"/>
                <w:position w:val="6"/>
              </w:rPr>
            </w:pPr>
            <w:r w:rsidRPr="006850EF">
              <w:rPr>
                <w:color w:val="000000"/>
                <w:position w:val="6"/>
              </w:rPr>
              <w:t>-0.101*</w:t>
            </w:r>
          </w:p>
        </w:tc>
        <w:tc>
          <w:tcPr>
            <w:tcW w:w="1720" w:type="dxa"/>
            <w:tcBorders>
              <w:top w:val="single" w:sz="4" w:space="0" w:color="auto"/>
              <w:left w:val="single" w:sz="4" w:space="0" w:color="auto"/>
              <w:right w:val="single" w:sz="4" w:space="0" w:color="auto"/>
            </w:tcBorders>
            <w:vAlign w:val="bottom"/>
          </w:tcPr>
          <w:p w14:paraId="75C34B28" w14:textId="77777777" w:rsidR="00620174" w:rsidRPr="006850EF" w:rsidRDefault="00620174" w:rsidP="00620174">
            <w:pPr>
              <w:spacing w:before="60" w:line="240" w:lineRule="auto"/>
              <w:jc w:val="center"/>
              <w:rPr>
                <w:color w:val="000000"/>
                <w:position w:val="6"/>
              </w:rPr>
            </w:pPr>
            <w:r w:rsidRPr="006850EF">
              <w:rPr>
                <w:color w:val="000000"/>
                <w:position w:val="6"/>
              </w:rPr>
              <w:t>-0.026*</w:t>
            </w:r>
          </w:p>
        </w:tc>
        <w:tc>
          <w:tcPr>
            <w:tcW w:w="1720" w:type="dxa"/>
            <w:tcBorders>
              <w:top w:val="single" w:sz="4" w:space="0" w:color="auto"/>
              <w:left w:val="single" w:sz="4" w:space="0" w:color="auto"/>
              <w:right w:val="single" w:sz="4" w:space="0" w:color="auto"/>
            </w:tcBorders>
            <w:vAlign w:val="bottom"/>
          </w:tcPr>
          <w:p w14:paraId="60272F0C" w14:textId="77777777" w:rsidR="00620174" w:rsidRPr="006850EF" w:rsidRDefault="00620174" w:rsidP="00620174">
            <w:pPr>
              <w:spacing w:before="60" w:line="240" w:lineRule="auto"/>
              <w:jc w:val="center"/>
              <w:rPr>
                <w:color w:val="000000"/>
                <w:position w:val="6"/>
              </w:rPr>
            </w:pPr>
            <w:r w:rsidRPr="006850EF">
              <w:rPr>
                <w:color w:val="000000"/>
                <w:position w:val="6"/>
              </w:rPr>
              <w:t>-0.022*</w:t>
            </w:r>
          </w:p>
        </w:tc>
        <w:tc>
          <w:tcPr>
            <w:tcW w:w="1720" w:type="dxa"/>
            <w:tcBorders>
              <w:top w:val="single" w:sz="4" w:space="0" w:color="auto"/>
              <w:left w:val="single" w:sz="4" w:space="0" w:color="auto"/>
              <w:right w:val="single" w:sz="4" w:space="0" w:color="auto"/>
            </w:tcBorders>
            <w:vAlign w:val="bottom"/>
          </w:tcPr>
          <w:p w14:paraId="5A44C064" w14:textId="77777777" w:rsidR="00620174" w:rsidRPr="006850EF" w:rsidRDefault="00620174" w:rsidP="00620174">
            <w:pPr>
              <w:spacing w:before="60" w:line="240" w:lineRule="auto"/>
              <w:jc w:val="center"/>
              <w:rPr>
                <w:color w:val="000000"/>
                <w:position w:val="6"/>
              </w:rPr>
            </w:pPr>
            <w:r w:rsidRPr="006850EF">
              <w:rPr>
                <w:color w:val="000000"/>
                <w:position w:val="6"/>
              </w:rPr>
              <w:t>-0.021*</w:t>
            </w:r>
          </w:p>
        </w:tc>
        <w:tc>
          <w:tcPr>
            <w:tcW w:w="1720" w:type="dxa"/>
            <w:tcBorders>
              <w:top w:val="single" w:sz="4" w:space="0" w:color="auto"/>
              <w:left w:val="single" w:sz="4" w:space="0" w:color="auto"/>
            </w:tcBorders>
            <w:vAlign w:val="bottom"/>
          </w:tcPr>
          <w:p w14:paraId="1A959EC9" w14:textId="77777777" w:rsidR="00620174" w:rsidRPr="006850EF" w:rsidRDefault="00620174" w:rsidP="00620174">
            <w:pPr>
              <w:spacing w:before="60" w:line="240" w:lineRule="auto"/>
              <w:jc w:val="center"/>
              <w:rPr>
                <w:color w:val="000000"/>
                <w:position w:val="6"/>
              </w:rPr>
            </w:pPr>
            <w:r w:rsidRPr="006850EF">
              <w:rPr>
                <w:color w:val="000000"/>
                <w:position w:val="6"/>
              </w:rPr>
              <w:t>-0.019*</w:t>
            </w:r>
          </w:p>
        </w:tc>
      </w:tr>
      <w:tr w:rsidR="00620174" w:rsidRPr="006850EF" w14:paraId="3F1958A0"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0FDBC511"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7D23C9C1" w14:textId="77777777" w:rsidR="00620174" w:rsidRPr="006850EF" w:rsidRDefault="00620174" w:rsidP="00620174">
            <w:pPr>
              <w:spacing w:line="240" w:lineRule="auto"/>
              <w:jc w:val="center"/>
              <w:rPr>
                <w:color w:val="000000"/>
                <w:position w:val="6"/>
              </w:rPr>
            </w:pPr>
            <w:r w:rsidRPr="006850EF">
              <w:rPr>
                <w:color w:val="000000"/>
                <w:position w:val="6"/>
              </w:rPr>
              <w:t>[-0.117, -0.085]</w:t>
            </w:r>
          </w:p>
        </w:tc>
        <w:tc>
          <w:tcPr>
            <w:tcW w:w="1720" w:type="dxa"/>
            <w:tcBorders>
              <w:left w:val="single" w:sz="4" w:space="0" w:color="auto"/>
              <w:bottom w:val="nil"/>
              <w:right w:val="single" w:sz="4" w:space="0" w:color="auto"/>
            </w:tcBorders>
            <w:vAlign w:val="bottom"/>
          </w:tcPr>
          <w:p w14:paraId="60FFF43C" w14:textId="77777777" w:rsidR="00620174" w:rsidRPr="006850EF" w:rsidRDefault="00620174" w:rsidP="00620174">
            <w:pPr>
              <w:spacing w:line="240" w:lineRule="auto"/>
              <w:jc w:val="center"/>
              <w:rPr>
                <w:color w:val="000000"/>
                <w:position w:val="6"/>
              </w:rPr>
            </w:pPr>
            <w:r w:rsidRPr="006850EF">
              <w:rPr>
                <w:color w:val="000000"/>
                <w:position w:val="6"/>
              </w:rPr>
              <w:t>[-0.042, -0.011]</w:t>
            </w:r>
          </w:p>
        </w:tc>
        <w:tc>
          <w:tcPr>
            <w:tcW w:w="1720" w:type="dxa"/>
            <w:tcBorders>
              <w:left w:val="single" w:sz="4" w:space="0" w:color="auto"/>
              <w:bottom w:val="nil"/>
              <w:right w:val="single" w:sz="4" w:space="0" w:color="auto"/>
            </w:tcBorders>
            <w:vAlign w:val="bottom"/>
          </w:tcPr>
          <w:p w14:paraId="56499D34" w14:textId="77777777" w:rsidR="00620174" w:rsidRPr="006850EF" w:rsidRDefault="00620174" w:rsidP="00620174">
            <w:pPr>
              <w:spacing w:line="240" w:lineRule="auto"/>
              <w:jc w:val="center"/>
              <w:rPr>
                <w:color w:val="000000"/>
                <w:position w:val="6"/>
              </w:rPr>
            </w:pPr>
            <w:r w:rsidRPr="006850EF">
              <w:rPr>
                <w:color w:val="000000"/>
                <w:position w:val="6"/>
              </w:rPr>
              <w:t>[-0.038, -0.007]</w:t>
            </w:r>
          </w:p>
        </w:tc>
        <w:tc>
          <w:tcPr>
            <w:tcW w:w="1720" w:type="dxa"/>
            <w:tcBorders>
              <w:left w:val="single" w:sz="4" w:space="0" w:color="auto"/>
              <w:bottom w:val="nil"/>
              <w:right w:val="single" w:sz="4" w:space="0" w:color="auto"/>
            </w:tcBorders>
            <w:vAlign w:val="bottom"/>
          </w:tcPr>
          <w:p w14:paraId="6120B3F2" w14:textId="77777777" w:rsidR="00620174" w:rsidRPr="006850EF" w:rsidRDefault="00620174" w:rsidP="00620174">
            <w:pPr>
              <w:spacing w:line="240" w:lineRule="auto"/>
              <w:jc w:val="center"/>
              <w:rPr>
                <w:color w:val="000000"/>
                <w:position w:val="6"/>
              </w:rPr>
            </w:pPr>
            <w:r w:rsidRPr="006850EF">
              <w:rPr>
                <w:color w:val="000000"/>
                <w:position w:val="6"/>
              </w:rPr>
              <w:t>[-0.037, -0.005]</w:t>
            </w:r>
          </w:p>
        </w:tc>
        <w:tc>
          <w:tcPr>
            <w:tcW w:w="1720" w:type="dxa"/>
            <w:tcBorders>
              <w:left w:val="single" w:sz="4" w:space="0" w:color="auto"/>
              <w:bottom w:val="nil"/>
            </w:tcBorders>
            <w:vAlign w:val="bottom"/>
          </w:tcPr>
          <w:p w14:paraId="3EA445DF" w14:textId="77777777" w:rsidR="00620174" w:rsidRPr="006850EF" w:rsidRDefault="00620174" w:rsidP="00620174">
            <w:pPr>
              <w:spacing w:line="240" w:lineRule="auto"/>
              <w:jc w:val="center"/>
              <w:rPr>
                <w:color w:val="000000"/>
                <w:position w:val="6"/>
              </w:rPr>
            </w:pPr>
            <w:r w:rsidRPr="006850EF">
              <w:rPr>
                <w:color w:val="000000"/>
                <w:position w:val="6"/>
              </w:rPr>
              <w:t>[-0.035, -0.003]</w:t>
            </w:r>
          </w:p>
        </w:tc>
      </w:tr>
      <w:tr w:rsidR="00620174" w:rsidRPr="006850EF" w14:paraId="08C67C72"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4A69B915"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54EE34FE" w14:textId="77777777" w:rsidR="00620174" w:rsidRPr="006850EF" w:rsidRDefault="00620174" w:rsidP="00620174">
            <w:pPr>
              <w:spacing w:after="60" w:line="240" w:lineRule="auto"/>
              <w:jc w:val="center"/>
              <w:rPr>
                <w:color w:val="000000"/>
                <w:position w:val="6"/>
              </w:rPr>
            </w:pPr>
            <w:r w:rsidRPr="006850EF">
              <w:rPr>
                <w:color w:val="000000"/>
                <w:position w:val="6"/>
              </w:rPr>
              <w:t>1.31x10</w:t>
            </w:r>
            <w:r w:rsidRPr="006850EF">
              <w:rPr>
                <w:color w:val="000000"/>
                <w:position w:val="6"/>
                <w:vertAlign w:val="superscript"/>
              </w:rPr>
              <w:t>-34</w:t>
            </w:r>
          </w:p>
        </w:tc>
        <w:tc>
          <w:tcPr>
            <w:tcW w:w="1720" w:type="dxa"/>
            <w:tcBorders>
              <w:top w:val="nil"/>
              <w:left w:val="single" w:sz="4" w:space="0" w:color="auto"/>
              <w:bottom w:val="single" w:sz="4" w:space="0" w:color="auto"/>
              <w:right w:val="single" w:sz="4" w:space="0" w:color="auto"/>
            </w:tcBorders>
            <w:vAlign w:val="bottom"/>
          </w:tcPr>
          <w:p w14:paraId="5173D05C" w14:textId="77777777" w:rsidR="00620174" w:rsidRPr="006850EF" w:rsidRDefault="00620174" w:rsidP="00620174">
            <w:pPr>
              <w:spacing w:after="60" w:line="240" w:lineRule="auto"/>
              <w:jc w:val="center"/>
              <w:rPr>
                <w:color w:val="000000"/>
                <w:position w:val="6"/>
              </w:rPr>
            </w:pPr>
            <w:r w:rsidRPr="006850EF">
              <w:rPr>
                <w:color w:val="000000"/>
                <w:position w:val="6"/>
              </w:rPr>
              <w:t>1.67x10</w:t>
            </w:r>
            <w:r w:rsidRPr="006850EF">
              <w:rPr>
                <w:color w:val="000000"/>
                <w:position w:val="6"/>
                <w:vertAlign w:val="superscript"/>
              </w:rPr>
              <w:t>-3</w:t>
            </w:r>
          </w:p>
        </w:tc>
        <w:tc>
          <w:tcPr>
            <w:tcW w:w="1720" w:type="dxa"/>
            <w:tcBorders>
              <w:top w:val="nil"/>
              <w:left w:val="single" w:sz="4" w:space="0" w:color="auto"/>
              <w:bottom w:val="single" w:sz="4" w:space="0" w:color="auto"/>
              <w:right w:val="single" w:sz="4" w:space="0" w:color="auto"/>
            </w:tcBorders>
            <w:vAlign w:val="bottom"/>
          </w:tcPr>
          <w:p w14:paraId="630D3C53" w14:textId="77777777" w:rsidR="00620174" w:rsidRPr="006850EF" w:rsidRDefault="00620174" w:rsidP="00620174">
            <w:pPr>
              <w:spacing w:after="60" w:line="240" w:lineRule="auto"/>
              <w:jc w:val="center"/>
              <w:rPr>
                <w:color w:val="000000"/>
                <w:position w:val="6"/>
              </w:rPr>
            </w:pPr>
            <w:r w:rsidRPr="006850EF">
              <w:rPr>
                <w:color w:val="000000"/>
                <w:position w:val="6"/>
              </w:rPr>
              <w:t>7.61x10</w:t>
            </w:r>
            <w:r w:rsidRPr="006850EF">
              <w:rPr>
                <w:color w:val="000000"/>
                <w:position w:val="6"/>
                <w:vertAlign w:val="superscript"/>
              </w:rPr>
              <w:t>-3</w:t>
            </w:r>
          </w:p>
        </w:tc>
        <w:tc>
          <w:tcPr>
            <w:tcW w:w="1720" w:type="dxa"/>
            <w:tcBorders>
              <w:top w:val="nil"/>
              <w:left w:val="single" w:sz="4" w:space="0" w:color="auto"/>
              <w:bottom w:val="single" w:sz="4" w:space="0" w:color="auto"/>
              <w:right w:val="single" w:sz="4" w:space="0" w:color="auto"/>
            </w:tcBorders>
            <w:vAlign w:val="bottom"/>
          </w:tcPr>
          <w:p w14:paraId="0DD0335E" w14:textId="77777777" w:rsidR="00620174" w:rsidRPr="006850EF" w:rsidRDefault="00620174" w:rsidP="00620174">
            <w:pPr>
              <w:spacing w:after="60" w:line="240" w:lineRule="auto"/>
              <w:jc w:val="center"/>
              <w:rPr>
                <w:color w:val="000000"/>
                <w:position w:val="6"/>
              </w:rPr>
            </w:pPr>
            <w:r w:rsidRPr="006850EF">
              <w:rPr>
                <w:color w:val="000000"/>
                <w:position w:val="6"/>
              </w:rPr>
              <w:t>0.0129</w:t>
            </w:r>
          </w:p>
        </w:tc>
        <w:tc>
          <w:tcPr>
            <w:tcW w:w="1720" w:type="dxa"/>
            <w:tcBorders>
              <w:top w:val="nil"/>
              <w:left w:val="single" w:sz="4" w:space="0" w:color="auto"/>
              <w:bottom w:val="single" w:sz="4" w:space="0" w:color="auto"/>
            </w:tcBorders>
            <w:vAlign w:val="bottom"/>
          </w:tcPr>
          <w:p w14:paraId="074F5041" w14:textId="77777777" w:rsidR="00620174" w:rsidRPr="006850EF" w:rsidRDefault="00620174" w:rsidP="00620174">
            <w:pPr>
              <w:spacing w:after="60" w:line="240" w:lineRule="auto"/>
              <w:jc w:val="center"/>
              <w:rPr>
                <w:color w:val="000000"/>
                <w:position w:val="6"/>
              </w:rPr>
            </w:pPr>
            <w:r w:rsidRPr="006850EF">
              <w:rPr>
                <w:color w:val="000000"/>
                <w:position w:val="6"/>
              </w:rPr>
              <w:t>0.0236</w:t>
            </w:r>
          </w:p>
        </w:tc>
      </w:tr>
      <w:tr w:rsidR="00620174" w:rsidRPr="006850EF" w14:paraId="60C2FC0F"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41A0E90C" w14:textId="77777777" w:rsidR="00620174" w:rsidRPr="006850EF" w:rsidRDefault="00620174" w:rsidP="00620174">
            <w:pPr>
              <w:spacing w:before="60" w:line="240" w:lineRule="auto"/>
              <w:jc w:val="center"/>
            </w:pPr>
            <w:proofErr w:type="spellStart"/>
            <w:r w:rsidRPr="006850EF">
              <w:t>LVESVi</w:t>
            </w:r>
            <w:proofErr w:type="spellEnd"/>
          </w:p>
        </w:tc>
        <w:tc>
          <w:tcPr>
            <w:tcW w:w="1841" w:type="dxa"/>
            <w:tcBorders>
              <w:top w:val="single" w:sz="4" w:space="0" w:color="auto"/>
              <w:left w:val="single" w:sz="4" w:space="0" w:color="auto"/>
              <w:right w:val="single" w:sz="4" w:space="0" w:color="auto"/>
            </w:tcBorders>
            <w:vAlign w:val="bottom"/>
          </w:tcPr>
          <w:p w14:paraId="55193DB6" w14:textId="77777777" w:rsidR="00620174" w:rsidRPr="006850EF" w:rsidRDefault="00620174" w:rsidP="00620174">
            <w:pPr>
              <w:spacing w:before="60" w:line="240" w:lineRule="auto"/>
              <w:jc w:val="center"/>
              <w:rPr>
                <w:color w:val="000000"/>
                <w:position w:val="6"/>
              </w:rPr>
            </w:pPr>
            <w:r w:rsidRPr="006850EF">
              <w:rPr>
                <w:color w:val="000000"/>
                <w:position w:val="6"/>
              </w:rPr>
              <w:t>-0.078*</w:t>
            </w:r>
          </w:p>
        </w:tc>
        <w:tc>
          <w:tcPr>
            <w:tcW w:w="1720" w:type="dxa"/>
            <w:tcBorders>
              <w:top w:val="single" w:sz="4" w:space="0" w:color="auto"/>
              <w:left w:val="single" w:sz="4" w:space="0" w:color="auto"/>
              <w:right w:val="single" w:sz="4" w:space="0" w:color="auto"/>
            </w:tcBorders>
            <w:vAlign w:val="bottom"/>
          </w:tcPr>
          <w:p w14:paraId="44614C7A" w14:textId="77777777" w:rsidR="00620174" w:rsidRPr="006850EF" w:rsidRDefault="00620174" w:rsidP="00620174">
            <w:pPr>
              <w:spacing w:before="60" w:line="240" w:lineRule="auto"/>
              <w:jc w:val="center"/>
              <w:rPr>
                <w:color w:val="000000"/>
                <w:position w:val="6"/>
              </w:rPr>
            </w:pPr>
            <w:r w:rsidRPr="006850EF">
              <w:rPr>
                <w:color w:val="000000"/>
                <w:position w:val="6"/>
              </w:rPr>
              <w:t>-0.017*</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63BFCA98" w14:textId="77777777" w:rsidR="00620174" w:rsidRPr="006850EF" w:rsidRDefault="00620174" w:rsidP="00620174">
            <w:pPr>
              <w:spacing w:before="60" w:line="240" w:lineRule="auto"/>
              <w:jc w:val="center"/>
              <w:rPr>
                <w:color w:val="000000"/>
                <w:position w:val="6"/>
              </w:rPr>
            </w:pPr>
            <w:r w:rsidRPr="006850EF">
              <w:rPr>
                <w:color w:val="000000"/>
                <w:position w:val="6"/>
              </w:rPr>
              <w:t>-0.016</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4FCC2719" w14:textId="77777777" w:rsidR="00620174" w:rsidRPr="006850EF" w:rsidRDefault="00620174" w:rsidP="00620174">
            <w:pPr>
              <w:spacing w:before="60" w:line="240" w:lineRule="auto"/>
              <w:jc w:val="center"/>
              <w:rPr>
                <w:color w:val="000000"/>
                <w:position w:val="6"/>
              </w:rPr>
            </w:pPr>
            <w:r w:rsidRPr="006850EF">
              <w:rPr>
                <w:color w:val="000000"/>
                <w:position w:val="6"/>
              </w:rPr>
              <w:t>-0.014</w:t>
            </w:r>
          </w:p>
        </w:tc>
        <w:tc>
          <w:tcPr>
            <w:tcW w:w="1720" w:type="dxa"/>
            <w:tcBorders>
              <w:top w:val="single" w:sz="4" w:space="0" w:color="auto"/>
              <w:left w:val="single" w:sz="4" w:space="0" w:color="auto"/>
            </w:tcBorders>
            <w:shd w:val="clear" w:color="auto" w:fill="F2F2F2" w:themeFill="background1" w:themeFillShade="F2"/>
            <w:vAlign w:val="bottom"/>
          </w:tcPr>
          <w:p w14:paraId="6604C9EA" w14:textId="77777777" w:rsidR="00620174" w:rsidRPr="006850EF" w:rsidRDefault="00620174" w:rsidP="00620174">
            <w:pPr>
              <w:spacing w:before="60" w:line="240" w:lineRule="auto"/>
              <w:jc w:val="center"/>
              <w:rPr>
                <w:color w:val="000000"/>
                <w:position w:val="6"/>
              </w:rPr>
            </w:pPr>
            <w:r w:rsidRPr="006850EF">
              <w:rPr>
                <w:color w:val="000000"/>
                <w:position w:val="6"/>
              </w:rPr>
              <w:t>-0.013</w:t>
            </w:r>
          </w:p>
        </w:tc>
      </w:tr>
      <w:tr w:rsidR="00620174" w:rsidRPr="006850EF" w14:paraId="46F9BF74"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334CB46D"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20B27F6F" w14:textId="77777777" w:rsidR="00620174" w:rsidRPr="006850EF" w:rsidRDefault="00620174" w:rsidP="00620174">
            <w:pPr>
              <w:spacing w:line="240" w:lineRule="auto"/>
              <w:jc w:val="center"/>
              <w:rPr>
                <w:color w:val="000000"/>
                <w:position w:val="6"/>
              </w:rPr>
            </w:pPr>
            <w:r w:rsidRPr="006850EF">
              <w:rPr>
                <w:color w:val="000000"/>
                <w:position w:val="6"/>
              </w:rPr>
              <w:t>[-0.094, -0.062]</w:t>
            </w:r>
          </w:p>
        </w:tc>
        <w:tc>
          <w:tcPr>
            <w:tcW w:w="1720" w:type="dxa"/>
            <w:tcBorders>
              <w:left w:val="single" w:sz="4" w:space="0" w:color="auto"/>
              <w:bottom w:val="nil"/>
              <w:right w:val="single" w:sz="4" w:space="0" w:color="auto"/>
            </w:tcBorders>
            <w:vAlign w:val="bottom"/>
          </w:tcPr>
          <w:p w14:paraId="7ACF83E3" w14:textId="77777777" w:rsidR="00620174" w:rsidRPr="006850EF" w:rsidRDefault="00620174" w:rsidP="00620174">
            <w:pPr>
              <w:spacing w:line="240" w:lineRule="auto"/>
              <w:jc w:val="center"/>
              <w:rPr>
                <w:color w:val="000000"/>
                <w:position w:val="6"/>
              </w:rPr>
            </w:pPr>
            <w:r w:rsidRPr="006850EF">
              <w:rPr>
                <w:color w:val="000000"/>
                <w:position w:val="6"/>
              </w:rPr>
              <w:t>[-0.033, -0.002]</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06038F02" w14:textId="77777777" w:rsidR="00620174" w:rsidRPr="006850EF" w:rsidRDefault="00620174" w:rsidP="00620174">
            <w:pPr>
              <w:spacing w:line="240" w:lineRule="auto"/>
              <w:jc w:val="center"/>
              <w:rPr>
                <w:color w:val="000000"/>
                <w:position w:val="6"/>
              </w:rPr>
            </w:pPr>
            <w:r w:rsidRPr="006850EF">
              <w:rPr>
                <w:color w:val="000000"/>
                <w:position w:val="6"/>
              </w:rPr>
              <w:t>[-0.031, -0.000]</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5191F6CC" w14:textId="77777777" w:rsidR="00620174" w:rsidRPr="006850EF" w:rsidRDefault="00620174" w:rsidP="00620174">
            <w:pPr>
              <w:spacing w:line="240" w:lineRule="auto"/>
              <w:jc w:val="center"/>
              <w:rPr>
                <w:color w:val="000000"/>
                <w:position w:val="6"/>
              </w:rPr>
            </w:pPr>
            <w:r w:rsidRPr="006850EF">
              <w:rPr>
                <w:color w:val="000000"/>
                <w:position w:val="6"/>
              </w:rPr>
              <w:t>[-0.030, 0.001]</w:t>
            </w:r>
          </w:p>
        </w:tc>
        <w:tc>
          <w:tcPr>
            <w:tcW w:w="1720" w:type="dxa"/>
            <w:tcBorders>
              <w:left w:val="single" w:sz="4" w:space="0" w:color="auto"/>
              <w:bottom w:val="nil"/>
            </w:tcBorders>
            <w:shd w:val="clear" w:color="auto" w:fill="F2F2F2" w:themeFill="background1" w:themeFillShade="F2"/>
            <w:vAlign w:val="bottom"/>
          </w:tcPr>
          <w:p w14:paraId="67B5DD5A" w14:textId="77777777" w:rsidR="00620174" w:rsidRPr="006850EF" w:rsidRDefault="00620174" w:rsidP="00620174">
            <w:pPr>
              <w:spacing w:line="240" w:lineRule="auto"/>
              <w:jc w:val="center"/>
              <w:rPr>
                <w:color w:val="000000"/>
                <w:position w:val="6"/>
              </w:rPr>
            </w:pPr>
            <w:r w:rsidRPr="006850EF">
              <w:rPr>
                <w:color w:val="000000"/>
                <w:position w:val="6"/>
              </w:rPr>
              <w:t>[-0.029, 0.002]</w:t>
            </w:r>
          </w:p>
        </w:tc>
      </w:tr>
      <w:tr w:rsidR="00620174" w:rsidRPr="006850EF" w14:paraId="58DC2341"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7632A558"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0FFE29DE" w14:textId="77777777" w:rsidR="00620174" w:rsidRPr="006850EF" w:rsidRDefault="00620174" w:rsidP="00620174">
            <w:pPr>
              <w:spacing w:after="60" w:line="240" w:lineRule="auto"/>
              <w:jc w:val="center"/>
              <w:rPr>
                <w:color w:val="000000"/>
                <w:position w:val="6"/>
              </w:rPr>
            </w:pPr>
            <w:r w:rsidRPr="006850EF">
              <w:rPr>
                <w:color w:val="000000"/>
                <w:position w:val="6"/>
              </w:rPr>
              <w:t>4.50x10</w:t>
            </w:r>
            <w:r w:rsidRPr="006850EF">
              <w:rPr>
                <w:color w:val="000000"/>
                <w:position w:val="6"/>
                <w:vertAlign w:val="superscript"/>
              </w:rPr>
              <w:t>-21</w:t>
            </w:r>
          </w:p>
        </w:tc>
        <w:tc>
          <w:tcPr>
            <w:tcW w:w="1720" w:type="dxa"/>
            <w:tcBorders>
              <w:top w:val="nil"/>
              <w:left w:val="single" w:sz="4" w:space="0" w:color="auto"/>
              <w:bottom w:val="single" w:sz="4" w:space="0" w:color="auto"/>
              <w:right w:val="single" w:sz="4" w:space="0" w:color="auto"/>
            </w:tcBorders>
            <w:vAlign w:val="bottom"/>
          </w:tcPr>
          <w:p w14:paraId="2498D7BB" w14:textId="77777777" w:rsidR="00620174" w:rsidRPr="006850EF" w:rsidRDefault="00620174" w:rsidP="00620174">
            <w:pPr>
              <w:spacing w:after="60" w:line="240" w:lineRule="auto"/>
              <w:jc w:val="center"/>
              <w:rPr>
                <w:color w:val="000000"/>
                <w:position w:val="6"/>
              </w:rPr>
            </w:pPr>
            <w:r w:rsidRPr="006850EF">
              <w:rPr>
                <w:color w:val="000000"/>
                <w:position w:val="6"/>
              </w:rPr>
              <w:t>0.0322</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1698EF9C" w14:textId="77777777" w:rsidR="00620174" w:rsidRPr="006850EF" w:rsidRDefault="00620174" w:rsidP="00620174">
            <w:pPr>
              <w:spacing w:after="60" w:line="240" w:lineRule="auto"/>
              <w:jc w:val="center"/>
              <w:rPr>
                <w:color w:val="000000"/>
                <w:position w:val="6"/>
              </w:rPr>
            </w:pPr>
            <w:r w:rsidRPr="006850EF">
              <w:rPr>
                <w:color w:val="000000"/>
                <w:position w:val="6"/>
              </w:rPr>
              <w:t>0.0580</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042D02E0" w14:textId="77777777" w:rsidR="00620174" w:rsidRPr="006850EF" w:rsidRDefault="00620174" w:rsidP="00620174">
            <w:pPr>
              <w:spacing w:after="60" w:line="240" w:lineRule="auto"/>
              <w:jc w:val="center"/>
              <w:rPr>
                <w:color w:val="000000"/>
                <w:position w:val="6"/>
              </w:rPr>
            </w:pPr>
            <w:r w:rsidRPr="006850EF">
              <w:rPr>
                <w:color w:val="000000"/>
                <w:position w:val="6"/>
              </w:rPr>
              <w:t>0.0779</w:t>
            </w:r>
          </w:p>
        </w:tc>
        <w:tc>
          <w:tcPr>
            <w:tcW w:w="1720" w:type="dxa"/>
            <w:tcBorders>
              <w:top w:val="nil"/>
              <w:left w:val="single" w:sz="4" w:space="0" w:color="auto"/>
              <w:bottom w:val="single" w:sz="4" w:space="0" w:color="auto"/>
            </w:tcBorders>
            <w:shd w:val="clear" w:color="auto" w:fill="F2F2F2" w:themeFill="background1" w:themeFillShade="F2"/>
            <w:vAlign w:val="bottom"/>
          </w:tcPr>
          <w:p w14:paraId="4DD3FEA0" w14:textId="77777777" w:rsidR="00620174" w:rsidRPr="006850EF" w:rsidRDefault="00620174" w:rsidP="00620174">
            <w:pPr>
              <w:spacing w:after="60" w:line="240" w:lineRule="auto"/>
              <w:jc w:val="center"/>
              <w:rPr>
                <w:color w:val="000000"/>
                <w:position w:val="6"/>
              </w:rPr>
            </w:pPr>
            <w:r w:rsidRPr="006850EF">
              <w:rPr>
                <w:color w:val="000000"/>
                <w:position w:val="6"/>
              </w:rPr>
              <w:t>0.1067</w:t>
            </w:r>
          </w:p>
        </w:tc>
      </w:tr>
      <w:tr w:rsidR="00620174" w:rsidRPr="006850EF" w14:paraId="76194A21"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10415A5E" w14:textId="77777777" w:rsidR="00620174" w:rsidRPr="006850EF" w:rsidRDefault="00620174" w:rsidP="00620174">
            <w:pPr>
              <w:spacing w:before="60" w:line="240" w:lineRule="auto"/>
              <w:jc w:val="center"/>
            </w:pPr>
            <w:r w:rsidRPr="006850EF">
              <w:t>LVEF</w:t>
            </w:r>
          </w:p>
        </w:tc>
        <w:tc>
          <w:tcPr>
            <w:tcW w:w="1841" w:type="dxa"/>
            <w:tcBorders>
              <w:top w:val="single" w:sz="4" w:space="0" w:color="auto"/>
              <w:left w:val="single" w:sz="4" w:space="0" w:color="auto"/>
              <w:right w:val="single" w:sz="4" w:space="0" w:color="auto"/>
            </w:tcBorders>
            <w:vAlign w:val="bottom"/>
          </w:tcPr>
          <w:p w14:paraId="36349540" w14:textId="77777777" w:rsidR="00620174" w:rsidRPr="006850EF" w:rsidRDefault="00620174" w:rsidP="00620174">
            <w:pPr>
              <w:spacing w:before="60" w:line="240" w:lineRule="auto"/>
              <w:jc w:val="center"/>
              <w:rPr>
                <w:color w:val="000000"/>
                <w:position w:val="6"/>
              </w:rPr>
            </w:pPr>
            <w:r w:rsidRPr="006850EF">
              <w:rPr>
                <w:color w:val="000000"/>
                <w:position w:val="6"/>
              </w:rPr>
              <w:t>0.022*</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1A4E8E92" w14:textId="77777777" w:rsidR="00620174" w:rsidRPr="006850EF" w:rsidRDefault="00620174" w:rsidP="00620174">
            <w:pPr>
              <w:spacing w:before="60" w:line="240" w:lineRule="auto"/>
              <w:jc w:val="center"/>
              <w:rPr>
                <w:color w:val="000000"/>
                <w:position w:val="6"/>
              </w:rPr>
            </w:pPr>
            <w:r w:rsidRPr="006850EF">
              <w:rPr>
                <w:color w:val="000000"/>
                <w:position w:val="6"/>
              </w:rPr>
              <w:t>0.002</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52C0341B" w14:textId="77777777" w:rsidR="00620174" w:rsidRPr="006850EF" w:rsidRDefault="00620174" w:rsidP="00620174">
            <w:pPr>
              <w:spacing w:before="60" w:line="240" w:lineRule="auto"/>
              <w:jc w:val="center"/>
              <w:rPr>
                <w:color w:val="000000"/>
                <w:position w:val="6"/>
              </w:rPr>
            </w:pPr>
            <w:r w:rsidRPr="006850EF">
              <w:rPr>
                <w:color w:val="000000"/>
                <w:position w:val="6"/>
              </w:rPr>
              <w:t>0.003</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329BCB13" w14:textId="77777777" w:rsidR="00620174" w:rsidRPr="006850EF" w:rsidRDefault="00620174" w:rsidP="00620174">
            <w:pPr>
              <w:spacing w:before="60" w:line="240" w:lineRule="auto"/>
              <w:jc w:val="center"/>
              <w:rPr>
                <w:color w:val="000000"/>
                <w:position w:val="6"/>
              </w:rPr>
            </w:pPr>
            <w:r w:rsidRPr="006850EF">
              <w:rPr>
                <w:color w:val="000000"/>
                <w:position w:val="6"/>
              </w:rPr>
              <w:t>0.003</w:t>
            </w:r>
          </w:p>
        </w:tc>
        <w:tc>
          <w:tcPr>
            <w:tcW w:w="1720" w:type="dxa"/>
            <w:tcBorders>
              <w:top w:val="single" w:sz="4" w:space="0" w:color="auto"/>
              <w:left w:val="single" w:sz="4" w:space="0" w:color="auto"/>
            </w:tcBorders>
            <w:shd w:val="clear" w:color="auto" w:fill="F2F2F2" w:themeFill="background1" w:themeFillShade="F2"/>
            <w:vAlign w:val="bottom"/>
          </w:tcPr>
          <w:p w14:paraId="1DCA5486" w14:textId="77777777" w:rsidR="00620174" w:rsidRPr="006850EF" w:rsidRDefault="00620174" w:rsidP="00620174">
            <w:pPr>
              <w:spacing w:before="60" w:line="240" w:lineRule="auto"/>
              <w:jc w:val="center"/>
              <w:rPr>
                <w:color w:val="000000"/>
                <w:position w:val="6"/>
              </w:rPr>
            </w:pPr>
            <w:r w:rsidRPr="006850EF">
              <w:rPr>
                <w:color w:val="000000"/>
                <w:position w:val="6"/>
              </w:rPr>
              <w:t>0.003</w:t>
            </w:r>
          </w:p>
        </w:tc>
      </w:tr>
      <w:tr w:rsidR="00620174" w:rsidRPr="006850EF" w14:paraId="3242CAAC"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433DCFB2"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3555B54F" w14:textId="77777777" w:rsidR="00620174" w:rsidRPr="006850EF" w:rsidRDefault="00620174" w:rsidP="00620174">
            <w:pPr>
              <w:spacing w:line="240" w:lineRule="auto"/>
              <w:jc w:val="center"/>
              <w:rPr>
                <w:color w:val="000000"/>
                <w:position w:val="6"/>
              </w:rPr>
            </w:pPr>
            <w:r w:rsidRPr="006850EF">
              <w:rPr>
                <w:color w:val="000000"/>
                <w:position w:val="6"/>
              </w:rPr>
              <w:t>[0.007, 0.038]</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341962C7" w14:textId="77777777" w:rsidR="00620174" w:rsidRPr="006850EF" w:rsidRDefault="00620174" w:rsidP="00620174">
            <w:pPr>
              <w:spacing w:line="240" w:lineRule="auto"/>
              <w:jc w:val="center"/>
              <w:rPr>
                <w:color w:val="000000"/>
                <w:position w:val="6"/>
              </w:rPr>
            </w:pPr>
            <w:r w:rsidRPr="006850EF">
              <w:rPr>
                <w:color w:val="000000"/>
                <w:position w:val="6"/>
              </w:rPr>
              <w:t>[-0.013, 0.017]</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4CEF4648" w14:textId="77777777" w:rsidR="00620174" w:rsidRPr="006850EF" w:rsidRDefault="00620174" w:rsidP="00620174">
            <w:pPr>
              <w:spacing w:line="240" w:lineRule="auto"/>
              <w:jc w:val="center"/>
              <w:rPr>
                <w:color w:val="000000"/>
                <w:position w:val="6"/>
              </w:rPr>
            </w:pPr>
            <w:r w:rsidRPr="006850EF">
              <w:rPr>
                <w:color w:val="000000"/>
                <w:position w:val="6"/>
              </w:rPr>
              <w:t>[-0.012, 0.018]</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126817C5" w14:textId="77777777" w:rsidR="00620174" w:rsidRPr="006850EF" w:rsidRDefault="00620174" w:rsidP="00620174">
            <w:pPr>
              <w:spacing w:line="240" w:lineRule="auto"/>
              <w:jc w:val="center"/>
              <w:rPr>
                <w:color w:val="000000"/>
                <w:position w:val="6"/>
              </w:rPr>
            </w:pPr>
            <w:r w:rsidRPr="006850EF">
              <w:rPr>
                <w:color w:val="000000"/>
                <w:position w:val="6"/>
              </w:rPr>
              <w:t>[-0.012, 0.018]</w:t>
            </w:r>
          </w:p>
        </w:tc>
        <w:tc>
          <w:tcPr>
            <w:tcW w:w="1720" w:type="dxa"/>
            <w:tcBorders>
              <w:left w:val="single" w:sz="4" w:space="0" w:color="auto"/>
              <w:bottom w:val="nil"/>
            </w:tcBorders>
            <w:shd w:val="clear" w:color="auto" w:fill="F2F2F2" w:themeFill="background1" w:themeFillShade="F2"/>
            <w:vAlign w:val="bottom"/>
          </w:tcPr>
          <w:p w14:paraId="3E648B5A" w14:textId="77777777" w:rsidR="00620174" w:rsidRPr="006850EF" w:rsidRDefault="00620174" w:rsidP="00620174">
            <w:pPr>
              <w:spacing w:line="240" w:lineRule="auto"/>
              <w:jc w:val="center"/>
              <w:rPr>
                <w:color w:val="000000"/>
                <w:position w:val="6"/>
              </w:rPr>
            </w:pPr>
            <w:r w:rsidRPr="006850EF">
              <w:rPr>
                <w:color w:val="000000"/>
                <w:position w:val="6"/>
              </w:rPr>
              <w:t>[-0.012, 0.018]</w:t>
            </w:r>
          </w:p>
        </w:tc>
      </w:tr>
      <w:tr w:rsidR="00620174" w:rsidRPr="006850EF" w14:paraId="4AF006CB"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4765ED32"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2C49604C" w14:textId="77777777" w:rsidR="00620174" w:rsidRPr="006850EF" w:rsidRDefault="00620174" w:rsidP="00620174">
            <w:pPr>
              <w:spacing w:after="60" w:line="240" w:lineRule="auto"/>
              <w:jc w:val="center"/>
              <w:rPr>
                <w:color w:val="000000"/>
                <w:position w:val="6"/>
              </w:rPr>
            </w:pPr>
            <w:r w:rsidRPr="006850EF">
              <w:rPr>
                <w:color w:val="000000"/>
                <w:position w:val="6"/>
              </w:rPr>
              <w:t>8.41x10</w:t>
            </w:r>
            <w:r w:rsidRPr="006850EF">
              <w:rPr>
                <w:color w:val="000000"/>
                <w:position w:val="6"/>
                <w:vertAlign w:val="superscript"/>
              </w:rPr>
              <w:t>-3</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160001E1" w14:textId="77777777" w:rsidR="00620174" w:rsidRPr="006850EF" w:rsidRDefault="00620174" w:rsidP="00620174">
            <w:pPr>
              <w:spacing w:after="60" w:line="240" w:lineRule="auto"/>
              <w:jc w:val="center"/>
              <w:rPr>
                <w:color w:val="000000"/>
                <w:position w:val="6"/>
              </w:rPr>
            </w:pPr>
            <w:r w:rsidRPr="006850EF">
              <w:rPr>
                <w:color w:val="000000"/>
                <w:position w:val="6"/>
              </w:rPr>
              <w:t>0.7985</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1954C60B" w14:textId="77777777" w:rsidR="00620174" w:rsidRPr="006850EF" w:rsidRDefault="00620174" w:rsidP="00620174">
            <w:pPr>
              <w:spacing w:after="60" w:line="240" w:lineRule="auto"/>
              <w:jc w:val="center"/>
              <w:rPr>
                <w:color w:val="000000"/>
                <w:position w:val="6"/>
              </w:rPr>
            </w:pPr>
            <w:r w:rsidRPr="006850EF">
              <w:rPr>
                <w:color w:val="000000"/>
                <w:position w:val="6"/>
              </w:rPr>
              <w:t>0.7262</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643E5B67" w14:textId="77777777" w:rsidR="00620174" w:rsidRPr="006850EF" w:rsidRDefault="00620174" w:rsidP="00620174">
            <w:pPr>
              <w:spacing w:after="60" w:line="240" w:lineRule="auto"/>
              <w:jc w:val="center"/>
              <w:rPr>
                <w:color w:val="000000"/>
                <w:position w:val="6"/>
              </w:rPr>
            </w:pPr>
            <w:r w:rsidRPr="006850EF">
              <w:rPr>
                <w:color w:val="000000"/>
                <w:position w:val="6"/>
              </w:rPr>
              <w:t>0.7318</w:t>
            </w:r>
          </w:p>
        </w:tc>
        <w:tc>
          <w:tcPr>
            <w:tcW w:w="1720" w:type="dxa"/>
            <w:tcBorders>
              <w:top w:val="nil"/>
              <w:left w:val="single" w:sz="4" w:space="0" w:color="auto"/>
              <w:bottom w:val="single" w:sz="4" w:space="0" w:color="auto"/>
            </w:tcBorders>
            <w:shd w:val="clear" w:color="auto" w:fill="F2F2F2" w:themeFill="background1" w:themeFillShade="F2"/>
            <w:vAlign w:val="bottom"/>
          </w:tcPr>
          <w:p w14:paraId="47455C3A" w14:textId="77777777" w:rsidR="00620174" w:rsidRPr="006850EF" w:rsidRDefault="00620174" w:rsidP="00620174">
            <w:pPr>
              <w:spacing w:after="60" w:line="240" w:lineRule="auto"/>
              <w:jc w:val="center"/>
              <w:rPr>
                <w:color w:val="000000"/>
                <w:position w:val="6"/>
              </w:rPr>
            </w:pPr>
            <w:r w:rsidRPr="006850EF">
              <w:rPr>
                <w:color w:val="000000"/>
                <w:position w:val="6"/>
              </w:rPr>
              <w:t>0.7262</w:t>
            </w:r>
          </w:p>
        </w:tc>
      </w:tr>
      <w:tr w:rsidR="00620174" w:rsidRPr="006850EF" w14:paraId="73802624"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75417EE5" w14:textId="77777777" w:rsidR="00620174" w:rsidRPr="006850EF" w:rsidRDefault="00620174" w:rsidP="00620174">
            <w:pPr>
              <w:spacing w:before="60" w:line="240" w:lineRule="auto"/>
              <w:jc w:val="center"/>
            </w:pPr>
            <w:proofErr w:type="spellStart"/>
            <w:r w:rsidRPr="006850EF">
              <w:t>LVSVi</w:t>
            </w:r>
            <w:proofErr w:type="spellEnd"/>
          </w:p>
        </w:tc>
        <w:tc>
          <w:tcPr>
            <w:tcW w:w="1841" w:type="dxa"/>
            <w:tcBorders>
              <w:top w:val="single" w:sz="4" w:space="0" w:color="auto"/>
              <w:left w:val="single" w:sz="4" w:space="0" w:color="auto"/>
              <w:right w:val="single" w:sz="4" w:space="0" w:color="auto"/>
            </w:tcBorders>
            <w:vAlign w:val="bottom"/>
          </w:tcPr>
          <w:p w14:paraId="6CAE1FA2" w14:textId="77777777" w:rsidR="00620174" w:rsidRPr="006850EF" w:rsidRDefault="00620174" w:rsidP="00620174">
            <w:pPr>
              <w:spacing w:before="60" w:line="240" w:lineRule="auto"/>
              <w:jc w:val="center"/>
              <w:rPr>
                <w:color w:val="000000"/>
                <w:position w:val="6"/>
              </w:rPr>
            </w:pPr>
            <w:r w:rsidRPr="006850EF">
              <w:rPr>
                <w:color w:val="000000"/>
                <w:position w:val="6"/>
              </w:rPr>
              <w:t>-0.083*</w:t>
            </w:r>
          </w:p>
        </w:tc>
        <w:tc>
          <w:tcPr>
            <w:tcW w:w="1720" w:type="dxa"/>
            <w:tcBorders>
              <w:top w:val="single" w:sz="4" w:space="0" w:color="auto"/>
              <w:left w:val="single" w:sz="4" w:space="0" w:color="auto"/>
              <w:right w:val="single" w:sz="4" w:space="0" w:color="auto"/>
            </w:tcBorders>
            <w:vAlign w:val="bottom"/>
          </w:tcPr>
          <w:p w14:paraId="6F008136" w14:textId="77777777" w:rsidR="00620174" w:rsidRPr="006850EF" w:rsidRDefault="00620174" w:rsidP="00620174">
            <w:pPr>
              <w:spacing w:before="60" w:line="240" w:lineRule="auto"/>
              <w:jc w:val="center"/>
              <w:rPr>
                <w:color w:val="000000"/>
                <w:position w:val="6"/>
              </w:rPr>
            </w:pPr>
            <w:r w:rsidRPr="006850EF">
              <w:rPr>
                <w:color w:val="000000"/>
                <w:position w:val="6"/>
              </w:rPr>
              <w:t>-0.023*</w:t>
            </w:r>
          </w:p>
        </w:tc>
        <w:tc>
          <w:tcPr>
            <w:tcW w:w="1720" w:type="dxa"/>
            <w:tcBorders>
              <w:top w:val="single" w:sz="4" w:space="0" w:color="auto"/>
              <w:left w:val="single" w:sz="4" w:space="0" w:color="auto"/>
              <w:right w:val="single" w:sz="4" w:space="0" w:color="auto"/>
            </w:tcBorders>
            <w:vAlign w:val="bottom"/>
          </w:tcPr>
          <w:p w14:paraId="0169DC19" w14:textId="77777777" w:rsidR="00620174" w:rsidRPr="006850EF" w:rsidRDefault="00620174" w:rsidP="00620174">
            <w:pPr>
              <w:spacing w:before="60" w:line="240" w:lineRule="auto"/>
              <w:jc w:val="center"/>
              <w:rPr>
                <w:color w:val="000000"/>
                <w:position w:val="6"/>
              </w:rPr>
            </w:pPr>
            <w:r w:rsidRPr="006850EF">
              <w:rPr>
                <w:color w:val="000000"/>
                <w:position w:val="6"/>
              </w:rPr>
              <w:t>-0.019*</w:t>
            </w:r>
          </w:p>
        </w:tc>
        <w:tc>
          <w:tcPr>
            <w:tcW w:w="1720" w:type="dxa"/>
            <w:tcBorders>
              <w:top w:val="single" w:sz="4" w:space="0" w:color="auto"/>
              <w:left w:val="single" w:sz="4" w:space="0" w:color="auto"/>
              <w:right w:val="single" w:sz="4" w:space="0" w:color="auto"/>
            </w:tcBorders>
            <w:shd w:val="clear" w:color="auto" w:fill="auto"/>
            <w:vAlign w:val="bottom"/>
          </w:tcPr>
          <w:p w14:paraId="552D58B6" w14:textId="77777777" w:rsidR="00620174" w:rsidRPr="006850EF" w:rsidRDefault="00620174" w:rsidP="00620174">
            <w:pPr>
              <w:spacing w:before="60" w:line="240" w:lineRule="auto"/>
              <w:jc w:val="center"/>
              <w:rPr>
                <w:color w:val="000000"/>
                <w:position w:val="6"/>
              </w:rPr>
            </w:pPr>
            <w:r w:rsidRPr="006850EF">
              <w:rPr>
                <w:color w:val="000000"/>
                <w:position w:val="6"/>
              </w:rPr>
              <w:t>-0.018*</w:t>
            </w:r>
          </w:p>
        </w:tc>
        <w:tc>
          <w:tcPr>
            <w:tcW w:w="1720" w:type="dxa"/>
            <w:tcBorders>
              <w:top w:val="single" w:sz="4" w:space="0" w:color="auto"/>
              <w:left w:val="single" w:sz="4" w:space="0" w:color="auto"/>
            </w:tcBorders>
            <w:shd w:val="clear" w:color="auto" w:fill="F2F2F2" w:themeFill="background1" w:themeFillShade="F2"/>
            <w:vAlign w:val="bottom"/>
          </w:tcPr>
          <w:p w14:paraId="47B12FB6" w14:textId="77777777" w:rsidR="00620174" w:rsidRPr="006850EF" w:rsidRDefault="00620174" w:rsidP="00620174">
            <w:pPr>
              <w:spacing w:before="60" w:line="240" w:lineRule="auto"/>
              <w:jc w:val="center"/>
              <w:rPr>
                <w:color w:val="000000"/>
                <w:position w:val="6"/>
              </w:rPr>
            </w:pPr>
            <w:r w:rsidRPr="006850EF">
              <w:rPr>
                <w:color w:val="000000"/>
                <w:position w:val="6"/>
              </w:rPr>
              <w:t>-0.016</w:t>
            </w:r>
          </w:p>
        </w:tc>
      </w:tr>
      <w:tr w:rsidR="00620174" w:rsidRPr="006850EF" w14:paraId="3F9BB7A2"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164428CB"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4FDDB502" w14:textId="77777777" w:rsidR="00620174" w:rsidRPr="006850EF" w:rsidRDefault="00620174" w:rsidP="00620174">
            <w:pPr>
              <w:spacing w:line="240" w:lineRule="auto"/>
              <w:jc w:val="center"/>
              <w:rPr>
                <w:color w:val="000000"/>
                <w:position w:val="6"/>
              </w:rPr>
            </w:pPr>
            <w:r w:rsidRPr="006850EF">
              <w:rPr>
                <w:color w:val="000000"/>
                <w:position w:val="6"/>
              </w:rPr>
              <w:t>[-0.099, -0.067]</w:t>
            </w:r>
          </w:p>
        </w:tc>
        <w:tc>
          <w:tcPr>
            <w:tcW w:w="1720" w:type="dxa"/>
            <w:tcBorders>
              <w:left w:val="single" w:sz="4" w:space="0" w:color="auto"/>
              <w:bottom w:val="nil"/>
              <w:right w:val="single" w:sz="4" w:space="0" w:color="auto"/>
            </w:tcBorders>
            <w:vAlign w:val="bottom"/>
          </w:tcPr>
          <w:p w14:paraId="0775EF96" w14:textId="77777777" w:rsidR="00620174" w:rsidRPr="006850EF" w:rsidRDefault="00620174" w:rsidP="00620174">
            <w:pPr>
              <w:spacing w:line="240" w:lineRule="auto"/>
              <w:jc w:val="center"/>
              <w:rPr>
                <w:color w:val="000000"/>
                <w:position w:val="6"/>
              </w:rPr>
            </w:pPr>
            <w:r w:rsidRPr="006850EF">
              <w:rPr>
                <w:color w:val="000000"/>
                <w:position w:val="6"/>
              </w:rPr>
              <w:t>[-0.039, -0.008]</w:t>
            </w:r>
          </w:p>
        </w:tc>
        <w:tc>
          <w:tcPr>
            <w:tcW w:w="1720" w:type="dxa"/>
            <w:tcBorders>
              <w:left w:val="single" w:sz="4" w:space="0" w:color="auto"/>
              <w:bottom w:val="nil"/>
              <w:right w:val="single" w:sz="4" w:space="0" w:color="auto"/>
            </w:tcBorders>
            <w:vAlign w:val="bottom"/>
          </w:tcPr>
          <w:p w14:paraId="52750982" w14:textId="77777777" w:rsidR="00620174" w:rsidRPr="006850EF" w:rsidRDefault="00620174" w:rsidP="00620174">
            <w:pPr>
              <w:spacing w:line="240" w:lineRule="auto"/>
              <w:jc w:val="center"/>
              <w:rPr>
                <w:color w:val="000000"/>
                <w:position w:val="6"/>
              </w:rPr>
            </w:pPr>
            <w:r w:rsidRPr="006850EF">
              <w:rPr>
                <w:color w:val="000000"/>
                <w:position w:val="6"/>
              </w:rPr>
              <w:t>[-0.035, -0.004]</w:t>
            </w:r>
          </w:p>
        </w:tc>
        <w:tc>
          <w:tcPr>
            <w:tcW w:w="1720" w:type="dxa"/>
            <w:tcBorders>
              <w:left w:val="single" w:sz="4" w:space="0" w:color="auto"/>
              <w:bottom w:val="nil"/>
              <w:right w:val="single" w:sz="4" w:space="0" w:color="auto"/>
            </w:tcBorders>
            <w:shd w:val="clear" w:color="auto" w:fill="auto"/>
            <w:vAlign w:val="bottom"/>
          </w:tcPr>
          <w:p w14:paraId="6EFAAD05" w14:textId="77777777" w:rsidR="00620174" w:rsidRPr="006850EF" w:rsidRDefault="00620174" w:rsidP="00620174">
            <w:pPr>
              <w:spacing w:line="240" w:lineRule="auto"/>
              <w:jc w:val="center"/>
              <w:rPr>
                <w:color w:val="000000"/>
                <w:position w:val="6"/>
              </w:rPr>
            </w:pPr>
            <w:r w:rsidRPr="006850EF">
              <w:rPr>
                <w:color w:val="000000"/>
                <w:position w:val="6"/>
              </w:rPr>
              <w:t>[-0.033, -0.002]</w:t>
            </w:r>
          </w:p>
        </w:tc>
        <w:tc>
          <w:tcPr>
            <w:tcW w:w="1720" w:type="dxa"/>
            <w:tcBorders>
              <w:left w:val="single" w:sz="4" w:space="0" w:color="auto"/>
              <w:bottom w:val="nil"/>
            </w:tcBorders>
            <w:shd w:val="clear" w:color="auto" w:fill="F2F2F2" w:themeFill="background1" w:themeFillShade="F2"/>
            <w:vAlign w:val="bottom"/>
          </w:tcPr>
          <w:p w14:paraId="21CC8F21" w14:textId="77777777" w:rsidR="00620174" w:rsidRPr="006850EF" w:rsidRDefault="00620174" w:rsidP="00620174">
            <w:pPr>
              <w:spacing w:line="240" w:lineRule="auto"/>
              <w:jc w:val="center"/>
              <w:rPr>
                <w:color w:val="000000"/>
                <w:position w:val="6"/>
              </w:rPr>
            </w:pPr>
            <w:r w:rsidRPr="006850EF">
              <w:rPr>
                <w:color w:val="000000"/>
                <w:position w:val="6"/>
              </w:rPr>
              <w:t>[-0.032, -0.000]</w:t>
            </w:r>
          </w:p>
        </w:tc>
      </w:tr>
      <w:tr w:rsidR="00620174" w:rsidRPr="006850EF" w14:paraId="59B9682E"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53E0A91A"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6CC42FD2" w14:textId="77777777" w:rsidR="00620174" w:rsidRPr="006850EF" w:rsidRDefault="00620174" w:rsidP="00620174">
            <w:pPr>
              <w:spacing w:after="60" w:line="240" w:lineRule="auto"/>
              <w:jc w:val="center"/>
              <w:rPr>
                <w:color w:val="000000"/>
                <w:position w:val="6"/>
              </w:rPr>
            </w:pPr>
            <w:r w:rsidRPr="006850EF">
              <w:rPr>
                <w:color w:val="000000"/>
                <w:position w:val="6"/>
              </w:rPr>
              <w:t>1.60x10</w:t>
            </w:r>
            <w:r w:rsidRPr="006850EF">
              <w:rPr>
                <w:color w:val="000000"/>
                <w:position w:val="6"/>
                <w:vertAlign w:val="superscript"/>
              </w:rPr>
              <w:t>-23</w:t>
            </w:r>
          </w:p>
        </w:tc>
        <w:tc>
          <w:tcPr>
            <w:tcW w:w="1720" w:type="dxa"/>
            <w:tcBorders>
              <w:top w:val="nil"/>
              <w:left w:val="single" w:sz="4" w:space="0" w:color="auto"/>
              <w:bottom w:val="single" w:sz="4" w:space="0" w:color="auto"/>
              <w:right w:val="single" w:sz="4" w:space="0" w:color="auto"/>
            </w:tcBorders>
            <w:vAlign w:val="bottom"/>
          </w:tcPr>
          <w:p w14:paraId="3D6B8247" w14:textId="77777777" w:rsidR="00620174" w:rsidRPr="006850EF" w:rsidRDefault="00620174" w:rsidP="00620174">
            <w:pPr>
              <w:spacing w:after="60" w:line="240" w:lineRule="auto"/>
              <w:jc w:val="center"/>
              <w:rPr>
                <w:color w:val="000000"/>
                <w:position w:val="6"/>
              </w:rPr>
            </w:pPr>
            <w:r w:rsidRPr="006850EF">
              <w:rPr>
                <w:color w:val="000000"/>
                <w:position w:val="6"/>
              </w:rPr>
              <w:t>4.98x10</w:t>
            </w:r>
            <w:r w:rsidRPr="006850EF">
              <w:rPr>
                <w:color w:val="000000"/>
                <w:position w:val="6"/>
                <w:vertAlign w:val="superscript"/>
              </w:rPr>
              <w:t>-3</w:t>
            </w:r>
          </w:p>
        </w:tc>
        <w:tc>
          <w:tcPr>
            <w:tcW w:w="1720" w:type="dxa"/>
            <w:tcBorders>
              <w:top w:val="nil"/>
              <w:left w:val="single" w:sz="4" w:space="0" w:color="auto"/>
              <w:bottom w:val="single" w:sz="4" w:space="0" w:color="auto"/>
              <w:right w:val="single" w:sz="4" w:space="0" w:color="auto"/>
            </w:tcBorders>
            <w:vAlign w:val="bottom"/>
          </w:tcPr>
          <w:p w14:paraId="6071A25A" w14:textId="77777777" w:rsidR="00620174" w:rsidRPr="006850EF" w:rsidRDefault="00620174" w:rsidP="00620174">
            <w:pPr>
              <w:spacing w:after="60" w:line="240" w:lineRule="auto"/>
              <w:jc w:val="center"/>
              <w:rPr>
                <w:color w:val="000000"/>
                <w:position w:val="6"/>
              </w:rPr>
            </w:pPr>
            <w:r w:rsidRPr="006850EF">
              <w:rPr>
                <w:color w:val="000000"/>
                <w:position w:val="6"/>
              </w:rPr>
              <w:t>0.0203</w:t>
            </w:r>
          </w:p>
        </w:tc>
        <w:tc>
          <w:tcPr>
            <w:tcW w:w="1720" w:type="dxa"/>
            <w:tcBorders>
              <w:top w:val="nil"/>
              <w:left w:val="single" w:sz="4" w:space="0" w:color="auto"/>
              <w:bottom w:val="single" w:sz="4" w:space="0" w:color="auto"/>
              <w:right w:val="single" w:sz="4" w:space="0" w:color="auto"/>
            </w:tcBorders>
            <w:shd w:val="clear" w:color="auto" w:fill="auto"/>
            <w:vAlign w:val="bottom"/>
          </w:tcPr>
          <w:p w14:paraId="026E3842" w14:textId="77777777" w:rsidR="00620174" w:rsidRPr="006850EF" w:rsidRDefault="00620174" w:rsidP="00620174">
            <w:pPr>
              <w:spacing w:after="60" w:line="240" w:lineRule="auto"/>
              <w:jc w:val="center"/>
              <w:rPr>
                <w:color w:val="000000"/>
                <w:position w:val="6"/>
              </w:rPr>
            </w:pPr>
            <w:r w:rsidRPr="006850EF">
              <w:rPr>
                <w:color w:val="000000"/>
                <w:position w:val="6"/>
              </w:rPr>
              <w:t>0.0307</w:t>
            </w:r>
          </w:p>
        </w:tc>
        <w:tc>
          <w:tcPr>
            <w:tcW w:w="1720" w:type="dxa"/>
            <w:tcBorders>
              <w:top w:val="nil"/>
              <w:left w:val="single" w:sz="4" w:space="0" w:color="auto"/>
              <w:bottom w:val="single" w:sz="4" w:space="0" w:color="auto"/>
            </w:tcBorders>
            <w:shd w:val="clear" w:color="auto" w:fill="F2F2F2" w:themeFill="background1" w:themeFillShade="F2"/>
            <w:vAlign w:val="bottom"/>
          </w:tcPr>
          <w:p w14:paraId="5970DC1F" w14:textId="77777777" w:rsidR="00620174" w:rsidRPr="006850EF" w:rsidRDefault="00620174" w:rsidP="00620174">
            <w:pPr>
              <w:spacing w:after="60" w:line="240" w:lineRule="auto"/>
              <w:jc w:val="center"/>
              <w:rPr>
                <w:color w:val="000000"/>
                <w:position w:val="6"/>
              </w:rPr>
            </w:pPr>
            <w:r w:rsidRPr="006850EF">
              <w:rPr>
                <w:color w:val="000000"/>
                <w:position w:val="6"/>
              </w:rPr>
              <w:t>0.0540</w:t>
            </w:r>
          </w:p>
        </w:tc>
      </w:tr>
      <w:tr w:rsidR="00620174" w:rsidRPr="006850EF" w14:paraId="4FB213F5"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38DE922A" w14:textId="77777777" w:rsidR="00620174" w:rsidRPr="006850EF" w:rsidRDefault="00620174" w:rsidP="00620174">
            <w:pPr>
              <w:spacing w:before="60" w:line="240" w:lineRule="auto"/>
              <w:jc w:val="center"/>
            </w:pPr>
            <w:r w:rsidRPr="006850EF">
              <w:t>LVMi</w:t>
            </w:r>
          </w:p>
        </w:tc>
        <w:tc>
          <w:tcPr>
            <w:tcW w:w="1841" w:type="dxa"/>
            <w:tcBorders>
              <w:top w:val="single" w:sz="4" w:space="0" w:color="auto"/>
              <w:left w:val="single" w:sz="4" w:space="0" w:color="auto"/>
              <w:right w:val="single" w:sz="4" w:space="0" w:color="auto"/>
            </w:tcBorders>
            <w:vAlign w:val="bottom"/>
          </w:tcPr>
          <w:p w14:paraId="4D9A2CD9" w14:textId="77777777" w:rsidR="00620174" w:rsidRPr="006850EF" w:rsidRDefault="00620174" w:rsidP="00620174">
            <w:pPr>
              <w:spacing w:before="60" w:line="240" w:lineRule="auto"/>
              <w:jc w:val="center"/>
              <w:rPr>
                <w:color w:val="000000"/>
                <w:position w:val="6"/>
              </w:rPr>
            </w:pPr>
            <w:r w:rsidRPr="006850EF">
              <w:rPr>
                <w:color w:val="000000"/>
                <w:position w:val="6"/>
              </w:rPr>
              <w:t>-0.035*</w:t>
            </w:r>
          </w:p>
        </w:tc>
        <w:tc>
          <w:tcPr>
            <w:tcW w:w="1720" w:type="dxa"/>
            <w:tcBorders>
              <w:top w:val="single" w:sz="4" w:space="0" w:color="auto"/>
              <w:left w:val="single" w:sz="4" w:space="0" w:color="auto"/>
              <w:right w:val="single" w:sz="4" w:space="0" w:color="auto"/>
            </w:tcBorders>
            <w:vAlign w:val="bottom"/>
          </w:tcPr>
          <w:p w14:paraId="2EB767A3" w14:textId="77777777" w:rsidR="00620174" w:rsidRPr="006850EF" w:rsidRDefault="00620174" w:rsidP="00620174">
            <w:pPr>
              <w:spacing w:before="60" w:line="240" w:lineRule="auto"/>
              <w:jc w:val="center"/>
              <w:rPr>
                <w:color w:val="000000"/>
                <w:position w:val="6"/>
              </w:rPr>
            </w:pPr>
            <w:r w:rsidRPr="006850EF">
              <w:rPr>
                <w:color w:val="000000"/>
                <w:position w:val="6"/>
              </w:rPr>
              <w:t>-0.020*</w:t>
            </w:r>
          </w:p>
        </w:tc>
        <w:tc>
          <w:tcPr>
            <w:tcW w:w="1720" w:type="dxa"/>
            <w:tcBorders>
              <w:top w:val="single" w:sz="4" w:space="0" w:color="auto"/>
              <w:left w:val="single" w:sz="4" w:space="0" w:color="auto"/>
              <w:right w:val="single" w:sz="4" w:space="0" w:color="auto"/>
            </w:tcBorders>
            <w:vAlign w:val="bottom"/>
          </w:tcPr>
          <w:p w14:paraId="4D0F93C8" w14:textId="77777777" w:rsidR="00620174" w:rsidRPr="006850EF" w:rsidRDefault="00620174" w:rsidP="00620174">
            <w:pPr>
              <w:spacing w:before="60" w:line="240" w:lineRule="auto"/>
              <w:jc w:val="center"/>
              <w:rPr>
                <w:color w:val="000000"/>
                <w:position w:val="6"/>
              </w:rPr>
            </w:pPr>
            <w:r w:rsidRPr="006850EF">
              <w:rPr>
                <w:color w:val="000000"/>
                <w:position w:val="6"/>
              </w:rPr>
              <w:t>-0.019*</w:t>
            </w:r>
          </w:p>
        </w:tc>
        <w:tc>
          <w:tcPr>
            <w:tcW w:w="1720" w:type="dxa"/>
            <w:tcBorders>
              <w:top w:val="single" w:sz="4" w:space="0" w:color="auto"/>
              <w:left w:val="single" w:sz="4" w:space="0" w:color="auto"/>
              <w:right w:val="single" w:sz="4" w:space="0" w:color="auto"/>
            </w:tcBorders>
            <w:vAlign w:val="bottom"/>
          </w:tcPr>
          <w:p w14:paraId="69A54901" w14:textId="77777777" w:rsidR="00620174" w:rsidRPr="006850EF" w:rsidRDefault="00620174" w:rsidP="00620174">
            <w:pPr>
              <w:spacing w:before="60" w:line="240" w:lineRule="auto"/>
              <w:jc w:val="center"/>
              <w:rPr>
                <w:color w:val="000000"/>
                <w:position w:val="6"/>
              </w:rPr>
            </w:pPr>
            <w:r w:rsidRPr="006850EF">
              <w:rPr>
                <w:color w:val="000000"/>
                <w:position w:val="6"/>
              </w:rPr>
              <w:t>-0.021*</w:t>
            </w:r>
          </w:p>
        </w:tc>
        <w:tc>
          <w:tcPr>
            <w:tcW w:w="1720" w:type="dxa"/>
            <w:tcBorders>
              <w:top w:val="single" w:sz="4" w:space="0" w:color="auto"/>
              <w:left w:val="single" w:sz="4" w:space="0" w:color="auto"/>
            </w:tcBorders>
            <w:vAlign w:val="bottom"/>
          </w:tcPr>
          <w:p w14:paraId="04EE940B" w14:textId="77777777" w:rsidR="00620174" w:rsidRPr="006850EF" w:rsidRDefault="00620174" w:rsidP="00620174">
            <w:pPr>
              <w:spacing w:before="60" w:line="240" w:lineRule="auto"/>
              <w:jc w:val="center"/>
              <w:rPr>
                <w:color w:val="000000"/>
                <w:position w:val="6"/>
              </w:rPr>
            </w:pPr>
            <w:r w:rsidRPr="006850EF">
              <w:rPr>
                <w:color w:val="000000"/>
                <w:position w:val="6"/>
              </w:rPr>
              <w:t>-0.021*</w:t>
            </w:r>
          </w:p>
        </w:tc>
      </w:tr>
      <w:tr w:rsidR="00620174" w:rsidRPr="006850EF" w14:paraId="489FD4D6"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7DB46D0D"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0DC87DC4" w14:textId="77777777" w:rsidR="00620174" w:rsidRPr="006850EF" w:rsidRDefault="00620174" w:rsidP="00620174">
            <w:pPr>
              <w:spacing w:line="240" w:lineRule="auto"/>
              <w:jc w:val="center"/>
              <w:rPr>
                <w:color w:val="000000"/>
                <w:position w:val="6"/>
              </w:rPr>
            </w:pPr>
            <w:r w:rsidRPr="006850EF">
              <w:rPr>
                <w:color w:val="000000"/>
                <w:position w:val="6"/>
              </w:rPr>
              <w:t>[-0.050, -0.019]</w:t>
            </w:r>
          </w:p>
        </w:tc>
        <w:tc>
          <w:tcPr>
            <w:tcW w:w="1720" w:type="dxa"/>
            <w:tcBorders>
              <w:left w:val="single" w:sz="4" w:space="0" w:color="auto"/>
              <w:bottom w:val="nil"/>
              <w:right w:val="single" w:sz="4" w:space="0" w:color="auto"/>
            </w:tcBorders>
            <w:vAlign w:val="bottom"/>
          </w:tcPr>
          <w:p w14:paraId="5F8D8D5C" w14:textId="77777777" w:rsidR="00620174" w:rsidRPr="006850EF" w:rsidRDefault="00620174" w:rsidP="00620174">
            <w:pPr>
              <w:spacing w:line="240" w:lineRule="auto"/>
              <w:jc w:val="center"/>
              <w:rPr>
                <w:color w:val="000000"/>
                <w:position w:val="6"/>
              </w:rPr>
            </w:pPr>
            <w:r w:rsidRPr="006850EF">
              <w:rPr>
                <w:color w:val="000000"/>
                <w:position w:val="6"/>
              </w:rPr>
              <w:t>[-0.035, -0.005]</w:t>
            </w:r>
          </w:p>
        </w:tc>
        <w:tc>
          <w:tcPr>
            <w:tcW w:w="1720" w:type="dxa"/>
            <w:tcBorders>
              <w:left w:val="single" w:sz="4" w:space="0" w:color="auto"/>
              <w:bottom w:val="nil"/>
              <w:right w:val="single" w:sz="4" w:space="0" w:color="auto"/>
            </w:tcBorders>
            <w:vAlign w:val="bottom"/>
          </w:tcPr>
          <w:p w14:paraId="5474F55C" w14:textId="77777777" w:rsidR="00620174" w:rsidRPr="006850EF" w:rsidRDefault="00620174" w:rsidP="00620174">
            <w:pPr>
              <w:spacing w:line="240" w:lineRule="auto"/>
              <w:jc w:val="center"/>
              <w:rPr>
                <w:color w:val="000000"/>
                <w:position w:val="6"/>
              </w:rPr>
            </w:pPr>
            <w:r w:rsidRPr="006850EF">
              <w:rPr>
                <w:color w:val="000000"/>
                <w:position w:val="6"/>
              </w:rPr>
              <w:t>[-0.034, -0.004]</w:t>
            </w:r>
          </w:p>
        </w:tc>
        <w:tc>
          <w:tcPr>
            <w:tcW w:w="1720" w:type="dxa"/>
            <w:tcBorders>
              <w:left w:val="single" w:sz="4" w:space="0" w:color="auto"/>
              <w:bottom w:val="nil"/>
              <w:right w:val="single" w:sz="4" w:space="0" w:color="auto"/>
            </w:tcBorders>
            <w:vAlign w:val="bottom"/>
          </w:tcPr>
          <w:p w14:paraId="25F5BCB0" w14:textId="77777777" w:rsidR="00620174" w:rsidRPr="006850EF" w:rsidRDefault="00620174" w:rsidP="00620174">
            <w:pPr>
              <w:spacing w:line="240" w:lineRule="auto"/>
              <w:jc w:val="center"/>
              <w:rPr>
                <w:color w:val="000000"/>
                <w:position w:val="6"/>
              </w:rPr>
            </w:pPr>
            <w:r w:rsidRPr="006850EF">
              <w:rPr>
                <w:color w:val="000000"/>
                <w:position w:val="6"/>
              </w:rPr>
              <w:t>[-0.036, -0.006]</w:t>
            </w:r>
          </w:p>
        </w:tc>
        <w:tc>
          <w:tcPr>
            <w:tcW w:w="1720" w:type="dxa"/>
            <w:tcBorders>
              <w:left w:val="single" w:sz="4" w:space="0" w:color="auto"/>
              <w:bottom w:val="nil"/>
            </w:tcBorders>
            <w:vAlign w:val="bottom"/>
          </w:tcPr>
          <w:p w14:paraId="5F5485DA" w14:textId="77777777" w:rsidR="00620174" w:rsidRPr="006850EF" w:rsidRDefault="00620174" w:rsidP="00620174">
            <w:pPr>
              <w:spacing w:line="240" w:lineRule="auto"/>
              <w:jc w:val="center"/>
              <w:rPr>
                <w:color w:val="000000"/>
                <w:position w:val="6"/>
              </w:rPr>
            </w:pPr>
            <w:r w:rsidRPr="006850EF">
              <w:rPr>
                <w:color w:val="000000"/>
                <w:position w:val="6"/>
              </w:rPr>
              <w:t>[-0.036, -0.005]</w:t>
            </w:r>
          </w:p>
        </w:tc>
      </w:tr>
      <w:tr w:rsidR="00620174" w:rsidRPr="006850EF" w14:paraId="66A4741D"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36B4EB03"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55A8A0B0" w14:textId="77777777" w:rsidR="00620174" w:rsidRPr="006850EF" w:rsidRDefault="00620174" w:rsidP="00620174">
            <w:pPr>
              <w:spacing w:after="60" w:line="240" w:lineRule="auto"/>
              <w:jc w:val="center"/>
              <w:rPr>
                <w:color w:val="000000"/>
                <w:position w:val="6"/>
              </w:rPr>
            </w:pPr>
            <w:r w:rsidRPr="006850EF">
              <w:rPr>
                <w:color w:val="000000"/>
                <w:position w:val="6"/>
              </w:rPr>
              <w:t>4.94x10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41296E88" w14:textId="77777777" w:rsidR="00620174" w:rsidRPr="006850EF" w:rsidRDefault="00620174" w:rsidP="00620174">
            <w:pPr>
              <w:spacing w:after="60" w:line="240" w:lineRule="auto"/>
              <w:jc w:val="center"/>
              <w:rPr>
                <w:color w:val="000000"/>
                <w:position w:val="6"/>
              </w:rPr>
            </w:pPr>
            <w:r w:rsidRPr="006850EF">
              <w:rPr>
                <w:color w:val="000000"/>
                <w:position w:val="6"/>
              </w:rPr>
              <w:t>0.0119</w:t>
            </w:r>
          </w:p>
        </w:tc>
        <w:tc>
          <w:tcPr>
            <w:tcW w:w="1720" w:type="dxa"/>
            <w:tcBorders>
              <w:top w:val="nil"/>
              <w:left w:val="single" w:sz="4" w:space="0" w:color="auto"/>
              <w:bottom w:val="single" w:sz="4" w:space="0" w:color="auto"/>
              <w:right w:val="single" w:sz="4" w:space="0" w:color="auto"/>
            </w:tcBorders>
            <w:vAlign w:val="bottom"/>
          </w:tcPr>
          <w:p w14:paraId="6D823524" w14:textId="77777777" w:rsidR="00620174" w:rsidRPr="006850EF" w:rsidRDefault="00620174" w:rsidP="00620174">
            <w:pPr>
              <w:spacing w:after="60" w:line="240" w:lineRule="auto"/>
              <w:jc w:val="center"/>
              <w:rPr>
                <w:color w:val="000000"/>
                <w:position w:val="6"/>
              </w:rPr>
            </w:pPr>
            <w:r w:rsidRPr="006850EF">
              <w:rPr>
                <w:color w:val="000000"/>
                <w:position w:val="6"/>
              </w:rPr>
              <w:t>0.0169</w:t>
            </w:r>
          </w:p>
        </w:tc>
        <w:tc>
          <w:tcPr>
            <w:tcW w:w="1720" w:type="dxa"/>
            <w:tcBorders>
              <w:top w:val="nil"/>
              <w:left w:val="single" w:sz="4" w:space="0" w:color="auto"/>
              <w:bottom w:val="single" w:sz="4" w:space="0" w:color="auto"/>
              <w:right w:val="single" w:sz="4" w:space="0" w:color="auto"/>
            </w:tcBorders>
            <w:vAlign w:val="bottom"/>
          </w:tcPr>
          <w:p w14:paraId="373D88D6" w14:textId="77777777" w:rsidR="00620174" w:rsidRPr="006850EF" w:rsidRDefault="00620174" w:rsidP="00620174">
            <w:pPr>
              <w:spacing w:after="60" w:line="240" w:lineRule="auto"/>
              <w:jc w:val="center"/>
              <w:rPr>
                <w:color w:val="000000"/>
                <w:position w:val="6"/>
              </w:rPr>
            </w:pPr>
            <w:r w:rsidRPr="006850EF">
              <w:rPr>
                <w:color w:val="000000"/>
                <w:position w:val="6"/>
              </w:rPr>
              <w:t>0.0113</w:t>
            </w:r>
          </w:p>
        </w:tc>
        <w:tc>
          <w:tcPr>
            <w:tcW w:w="1720" w:type="dxa"/>
            <w:tcBorders>
              <w:top w:val="nil"/>
              <w:left w:val="single" w:sz="4" w:space="0" w:color="auto"/>
              <w:bottom w:val="single" w:sz="4" w:space="0" w:color="auto"/>
            </w:tcBorders>
            <w:vAlign w:val="bottom"/>
          </w:tcPr>
          <w:p w14:paraId="4EB73CCD" w14:textId="77777777" w:rsidR="00620174" w:rsidRPr="006850EF" w:rsidRDefault="00620174" w:rsidP="00620174">
            <w:pPr>
              <w:spacing w:after="60" w:line="240" w:lineRule="auto"/>
              <w:jc w:val="center"/>
              <w:rPr>
                <w:color w:val="000000"/>
                <w:position w:val="6"/>
              </w:rPr>
            </w:pPr>
            <w:r w:rsidRPr="006850EF">
              <w:rPr>
                <w:color w:val="000000"/>
                <w:position w:val="6"/>
              </w:rPr>
              <w:t>0.0116</w:t>
            </w:r>
          </w:p>
        </w:tc>
      </w:tr>
      <w:tr w:rsidR="00620174" w:rsidRPr="006850EF" w14:paraId="25E4FE60"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4E076F1A" w14:textId="77777777" w:rsidR="00620174" w:rsidRPr="006850EF" w:rsidRDefault="00620174" w:rsidP="00620174">
            <w:pPr>
              <w:spacing w:before="60" w:line="240" w:lineRule="auto"/>
              <w:jc w:val="center"/>
            </w:pPr>
            <w:proofErr w:type="spellStart"/>
            <w:r w:rsidRPr="006850EF">
              <w:t>RVEDVi</w:t>
            </w:r>
            <w:proofErr w:type="spellEnd"/>
          </w:p>
        </w:tc>
        <w:tc>
          <w:tcPr>
            <w:tcW w:w="1841" w:type="dxa"/>
            <w:tcBorders>
              <w:top w:val="single" w:sz="4" w:space="0" w:color="auto"/>
              <w:left w:val="single" w:sz="4" w:space="0" w:color="auto"/>
              <w:right w:val="single" w:sz="4" w:space="0" w:color="auto"/>
            </w:tcBorders>
            <w:vAlign w:val="bottom"/>
          </w:tcPr>
          <w:p w14:paraId="0E3E07DF" w14:textId="77777777" w:rsidR="00620174" w:rsidRPr="006850EF" w:rsidRDefault="00620174" w:rsidP="00620174">
            <w:pPr>
              <w:spacing w:before="60" w:line="240" w:lineRule="auto"/>
              <w:jc w:val="center"/>
              <w:rPr>
                <w:b/>
                <w:bCs/>
                <w:color w:val="000000"/>
                <w:position w:val="6"/>
              </w:rPr>
            </w:pPr>
            <w:r w:rsidRPr="006850EF">
              <w:rPr>
                <w:color w:val="000000"/>
                <w:position w:val="6"/>
              </w:rPr>
              <w:t>-0.108*</w:t>
            </w:r>
          </w:p>
        </w:tc>
        <w:tc>
          <w:tcPr>
            <w:tcW w:w="1720" w:type="dxa"/>
            <w:tcBorders>
              <w:top w:val="single" w:sz="4" w:space="0" w:color="auto"/>
              <w:left w:val="single" w:sz="4" w:space="0" w:color="auto"/>
              <w:right w:val="single" w:sz="4" w:space="0" w:color="auto"/>
            </w:tcBorders>
            <w:vAlign w:val="bottom"/>
          </w:tcPr>
          <w:p w14:paraId="7CC0BE2A" w14:textId="77777777" w:rsidR="00620174" w:rsidRPr="006850EF" w:rsidRDefault="00620174" w:rsidP="00620174">
            <w:pPr>
              <w:spacing w:before="60" w:line="240" w:lineRule="auto"/>
              <w:jc w:val="center"/>
              <w:rPr>
                <w:color w:val="000000"/>
                <w:position w:val="6"/>
              </w:rPr>
            </w:pPr>
            <w:r w:rsidRPr="006850EF">
              <w:rPr>
                <w:color w:val="000000"/>
                <w:position w:val="6"/>
              </w:rPr>
              <w:t>-0.036*</w:t>
            </w:r>
          </w:p>
        </w:tc>
        <w:tc>
          <w:tcPr>
            <w:tcW w:w="1720" w:type="dxa"/>
            <w:tcBorders>
              <w:top w:val="single" w:sz="4" w:space="0" w:color="auto"/>
              <w:left w:val="single" w:sz="4" w:space="0" w:color="auto"/>
              <w:right w:val="single" w:sz="4" w:space="0" w:color="auto"/>
            </w:tcBorders>
            <w:vAlign w:val="bottom"/>
          </w:tcPr>
          <w:p w14:paraId="094C4E64" w14:textId="77777777" w:rsidR="00620174" w:rsidRPr="006850EF" w:rsidRDefault="00620174" w:rsidP="00620174">
            <w:pPr>
              <w:spacing w:before="60" w:line="240" w:lineRule="auto"/>
              <w:jc w:val="center"/>
              <w:rPr>
                <w:color w:val="000000"/>
                <w:position w:val="6"/>
              </w:rPr>
            </w:pPr>
            <w:r w:rsidRPr="006850EF">
              <w:rPr>
                <w:color w:val="000000"/>
                <w:position w:val="6"/>
              </w:rPr>
              <w:t>-0.031*</w:t>
            </w:r>
          </w:p>
        </w:tc>
        <w:tc>
          <w:tcPr>
            <w:tcW w:w="1720" w:type="dxa"/>
            <w:tcBorders>
              <w:top w:val="single" w:sz="4" w:space="0" w:color="auto"/>
              <w:left w:val="single" w:sz="4" w:space="0" w:color="auto"/>
              <w:right w:val="single" w:sz="4" w:space="0" w:color="auto"/>
            </w:tcBorders>
            <w:vAlign w:val="bottom"/>
          </w:tcPr>
          <w:p w14:paraId="4F6812FE" w14:textId="77777777" w:rsidR="00620174" w:rsidRPr="006850EF" w:rsidRDefault="00620174" w:rsidP="00620174">
            <w:pPr>
              <w:spacing w:before="60" w:line="240" w:lineRule="auto"/>
              <w:jc w:val="center"/>
              <w:rPr>
                <w:color w:val="000000"/>
                <w:position w:val="6"/>
              </w:rPr>
            </w:pPr>
            <w:r w:rsidRPr="006850EF">
              <w:rPr>
                <w:color w:val="000000"/>
                <w:position w:val="6"/>
              </w:rPr>
              <w:t>-0.029*</w:t>
            </w:r>
          </w:p>
        </w:tc>
        <w:tc>
          <w:tcPr>
            <w:tcW w:w="1720" w:type="dxa"/>
            <w:tcBorders>
              <w:top w:val="single" w:sz="4" w:space="0" w:color="auto"/>
              <w:left w:val="single" w:sz="4" w:space="0" w:color="auto"/>
            </w:tcBorders>
            <w:vAlign w:val="bottom"/>
          </w:tcPr>
          <w:p w14:paraId="66AD6ABF" w14:textId="77777777" w:rsidR="00620174" w:rsidRPr="006850EF" w:rsidRDefault="00620174" w:rsidP="00620174">
            <w:pPr>
              <w:spacing w:before="60" w:line="240" w:lineRule="auto"/>
              <w:jc w:val="center"/>
              <w:rPr>
                <w:color w:val="000000"/>
                <w:position w:val="6"/>
              </w:rPr>
            </w:pPr>
            <w:r w:rsidRPr="006850EF">
              <w:rPr>
                <w:color w:val="000000"/>
                <w:position w:val="6"/>
              </w:rPr>
              <w:t>-0.027*</w:t>
            </w:r>
          </w:p>
        </w:tc>
      </w:tr>
      <w:tr w:rsidR="00620174" w:rsidRPr="006850EF" w14:paraId="56D20E02"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5CFF6C4F"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4DEAFED2" w14:textId="77777777" w:rsidR="00620174" w:rsidRPr="006850EF" w:rsidRDefault="00620174" w:rsidP="00620174">
            <w:pPr>
              <w:spacing w:line="240" w:lineRule="auto"/>
              <w:jc w:val="center"/>
              <w:rPr>
                <w:color w:val="000000"/>
                <w:position w:val="6"/>
              </w:rPr>
            </w:pPr>
            <w:r w:rsidRPr="006850EF">
              <w:rPr>
                <w:color w:val="000000"/>
                <w:position w:val="6"/>
              </w:rPr>
              <w:t>[-0.124, -0.092]</w:t>
            </w:r>
          </w:p>
        </w:tc>
        <w:tc>
          <w:tcPr>
            <w:tcW w:w="1720" w:type="dxa"/>
            <w:tcBorders>
              <w:left w:val="single" w:sz="4" w:space="0" w:color="auto"/>
              <w:bottom w:val="nil"/>
              <w:right w:val="single" w:sz="4" w:space="0" w:color="auto"/>
            </w:tcBorders>
            <w:vAlign w:val="bottom"/>
          </w:tcPr>
          <w:p w14:paraId="4B3E9C40" w14:textId="77777777" w:rsidR="00620174" w:rsidRPr="006850EF" w:rsidRDefault="00620174" w:rsidP="00620174">
            <w:pPr>
              <w:spacing w:line="240" w:lineRule="auto"/>
              <w:jc w:val="center"/>
              <w:rPr>
                <w:color w:val="000000"/>
                <w:position w:val="6"/>
              </w:rPr>
            </w:pPr>
            <w:r w:rsidRPr="006850EF">
              <w:rPr>
                <w:color w:val="000000"/>
                <w:position w:val="6"/>
              </w:rPr>
              <w:t>[-0.052, -0.021]</w:t>
            </w:r>
          </w:p>
        </w:tc>
        <w:tc>
          <w:tcPr>
            <w:tcW w:w="1720" w:type="dxa"/>
            <w:tcBorders>
              <w:left w:val="single" w:sz="4" w:space="0" w:color="auto"/>
              <w:bottom w:val="nil"/>
              <w:right w:val="single" w:sz="4" w:space="0" w:color="auto"/>
            </w:tcBorders>
            <w:vAlign w:val="bottom"/>
          </w:tcPr>
          <w:p w14:paraId="3BFD148C" w14:textId="77777777" w:rsidR="00620174" w:rsidRPr="006850EF" w:rsidRDefault="00620174" w:rsidP="00620174">
            <w:pPr>
              <w:spacing w:line="240" w:lineRule="auto"/>
              <w:jc w:val="center"/>
              <w:rPr>
                <w:color w:val="000000"/>
                <w:position w:val="6"/>
              </w:rPr>
            </w:pPr>
            <w:r w:rsidRPr="006850EF">
              <w:rPr>
                <w:color w:val="000000"/>
                <w:position w:val="6"/>
              </w:rPr>
              <w:t>[-0.046, -0.015]</w:t>
            </w:r>
          </w:p>
        </w:tc>
        <w:tc>
          <w:tcPr>
            <w:tcW w:w="1720" w:type="dxa"/>
            <w:tcBorders>
              <w:left w:val="single" w:sz="4" w:space="0" w:color="auto"/>
              <w:bottom w:val="nil"/>
              <w:right w:val="single" w:sz="4" w:space="0" w:color="auto"/>
            </w:tcBorders>
            <w:vAlign w:val="bottom"/>
          </w:tcPr>
          <w:p w14:paraId="770A1BC4" w14:textId="77777777" w:rsidR="00620174" w:rsidRPr="006850EF" w:rsidRDefault="00620174" w:rsidP="00620174">
            <w:pPr>
              <w:spacing w:line="240" w:lineRule="auto"/>
              <w:jc w:val="center"/>
              <w:rPr>
                <w:color w:val="000000"/>
                <w:position w:val="6"/>
              </w:rPr>
            </w:pPr>
            <w:r w:rsidRPr="006850EF">
              <w:rPr>
                <w:color w:val="000000"/>
                <w:position w:val="6"/>
              </w:rPr>
              <w:t>[-0.045, -0.014]</w:t>
            </w:r>
          </w:p>
        </w:tc>
        <w:tc>
          <w:tcPr>
            <w:tcW w:w="1720" w:type="dxa"/>
            <w:tcBorders>
              <w:left w:val="single" w:sz="4" w:space="0" w:color="auto"/>
              <w:bottom w:val="nil"/>
            </w:tcBorders>
            <w:vAlign w:val="bottom"/>
          </w:tcPr>
          <w:p w14:paraId="59D83765" w14:textId="77777777" w:rsidR="00620174" w:rsidRPr="006850EF" w:rsidRDefault="00620174" w:rsidP="00620174">
            <w:pPr>
              <w:spacing w:line="240" w:lineRule="auto"/>
              <w:jc w:val="center"/>
              <w:rPr>
                <w:color w:val="000000"/>
                <w:position w:val="6"/>
              </w:rPr>
            </w:pPr>
            <w:r w:rsidRPr="006850EF">
              <w:rPr>
                <w:color w:val="000000"/>
                <w:position w:val="6"/>
              </w:rPr>
              <w:t>[-0.043, -0.011]</w:t>
            </w:r>
          </w:p>
        </w:tc>
      </w:tr>
      <w:tr w:rsidR="00620174" w:rsidRPr="006850EF" w14:paraId="46EB187E"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53704748"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156B65DB" w14:textId="77777777" w:rsidR="00620174" w:rsidRPr="006850EF" w:rsidRDefault="00620174" w:rsidP="00620174">
            <w:pPr>
              <w:spacing w:after="60" w:line="240" w:lineRule="auto"/>
              <w:jc w:val="center"/>
              <w:rPr>
                <w:color w:val="000000"/>
                <w:position w:val="6"/>
              </w:rPr>
            </w:pPr>
            <w:r w:rsidRPr="006850EF">
              <w:rPr>
                <w:color w:val="000000"/>
                <w:position w:val="6"/>
              </w:rPr>
              <w:t>5.19x10</w:t>
            </w:r>
            <w:r w:rsidRPr="006850EF">
              <w:rPr>
                <w:color w:val="000000"/>
                <w:position w:val="6"/>
                <w:vertAlign w:val="superscript"/>
              </w:rPr>
              <w:t>-39</w:t>
            </w:r>
          </w:p>
        </w:tc>
        <w:tc>
          <w:tcPr>
            <w:tcW w:w="1720" w:type="dxa"/>
            <w:tcBorders>
              <w:top w:val="nil"/>
              <w:left w:val="single" w:sz="4" w:space="0" w:color="auto"/>
              <w:bottom w:val="single" w:sz="4" w:space="0" w:color="auto"/>
              <w:right w:val="single" w:sz="4" w:space="0" w:color="auto"/>
            </w:tcBorders>
            <w:vAlign w:val="bottom"/>
          </w:tcPr>
          <w:p w14:paraId="542F4E16" w14:textId="77777777" w:rsidR="00620174" w:rsidRPr="006850EF" w:rsidRDefault="00620174" w:rsidP="00620174">
            <w:pPr>
              <w:spacing w:after="60" w:line="240" w:lineRule="auto"/>
              <w:jc w:val="center"/>
              <w:rPr>
                <w:color w:val="000000"/>
                <w:position w:val="6"/>
              </w:rPr>
            </w:pPr>
            <w:r w:rsidRPr="006850EF">
              <w:rPr>
                <w:color w:val="000000"/>
                <w:position w:val="6"/>
              </w:rPr>
              <w:t>1.45x10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35D37F6E" w14:textId="77777777" w:rsidR="00620174" w:rsidRPr="006850EF" w:rsidRDefault="00620174" w:rsidP="00620174">
            <w:pPr>
              <w:spacing w:after="60" w:line="240" w:lineRule="auto"/>
              <w:jc w:val="center"/>
              <w:rPr>
                <w:color w:val="000000"/>
                <w:position w:val="6"/>
              </w:rPr>
            </w:pPr>
            <w:r w:rsidRPr="006850EF">
              <w:rPr>
                <w:color w:val="000000"/>
                <w:position w:val="6"/>
              </w:rPr>
              <w:t>2.67x10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vAlign w:val="bottom"/>
          </w:tcPr>
          <w:p w14:paraId="0DCC65D9" w14:textId="77777777" w:rsidR="00620174" w:rsidRPr="006850EF" w:rsidRDefault="00620174" w:rsidP="00620174">
            <w:pPr>
              <w:spacing w:after="60" w:line="240" w:lineRule="auto"/>
              <w:jc w:val="center"/>
              <w:rPr>
                <w:color w:val="000000"/>
                <w:position w:val="6"/>
              </w:rPr>
            </w:pPr>
            <w:r w:rsidRPr="006850EF">
              <w:rPr>
                <w:color w:val="000000"/>
                <w:position w:val="6"/>
              </w:rPr>
              <w:t>5.35x10</w:t>
            </w:r>
            <w:r w:rsidRPr="006850EF">
              <w:rPr>
                <w:color w:val="000000"/>
                <w:position w:val="6"/>
                <w:vertAlign w:val="superscript"/>
              </w:rPr>
              <w:t>-4</w:t>
            </w:r>
          </w:p>
        </w:tc>
        <w:tc>
          <w:tcPr>
            <w:tcW w:w="1720" w:type="dxa"/>
            <w:tcBorders>
              <w:top w:val="nil"/>
              <w:left w:val="single" w:sz="4" w:space="0" w:color="auto"/>
              <w:bottom w:val="single" w:sz="4" w:space="0" w:color="auto"/>
            </w:tcBorders>
            <w:vAlign w:val="bottom"/>
          </w:tcPr>
          <w:p w14:paraId="756BE2DC" w14:textId="77777777" w:rsidR="00620174" w:rsidRPr="006850EF" w:rsidRDefault="00620174" w:rsidP="00620174">
            <w:pPr>
              <w:spacing w:after="60" w:line="240" w:lineRule="auto"/>
              <w:jc w:val="center"/>
              <w:rPr>
                <w:color w:val="000000"/>
                <w:position w:val="6"/>
              </w:rPr>
            </w:pPr>
            <w:r w:rsidRPr="006850EF">
              <w:rPr>
                <w:color w:val="000000"/>
                <w:position w:val="6"/>
              </w:rPr>
              <w:t>1.46x10</w:t>
            </w:r>
            <w:r w:rsidRPr="006850EF">
              <w:rPr>
                <w:color w:val="000000"/>
                <w:position w:val="6"/>
                <w:vertAlign w:val="superscript"/>
              </w:rPr>
              <w:t>-3</w:t>
            </w:r>
          </w:p>
        </w:tc>
      </w:tr>
      <w:tr w:rsidR="00620174" w:rsidRPr="006850EF" w14:paraId="5204F47E"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44177C4E" w14:textId="77777777" w:rsidR="00620174" w:rsidRPr="006850EF" w:rsidRDefault="00620174" w:rsidP="00620174">
            <w:pPr>
              <w:spacing w:before="60" w:line="240" w:lineRule="auto"/>
              <w:jc w:val="center"/>
            </w:pPr>
            <w:proofErr w:type="spellStart"/>
            <w:r w:rsidRPr="006850EF">
              <w:t>RVESVi</w:t>
            </w:r>
            <w:proofErr w:type="spellEnd"/>
          </w:p>
        </w:tc>
        <w:tc>
          <w:tcPr>
            <w:tcW w:w="1841" w:type="dxa"/>
            <w:tcBorders>
              <w:top w:val="single" w:sz="4" w:space="0" w:color="auto"/>
              <w:left w:val="single" w:sz="4" w:space="0" w:color="auto"/>
              <w:right w:val="single" w:sz="4" w:space="0" w:color="auto"/>
            </w:tcBorders>
            <w:vAlign w:val="bottom"/>
          </w:tcPr>
          <w:p w14:paraId="540890B4" w14:textId="77777777" w:rsidR="00620174" w:rsidRPr="006850EF" w:rsidRDefault="00620174" w:rsidP="00620174">
            <w:pPr>
              <w:spacing w:before="60" w:line="240" w:lineRule="auto"/>
              <w:jc w:val="center"/>
              <w:rPr>
                <w:color w:val="000000"/>
                <w:position w:val="6"/>
              </w:rPr>
            </w:pPr>
            <w:r w:rsidRPr="006850EF">
              <w:rPr>
                <w:color w:val="000000"/>
                <w:position w:val="6"/>
              </w:rPr>
              <w:t>-0.101*</w:t>
            </w:r>
          </w:p>
        </w:tc>
        <w:tc>
          <w:tcPr>
            <w:tcW w:w="1720" w:type="dxa"/>
            <w:tcBorders>
              <w:top w:val="single" w:sz="4" w:space="0" w:color="auto"/>
              <w:left w:val="single" w:sz="4" w:space="0" w:color="auto"/>
              <w:right w:val="single" w:sz="4" w:space="0" w:color="auto"/>
            </w:tcBorders>
            <w:vAlign w:val="bottom"/>
          </w:tcPr>
          <w:p w14:paraId="67A43775" w14:textId="77777777" w:rsidR="00620174" w:rsidRPr="006850EF" w:rsidRDefault="00620174" w:rsidP="00620174">
            <w:pPr>
              <w:spacing w:before="60" w:line="240" w:lineRule="auto"/>
              <w:jc w:val="center"/>
              <w:rPr>
                <w:color w:val="000000"/>
                <w:position w:val="6"/>
              </w:rPr>
            </w:pPr>
            <w:r w:rsidRPr="006850EF">
              <w:rPr>
                <w:color w:val="000000"/>
                <w:position w:val="6"/>
              </w:rPr>
              <w:t>-0.035*</w:t>
            </w:r>
          </w:p>
        </w:tc>
        <w:tc>
          <w:tcPr>
            <w:tcW w:w="1720" w:type="dxa"/>
            <w:tcBorders>
              <w:top w:val="single" w:sz="4" w:space="0" w:color="auto"/>
              <w:left w:val="single" w:sz="4" w:space="0" w:color="auto"/>
              <w:right w:val="single" w:sz="4" w:space="0" w:color="auto"/>
            </w:tcBorders>
            <w:vAlign w:val="bottom"/>
          </w:tcPr>
          <w:p w14:paraId="21F07D31" w14:textId="77777777" w:rsidR="00620174" w:rsidRPr="006850EF" w:rsidRDefault="00620174" w:rsidP="00620174">
            <w:pPr>
              <w:spacing w:before="60" w:line="240" w:lineRule="auto"/>
              <w:jc w:val="center"/>
              <w:rPr>
                <w:color w:val="000000"/>
                <w:position w:val="6"/>
              </w:rPr>
            </w:pPr>
            <w:r w:rsidRPr="006850EF">
              <w:rPr>
                <w:color w:val="000000"/>
                <w:position w:val="6"/>
              </w:rPr>
              <w:t>-0.030*</w:t>
            </w:r>
          </w:p>
        </w:tc>
        <w:tc>
          <w:tcPr>
            <w:tcW w:w="1720" w:type="dxa"/>
            <w:tcBorders>
              <w:top w:val="single" w:sz="4" w:space="0" w:color="auto"/>
              <w:left w:val="single" w:sz="4" w:space="0" w:color="auto"/>
              <w:right w:val="single" w:sz="4" w:space="0" w:color="auto"/>
            </w:tcBorders>
            <w:vAlign w:val="bottom"/>
          </w:tcPr>
          <w:p w14:paraId="21FF73AE" w14:textId="77777777" w:rsidR="00620174" w:rsidRPr="006850EF" w:rsidRDefault="00620174" w:rsidP="00620174">
            <w:pPr>
              <w:spacing w:before="60" w:line="240" w:lineRule="auto"/>
              <w:jc w:val="center"/>
              <w:rPr>
                <w:color w:val="000000"/>
                <w:position w:val="6"/>
              </w:rPr>
            </w:pPr>
            <w:r w:rsidRPr="006850EF">
              <w:rPr>
                <w:color w:val="000000"/>
                <w:position w:val="6"/>
              </w:rPr>
              <w:t>-0.029*</w:t>
            </w:r>
          </w:p>
        </w:tc>
        <w:tc>
          <w:tcPr>
            <w:tcW w:w="1720" w:type="dxa"/>
            <w:tcBorders>
              <w:top w:val="single" w:sz="4" w:space="0" w:color="auto"/>
              <w:left w:val="single" w:sz="4" w:space="0" w:color="auto"/>
            </w:tcBorders>
            <w:vAlign w:val="bottom"/>
          </w:tcPr>
          <w:p w14:paraId="60059A7F" w14:textId="77777777" w:rsidR="00620174" w:rsidRPr="006850EF" w:rsidRDefault="00620174" w:rsidP="00620174">
            <w:pPr>
              <w:spacing w:before="60" w:line="240" w:lineRule="auto"/>
              <w:jc w:val="center"/>
              <w:rPr>
                <w:color w:val="000000"/>
                <w:position w:val="6"/>
              </w:rPr>
            </w:pPr>
            <w:r w:rsidRPr="006850EF">
              <w:rPr>
                <w:color w:val="000000"/>
                <w:position w:val="6"/>
              </w:rPr>
              <w:t>-0.027*</w:t>
            </w:r>
          </w:p>
        </w:tc>
      </w:tr>
      <w:tr w:rsidR="00620174" w:rsidRPr="006850EF" w14:paraId="5952DF8A"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2324775E"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490412B6" w14:textId="77777777" w:rsidR="00620174" w:rsidRPr="006850EF" w:rsidRDefault="00620174" w:rsidP="00620174">
            <w:pPr>
              <w:spacing w:line="240" w:lineRule="auto"/>
              <w:jc w:val="center"/>
              <w:rPr>
                <w:color w:val="000000"/>
                <w:position w:val="6"/>
              </w:rPr>
            </w:pPr>
            <w:r w:rsidRPr="006850EF">
              <w:rPr>
                <w:color w:val="000000"/>
                <w:position w:val="6"/>
              </w:rPr>
              <w:t>[-0.117, -0.085]</w:t>
            </w:r>
          </w:p>
        </w:tc>
        <w:tc>
          <w:tcPr>
            <w:tcW w:w="1720" w:type="dxa"/>
            <w:tcBorders>
              <w:left w:val="single" w:sz="4" w:space="0" w:color="auto"/>
              <w:bottom w:val="nil"/>
              <w:right w:val="single" w:sz="4" w:space="0" w:color="auto"/>
            </w:tcBorders>
            <w:vAlign w:val="bottom"/>
          </w:tcPr>
          <w:p w14:paraId="3C4EA77C" w14:textId="77777777" w:rsidR="00620174" w:rsidRPr="006850EF" w:rsidRDefault="00620174" w:rsidP="00620174">
            <w:pPr>
              <w:spacing w:line="240" w:lineRule="auto"/>
              <w:jc w:val="center"/>
              <w:rPr>
                <w:color w:val="000000"/>
                <w:position w:val="6"/>
              </w:rPr>
            </w:pPr>
            <w:r w:rsidRPr="006850EF">
              <w:rPr>
                <w:color w:val="000000"/>
                <w:position w:val="6"/>
              </w:rPr>
              <w:t>[-0.050, -0.019]</w:t>
            </w:r>
          </w:p>
        </w:tc>
        <w:tc>
          <w:tcPr>
            <w:tcW w:w="1720" w:type="dxa"/>
            <w:tcBorders>
              <w:left w:val="single" w:sz="4" w:space="0" w:color="auto"/>
              <w:bottom w:val="nil"/>
              <w:right w:val="single" w:sz="4" w:space="0" w:color="auto"/>
            </w:tcBorders>
            <w:vAlign w:val="bottom"/>
          </w:tcPr>
          <w:p w14:paraId="307C11F2" w14:textId="77777777" w:rsidR="00620174" w:rsidRPr="006850EF" w:rsidRDefault="00620174" w:rsidP="00620174">
            <w:pPr>
              <w:spacing w:line="240" w:lineRule="auto"/>
              <w:jc w:val="center"/>
              <w:rPr>
                <w:color w:val="000000"/>
                <w:position w:val="6"/>
              </w:rPr>
            </w:pPr>
            <w:r w:rsidRPr="006850EF">
              <w:rPr>
                <w:color w:val="000000"/>
                <w:position w:val="6"/>
              </w:rPr>
              <w:t>[-0.046, -0.014]</w:t>
            </w:r>
          </w:p>
        </w:tc>
        <w:tc>
          <w:tcPr>
            <w:tcW w:w="1720" w:type="dxa"/>
            <w:tcBorders>
              <w:left w:val="single" w:sz="4" w:space="0" w:color="auto"/>
              <w:bottom w:val="nil"/>
              <w:right w:val="single" w:sz="4" w:space="0" w:color="auto"/>
            </w:tcBorders>
            <w:vAlign w:val="bottom"/>
          </w:tcPr>
          <w:p w14:paraId="22C938D9" w14:textId="77777777" w:rsidR="00620174" w:rsidRPr="006850EF" w:rsidRDefault="00620174" w:rsidP="00620174">
            <w:pPr>
              <w:spacing w:line="240" w:lineRule="auto"/>
              <w:jc w:val="center"/>
              <w:rPr>
                <w:color w:val="000000"/>
                <w:position w:val="6"/>
              </w:rPr>
            </w:pPr>
            <w:r w:rsidRPr="006850EF">
              <w:rPr>
                <w:color w:val="000000"/>
                <w:position w:val="6"/>
              </w:rPr>
              <w:t>[-0.045, -0.013]</w:t>
            </w:r>
          </w:p>
        </w:tc>
        <w:tc>
          <w:tcPr>
            <w:tcW w:w="1720" w:type="dxa"/>
            <w:tcBorders>
              <w:left w:val="single" w:sz="4" w:space="0" w:color="auto"/>
              <w:bottom w:val="nil"/>
            </w:tcBorders>
            <w:vAlign w:val="bottom"/>
          </w:tcPr>
          <w:p w14:paraId="1C969EB2" w14:textId="77777777" w:rsidR="00620174" w:rsidRPr="006850EF" w:rsidRDefault="00620174" w:rsidP="00620174">
            <w:pPr>
              <w:spacing w:line="240" w:lineRule="auto"/>
              <w:jc w:val="center"/>
              <w:rPr>
                <w:color w:val="000000"/>
                <w:position w:val="6"/>
              </w:rPr>
            </w:pPr>
            <w:r w:rsidRPr="006850EF">
              <w:rPr>
                <w:color w:val="000000"/>
                <w:position w:val="6"/>
              </w:rPr>
              <w:t>[-0.043, -0.012]</w:t>
            </w:r>
          </w:p>
        </w:tc>
      </w:tr>
      <w:tr w:rsidR="00620174" w:rsidRPr="006850EF" w14:paraId="74A1874A"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5B5698E8"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2434EC14" w14:textId="77777777" w:rsidR="00620174" w:rsidRPr="006850EF" w:rsidRDefault="00620174" w:rsidP="00620174">
            <w:pPr>
              <w:spacing w:after="60" w:line="240" w:lineRule="auto"/>
              <w:jc w:val="center"/>
              <w:rPr>
                <w:color w:val="000000"/>
                <w:position w:val="6"/>
              </w:rPr>
            </w:pPr>
            <w:r w:rsidRPr="006850EF">
              <w:rPr>
                <w:color w:val="000000"/>
                <w:position w:val="6"/>
              </w:rPr>
              <w:t>1.72x10</w:t>
            </w:r>
            <w:r w:rsidRPr="006850EF">
              <w:rPr>
                <w:color w:val="000000"/>
                <w:position w:val="6"/>
                <w:vertAlign w:val="superscript"/>
              </w:rPr>
              <w:t>-34</w:t>
            </w:r>
          </w:p>
        </w:tc>
        <w:tc>
          <w:tcPr>
            <w:tcW w:w="1720" w:type="dxa"/>
            <w:tcBorders>
              <w:top w:val="nil"/>
              <w:left w:val="single" w:sz="4" w:space="0" w:color="auto"/>
              <w:bottom w:val="single" w:sz="4" w:space="0" w:color="auto"/>
              <w:right w:val="single" w:sz="4" w:space="0" w:color="auto"/>
            </w:tcBorders>
            <w:vAlign w:val="bottom"/>
          </w:tcPr>
          <w:p w14:paraId="1D516F0B" w14:textId="77777777" w:rsidR="00620174" w:rsidRPr="006850EF" w:rsidRDefault="00620174" w:rsidP="00620174">
            <w:pPr>
              <w:spacing w:after="60" w:line="240" w:lineRule="auto"/>
              <w:jc w:val="center"/>
              <w:rPr>
                <w:color w:val="000000"/>
                <w:position w:val="6"/>
              </w:rPr>
            </w:pPr>
            <w:r w:rsidRPr="006850EF">
              <w:rPr>
                <w:color w:val="000000"/>
                <w:position w:val="6"/>
              </w:rPr>
              <w:t>3.38x10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581DC02D" w14:textId="77777777" w:rsidR="00620174" w:rsidRPr="006850EF" w:rsidRDefault="00620174" w:rsidP="00620174">
            <w:pPr>
              <w:spacing w:after="60" w:line="240" w:lineRule="auto"/>
              <w:jc w:val="center"/>
              <w:rPr>
                <w:color w:val="000000"/>
                <w:position w:val="6"/>
              </w:rPr>
            </w:pPr>
            <w:r w:rsidRPr="006850EF">
              <w:rPr>
                <w:color w:val="000000"/>
                <w:position w:val="6"/>
              </w:rPr>
              <w:t>3.60x10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vAlign w:val="bottom"/>
          </w:tcPr>
          <w:p w14:paraId="08626D9F" w14:textId="77777777" w:rsidR="00620174" w:rsidRPr="006850EF" w:rsidRDefault="00620174" w:rsidP="00620174">
            <w:pPr>
              <w:spacing w:after="60" w:line="240" w:lineRule="auto"/>
              <w:jc w:val="center"/>
              <w:rPr>
                <w:color w:val="000000"/>
                <w:position w:val="6"/>
              </w:rPr>
            </w:pPr>
            <w:r w:rsidRPr="006850EF">
              <w:rPr>
                <w:color w:val="000000"/>
                <w:position w:val="6"/>
              </w:rPr>
              <w:t>5.83x10</w:t>
            </w:r>
            <w:r w:rsidRPr="006850EF">
              <w:rPr>
                <w:color w:val="000000"/>
                <w:position w:val="6"/>
                <w:vertAlign w:val="superscript"/>
              </w:rPr>
              <w:t>-4</w:t>
            </w:r>
          </w:p>
        </w:tc>
        <w:tc>
          <w:tcPr>
            <w:tcW w:w="1720" w:type="dxa"/>
            <w:tcBorders>
              <w:top w:val="nil"/>
              <w:left w:val="single" w:sz="4" w:space="0" w:color="auto"/>
              <w:bottom w:val="single" w:sz="4" w:space="0" w:color="auto"/>
            </w:tcBorders>
            <w:vAlign w:val="bottom"/>
          </w:tcPr>
          <w:p w14:paraId="4314161F" w14:textId="77777777" w:rsidR="00620174" w:rsidRPr="006850EF" w:rsidRDefault="00620174" w:rsidP="00620174">
            <w:pPr>
              <w:spacing w:after="60" w:line="240" w:lineRule="auto"/>
              <w:jc w:val="center"/>
              <w:rPr>
                <w:color w:val="000000"/>
                <w:position w:val="6"/>
              </w:rPr>
            </w:pPr>
            <w:r w:rsidRPr="006850EF">
              <w:rPr>
                <w:color w:val="000000"/>
                <w:position w:val="6"/>
              </w:rPr>
              <w:t>1.22x10</w:t>
            </w:r>
            <w:r w:rsidRPr="006850EF">
              <w:rPr>
                <w:color w:val="000000"/>
                <w:position w:val="6"/>
                <w:vertAlign w:val="superscript"/>
              </w:rPr>
              <w:t>-3</w:t>
            </w:r>
          </w:p>
        </w:tc>
      </w:tr>
      <w:tr w:rsidR="00620174" w:rsidRPr="006850EF" w14:paraId="6F8BB143"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73D00E87" w14:textId="77777777" w:rsidR="00620174" w:rsidRPr="006850EF" w:rsidRDefault="00620174" w:rsidP="00620174">
            <w:pPr>
              <w:spacing w:before="60" w:line="240" w:lineRule="auto"/>
              <w:jc w:val="center"/>
            </w:pPr>
            <w:r w:rsidRPr="006850EF">
              <w:t>RVEF</w:t>
            </w:r>
          </w:p>
        </w:tc>
        <w:tc>
          <w:tcPr>
            <w:tcW w:w="1841" w:type="dxa"/>
            <w:tcBorders>
              <w:top w:val="single" w:sz="4" w:space="0" w:color="auto"/>
              <w:left w:val="single" w:sz="4" w:space="0" w:color="auto"/>
              <w:right w:val="single" w:sz="4" w:space="0" w:color="auto"/>
            </w:tcBorders>
            <w:vAlign w:val="bottom"/>
          </w:tcPr>
          <w:p w14:paraId="0FCA3992" w14:textId="77777777" w:rsidR="00620174" w:rsidRPr="006850EF" w:rsidRDefault="00620174" w:rsidP="00620174">
            <w:pPr>
              <w:spacing w:before="60" w:line="240" w:lineRule="auto"/>
              <w:jc w:val="center"/>
              <w:rPr>
                <w:color w:val="000000"/>
                <w:position w:val="6"/>
              </w:rPr>
            </w:pPr>
            <w:r w:rsidRPr="006850EF">
              <w:rPr>
                <w:color w:val="000000"/>
                <w:position w:val="6"/>
              </w:rPr>
              <w:t>0.038*</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5C0F5880" w14:textId="77777777" w:rsidR="00620174" w:rsidRPr="006850EF" w:rsidRDefault="00620174" w:rsidP="00620174">
            <w:pPr>
              <w:spacing w:before="60" w:line="240" w:lineRule="auto"/>
              <w:jc w:val="center"/>
              <w:rPr>
                <w:color w:val="000000"/>
                <w:position w:val="6"/>
              </w:rPr>
            </w:pPr>
            <w:r w:rsidRPr="006850EF">
              <w:rPr>
                <w:color w:val="000000"/>
                <w:position w:val="6"/>
              </w:rPr>
              <w:t>0.012</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53C304C2" w14:textId="77777777" w:rsidR="00620174" w:rsidRPr="006850EF" w:rsidRDefault="00620174" w:rsidP="00620174">
            <w:pPr>
              <w:spacing w:before="60" w:line="240" w:lineRule="auto"/>
              <w:jc w:val="center"/>
              <w:rPr>
                <w:color w:val="000000"/>
                <w:position w:val="6"/>
              </w:rPr>
            </w:pPr>
            <w:r w:rsidRPr="006850EF">
              <w:rPr>
                <w:color w:val="000000"/>
                <w:position w:val="6"/>
              </w:rPr>
              <w:t>0.011</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7B9A73A5" w14:textId="77777777" w:rsidR="00620174" w:rsidRPr="006850EF" w:rsidRDefault="00620174" w:rsidP="00620174">
            <w:pPr>
              <w:spacing w:before="60" w:line="240" w:lineRule="auto"/>
              <w:jc w:val="center"/>
              <w:rPr>
                <w:color w:val="000000"/>
                <w:position w:val="6"/>
              </w:rPr>
            </w:pPr>
            <w:r w:rsidRPr="006850EF">
              <w:rPr>
                <w:color w:val="000000"/>
                <w:position w:val="6"/>
              </w:rPr>
              <w:t>0.011</w:t>
            </w:r>
          </w:p>
        </w:tc>
        <w:tc>
          <w:tcPr>
            <w:tcW w:w="1720" w:type="dxa"/>
            <w:tcBorders>
              <w:top w:val="single" w:sz="4" w:space="0" w:color="auto"/>
              <w:left w:val="single" w:sz="4" w:space="0" w:color="auto"/>
            </w:tcBorders>
            <w:shd w:val="clear" w:color="auto" w:fill="F2F2F2" w:themeFill="background1" w:themeFillShade="F2"/>
            <w:vAlign w:val="bottom"/>
          </w:tcPr>
          <w:p w14:paraId="6F5373BB" w14:textId="77777777" w:rsidR="00620174" w:rsidRPr="006850EF" w:rsidRDefault="00620174" w:rsidP="00620174">
            <w:pPr>
              <w:spacing w:before="60" w:line="240" w:lineRule="auto"/>
              <w:jc w:val="center"/>
              <w:rPr>
                <w:color w:val="000000"/>
                <w:position w:val="6"/>
              </w:rPr>
            </w:pPr>
            <w:r w:rsidRPr="006850EF">
              <w:rPr>
                <w:color w:val="000000"/>
                <w:position w:val="6"/>
              </w:rPr>
              <w:t>0.011</w:t>
            </w:r>
          </w:p>
        </w:tc>
      </w:tr>
      <w:tr w:rsidR="00620174" w:rsidRPr="006850EF" w14:paraId="01E98A06" w14:textId="77777777" w:rsidTr="00472150">
        <w:trPr>
          <w:trHeight w:val="20"/>
        </w:trPr>
        <w:tc>
          <w:tcPr>
            <w:tcW w:w="1130" w:type="dxa"/>
            <w:tcBorders>
              <w:bottom w:val="nil"/>
              <w:right w:val="single" w:sz="4" w:space="0" w:color="auto"/>
            </w:tcBorders>
            <w:shd w:val="clear" w:color="auto" w:fill="F2F2F2" w:themeFill="background1" w:themeFillShade="F2"/>
            <w:vAlign w:val="bottom"/>
          </w:tcPr>
          <w:p w14:paraId="5D1C3992" w14:textId="77777777" w:rsidR="00620174" w:rsidRPr="006850EF" w:rsidRDefault="00620174" w:rsidP="00620174">
            <w:pPr>
              <w:spacing w:line="240" w:lineRule="auto"/>
              <w:jc w:val="center"/>
            </w:pPr>
          </w:p>
        </w:tc>
        <w:tc>
          <w:tcPr>
            <w:tcW w:w="1841" w:type="dxa"/>
            <w:tcBorders>
              <w:left w:val="single" w:sz="4" w:space="0" w:color="auto"/>
              <w:bottom w:val="nil"/>
              <w:right w:val="single" w:sz="4" w:space="0" w:color="auto"/>
            </w:tcBorders>
            <w:vAlign w:val="bottom"/>
          </w:tcPr>
          <w:p w14:paraId="1ED974FA" w14:textId="77777777" w:rsidR="00620174" w:rsidRPr="006850EF" w:rsidRDefault="00620174" w:rsidP="00620174">
            <w:pPr>
              <w:spacing w:line="240" w:lineRule="auto"/>
              <w:jc w:val="center"/>
              <w:rPr>
                <w:color w:val="000000"/>
                <w:position w:val="6"/>
              </w:rPr>
            </w:pPr>
            <w:r w:rsidRPr="006850EF">
              <w:rPr>
                <w:color w:val="000000"/>
                <w:position w:val="6"/>
              </w:rPr>
              <w:t>[0.022, 0.053]</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1769539E" w14:textId="77777777" w:rsidR="00620174" w:rsidRPr="006850EF" w:rsidRDefault="00620174" w:rsidP="00620174">
            <w:pPr>
              <w:spacing w:line="240" w:lineRule="auto"/>
              <w:jc w:val="center"/>
              <w:rPr>
                <w:color w:val="000000"/>
                <w:position w:val="6"/>
              </w:rPr>
            </w:pPr>
            <w:r w:rsidRPr="006850EF">
              <w:rPr>
                <w:color w:val="000000"/>
                <w:position w:val="6"/>
              </w:rPr>
              <w:t>[-0.003, 0.027]</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3EB9A219" w14:textId="77777777" w:rsidR="00620174" w:rsidRPr="006850EF" w:rsidRDefault="00620174" w:rsidP="00620174">
            <w:pPr>
              <w:spacing w:line="240" w:lineRule="auto"/>
              <w:jc w:val="center"/>
              <w:rPr>
                <w:color w:val="000000"/>
                <w:position w:val="6"/>
              </w:rPr>
            </w:pPr>
            <w:r w:rsidRPr="006850EF">
              <w:rPr>
                <w:color w:val="000000"/>
                <w:position w:val="6"/>
              </w:rPr>
              <w:t>[-0.004, 0.026]</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728C80C8" w14:textId="77777777" w:rsidR="00620174" w:rsidRPr="006850EF" w:rsidRDefault="00620174" w:rsidP="00620174">
            <w:pPr>
              <w:spacing w:line="240" w:lineRule="auto"/>
              <w:jc w:val="center"/>
              <w:rPr>
                <w:color w:val="000000"/>
                <w:position w:val="6"/>
              </w:rPr>
            </w:pPr>
            <w:r w:rsidRPr="006850EF">
              <w:rPr>
                <w:color w:val="000000"/>
                <w:position w:val="6"/>
              </w:rPr>
              <w:t>[-0.004, 0.026]</w:t>
            </w:r>
          </w:p>
        </w:tc>
        <w:tc>
          <w:tcPr>
            <w:tcW w:w="1720" w:type="dxa"/>
            <w:tcBorders>
              <w:left w:val="single" w:sz="4" w:space="0" w:color="auto"/>
              <w:bottom w:val="nil"/>
            </w:tcBorders>
            <w:shd w:val="clear" w:color="auto" w:fill="F2F2F2" w:themeFill="background1" w:themeFillShade="F2"/>
            <w:vAlign w:val="bottom"/>
          </w:tcPr>
          <w:p w14:paraId="1335617C" w14:textId="77777777" w:rsidR="00620174" w:rsidRPr="006850EF" w:rsidRDefault="00620174" w:rsidP="00620174">
            <w:pPr>
              <w:spacing w:line="240" w:lineRule="auto"/>
              <w:jc w:val="center"/>
              <w:rPr>
                <w:color w:val="000000"/>
                <w:position w:val="6"/>
              </w:rPr>
            </w:pPr>
            <w:r w:rsidRPr="006850EF">
              <w:rPr>
                <w:color w:val="000000"/>
                <w:position w:val="6"/>
              </w:rPr>
              <w:t>[-0.004, 0.026]</w:t>
            </w:r>
          </w:p>
        </w:tc>
      </w:tr>
      <w:tr w:rsidR="00620174" w:rsidRPr="006850EF" w14:paraId="32681CD9" w14:textId="77777777" w:rsidTr="00472150">
        <w:trPr>
          <w:trHeight w:val="20"/>
        </w:trPr>
        <w:tc>
          <w:tcPr>
            <w:tcW w:w="1130" w:type="dxa"/>
            <w:tcBorders>
              <w:top w:val="nil"/>
              <w:bottom w:val="single" w:sz="4" w:space="0" w:color="auto"/>
              <w:right w:val="single" w:sz="4" w:space="0" w:color="auto"/>
            </w:tcBorders>
            <w:shd w:val="clear" w:color="auto" w:fill="F2F2F2" w:themeFill="background1" w:themeFillShade="F2"/>
            <w:vAlign w:val="bottom"/>
          </w:tcPr>
          <w:p w14:paraId="7760AF97" w14:textId="77777777" w:rsidR="00620174" w:rsidRPr="006850EF" w:rsidRDefault="00620174" w:rsidP="00620174">
            <w:pPr>
              <w:spacing w:line="240" w:lineRule="auto"/>
              <w:jc w:val="center"/>
            </w:pPr>
          </w:p>
        </w:tc>
        <w:tc>
          <w:tcPr>
            <w:tcW w:w="1841" w:type="dxa"/>
            <w:tcBorders>
              <w:top w:val="nil"/>
              <w:left w:val="single" w:sz="4" w:space="0" w:color="auto"/>
              <w:bottom w:val="single" w:sz="4" w:space="0" w:color="auto"/>
              <w:right w:val="single" w:sz="4" w:space="0" w:color="auto"/>
            </w:tcBorders>
            <w:vAlign w:val="bottom"/>
          </w:tcPr>
          <w:p w14:paraId="533D2287" w14:textId="77777777" w:rsidR="00620174" w:rsidRPr="006850EF" w:rsidRDefault="00620174" w:rsidP="00620174">
            <w:pPr>
              <w:spacing w:after="60" w:line="240" w:lineRule="auto"/>
              <w:jc w:val="center"/>
              <w:rPr>
                <w:color w:val="000000"/>
                <w:position w:val="6"/>
              </w:rPr>
            </w:pPr>
            <w:r w:rsidRPr="006850EF">
              <w:rPr>
                <w:color w:val="000000"/>
                <w:position w:val="6"/>
              </w:rPr>
              <w:t>1.05x10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6B626A62" w14:textId="77777777" w:rsidR="00620174" w:rsidRPr="006850EF" w:rsidRDefault="00620174" w:rsidP="00620174">
            <w:pPr>
              <w:spacing w:after="60" w:line="240" w:lineRule="auto"/>
              <w:jc w:val="center"/>
              <w:rPr>
                <w:color w:val="000000"/>
                <w:position w:val="6"/>
              </w:rPr>
            </w:pPr>
            <w:r w:rsidRPr="006850EF">
              <w:rPr>
                <w:color w:val="000000"/>
                <w:position w:val="6"/>
              </w:rPr>
              <w:t>0.1357</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39982D89" w14:textId="77777777" w:rsidR="00620174" w:rsidRPr="006850EF" w:rsidRDefault="00620174" w:rsidP="00620174">
            <w:pPr>
              <w:spacing w:after="60" w:line="240" w:lineRule="auto"/>
              <w:jc w:val="center"/>
              <w:rPr>
                <w:color w:val="000000"/>
                <w:position w:val="6"/>
              </w:rPr>
            </w:pPr>
            <w:r w:rsidRPr="006850EF">
              <w:rPr>
                <w:color w:val="000000"/>
                <w:position w:val="6"/>
              </w:rPr>
              <w:t>0.1774</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1E17A508" w14:textId="77777777" w:rsidR="00620174" w:rsidRPr="006850EF" w:rsidRDefault="00620174" w:rsidP="00620174">
            <w:pPr>
              <w:spacing w:after="60" w:line="240" w:lineRule="auto"/>
              <w:jc w:val="center"/>
              <w:rPr>
                <w:color w:val="000000"/>
                <w:position w:val="6"/>
              </w:rPr>
            </w:pPr>
            <w:r w:rsidRPr="006850EF">
              <w:rPr>
                <w:color w:val="000000"/>
                <w:position w:val="6"/>
              </w:rPr>
              <w:t>0.1774</w:t>
            </w:r>
          </w:p>
        </w:tc>
        <w:tc>
          <w:tcPr>
            <w:tcW w:w="1720" w:type="dxa"/>
            <w:tcBorders>
              <w:top w:val="nil"/>
              <w:left w:val="single" w:sz="4" w:space="0" w:color="auto"/>
              <w:bottom w:val="single" w:sz="4" w:space="0" w:color="auto"/>
            </w:tcBorders>
            <w:shd w:val="clear" w:color="auto" w:fill="F2F2F2" w:themeFill="background1" w:themeFillShade="F2"/>
            <w:vAlign w:val="bottom"/>
          </w:tcPr>
          <w:p w14:paraId="0C22E998" w14:textId="77777777" w:rsidR="00620174" w:rsidRPr="006850EF" w:rsidRDefault="00620174" w:rsidP="00620174">
            <w:pPr>
              <w:spacing w:after="60" w:line="240" w:lineRule="auto"/>
              <w:jc w:val="center"/>
              <w:rPr>
                <w:color w:val="000000"/>
                <w:position w:val="6"/>
              </w:rPr>
            </w:pPr>
            <w:r w:rsidRPr="006850EF">
              <w:rPr>
                <w:color w:val="000000"/>
                <w:position w:val="6"/>
              </w:rPr>
              <w:t>0.1726</w:t>
            </w:r>
          </w:p>
        </w:tc>
      </w:tr>
      <w:tr w:rsidR="00620174" w:rsidRPr="006850EF" w14:paraId="54EF0A01" w14:textId="77777777" w:rsidTr="00472150">
        <w:trPr>
          <w:trHeight w:val="20"/>
        </w:trPr>
        <w:tc>
          <w:tcPr>
            <w:tcW w:w="1130" w:type="dxa"/>
            <w:tcBorders>
              <w:top w:val="single" w:sz="4" w:space="0" w:color="auto"/>
              <w:right w:val="single" w:sz="4" w:space="0" w:color="auto"/>
            </w:tcBorders>
            <w:shd w:val="clear" w:color="auto" w:fill="F2F2F2" w:themeFill="background1" w:themeFillShade="F2"/>
            <w:vAlign w:val="bottom"/>
          </w:tcPr>
          <w:p w14:paraId="5F278640" w14:textId="77777777" w:rsidR="00620174" w:rsidRPr="006850EF" w:rsidRDefault="00620174" w:rsidP="00620174">
            <w:pPr>
              <w:spacing w:before="60" w:line="240" w:lineRule="auto"/>
              <w:jc w:val="center"/>
            </w:pPr>
            <w:proofErr w:type="spellStart"/>
            <w:r w:rsidRPr="006850EF">
              <w:t>RVSVi</w:t>
            </w:r>
            <w:proofErr w:type="spellEnd"/>
          </w:p>
        </w:tc>
        <w:tc>
          <w:tcPr>
            <w:tcW w:w="1841" w:type="dxa"/>
            <w:tcBorders>
              <w:top w:val="single" w:sz="4" w:space="0" w:color="auto"/>
              <w:left w:val="single" w:sz="4" w:space="0" w:color="auto"/>
              <w:right w:val="single" w:sz="4" w:space="0" w:color="auto"/>
            </w:tcBorders>
            <w:vAlign w:val="bottom"/>
          </w:tcPr>
          <w:p w14:paraId="0A5621CA" w14:textId="77777777" w:rsidR="00620174" w:rsidRPr="006850EF" w:rsidRDefault="00620174" w:rsidP="00620174">
            <w:pPr>
              <w:spacing w:before="60" w:line="240" w:lineRule="auto"/>
              <w:jc w:val="center"/>
              <w:rPr>
                <w:color w:val="000000"/>
                <w:position w:val="6"/>
              </w:rPr>
            </w:pPr>
            <w:r w:rsidRPr="006850EF">
              <w:rPr>
                <w:color w:val="000000"/>
                <w:position w:val="6"/>
              </w:rPr>
              <w:t>-0.077*</w:t>
            </w:r>
          </w:p>
        </w:tc>
        <w:tc>
          <w:tcPr>
            <w:tcW w:w="1720" w:type="dxa"/>
            <w:tcBorders>
              <w:top w:val="single" w:sz="4" w:space="0" w:color="auto"/>
              <w:left w:val="single" w:sz="4" w:space="0" w:color="auto"/>
              <w:right w:val="single" w:sz="4" w:space="0" w:color="auto"/>
            </w:tcBorders>
            <w:vAlign w:val="bottom"/>
          </w:tcPr>
          <w:p w14:paraId="255B0260" w14:textId="77777777" w:rsidR="00620174" w:rsidRPr="006850EF" w:rsidRDefault="00620174" w:rsidP="00620174">
            <w:pPr>
              <w:spacing w:before="60" w:line="240" w:lineRule="auto"/>
              <w:jc w:val="center"/>
              <w:rPr>
                <w:color w:val="000000"/>
                <w:position w:val="6"/>
              </w:rPr>
            </w:pPr>
            <w:r w:rsidRPr="006850EF">
              <w:rPr>
                <w:color w:val="000000"/>
                <w:position w:val="6"/>
              </w:rPr>
              <w:t>-0.024*</w:t>
            </w:r>
          </w:p>
        </w:tc>
        <w:tc>
          <w:tcPr>
            <w:tcW w:w="1720" w:type="dxa"/>
            <w:tcBorders>
              <w:top w:val="single" w:sz="4" w:space="0" w:color="auto"/>
              <w:left w:val="single" w:sz="4" w:space="0" w:color="auto"/>
              <w:right w:val="single" w:sz="4" w:space="0" w:color="auto"/>
            </w:tcBorders>
            <w:shd w:val="clear" w:color="auto" w:fill="auto"/>
            <w:vAlign w:val="bottom"/>
          </w:tcPr>
          <w:p w14:paraId="2F76D4FF" w14:textId="77777777" w:rsidR="00620174" w:rsidRPr="006850EF" w:rsidRDefault="00620174" w:rsidP="00620174">
            <w:pPr>
              <w:spacing w:before="60" w:line="240" w:lineRule="auto"/>
              <w:jc w:val="center"/>
              <w:rPr>
                <w:color w:val="000000"/>
                <w:position w:val="6"/>
              </w:rPr>
            </w:pPr>
            <w:r w:rsidRPr="006850EF">
              <w:rPr>
                <w:color w:val="000000"/>
                <w:position w:val="6"/>
              </w:rPr>
              <w:t>-0.020*</w:t>
            </w:r>
          </w:p>
        </w:tc>
        <w:tc>
          <w:tcPr>
            <w:tcW w:w="1720" w:type="dxa"/>
            <w:tcBorders>
              <w:top w:val="single" w:sz="4" w:space="0" w:color="auto"/>
              <w:left w:val="single" w:sz="4" w:space="0" w:color="auto"/>
              <w:right w:val="single" w:sz="4" w:space="0" w:color="auto"/>
            </w:tcBorders>
            <w:shd w:val="clear" w:color="auto" w:fill="auto"/>
            <w:vAlign w:val="bottom"/>
          </w:tcPr>
          <w:p w14:paraId="7CD61658" w14:textId="77777777" w:rsidR="00620174" w:rsidRPr="006850EF" w:rsidRDefault="00620174" w:rsidP="00620174">
            <w:pPr>
              <w:spacing w:before="60" w:line="240" w:lineRule="auto"/>
              <w:jc w:val="center"/>
              <w:rPr>
                <w:color w:val="000000"/>
                <w:position w:val="6"/>
              </w:rPr>
            </w:pPr>
            <w:r w:rsidRPr="006850EF">
              <w:rPr>
                <w:color w:val="000000"/>
                <w:position w:val="6"/>
              </w:rPr>
              <w:t>-0.018*</w:t>
            </w:r>
          </w:p>
        </w:tc>
        <w:tc>
          <w:tcPr>
            <w:tcW w:w="1720" w:type="dxa"/>
            <w:tcBorders>
              <w:top w:val="single" w:sz="4" w:space="0" w:color="auto"/>
              <w:left w:val="single" w:sz="4" w:space="0" w:color="auto"/>
            </w:tcBorders>
            <w:shd w:val="clear" w:color="auto" w:fill="auto"/>
            <w:vAlign w:val="bottom"/>
          </w:tcPr>
          <w:p w14:paraId="3C243AC2" w14:textId="77777777" w:rsidR="00620174" w:rsidRPr="006850EF" w:rsidRDefault="00620174" w:rsidP="00620174">
            <w:pPr>
              <w:spacing w:before="60" w:line="240" w:lineRule="auto"/>
              <w:jc w:val="center"/>
              <w:rPr>
                <w:color w:val="000000"/>
                <w:position w:val="6"/>
              </w:rPr>
            </w:pPr>
            <w:r w:rsidRPr="006850EF">
              <w:rPr>
                <w:color w:val="000000"/>
                <w:position w:val="6"/>
              </w:rPr>
              <w:t>-0.016*</w:t>
            </w:r>
          </w:p>
        </w:tc>
      </w:tr>
      <w:tr w:rsidR="00620174" w:rsidRPr="006850EF" w14:paraId="7B0090B3" w14:textId="77777777" w:rsidTr="00472150">
        <w:trPr>
          <w:trHeight w:val="20"/>
        </w:trPr>
        <w:tc>
          <w:tcPr>
            <w:tcW w:w="1130" w:type="dxa"/>
            <w:tcBorders>
              <w:right w:val="single" w:sz="4" w:space="0" w:color="auto"/>
            </w:tcBorders>
            <w:shd w:val="clear" w:color="auto" w:fill="F2F2F2" w:themeFill="background1" w:themeFillShade="F2"/>
            <w:vAlign w:val="center"/>
          </w:tcPr>
          <w:p w14:paraId="715FA6EC" w14:textId="77777777" w:rsidR="00620174" w:rsidRPr="006850EF" w:rsidRDefault="00620174" w:rsidP="00620174">
            <w:pPr>
              <w:spacing w:line="240" w:lineRule="auto"/>
              <w:jc w:val="center"/>
            </w:pPr>
            <w:r w:rsidRPr="006850EF">
              <w:rPr>
                <w:b/>
                <w:bCs/>
              </w:rPr>
              <w:t xml:space="preserve"> </w:t>
            </w:r>
          </w:p>
        </w:tc>
        <w:tc>
          <w:tcPr>
            <w:tcW w:w="1841" w:type="dxa"/>
            <w:tcBorders>
              <w:left w:val="single" w:sz="4" w:space="0" w:color="auto"/>
              <w:right w:val="single" w:sz="4" w:space="0" w:color="auto"/>
            </w:tcBorders>
            <w:vAlign w:val="bottom"/>
          </w:tcPr>
          <w:p w14:paraId="7D938E69" w14:textId="77777777" w:rsidR="00620174" w:rsidRPr="006850EF" w:rsidRDefault="00620174" w:rsidP="00620174">
            <w:pPr>
              <w:spacing w:line="240" w:lineRule="auto"/>
              <w:jc w:val="center"/>
              <w:rPr>
                <w:color w:val="000000"/>
                <w:position w:val="6"/>
              </w:rPr>
            </w:pPr>
            <w:r w:rsidRPr="006850EF">
              <w:rPr>
                <w:color w:val="000000"/>
                <w:position w:val="6"/>
              </w:rPr>
              <w:t>[-0.092, -0.061]</w:t>
            </w:r>
          </w:p>
        </w:tc>
        <w:tc>
          <w:tcPr>
            <w:tcW w:w="1720" w:type="dxa"/>
            <w:tcBorders>
              <w:left w:val="single" w:sz="4" w:space="0" w:color="auto"/>
              <w:right w:val="single" w:sz="4" w:space="0" w:color="auto"/>
            </w:tcBorders>
            <w:vAlign w:val="bottom"/>
          </w:tcPr>
          <w:p w14:paraId="20CB5AE4" w14:textId="77777777" w:rsidR="00620174" w:rsidRPr="006850EF" w:rsidRDefault="00620174" w:rsidP="00620174">
            <w:pPr>
              <w:spacing w:line="240" w:lineRule="auto"/>
              <w:jc w:val="center"/>
              <w:rPr>
                <w:color w:val="000000"/>
                <w:position w:val="6"/>
              </w:rPr>
            </w:pPr>
            <w:r w:rsidRPr="006850EF">
              <w:rPr>
                <w:color w:val="000000"/>
                <w:position w:val="6"/>
              </w:rPr>
              <w:t>[-0.039, -0.009]</w:t>
            </w:r>
          </w:p>
        </w:tc>
        <w:tc>
          <w:tcPr>
            <w:tcW w:w="1720" w:type="dxa"/>
            <w:tcBorders>
              <w:left w:val="single" w:sz="4" w:space="0" w:color="auto"/>
              <w:right w:val="single" w:sz="4" w:space="0" w:color="auto"/>
            </w:tcBorders>
            <w:shd w:val="clear" w:color="auto" w:fill="auto"/>
            <w:vAlign w:val="bottom"/>
          </w:tcPr>
          <w:p w14:paraId="346AA356" w14:textId="77777777" w:rsidR="00620174" w:rsidRPr="006850EF" w:rsidRDefault="00620174" w:rsidP="00620174">
            <w:pPr>
              <w:spacing w:line="240" w:lineRule="auto"/>
              <w:jc w:val="center"/>
              <w:rPr>
                <w:color w:val="000000"/>
                <w:position w:val="6"/>
              </w:rPr>
            </w:pPr>
            <w:r w:rsidRPr="006850EF">
              <w:rPr>
                <w:color w:val="000000"/>
                <w:position w:val="6"/>
              </w:rPr>
              <w:t>[-0.035, -0.004]</w:t>
            </w:r>
          </w:p>
        </w:tc>
        <w:tc>
          <w:tcPr>
            <w:tcW w:w="1720" w:type="dxa"/>
            <w:tcBorders>
              <w:left w:val="single" w:sz="4" w:space="0" w:color="auto"/>
              <w:right w:val="single" w:sz="4" w:space="0" w:color="auto"/>
            </w:tcBorders>
            <w:shd w:val="clear" w:color="auto" w:fill="auto"/>
            <w:vAlign w:val="bottom"/>
          </w:tcPr>
          <w:p w14:paraId="7A08F128" w14:textId="77777777" w:rsidR="00620174" w:rsidRPr="006850EF" w:rsidRDefault="00620174" w:rsidP="00620174">
            <w:pPr>
              <w:spacing w:line="240" w:lineRule="auto"/>
              <w:jc w:val="center"/>
              <w:rPr>
                <w:color w:val="000000"/>
                <w:position w:val="6"/>
              </w:rPr>
            </w:pPr>
            <w:r w:rsidRPr="006850EF">
              <w:rPr>
                <w:color w:val="000000"/>
                <w:position w:val="6"/>
              </w:rPr>
              <w:t>[-0.034, -0.003]</w:t>
            </w:r>
          </w:p>
        </w:tc>
        <w:tc>
          <w:tcPr>
            <w:tcW w:w="1720" w:type="dxa"/>
            <w:tcBorders>
              <w:left w:val="single" w:sz="4" w:space="0" w:color="auto"/>
            </w:tcBorders>
            <w:shd w:val="clear" w:color="auto" w:fill="auto"/>
            <w:vAlign w:val="bottom"/>
          </w:tcPr>
          <w:p w14:paraId="44188058" w14:textId="77777777" w:rsidR="00620174" w:rsidRPr="006850EF" w:rsidRDefault="00620174" w:rsidP="00620174">
            <w:pPr>
              <w:spacing w:line="240" w:lineRule="auto"/>
              <w:jc w:val="center"/>
              <w:rPr>
                <w:color w:val="000000"/>
                <w:position w:val="6"/>
              </w:rPr>
            </w:pPr>
            <w:r w:rsidRPr="006850EF">
              <w:rPr>
                <w:color w:val="000000"/>
                <w:position w:val="6"/>
              </w:rPr>
              <w:t>[-0.032, -0.001]</w:t>
            </w:r>
          </w:p>
        </w:tc>
      </w:tr>
      <w:tr w:rsidR="00620174" w:rsidRPr="006850EF" w14:paraId="34710720" w14:textId="77777777" w:rsidTr="00472150">
        <w:trPr>
          <w:trHeight w:val="20"/>
        </w:trPr>
        <w:tc>
          <w:tcPr>
            <w:tcW w:w="1130" w:type="dxa"/>
            <w:tcBorders>
              <w:bottom w:val="single" w:sz="4" w:space="0" w:color="auto"/>
              <w:right w:val="single" w:sz="4" w:space="0" w:color="auto"/>
            </w:tcBorders>
            <w:shd w:val="clear" w:color="auto" w:fill="F2F2F2" w:themeFill="background1" w:themeFillShade="F2"/>
            <w:vAlign w:val="bottom"/>
          </w:tcPr>
          <w:p w14:paraId="5FBC0FF9" w14:textId="77777777" w:rsidR="00620174" w:rsidRPr="006850EF" w:rsidRDefault="00620174" w:rsidP="00620174">
            <w:pPr>
              <w:spacing w:line="240" w:lineRule="auto"/>
              <w:jc w:val="center"/>
            </w:pPr>
            <w:r w:rsidRPr="006850EF">
              <w:t xml:space="preserve"> </w:t>
            </w:r>
          </w:p>
        </w:tc>
        <w:tc>
          <w:tcPr>
            <w:tcW w:w="1841" w:type="dxa"/>
            <w:tcBorders>
              <w:left w:val="single" w:sz="4" w:space="0" w:color="auto"/>
              <w:right w:val="single" w:sz="4" w:space="0" w:color="auto"/>
            </w:tcBorders>
            <w:vAlign w:val="bottom"/>
          </w:tcPr>
          <w:p w14:paraId="4CBDA17E" w14:textId="77777777" w:rsidR="00620174" w:rsidRPr="006850EF" w:rsidRDefault="00620174" w:rsidP="00620174">
            <w:pPr>
              <w:spacing w:after="60" w:line="240" w:lineRule="auto"/>
              <w:jc w:val="center"/>
              <w:rPr>
                <w:color w:val="000000"/>
                <w:position w:val="6"/>
              </w:rPr>
            </w:pPr>
            <w:r w:rsidRPr="006850EF">
              <w:rPr>
                <w:color w:val="000000"/>
                <w:position w:val="6"/>
              </w:rPr>
              <w:t>2.65x10</w:t>
            </w:r>
            <w:r w:rsidRPr="006850EF">
              <w:rPr>
                <w:color w:val="000000"/>
                <w:position w:val="6"/>
                <w:vertAlign w:val="superscript"/>
              </w:rPr>
              <w:t>-20</w:t>
            </w:r>
          </w:p>
        </w:tc>
        <w:tc>
          <w:tcPr>
            <w:tcW w:w="1720" w:type="dxa"/>
            <w:tcBorders>
              <w:left w:val="single" w:sz="4" w:space="0" w:color="auto"/>
              <w:bottom w:val="single" w:sz="4" w:space="0" w:color="auto"/>
              <w:right w:val="single" w:sz="4" w:space="0" w:color="auto"/>
            </w:tcBorders>
            <w:vAlign w:val="bottom"/>
          </w:tcPr>
          <w:p w14:paraId="21E9370B" w14:textId="77777777" w:rsidR="00620174" w:rsidRPr="006850EF" w:rsidRDefault="00620174" w:rsidP="00620174">
            <w:pPr>
              <w:spacing w:after="60" w:line="240" w:lineRule="auto"/>
              <w:jc w:val="center"/>
              <w:rPr>
                <w:color w:val="000000"/>
                <w:position w:val="6"/>
              </w:rPr>
            </w:pPr>
            <w:r w:rsidRPr="006850EF">
              <w:rPr>
                <w:color w:val="000000"/>
                <w:position w:val="6"/>
              </w:rPr>
              <w:t>3.59x10</w:t>
            </w:r>
            <w:r w:rsidRPr="006850EF">
              <w:rPr>
                <w:color w:val="000000"/>
                <w:position w:val="6"/>
                <w:vertAlign w:val="superscript"/>
              </w:rPr>
              <w:t>-3</w:t>
            </w:r>
          </w:p>
        </w:tc>
        <w:tc>
          <w:tcPr>
            <w:tcW w:w="1720" w:type="dxa"/>
            <w:tcBorders>
              <w:left w:val="single" w:sz="4" w:space="0" w:color="auto"/>
              <w:right w:val="single" w:sz="4" w:space="0" w:color="auto"/>
            </w:tcBorders>
            <w:shd w:val="clear" w:color="auto" w:fill="auto"/>
            <w:vAlign w:val="bottom"/>
          </w:tcPr>
          <w:p w14:paraId="0AF1536D" w14:textId="77777777" w:rsidR="00620174" w:rsidRPr="006850EF" w:rsidRDefault="00620174" w:rsidP="00620174">
            <w:pPr>
              <w:spacing w:after="60" w:line="240" w:lineRule="auto"/>
              <w:jc w:val="center"/>
              <w:rPr>
                <w:color w:val="000000"/>
                <w:position w:val="6"/>
              </w:rPr>
            </w:pPr>
            <w:r w:rsidRPr="006850EF">
              <w:rPr>
                <w:color w:val="000000"/>
                <w:position w:val="6"/>
              </w:rPr>
              <w:t>0.0169</w:t>
            </w:r>
          </w:p>
        </w:tc>
        <w:tc>
          <w:tcPr>
            <w:tcW w:w="1720" w:type="dxa"/>
            <w:tcBorders>
              <w:left w:val="single" w:sz="4" w:space="0" w:color="auto"/>
              <w:bottom w:val="single" w:sz="4" w:space="0" w:color="auto"/>
              <w:right w:val="single" w:sz="4" w:space="0" w:color="auto"/>
            </w:tcBorders>
            <w:shd w:val="clear" w:color="auto" w:fill="auto"/>
            <w:vAlign w:val="bottom"/>
          </w:tcPr>
          <w:p w14:paraId="671A3970" w14:textId="77777777" w:rsidR="00620174" w:rsidRPr="006850EF" w:rsidRDefault="00620174" w:rsidP="00620174">
            <w:pPr>
              <w:spacing w:after="60" w:line="240" w:lineRule="auto"/>
              <w:jc w:val="center"/>
              <w:rPr>
                <w:color w:val="000000"/>
                <w:position w:val="6"/>
              </w:rPr>
            </w:pPr>
            <w:r w:rsidRPr="006850EF">
              <w:rPr>
                <w:color w:val="000000"/>
                <w:position w:val="6"/>
              </w:rPr>
              <w:t>0.0252</w:t>
            </w:r>
          </w:p>
        </w:tc>
        <w:tc>
          <w:tcPr>
            <w:tcW w:w="1720" w:type="dxa"/>
            <w:tcBorders>
              <w:left w:val="single" w:sz="4" w:space="0" w:color="auto"/>
            </w:tcBorders>
            <w:shd w:val="clear" w:color="auto" w:fill="auto"/>
            <w:vAlign w:val="bottom"/>
          </w:tcPr>
          <w:p w14:paraId="741A6A68" w14:textId="77777777" w:rsidR="00620174" w:rsidRPr="006850EF" w:rsidRDefault="00620174" w:rsidP="00620174">
            <w:pPr>
              <w:spacing w:after="60" w:line="240" w:lineRule="auto"/>
              <w:jc w:val="center"/>
              <w:rPr>
                <w:color w:val="000000"/>
                <w:position w:val="6"/>
              </w:rPr>
            </w:pPr>
            <w:r w:rsidRPr="006850EF">
              <w:rPr>
                <w:color w:val="000000"/>
                <w:position w:val="6"/>
              </w:rPr>
              <w:t>0.0497</w:t>
            </w:r>
          </w:p>
        </w:tc>
      </w:tr>
    </w:tbl>
    <w:p w14:paraId="6F2B2D77" w14:textId="77777777" w:rsidR="00620174" w:rsidRDefault="00620174" w:rsidP="00620174">
      <w:pPr>
        <w:spacing w:line="240" w:lineRule="auto"/>
        <w:jc w:val="center"/>
      </w:pPr>
      <w:r>
        <w:rPr>
          <w:b/>
          <w:bCs/>
        </w:rPr>
        <w:t>Supplementary Table 5.</w:t>
      </w:r>
      <w:r w:rsidRPr="0068284C">
        <w:rPr>
          <w:b/>
          <w:bCs/>
        </w:rPr>
        <w:t xml:space="preserve"> </w:t>
      </w:r>
      <w:r>
        <w:rPr>
          <w:b/>
          <w:bCs/>
        </w:rPr>
        <w:t xml:space="preserve">Beta coefficients from linear regression models representing standard deviation </w:t>
      </w:r>
      <w:r w:rsidRPr="00860AFB">
        <w:rPr>
          <w:b/>
          <w:bCs/>
        </w:rPr>
        <w:t>change in reaction time</w:t>
      </w:r>
      <w:r>
        <w:rPr>
          <w:b/>
          <w:bCs/>
        </w:rPr>
        <w:t xml:space="preserve"> </w:t>
      </w:r>
      <w:r w:rsidRPr="00860AFB">
        <w:rPr>
          <w:b/>
          <w:bCs/>
        </w:rPr>
        <w:t xml:space="preserve">per one standard deviation increase in </w:t>
      </w:r>
      <w:r>
        <w:rPr>
          <w:b/>
          <w:bCs/>
        </w:rPr>
        <w:t xml:space="preserve">CMR measure in </w:t>
      </w:r>
      <w:r w:rsidRPr="009F7CAC">
        <w:rPr>
          <w:b/>
          <w:bCs/>
        </w:rPr>
        <w:t>women</w:t>
      </w:r>
    </w:p>
    <w:p w14:paraId="424DE9D5" w14:textId="32615530" w:rsidR="00620174" w:rsidRPr="00620174" w:rsidRDefault="00620174" w:rsidP="00620174">
      <w:pPr>
        <w:spacing w:line="240" w:lineRule="auto"/>
      </w:pPr>
      <w:r w:rsidRPr="006850EF">
        <w:rPr>
          <w:b/>
          <w:bCs/>
        </w:rPr>
        <w:t xml:space="preserve">Supplementary Table </w:t>
      </w:r>
      <w:r>
        <w:rPr>
          <w:b/>
          <w:bCs/>
        </w:rPr>
        <w:t>5</w:t>
      </w:r>
      <w:r w:rsidRPr="006850EF">
        <w:rPr>
          <w:b/>
          <w:bCs/>
        </w:rPr>
        <w:t xml:space="preserve"> </w:t>
      </w:r>
      <w:r>
        <w:rPr>
          <w:b/>
          <w:bCs/>
        </w:rPr>
        <w:t>footnote</w:t>
      </w:r>
      <w:r w:rsidRPr="006850EF">
        <w:rPr>
          <w:b/>
          <w:bCs/>
        </w:rPr>
        <w:t>:</w:t>
      </w:r>
      <w:r w:rsidRPr="006850EF">
        <w:t xml:space="preserve"> Results are standardised beta coefficients with 95% confidence interval </w:t>
      </w:r>
      <w:r w:rsidRPr="00EC617E">
        <w:t>and p-value</w:t>
      </w:r>
      <w:r>
        <w:t xml:space="preserve"> adjusted for multiple testing</w:t>
      </w:r>
      <w:r w:rsidRPr="006850EF">
        <w:t xml:space="preserve">. Each cell represents results from an individual linear regression model. </w:t>
      </w:r>
      <w:r w:rsidRPr="00AA1BCA">
        <w:t xml:space="preserve">Model </w:t>
      </w:r>
      <w:r>
        <w:t>1</w:t>
      </w:r>
      <w:r w:rsidRPr="00AA1BCA">
        <w:t xml:space="preserve">: age, sex. Model </w:t>
      </w:r>
      <w:r>
        <w:t>2</w:t>
      </w:r>
      <w:r w:rsidRPr="00AA1BCA">
        <w:t xml:space="preserve">: age, sex, education, deprivation. Model </w:t>
      </w:r>
      <w:r>
        <w:t>3</w:t>
      </w:r>
      <w:r w:rsidRPr="00AA1BCA">
        <w:t xml:space="preserve">: age, sex, education, deprivation, diabetes, hypertension, hypercholesterolaemia, prior myocardial infarction. Model </w:t>
      </w:r>
      <w:r>
        <w:t>4</w:t>
      </w:r>
      <w:r w:rsidRPr="00AA1BCA">
        <w:t>: age, sex, education, deprivation, diabetes, hypertension, hypercholesterolaemia, prior myocardial infarction, smoking, alcohol, exercise</w:t>
      </w:r>
      <w:r w:rsidRPr="006850EF">
        <w:t xml:space="preserve">. </w:t>
      </w:r>
      <w:proofErr w:type="spellStart"/>
      <w:r w:rsidRPr="006850EF">
        <w:t>LVEDVi</w:t>
      </w:r>
      <w:proofErr w:type="spellEnd"/>
      <w:r w:rsidRPr="006850EF">
        <w:t xml:space="preserve">: left ventricular end-diastolic volume; LVEF: left ventricular ejection fraction; </w:t>
      </w:r>
      <w:proofErr w:type="spellStart"/>
      <w:r w:rsidRPr="006850EF">
        <w:t>LVESVi</w:t>
      </w:r>
      <w:proofErr w:type="spellEnd"/>
      <w:r w:rsidRPr="006850EF">
        <w:t xml:space="preserve">: left ventricular end-systolic volume; </w:t>
      </w:r>
      <w:proofErr w:type="spellStart"/>
      <w:r w:rsidRPr="006850EF">
        <w:t>RVEDVi</w:t>
      </w:r>
      <w:proofErr w:type="spellEnd"/>
      <w:r w:rsidRPr="006850EF">
        <w:t xml:space="preserve">: right ventricular end-diastolic volume; RVEF: right ventricular ejection fraction; </w:t>
      </w:r>
      <w:proofErr w:type="spellStart"/>
      <w:r w:rsidRPr="006850EF">
        <w:t>RVESVi</w:t>
      </w:r>
      <w:proofErr w:type="spellEnd"/>
      <w:r w:rsidRPr="006850EF">
        <w:t xml:space="preserve">: right ventricular end-systolic volume; </w:t>
      </w:r>
      <w:proofErr w:type="spellStart"/>
      <w:r w:rsidRPr="006850EF">
        <w:t>LVSVi</w:t>
      </w:r>
      <w:proofErr w:type="spellEnd"/>
      <w:r w:rsidRPr="006850EF">
        <w:t xml:space="preserve">: left ventricular stroke volume; </w:t>
      </w:r>
      <w:proofErr w:type="spellStart"/>
      <w:r w:rsidRPr="006850EF">
        <w:t>RVSVi</w:t>
      </w:r>
      <w:proofErr w:type="spellEnd"/>
      <w:r w:rsidRPr="006850EF">
        <w:t xml:space="preserve">: right ventricular stroke volume. i denotes indexation to body surface area calculated by Du </w:t>
      </w:r>
      <w:proofErr w:type="spellStart"/>
      <w:r w:rsidRPr="006850EF">
        <w:t>Bois</w:t>
      </w:r>
      <w:proofErr w:type="spellEnd"/>
      <w:r w:rsidRPr="006850EF">
        <w:t xml:space="preserve"> formula.</w:t>
      </w:r>
      <w:r w:rsidRPr="006850EF">
        <w:br w:type="page"/>
      </w:r>
    </w:p>
    <w:p w14:paraId="42105D8E" w14:textId="77777777" w:rsidR="00620174" w:rsidRDefault="00620174" w:rsidP="00620174">
      <w:pPr>
        <w:spacing w:line="240" w:lineRule="auto"/>
        <w:jc w:val="center"/>
      </w:pPr>
      <w:r>
        <w:rPr>
          <w:b/>
          <w:bCs/>
        </w:rPr>
        <w:lastRenderedPageBreak/>
        <w:t>Supplementary Table 6.</w:t>
      </w:r>
      <w:r w:rsidRPr="0068284C">
        <w:rPr>
          <w:b/>
          <w:bCs/>
        </w:rPr>
        <w:t xml:space="preserve"> </w:t>
      </w:r>
      <w:r>
        <w:rPr>
          <w:b/>
          <w:bCs/>
        </w:rPr>
        <w:t xml:space="preserve">Beta coefficients from linear regression models representing standard deviation </w:t>
      </w:r>
      <w:r w:rsidRPr="00860AFB">
        <w:rPr>
          <w:b/>
          <w:bCs/>
        </w:rPr>
        <w:t>change in reaction time</w:t>
      </w:r>
      <w:r>
        <w:rPr>
          <w:b/>
          <w:bCs/>
        </w:rPr>
        <w:t xml:space="preserve"> </w:t>
      </w:r>
      <w:r w:rsidRPr="00860AFB">
        <w:rPr>
          <w:b/>
          <w:bCs/>
        </w:rPr>
        <w:t>per one standard deviation increase in</w:t>
      </w:r>
      <w:r>
        <w:rPr>
          <w:b/>
          <w:bCs/>
        </w:rPr>
        <w:t xml:space="preserve"> </w:t>
      </w:r>
      <w:r w:rsidRPr="009F7CAC">
        <w:rPr>
          <w:b/>
          <w:bCs/>
        </w:rPr>
        <w:t>CMR measure in men</w:t>
      </w:r>
    </w:p>
    <w:tbl>
      <w:tblPr>
        <w:tblStyle w:val="TableGridLight"/>
        <w:tblpPr w:leftFromText="180" w:rightFromText="180" w:vertAnchor="page" w:horzAnchor="margin" w:tblpXSpec="center" w:tblpY="1994"/>
        <w:tblW w:w="984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129"/>
        <w:gridCol w:w="1834"/>
        <w:gridCol w:w="1720"/>
        <w:gridCol w:w="1720"/>
        <w:gridCol w:w="1720"/>
        <w:gridCol w:w="1720"/>
      </w:tblGrid>
      <w:tr w:rsidR="00620174" w:rsidRPr="006850EF" w14:paraId="71846A73" w14:textId="77777777" w:rsidTr="00620174">
        <w:trPr>
          <w:trHeight w:val="565"/>
        </w:trPr>
        <w:tc>
          <w:tcPr>
            <w:tcW w:w="1129" w:type="dxa"/>
            <w:tcBorders>
              <w:top w:val="single" w:sz="4" w:space="0" w:color="auto"/>
              <w:bottom w:val="single" w:sz="4" w:space="0" w:color="auto"/>
              <w:right w:val="single" w:sz="4" w:space="0" w:color="auto"/>
            </w:tcBorders>
            <w:shd w:val="clear" w:color="auto" w:fill="E7E6E6" w:themeFill="background2"/>
            <w:vAlign w:val="center"/>
          </w:tcPr>
          <w:p w14:paraId="622D4719" w14:textId="77777777" w:rsidR="00620174" w:rsidRPr="006850EF" w:rsidRDefault="00620174" w:rsidP="00620174">
            <w:pPr>
              <w:spacing w:line="240" w:lineRule="auto"/>
              <w:jc w:val="center"/>
            </w:pPr>
            <w:r w:rsidRPr="006850EF">
              <w:rPr>
                <w:b/>
                <w:bCs/>
              </w:rPr>
              <w:t>CMR</w:t>
            </w:r>
          </w:p>
        </w:tc>
        <w:tc>
          <w:tcPr>
            <w:tcW w:w="18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0D74ED" w14:textId="77777777" w:rsidR="00620174" w:rsidRPr="006850EF" w:rsidRDefault="00620174" w:rsidP="00620174">
            <w:pPr>
              <w:spacing w:line="240" w:lineRule="auto"/>
              <w:jc w:val="center"/>
            </w:pPr>
            <w:r>
              <w:rPr>
                <w:b/>
                <w:bCs/>
              </w:rPr>
              <w:t>Univariate</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4BA90C" w14:textId="77777777" w:rsidR="00620174" w:rsidRPr="006850EF" w:rsidRDefault="00620174" w:rsidP="00620174">
            <w:pPr>
              <w:spacing w:line="240" w:lineRule="auto"/>
              <w:jc w:val="center"/>
            </w:pPr>
            <w:r w:rsidRPr="006850EF">
              <w:rPr>
                <w:b/>
                <w:bCs/>
              </w:rPr>
              <w:t xml:space="preserve">Model </w:t>
            </w:r>
            <w:r>
              <w:rPr>
                <w:b/>
                <w:bCs/>
              </w:rPr>
              <w:t>1</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A1226E" w14:textId="77777777" w:rsidR="00620174" w:rsidRPr="006850EF" w:rsidRDefault="00620174" w:rsidP="00620174">
            <w:pPr>
              <w:spacing w:line="240" w:lineRule="auto"/>
              <w:jc w:val="center"/>
            </w:pPr>
            <w:r w:rsidRPr="006850EF">
              <w:rPr>
                <w:b/>
                <w:bCs/>
              </w:rPr>
              <w:t xml:space="preserve">Model </w:t>
            </w:r>
            <w:r>
              <w:rPr>
                <w:b/>
                <w:bCs/>
              </w:rPr>
              <w:t>2</w:t>
            </w:r>
          </w:p>
        </w:tc>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28D1C" w14:textId="77777777" w:rsidR="00620174" w:rsidRPr="006850EF" w:rsidRDefault="00620174" w:rsidP="00620174">
            <w:pPr>
              <w:spacing w:line="240" w:lineRule="auto"/>
              <w:jc w:val="center"/>
            </w:pPr>
            <w:r w:rsidRPr="006850EF">
              <w:rPr>
                <w:b/>
                <w:bCs/>
              </w:rPr>
              <w:t xml:space="preserve">Model </w:t>
            </w:r>
            <w:r>
              <w:rPr>
                <w:b/>
                <w:bCs/>
              </w:rPr>
              <w:t>3</w:t>
            </w:r>
          </w:p>
        </w:tc>
        <w:tc>
          <w:tcPr>
            <w:tcW w:w="1720" w:type="dxa"/>
            <w:tcBorders>
              <w:top w:val="single" w:sz="4" w:space="0" w:color="auto"/>
              <w:left w:val="single" w:sz="4" w:space="0" w:color="auto"/>
              <w:bottom w:val="single" w:sz="4" w:space="0" w:color="auto"/>
            </w:tcBorders>
            <w:shd w:val="clear" w:color="auto" w:fill="E7E6E6" w:themeFill="background2"/>
            <w:vAlign w:val="center"/>
          </w:tcPr>
          <w:p w14:paraId="4EDC3906" w14:textId="77777777" w:rsidR="00620174" w:rsidRPr="006850EF" w:rsidRDefault="00620174" w:rsidP="00620174">
            <w:pPr>
              <w:spacing w:line="240" w:lineRule="auto"/>
              <w:jc w:val="center"/>
            </w:pPr>
            <w:r w:rsidRPr="006850EF">
              <w:rPr>
                <w:b/>
                <w:bCs/>
              </w:rPr>
              <w:t xml:space="preserve">Model </w:t>
            </w:r>
            <w:r>
              <w:rPr>
                <w:b/>
                <w:bCs/>
              </w:rPr>
              <w:t>4</w:t>
            </w:r>
          </w:p>
        </w:tc>
      </w:tr>
      <w:tr w:rsidR="00620174" w:rsidRPr="006850EF" w14:paraId="541B7E23"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7FF4C4B8" w14:textId="77777777" w:rsidR="00620174" w:rsidRPr="006850EF" w:rsidRDefault="00620174" w:rsidP="00620174">
            <w:pPr>
              <w:spacing w:before="60" w:line="240" w:lineRule="auto"/>
              <w:jc w:val="center"/>
            </w:pPr>
            <w:proofErr w:type="spellStart"/>
            <w:r w:rsidRPr="006850EF">
              <w:t>LVEDVi</w:t>
            </w:r>
            <w:proofErr w:type="spellEnd"/>
          </w:p>
        </w:tc>
        <w:tc>
          <w:tcPr>
            <w:tcW w:w="1834" w:type="dxa"/>
            <w:tcBorders>
              <w:top w:val="single" w:sz="4" w:space="0" w:color="auto"/>
              <w:left w:val="single" w:sz="4" w:space="0" w:color="auto"/>
              <w:right w:val="single" w:sz="4" w:space="0" w:color="auto"/>
            </w:tcBorders>
            <w:vAlign w:val="bottom"/>
          </w:tcPr>
          <w:p w14:paraId="6C2BCC4A"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-0.084*</w:t>
            </w:r>
          </w:p>
        </w:tc>
        <w:tc>
          <w:tcPr>
            <w:tcW w:w="1720" w:type="dxa"/>
            <w:tcBorders>
              <w:top w:val="single" w:sz="4" w:space="0" w:color="auto"/>
              <w:left w:val="single" w:sz="4" w:space="0" w:color="auto"/>
              <w:right w:val="single" w:sz="4" w:space="0" w:color="auto"/>
            </w:tcBorders>
            <w:vAlign w:val="bottom"/>
          </w:tcPr>
          <w:p w14:paraId="6749200D"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-0.032*</w:t>
            </w:r>
          </w:p>
        </w:tc>
        <w:tc>
          <w:tcPr>
            <w:tcW w:w="1720" w:type="dxa"/>
            <w:tcBorders>
              <w:top w:val="single" w:sz="4" w:space="0" w:color="auto"/>
              <w:left w:val="single" w:sz="4" w:space="0" w:color="auto"/>
              <w:right w:val="single" w:sz="4" w:space="0" w:color="auto"/>
            </w:tcBorders>
            <w:vAlign w:val="bottom"/>
          </w:tcPr>
          <w:p w14:paraId="7B5F8596"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-0.031*</w:t>
            </w:r>
          </w:p>
        </w:tc>
        <w:tc>
          <w:tcPr>
            <w:tcW w:w="1720" w:type="dxa"/>
            <w:tcBorders>
              <w:top w:val="single" w:sz="4" w:space="0" w:color="auto"/>
              <w:left w:val="single" w:sz="4" w:space="0" w:color="auto"/>
              <w:right w:val="single" w:sz="4" w:space="0" w:color="auto"/>
            </w:tcBorders>
            <w:vAlign w:val="bottom"/>
          </w:tcPr>
          <w:p w14:paraId="1A94B6CB"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-0.030*</w:t>
            </w:r>
          </w:p>
        </w:tc>
        <w:tc>
          <w:tcPr>
            <w:tcW w:w="1720" w:type="dxa"/>
            <w:tcBorders>
              <w:top w:val="single" w:sz="4" w:space="0" w:color="auto"/>
              <w:left w:val="single" w:sz="4" w:space="0" w:color="auto"/>
            </w:tcBorders>
            <w:vAlign w:val="bottom"/>
          </w:tcPr>
          <w:p w14:paraId="5635416B"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-0.032*</w:t>
            </w:r>
          </w:p>
        </w:tc>
      </w:tr>
      <w:tr w:rsidR="00620174" w:rsidRPr="006850EF" w14:paraId="06E45C33" w14:textId="77777777" w:rsidTr="00620174">
        <w:tc>
          <w:tcPr>
            <w:tcW w:w="1129" w:type="dxa"/>
            <w:tcBorders>
              <w:bottom w:val="nil"/>
              <w:right w:val="single" w:sz="4" w:space="0" w:color="auto"/>
            </w:tcBorders>
            <w:shd w:val="clear" w:color="auto" w:fill="F2F2F2" w:themeFill="background1" w:themeFillShade="F2"/>
            <w:vAlign w:val="bottom"/>
          </w:tcPr>
          <w:p w14:paraId="3DC2DD81"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77B88111" w14:textId="77777777" w:rsidR="00620174" w:rsidRPr="006850EF" w:rsidRDefault="00620174" w:rsidP="00620174">
            <w:pPr>
              <w:snapToGrid w:val="0"/>
              <w:spacing w:line="240" w:lineRule="auto"/>
              <w:jc w:val="center"/>
              <w:rPr>
                <w:color w:val="000000"/>
                <w:position w:val="6"/>
              </w:rPr>
            </w:pPr>
            <w:r w:rsidRPr="006850EF">
              <w:rPr>
                <w:color w:val="000000"/>
                <w:position w:val="6"/>
              </w:rPr>
              <w:t>[-0.100, -0.068]</w:t>
            </w:r>
          </w:p>
        </w:tc>
        <w:tc>
          <w:tcPr>
            <w:tcW w:w="1720" w:type="dxa"/>
            <w:tcBorders>
              <w:left w:val="single" w:sz="4" w:space="0" w:color="auto"/>
              <w:bottom w:val="nil"/>
              <w:right w:val="single" w:sz="4" w:space="0" w:color="auto"/>
            </w:tcBorders>
            <w:vAlign w:val="bottom"/>
          </w:tcPr>
          <w:p w14:paraId="7C3C55E5" w14:textId="77777777" w:rsidR="00620174" w:rsidRPr="006850EF" w:rsidRDefault="00620174" w:rsidP="00620174">
            <w:pPr>
              <w:snapToGrid w:val="0"/>
              <w:spacing w:line="240" w:lineRule="auto"/>
              <w:jc w:val="center"/>
              <w:rPr>
                <w:color w:val="000000"/>
                <w:position w:val="6"/>
              </w:rPr>
            </w:pPr>
            <w:r w:rsidRPr="006850EF">
              <w:rPr>
                <w:color w:val="000000"/>
                <w:position w:val="6"/>
              </w:rPr>
              <w:t>[-0.048, -0.016]</w:t>
            </w:r>
          </w:p>
        </w:tc>
        <w:tc>
          <w:tcPr>
            <w:tcW w:w="1720" w:type="dxa"/>
            <w:tcBorders>
              <w:left w:val="single" w:sz="4" w:space="0" w:color="auto"/>
              <w:bottom w:val="nil"/>
              <w:right w:val="single" w:sz="4" w:space="0" w:color="auto"/>
            </w:tcBorders>
            <w:vAlign w:val="bottom"/>
          </w:tcPr>
          <w:p w14:paraId="31B8219C" w14:textId="77777777" w:rsidR="00620174" w:rsidRPr="006850EF" w:rsidRDefault="00620174" w:rsidP="00620174">
            <w:pPr>
              <w:snapToGrid w:val="0"/>
              <w:spacing w:line="240" w:lineRule="auto"/>
              <w:jc w:val="center"/>
              <w:rPr>
                <w:color w:val="000000"/>
                <w:position w:val="6"/>
              </w:rPr>
            </w:pPr>
            <w:r w:rsidRPr="006850EF">
              <w:rPr>
                <w:color w:val="000000"/>
                <w:position w:val="6"/>
              </w:rPr>
              <w:t>[-0.047, -0.015]</w:t>
            </w:r>
          </w:p>
        </w:tc>
        <w:tc>
          <w:tcPr>
            <w:tcW w:w="1720" w:type="dxa"/>
            <w:tcBorders>
              <w:left w:val="single" w:sz="4" w:space="0" w:color="auto"/>
              <w:bottom w:val="nil"/>
              <w:right w:val="single" w:sz="4" w:space="0" w:color="auto"/>
            </w:tcBorders>
            <w:vAlign w:val="bottom"/>
          </w:tcPr>
          <w:p w14:paraId="7FEE3B67" w14:textId="77777777" w:rsidR="00620174" w:rsidRPr="006850EF" w:rsidRDefault="00620174" w:rsidP="00620174">
            <w:pPr>
              <w:snapToGrid w:val="0"/>
              <w:spacing w:line="240" w:lineRule="auto"/>
              <w:jc w:val="center"/>
              <w:rPr>
                <w:color w:val="000000"/>
                <w:position w:val="6"/>
              </w:rPr>
            </w:pPr>
            <w:r w:rsidRPr="006850EF">
              <w:rPr>
                <w:color w:val="000000"/>
                <w:position w:val="6"/>
              </w:rPr>
              <w:t>[-0.046, -0.013]</w:t>
            </w:r>
          </w:p>
        </w:tc>
        <w:tc>
          <w:tcPr>
            <w:tcW w:w="1720" w:type="dxa"/>
            <w:tcBorders>
              <w:left w:val="single" w:sz="4" w:space="0" w:color="auto"/>
              <w:bottom w:val="nil"/>
            </w:tcBorders>
            <w:vAlign w:val="bottom"/>
          </w:tcPr>
          <w:p w14:paraId="7169E789" w14:textId="77777777" w:rsidR="00620174" w:rsidRPr="006850EF" w:rsidRDefault="00620174" w:rsidP="00620174">
            <w:pPr>
              <w:snapToGrid w:val="0"/>
              <w:spacing w:line="240" w:lineRule="auto"/>
              <w:jc w:val="center"/>
              <w:rPr>
                <w:color w:val="000000"/>
                <w:position w:val="6"/>
              </w:rPr>
            </w:pPr>
            <w:r w:rsidRPr="006850EF">
              <w:rPr>
                <w:color w:val="000000"/>
                <w:position w:val="6"/>
              </w:rPr>
              <w:t>[-0.048, -0.015]</w:t>
            </w:r>
          </w:p>
        </w:tc>
      </w:tr>
      <w:tr w:rsidR="00620174" w:rsidRPr="006850EF" w14:paraId="14A41F9E"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01B1B386"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1940C87D"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1.68x10</w:t>
            </w:r>
            <w:r w:rsidRPr="006850EF">
              <w:rPr>
                <w:color w:val="000000"/>
                <w:position w:val="6"/>
                <w:vertAlign w:val="superscript"/>
              </w:rPr>
              <w:t>-22</w:t>
            </w:r>
          </w:p>
        </w:tc>
        <w:tc>
          <w:tcPr>
            <w:tcW w:w="1720" w:type="dxa"/>
            <w:tcBorders>
              <w:top w:val="nil"/>
              <w:left w:val="single" w:sz="4" w:space="0" w:color="auto"/>
              <w:bottom w:val="single" w:sz="4" w:space="0" w:color="auto"/>
              <w:right w:val="single" w:sz="4" w:space="0" w:color="auto"/>
            </w:tcBorders>
            <w:vAlign w:val="bottom"/>
          </w:tcPr>
          <w:p w14:paraId="65582EB7"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1.34x10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vAlign w:val="bottom"/>
          </w:tcPr>
          <w:p w14:paraId="03050205"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2.57x10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vAlign w:val="bottom"/>
          </w:tcPr>
          <w:p w14:paraId="722B1DA1"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5.33x10</w:t>
            </w:r>
            <w:r w:rsidRPr="006850EF">
              <w:rPr>
                <w:color w:val="000000"/>
                <w:position w:val="6"/>
                <w:vertAlign w:val="superscript"/>
              </w:rPr>
              <w:t>-4</w:t>
            </w:r>
          </w:p>
        </w:tc>
        <w:tc>
          <w:tcPr>
            <w:tcW w:w="1720" w:type="dxa"/>
            <w:tcBorders>
              <w:top w:val="nil"/>
              <w:left w:val="single" w:sz="4" w:space="0" w:color="auto"/>
              <w:bottom w:val="single" w:sz="4" w:space="0" w:color="auto"/>
            </w:tcBorders>
            <w:vAlign w:val="bottom"/>
          </w:tcPr>
          <w:p w14:paraId="7B1CA2F2"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2.57x10</w:t>
            </w:r>
            <w:r w:rsidRPr="006850EF">
              <w:rPr>
                <w:color w:val="000000"/>
                <w:position w:val="6"/>
                <w:vertAlign w:val="superscript"/>
              </w:rPr>
              <w:t>-4</w:t>
            </w:r>
          </w:p>
        </w:tc>
      </w:tr>
      <w:tr w:rsidR="00620174" w:rsidRPr="006850EF" w14:paraId="7341D938"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775DB40E" w14:textId="77777777" w:rsidR="00620174" w:rsidRPr="006850EF" w:rsidRDefault="00620174" w:rsidP="00620174">
            <w:pPr>
              <w:spacing w:before="60" w:line="240" w:lineRule="auto"/>
              <w:jc w:val="center"/>
            </w:pPr>
            <w:proofErr w:type="spellStart"/>
            <w:r w:rsidRPr="006850EF">
              <w:t>LVESVi</w:t>
            </w:r>
            <w:proofErr w:type="spellEnd"/>
          </w:p>
        </w:tc>
        <w:tc>
          <w:tcPr>
            <w:tcW w:w="1834" w:type="dxa"/>
            <w:tcBorders>
              <w:top w:val="single" w:sz="4" w:space="0" w:color="auto"/>
              <w:left w:val="single" w:sz="4" w:space="0" w:color="auto"/>
              <w:right w:val="single" w:sz="4" w:space="0" w:color="auto"/>
            </w:tcBorders>
            <w:vAlign w:val="bottom"/>
          </w:tcPr>
          <w:p w14:paraId="60D17E1C"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-0.052*</w:t>
            </w:r>
          </w:p>
        </w:tc>
        <w:tc>
          <w:tcPr>
            <w:tcW w:w="1720" w:type="dxa"/>
            <w:tcBorders>
              <w:top w:val="single" w:sz="4" w:space="0" w:color="auto"/>
              <w:left w:val="single" w:sz="4" w:space="0" w:color="auto"/>
              <w:right w:val="single" w:sz="4" w:space="0" w:color="auto"/>
            </w:tcBorders>
            <w:shd w:val="clear" w:color="auto" w:fill="auto"/>
            <w:vAlign w:val="bottom"/>
          </w:tcPr>
          <w:p w14:paraId="5FDFF048"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-0.017*</w:t>
            </w:r>
          </w:p>
        </w:tc>
        <w:tc>
          <w:tcPr>
            <w:tcW w:w="1720" w:type="dxa"/>
            <w:tcBorders>
              <w:top w:val="single" w:sz="4" w:space="0" w:color="auto"/>
              <w:left w:val="single" w:sz="4" w:space="0" w:color="auto"/>
              <w:right w:val="single" w:sz="4" w:space="0" w:color="auto"/>
            </w:tcBorders>
            <w:shd w:val="clear" w:color="auto" w:fill="auto"/>
            <w:vAlign w:val="bottom"/>
          </w:tcPr>
          <w:p w14:paraId="2D11DA84"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-0.018*</w:t>
            </w:r>
          </w:p>
        </w:tc>
        <w:tc>
          <w:tcPr>
            <w:tcW w:w="1720" w:type="dxa"/>
            <w:tcBorders>
              <w:top w:val="single" w:sz="4" w:space="0" w:color="auto"/>
              <w:left w:val="single" w:sz="4" w:space="0" w:color="auto"/>
              <w:right w:val="single" w:sz="4" w:space="0" w:color="auto"/>
            </w:tcBorders>
            <w:shd w:val="clear" w:color="auto" w:fill="auto"/>
            <w:vAlign w:val="bottom"/>
          </w:tcPr>
          <w:p w14:paraId="20F8C40F"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-0.017*</w:t>
            </w:r>
          </w:p>
        </w:tc>
        <w:tc>
          <w:tcPr>
            <w:tcW w:w="1720" w:type="dxa"/>
            <w:tcBorders>
              <w:top w:val="single" w:sz="4" w:space="0" w:color="auto"/>
              <w:left w:val="single" w:sz="4" w:space="0" w:color="auto"/>
            </w:tcBorders>
            <w:shd w:val="clear" w:color="auto" w:fill="auto"/>
            <w:vAlign w:val="bottom"/>
          </w:tcPr>
          <w:p w14:paraId="02863F95"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-0.019*</w:t>
            </w:r>
          </w:p>
        </w:tc>
      </w:tr>
      <w:tr w:rsidR="00620174" w:rsidRPr="006850EF" w14:paraId="5B120A25" w14:textId="77777777" w:rsidTr="00620174">
        <w:tc>
          <w:tcPr>
            <w:tcW w:w="1129" w:type="dxa"/>
            <w:tcBorders>
              <w:bottom w:val="nil"/>
              <w:right w:val="single" w:sz="4" w:space="0" w:color="auto"/>
            </w:tcBorders>
            <w:shd w:val="clear" w:color="auto" w:fill="F2F2F2" w:themeFill="background1" w:themeFillShade="F2"/>
            <w:vAlign w:val="bottom"/>
          </w:tcPr>
          <w:p w14:paraId="40372BFD"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1F9F5005" w14:textId="77777777" w:rsidR="00620174" w:rsidRPr="006850EF" w:rsidRDefault="00620174" w:rsidP="00620174">
            <w:pPr>
              <w:snapToGrid w:val="0"/>
              <w:spacing w:line="240" w:lineRule="auto"/>
              <w:jc w:val="center"/>
              <w:rPr>
                <w:color w:val="000000"/>
                <w:position w:val="6"/>
              </w:rPr>
            </w:pPr>
            <w:r w:rsidRPr="006850EF">
              <w:rPr>
                <w:color w:val="000000"/>
                <w:position w:val="6"/>
              </w:rPr>
              <w:t>[-0.069, -0.036]</w:t>
            </w:r>
          </w:p>
        </w:tc>
        <w:tc>
          <w:tcPr>
            <w:tcW w:w="1720" w:type="dxa"/>
            <w:tcBorders>
              <w:left w:val="single" w:sz="4" w:space="0" w:color="auto"/>
              <w:bottom w:val="nil"/>
              <w:right w:val="single" w:sz="4" w:space="0" w:color="auto"/>
            </w:tcBorders>
            <w:shd w:val="clear" w:color="auto" w:fill="auto"/>
            <w:vAlign w:val="bottom"/>
          </w:tcPr>
          <w:p w14:paraId="3DCD91C1" w14:textId="77777777" w:rsidR="00620174" w:rsidRPr="006850EF" w:rsidRDefault="00620174" w:rsidP="00620174">
            <w:pPr>
              <w:snapToGrid w:val="0"/>
              <w:spacing w:line="240" w:lineRule="auto"/>
              <w:jc w:val="center"/>
              <w:rPr>
                <w:color w:val="000000"/>
                <w:position w:val="6"/>
              </w:rPr>
            </w:pPr>
            <w:r w:rsidRPr="006850EF">
              <w:rPr>
                <w:color w:val="000000"/>
                <w:position w:val="6"/>
              </w:rPr>
              <w:t>[-0.033, -0.001]</w:t>
            </w:r>
          </w:p>
        </w:tc>
        <w:tc>
          <w:tcPr>
            <w:tcW w:w="1720" w:type="dxa"/>
            <w:tcBorders>
              <w:left w:val="single" w:sz="4" w:space="0" w:color="auto"/>
              <w:bottom w:val="nil"/>
              <w:right w:val="single" w:sz="4" w:space="0" w:color="auto"/>
            </w:tcBorders>
            <w:shd w:val="clear" w:color="auto" w:fill="auto"/>
            <w:vAlign w:val="bottom"/>
          </w:tcPr>
          <w:p w14:paraId="125D6CF6" w14:textId="77777777" w:rsidR="00620174" w:rsidRPr="006850EF" w:rsidRDefault="00620174" w:rsidP="00620174">
            <w:pPr>
              <w:snapToGrid w:val="0"/>
              <w:spacing w:line="240" w:lineRule="auto"/>
              <w:jc w:val="center"/>
              <w:rPr>
                <w:color w:val="000000"/>
                <w:position w:val="6"/>
              </w:rPr>
            </w:pPr>
            <w:r w:rsidRPr="006850EF">
              <w:rPr>
                <w:color w:val="000000"/>
                <w:position w:val="6"/>
              </w:rPr>
              <w:t>[-0.033, -0.002]</w:t>
            </w:r>
          </w:p>
        </w:tc>
        <w:tc>
          <w:tcPr>
            <w:tcW w:w="1720" w:type="dxa"/>
            <w:tcBorders>
              <w:left w:val="single" w:sz="4" w:space="0" w:color="auto"/>
              <w:bottom w:val="nil"/>
              <w:right w:val="single" w:sz="4" w:space="0" w:color="auto"/>
            </w:tcBorders>
            <w:shd w:val="clear" w:color="auto" w:fill="auto"/>
            <w:vAlign w:val="bottom"/>
          </w:tcPr>
          <w:p w14:paraId="2529D6A9" w14:textId="77777777" w:rsidR="00620174" w:rsidRPr="006850EF" w:rsidRDefault="00620174" w:rsidP="00620174">
            <w:pPr>
              <w:snapToGrid w:val="0"/>
              <w:spacing w:line="240" w:lineRule="auto"/>
              <w:jc w:val="center"/>
              <w:rPr>
                <w:color w:val="000000"/>
                <w:position w:val="6"/>
              </w:rPr>
            </w:pPr>
            <w:r w:rsidRPr="006850EF">
              <w:rPr>
                <w:color w:val="000000"/>
                <w:position w:val="6"/>
              </w:rPr>
              <w:t>[-0.033, -0.001]</w:t>
            </w:r>
          </w:p>
        </w:tc>
        <w:tc>
          <w:tcPr>
            <w:tcW w:w="1720" w:type="dxa"/>
            <w:tcBorders>
              <w:left w:val="single" w:sz="4" w:space="0" w:color="auto"/>
              <w:bottom w:val="nil"/>
            </w:tcBorders>
            <w:shd w:val="clear" w:color="auto" w:fill="auto"/>
            <w:vAlign w:val="bottom"/>
          </w:tcPr>
          <w:p w14:paraId="511CDB33" w14:textId="77777777" w:rsidR="00620174" w:rsidRPr="006850EF" w:rsidRDefault="00620174" w:rsidP="00620174">
            <w:pPr>
              <w:snapToGrid w:val="0"/>
              <w:spacing w:line="240" w:lineRule="auto"/>
              <w:jc w:val="center"/>
              <w:rPr>
                <w:color w:val="000000"/>
                <w:position w:val="6"/>
              </w:rPr>
            </w:pPr>
            <w:r w:rsidRPr="006850EF">
              <w:rPr>
                <w:color w:val="000000"/>
                <w:position w:val="6"/>
              </w:rPr>
              <w:t>[-0.035, -0.003]</w:t>
            </w:r>
          </w:p>
        </w:tc>
      </w:tr>
      <w:tr w:rsidR="00620174" w:rsidRPr="006850EF" w14:paraId="09358CA1"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5E1C0661"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742DA861"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1.96x10</w:t>
            </w:r>
            <w:r w:rsidRPr="006850EF">
              <w:rPr>
                <w:color w:val="000000"/>
                <w:position w:val="6"/>
                <w:vertAlign w:val="superscript"/>
              </w:rPr>
              <w:t>-9</w:t>
            </w:r>
          </w:p>
        </w:tc>
        <w:tc>
          <w:tcPr>
            <w:tcW w:w="1720" w:type="dxa"/>
            <w:tcBorders>
              <w:top w:val="nil"/>
              <w:left w:val="single" w:sz="4" w:space="0" w:color="auto"/>
              <w:bottom w:val="single" w:sz="4" w:space="0" w:color="auto"/>
              <w:right w:val="single" w:sz="4" w:space="0" w:color="auto"/>
            </w:tcBorders>
            <w:shd w:val="clear" w:color="auto" w:fill="auto"/>
            <w:vAlign w:val="bottom"/>
          </w:tcPr>
          <w:p w14:paraId="16A175B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0.0362</w:t>
            </w:r>
          </w:p>
        </w:tc>
        <w:tc>
          <w:tcPr>
            <w:tcW w:w="1720" w:type="dxa"/>
            <w:tcBorders>
              <w:top w:val="nil"/>
              <w:left w:val="single" w:sz="4" w:space="0" w:color="auto"/>
              <w:bottom w:val="single" w:sz="4" w:space="0" w:color="auto"/>
              <w:right w:val="single" w:sz="4" w:space="0" w:color="auto"/>
            </w:tcBorders>
            <w:shd w:val="clear" w:color="auto" w:fill="auto"/>
            <w:vAlign w:val="bottom"/>
          </w:tcPr>
          <w:p w14:paraId="4B2DDDA6"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0.0346</w:t>
            </w:r>
          </w:p>
        </w:tc>
        <w:tc>
          <w:tcPr>
            <w:tcW w:w="1720" w:type="dxa"/>
            <w:tcBorders>
              <w:top w:val="nil"/>
              <w:left w:val="single" w:sz="4" w:space="0" w:color="auto"/>
              <w:bottom w:val="single" w:sz="4" w:space="0" w:color="auto"/>
              <w:right w:val="single" w:sz="4" w:space="0" w:color="auto"/>
            </w:tcBorders>
            <w:shd w:val="clear" w:color="auto" w:fill="auto"/>
            <w:vAlign w:val="bottom"/>
          </w:tcPr>
          <w:p w14:paraId="399CFFEC"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0.0376</w:t>
            </w:r>
          </w:p>
        </w:tc>
        <w:tc>
          <w:tcPr>
            <w:tcW w:w="1720" w:type="dxa"/>
            <w:tcBorders>
              <w:top w:val="nil"/>
              <w:left w:val="single" w:sz="4" w:space="0" w:color="auto"/>
              <w:bottom w:val="single" w:sz="4" w:space="0" w:color="auto"/>
            </w:tcBorders>
            <w:shd w:val="clear" w:color="auto" w:fill="auto"/>
            <w:vAlign w:val="bottom"/>
          </w:tcPr>
          <w:p w14:paraId="5712D9AC"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0.0236</w:t>
            </w:r>
          </w:p>
        </w:tc>
      </w:tr>
      <w:tr w:rsidR="00620174" w:rsidRPr="006850EF" w14:paraId="3F127D4D"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6660BA9A" w14:textId="77777777" w:rsidR="00620174" w:rsidRPr="006850EF" w:rsidRDefault="00620174" w:rsidP="00620174">
            <w:pPr>
              <w:spacing w:before="60" w:line="240" w:lineRule="auto"/>
              <w:jc w:val="center"/>
            </w:pPr>
            <w:r w:rsidRPr="006850EF">
              <w:t>LVEF</w:t>
            </w:r>
          </w:p>
        </w:tc>
        <w:tc>
          <w:tcPr>
            <w:tcW w:w="1834" w:type="dxa"/>
            <w:tcBorders>
              <w:top w:val="single" w:sz="4" w:space="0" w:color="auto"/>
              <w:left w:val="single" w:sz="4" w:space="0" w:color="auto"/>
              <w:right w:val="single" w:sz="4" w:space="0" w:color="auto"/>
            </w:tcBorders>
            <w:shd w:val="clear" w:color="auto" w:fill="F2F2F2" w:themeFill="background1" w:themeFillShade="F2"/>
            <w:vAlign w:val="bottom"/>
          </w:tcPr>
          <w:p w14:paraId="27E3960A"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-0.001</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60FFCD48"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-0.005</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50732037"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-0.003</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6BA7CEBF"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-0.003</w:t>
            </w:r>
          </w:p>
        </w:tc>
        <w:tc>
          <w:tcPr>
            <w:tcW w:w="1720" w:type="dxa"/>
            <w:tcBorders>
              <w:top w:val="single" w:sz="4" w:space="0" w:color="auto"/>
              <w:left w:val="single" w:sz="4" w:space="0" w:color="auto"/>
            </w:tcBorders>
            <w:shd w:val="clear" w:color="auto" w:fill="F2F2F2" w:themeFill="background1" w:themeFillShade="F2"/>
            <w:vAlign w:val="bottom"/>
          </w:tcPr>
          <w:p w14:paraId="1FB35D64"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-0.002</w:t>
            </w:r>
          </w:p>
        </w:tc>
      </w:tr>
      <w:tr w:rsidR="00620174" w:rsidRPr="006850EF" w14:paraId="24B17974" w14:textId="77777777" w:rsidTr="00620174">
        <w:tc>
          <w:tcPr>
            <w:tcW w:w="1129" w:type="dxa"/>
            <w:tcBorders>
              <w:bottom w:val="nil"/>
              <w:right w:val="single" w:sz="4" w:space="0" w:color="auto"/>
            </w:tcBorders>
            <w:shd w:val="clear" w:color="auto" w:fill="F2F2F2" w:themeFill="background1" w:themeFillShade="F2"/>
            <w:vAlign w:val="bottom"/>
          </w:tcPr>
          <w:p w14:paraId="435DC0C0"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shd w:val="clear" w:color="auto" w:fill="F2F2F2" w:themeFill="background1" w:themeFillShade="F2"/>
            <w:vAlign w:val="bottom"/>
          </w:tcPr>
          <w:p w14:paraId="7EB84E0D" w14:textId="77777777" w:rsidR="00620174" w:rsidRPr="006850EF" w:rsidRDefault="00620174" w:rsidP="00620174">
            <w:pPr>
              <w:snapToGrid w:val="0"/>
              <w:spacing w:line="240" w:lineRule="auto"/>
              <w:jc w:val="center"/>
              <w:rPr>
                <w:color w:val="000000"/>
                <w:position w:val="6"/>
              </w:rPr>
            </w:pPr>
            <w:r w:rsidRPr="006850EF">
              <w:rPr>
                <w:color w:val="000000"/>
                <w:position w:val="6"/>
              </w:rPr>
              <w:t>[-0.018, 0.015]</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7F9753C9" w14:textId="77777777" w:rsidR="00620174" w:rsidRPr="006850EF" w:rsidRDefault="00620174" w:rsidP="00620174">
            <w:pPr>
              <w:snapToGrid w:val="0"/>
              <w:spacing w:line="240" w:lineRule="auto"/>
              <w:jc w:val="center"/>
              <w:rPr>
                <w:color w:val="000000"/>
                <w:position w:val="6"/>
              </w:rPr>
            </w:pPr>
            <w:r w:rsidRPr="006850EF">
              <w:rPr>
                <w:color w:val="000000"/>
                <w:position w:val="6"/>
              </w:rPr>
              <w:t>[-0.021, 0.011]</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6B764B04" w14:textId="77777777" w:rsidR="00620174" w:rsidRPr="006850EF" w:rsidRDefault="00620174" w:rsidP="00620174">
            <w:pPr>
              <w:snapToGrid w:val="0"/>
              <w:spacing w:line="240" w:lineRule="auto"/>
              <w:jc w:val="center"/>
              <w:rPr>
                <w:color w:val="000000"/>
                <w:position w:val="6"/>
              </w:rPr>
            </w:pPr>
            <w:r w:rsidRPr="006850EF">
              <w:rPr>
                <w:color w:val="000000"/>
                <w:position w:val="6"/>
              </w:rPr>
              <w:t>[-0.019, 0.012]</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3428C22E" w14:textId="77777777" w:rsidR="00620174" w:rsidRPr="006850EF" w:rsidRDefault="00620174" w:rsidP="00620174">
            <w:pPr>
              <w:snapToGrid w:val="0"/>
              <w:spacing w:line="240" w:lineRule="auto"/>
              <w:jc w:val="center"/>
              <w:rPr>
                <w:color w:val="000000"/>
                <w:position w:val="6"/>
              </w:rPr>
            </w:pPr>
            <w:r w:rsidRPr="006850EF">
              <w:rPr>
                <w:color w:val="000000"/>
                <w:position w:val="6"/>
              </w:rPr>
              <w:t>[-0.018, 0.013]</w:t>
            </w:r>
          </w:p>
        </w:tc>
        <w:tc>
          <w:tcPr>
            <w:tcW w:w="1720" w:type="dxa"/>
            <w:tcBorders>
              <w:left w:val="single" w:sz="4" w:space="0" w:color="auto"/>
              <w:bottom w:val="nil"/>
            </w:tcBorders>
            <w:shd w:val="clear" w:color="auto" w:fill="F2F2F2" w:themeFill="background1" w:themeFillShade="F2"/>
            <w:vAlign w:val="bottom"/>
          </w:tcPr>
          <w:p w14:paraId="1AAE1D94" w14:textId="77777777" w:rsidR="00620174" w:rsidRPr="006850EF" w:rsidRDefault="00620174" w:rsidP="00620174">
            <w:pPr>
              <w:snapToGrid w:val="0"/>
              <w:spacing w:line="240" w:lineRule="auto"/>
              <w:jc w:val="center"/>
              <w:rPr>
                <w:color w:val="000000"/>
                <w:position w:val="6"/>
              </w:rPr>
            </w:pPr>
            <w:r w:rsidRPr="006850EF">
              <w:rPr>
                <w:color w:val="000000"/>
                <w:position w:val="6"/>
              </w:rPr>
              <w:t>[-0.018, 0.014]</w:t>
            </w:r>
          </w:p>
        </w:tc>
      </w:tr>
      <w:tr w:rsidR="00620174" w:rsidRPr="006850EF" w14:paraId="2EB805D4"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478D23F1"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0CA8B55D"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0.8811</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3F4257F9"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0.5496</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6F35C53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0.6952</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7CDBE66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0.7581</w:t>
            </w:r>
          </w:p>
        </w:tc>
        <w:tc>
          <w:tcPr>
            <w:tcW w:w="1720" w:type="dxa"/>
            <w:tcBorders>
              <w:top w:val="nil"/>
              <w:left w:val="single" w:sz="4" w:space="0" w:color="auto"/>
              <w:bottom w:val="single" w:sz="4" w:space="0" w:color="auto"/>
            </w:tcBorders>
            <w:shd w:val="clear" w:color="auto" w:fill="F2F2F2" w:themeFill="background1" w:themeFillShade="F2"/>
            <w:vAlign w:val="bottom"/>
          </w:tcPr>
          <w:p w14:paraId="1B2327BC"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0.8006</w:t>
            </w:r>
          </w:p>
        </w:tc>
      </w:tr>
      <w:tr w:rsidR="00620174" w:rsidRPr="006850EF" w14:paraId="395194B9"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64C46823" w14:textId="77777777" w:rsidR="00620174" w:rsidRPr="006850EF" w:rsidRDefault="00620174" w:rsidP="00620174">
            <w:pPr>
              <w:spacing w:before="60" w:line="240" w:lineRule="auto"/>
              <w:jc w:val="center"/>
            </w:pPr>
            <w:proofErr w:type="spellStart"/>
            <w:r w:rsidRPr="006850EF">
              <w:t>LVSVi</w:t>
            </w:r>
            <w:proofErr w:type="spellEnd"/>
          </w:p>
        </w:tc>
        <w:tc>
          <w:tcPr>
            <w:tcW w:w="1834" w:type="dxa"/>
            <w:tcBorders>
              <w:top w:val="single" w:sz="4" w:space="0" w:color="auto"/>
              <w:left w:val="single" w:sz="4" w:space="0" w:color="auto"/>
              <w:right w:val="single" w:sz="4" w:space="0" w:color="auto"/>
            </w:tcBorders>
            <w:vAlign w:val="bottom"/>
          </w:tcPr>
          <w:p w14:paraId="5DDBE38D"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-0.083*</w:t>
            </w:r>
          </w:p>
        </w:tc>
        <w:tc>
          <w:tcPr>
            <w:tcW w:w="1720" w:type="dxa"/>
            <w:tcBorders>
              <w:top w:val="single" w:sz="4" w:space="0" w:color="auto"/>
              <w:left w:val="single" w:sz="4" w:space="0" w:color="auto"/>
              <w:right w:val="single" w:sz="4" w:space="0" w:color="auto"/>
            </w:tcBorders>
            <w:vAlign w:val="bottom"/>
          </w:tcPr>
          <w:p w14:paraId="57B57415"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-0.035*</w:t>
            </w:r>
          </w:p>
        </w:tc>
        <w:tc>
          <w:tcPr>
            <w:tcW w:w="1720" w:type="dxa"/>
            <w:tcBorders>
              <w:top w:val="single" w:sz="4" w:space="0" w:color="auto"/>
              <w:left w:val="single" w:sz="4" w:space="0" w:color="auto"/>
              <w:right w:val="single" w:sz="4" w:space="0" w:color="auto"/>
            </w:tcBorders>
            <w:vAlign w:val="bottom"/>
          </w:tcPr>
          <w:p w14:paraId="67333DFE"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-0.032*</w:t>
            </w:r>
          </w:p>
        </w:tc>
        <w:tc>
          <w:tcPr>
            <w:tcW w:w="1720" w:type="dxa"/>
            <w:tcBorders>
              <w:top w:val="single" w:sz="4" w:space="0" w:color="auto"/>
              <w:left w:val="single" w:sz="4" w:space="0" w:color="auto"/>
              <w:right w:val="single" w:sz="4" w:space="0" w:color="auto"/>
            </w:tcBorders>
            <w:shd w:val="clear" w:color="auto" w:fill="auto"/>
            <w:vAlign w:val="bottom"/>
          </w:tcPr>
          <w:p w14:paraId="33DE167C"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-0.030*</w:t>
            </w:r>
          </w:p>
        </w:tc>
        <w:tc>
          <w:tcPr>
            <w:tcW w:w="1720" w:type="dxa"/>
            <w:tcBorders>
              <w:top w:val="single" w:sz="4" w:space="0" w:color="auto"/>
              <w:left w:val="single" w:sz="4" w:space="0" w:color="auto"/>
            </w:tcBorders>
            <w:shd w:val="clear" w:color="auto" w:fill="auto"/>
            <w:vAlign w:val="bottom"/>
          </w:tcPr>
          <w:p w14:paraId="6A116B63"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-0.031*</w:t>
            </w:r>
          </w:p>
        </w:tc>
      </w:tr>
      <w:tr w:rsidR="00620174" w:rsidRPr="006850EF" w14:paraId="4788D33B" w14:textId="77777777" w:rsidTr="00620174">
        <w:tc>
          <w:tcPr>
            <w:tcW w:w="1129" w:type="dxa"/>
            <w:tcBorders>
              <w:bottom w:val="nil"/>
              <w:right w:val="single" w:sz="4" w:space="0" w:color="auto"/>
            </w:tcBorders>
            <w:shd w:val="clear" w:color="auto" w:fill="F2F2F2" w:themeFill="background1" w:themeFillShade="F2"/>
            <w:vAlign w:val="bottom"/>
          </w:tcPr>
          <w:p w14:paraId="09C35C4B"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26B86FFB" w14:textId="77777777" w:rsidR="00620174" w:rsidRPr="006850EF" w:rsidRDefault="00620174" w:rsidP="00620174">
            <w:pPr>
              <w:snapToGrid w:val="0"/>
              <w:spacing w:line="240" w:lineRule="auto"/>
              <w:jc w:val="center"/>
              <w:rPr>
                <w:color w:val="000000"/>
                <w:position w:val="6"/>
              </w:rPr>
            </w:pPr>
            <w:r w:rsidRPr="006850EF">
              <w:rPr>
                <w:color w:val="000000"/>
                <w:position w:val="6"/>
              </w:rPr>
              <w:t>[-0.100, -0.067]</w:t>
            </w:r>
          </w:p>
        </w:tc>
        <w:tc>
          <w:tcPr>
            <w:tcW w:w="1720" w:type="dxa"/>
            <w:tcBorders>
              <w:left w:val="single" w:sz="4" w:space="0" w:color="auto"/>
              <w:bottom w:val="nil"/>
              <w:right w:val="single" w:sz="4" w:space="0" w:color="auto"/>
            </w:tcBorders>
            <w:vAlign w:val="bottom"/>
          </w:tcPr>
          <w:p w14:paraId="0CACB5A5" w14:textId="77777777" w:rsidR="00620174" w:rsidRPr="006850EF" w:rsidRDefault="00620174" w:rsidP="00620174">
            <w:pPr>
              <w:snapToGrid w:val="0"/>
              <w:spacing w:line="240" w:lineRule="auto"/>
              <w:jc w:val="center"/>
              <w:rPr>
                <w:color w:val="000000"/>
                <w:position w:val="6"/>
              </w:rPr>
            </w:pPr>
            <w:r w:rsidRPr="006850EF">
              <w:rPr>
                <w:color w:val="000000"/>
                <w:position w:val="6"/>
              </w:rPr>
              <w:t>[-0.050, -0.019]</w:t>
            </w:r>
          </w:p>
        </w:tc>
        <w:tc>
          <w:tcPr>
            <w:tcW w:w="1720" w:type="dxa"/>
            <w:tcBorders>
              <w:left w:val="single" w:sz="4" w:space="0" w:color="auto"/>
              <w:bottom w:val="nil"/>
              <w:right w:val="single" w:sz="4" w:space="0" w:color="auto"/>
            </w:tcBorders>
            <w:vAlign w:val="bottom"/>
          </w:tcPr>
          <w:p w14:paraId="58C13D07" w14:textId="77777777" w:rsidR="00620174" w:rsidRPr="006850EF" w:rsidRDefault="00620174" w:rsidP="00620174">
            <w:pPr>
              <w:snapToGrid w:val="0"/>
              <w:spacing w:line="240" w:lineRule="auto"/>
              <w:jc w:val="center"/>
              <w:rPr>
                <w:color w:val="000000"/>
                <w:position w:val="6"/>
              </w:rPr>
            </w:pPr>
            <w:r w:rsidRPr="006850EF">
              <w:rPr>
                <w:color w:val="000000"/>
                <w:position w:val="6"/>
              </w:rPr>
              <w:t>[-0.048, -0.016]</w:t>
            </w:r>
          </w:p>
        </w:tc>
        <w:tc>
          <w:tcPr>
            <w:tcW w:w="1720" w:type="dxa"/>
            <w:tcBorders>
              <w:left w:val="single" w:sz="4" w:space="0" w:color="auto"/>
              <w:bottom w:val="nil"/>
              <w:right w:val="single" w:sz="4" w:space="0" w:color="auto"/>
            </w:tcBorders>
            <w:shd w:val="clear" w:color="auto" w:fill="auto"/>
            <w:vAlign w:val="bottom"/>
          </w:tcPr>
          <w:p w14:paraId="084F1754" w14:textId="77777777" w:rsidR="00620174" w:rsidRPr="006850EF" w:rsidRDefault="00620174" w:rsidP="00620174">
            <w:pPr>
              <w:snapToGrid w:val="0"/>
              <w:spacing w:line="240" w:lineRule="auto"/>
              <w:jc w:val="center"/>
              <w:rPr>
                <w:color w:val="000000"/>
                <w:position w:val="6"/>
              </w:rPr>
            </w:pPr>
            <w:r w:rsidRPr="006850EF">
              <w:rPr>
                <w:color w:val="000000"/>
                <w:position w:val="6"/>
              </w:rPr>
              <w:t>[-0.046, -0.014]</w:t>
            </w:r>
          </w:p>
        </w:tc>
        <w:tc>
          <w:tcPr>
            <w:tcW w:w="1720" w:type="dxa"/>
            <w:tcBorders>
              <w:left w:val="single" w:sz="4" w:space="0" w:color="auto"/>
              <w:bottom w:val="nil"/>
            </w:tcBorders>
            <w:shd w:val="clear" w:color="auto" w:fill="auto"/>
            <w:vAlign w:val="bottom"/>
          </w:tcPr>
          <w:p w14:paraId="5D3EA690" w14:textId="77777777" w:rsidR="00620174" w:rsidRPr="006850EF" w:rsidRDefault="00620174" w:rsidP="00620174">
            <w:pPr>
              <w:snapToGrid w:val="0"/>
              <w:spacing w:line="240" w:lineRule="auto"/>
              <w:jc w:val="center"/>
              <w:rPr>
                <w:color w:val="000000"/>
                <w:position w:val="6"/>
              </w:rPr>
            </w:pPr>
            <w:r w:rsidRPr="006850EF">
              <w:rPr>
                <w:color w:val="000000"/>
                <w:position w:val="6"/>
              </w:rPr>
              <w:t>[-0.047, -0.015]</w:t>
            </w:r>
          </w:p>
        </w:tc>
      </w:tr>
      <w:tr w:rsidR="00620174" w:rsidRPr="006850EF" w14:paraId="79DA1BCF"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671C4E01"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43E978D2"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2.09x10</w:t>
            </w:r>
            <w:r w:rsidRPr="006850EF">
              <w:rPr>
                <w:color w:val="000000"/>
                <w:position w:val="6"/>
                <w:vertAlign w:val="superscript"/>
              </w:rPr>
              <w:t>-22</w:t>
            </w:r>
          </w:p>
        </w:tc>
        <w:tc>
          <w:tcPr>
            <w:tcW w:w="1720" w:type="dxa"/>
            <w:tcBorders>
              <w:top w:val="nil"/>
              <w:left w:val="single" w:sz="4" w:space="0" w:color="auto"/>
              <w:bottom w:val="single" w:sz="4" w:space="0" w:color="auto"/>
              <w:right w:val="single" w:sz="4" w:space="0" w:color="auto"/>
            </w:tcBorders>
            <w:vAlign w:val="bottom"/>
          </w:tcPr>
          <w:p w14:paraId="6ECCDED0"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4.55x10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448CB930"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1.44x10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shd w:val="clear" w:color="auto" w:fill="auto"/>
            <w:vAlign w:val="bottom"/>
          </w:tcPr>
          <w:p w14:paraId="65A9485E"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4.53x10</w:t>
            </w:r>
            <w:r w:rsidRPr="006850EF">
              <w:rPr>
                <w:color w:val="000000"/>
                <w:position w:val="6"/>
                <w:vertAlign w:val="superscript"/>
              </w:rPr>
              <w:t>-4</w:t>
            </w:r>
          </w:p>
        </w:tc>
        <w:tc>
          <w:tcPr>
            <w:tcW w:w="1720" w:type="dxa"/>
            <w:tcBorders>
              <w:top w:val="nil"/>
              <w:left w:val="single" w:sz="4" w:space="0" w:color="auto"/>
              <w:bottom w:val="single" w:sz="4" w:space="0" w:color="auto"/>
            </w:tcBorders>
            <w:shd w:val="clear" w:color="auto" w:fill="auto"/>
            <w:vAlign w:val="bottom"/>
          </w:tcPr>
          <w:p w14:paraId="2A4A2780"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3.18x10</w:t>
            </w:r>
            <w:r w:rsidRPr="006850EF">
              <w:rPr>
                <w:color w:val="000000"/>
                <w:position w:val="6"/>
                <w:vertAlign w:val="superscript"/>
              </w:rPr>
              <w:t>-4</w:t>
            </w:r>
          </w:p>
        </w:tc>
      </w:tr>
      <w:tr w:rsidR="00620174" w:rsidRPr="006850EF" w14:paraId="37F439B1"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3F69CAE3" w14:textId="77777777" w:rsidR="00620174" w:rsidRPr="006850EF" w:rsidRDefault="00620174" w:rsidP="00620174">
            <w:pPr>
              <w:spacing w:before="60" w:line="240" w:lineRule="auto"/>
              <w:jc w:val="center"/>
            </w:pPr>
            <w:r w:rsidRPr="006850EF">
              <w:t>LVMi</w:t>
            </w:r>
          </w:p>
        </w:tc>
        <w:tc>
          <w:tcPr>
            <w:tcW w:w="1834" w:type="dxa"/>
            <w:tcBorders>
              <w:top w:val="single" w:sz="4" w:space="0" w:color="auto"/>
              <w:left w:val="single" w:sz="4" w:space="0" w:color="auto"/>
              <w:right w:val="single" w:sz="4" w:space="0" w:color="auto"/>
            </w:tcBorders>
            <w:vAlign w:val="bottom"/>
          </w:tcPr>
          <w:p w14:paraId="58993583"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-0.075*</w:t>
            </w:r>
          </w:p>
        </w:tc>
        <w:tc>
          <w:tcPr>
            <w:tcW w:w="1720" w:type="dxa"/>
            <w:tcBorders>
              <w:top w:val="single" w:sz="4" w:space="0" w:color="auto"/>
              <w:left w:val="single" w:sz="4" w:space="0" w:color="auto"/>
              <w:right w:val="single" w:sz="4" w:space="0" w:color="auto"/>
            </w:tcBorders>
            <w:vAlign w:val="bottom"/>
          </w:tcPr>
          <w:p w14:paraId="08A6D4A2"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-0.036*</w:t>
            </w:r>
          </w:p>
        </w:tc>
        <w:tc>
          <w:tcPr>
            <w:tcW w:w="1720" w:type="dxa"/>
            <w:tcBorders>
              <w:top w:val="single" w:sz="4" w:space="0" w:color="auto"/>
              <w:left w:val="single" w:sz="4" w:space="0" w:color="auto"/>
              <w:right w:val="single" w:sz="4" w:space="0" w:color="auto"/>
            </w:tcBorders>
            <w:vAlign w:val="bottom"/>
          </w:tcPr>
          <w:p w14:paraId="03380FDD"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-0.036*</w:t>
            </w:r>
          </w:p>
        </w:tc>
        <w:tc>
          <w:tcPr>
            <w:tcW w:w="1720" w:type="dxa"/>
            <w:tcBorders>
              <w:top w:val="single" w:sz="4" w:space="0" w:color="auto"/>
              <w:left w:val="single" w:sz="4" w:space="0" w:color="auto"/>
              <w:right w:val="single" w:sz="4" w:space="0" w:color="auto"/>
            </w:tcBorders>
            <w:vAlign w:val="bottom"/>
          </w:tcPr>
          <w:p w14:paraId="18C54FEE"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-0.038*</w:t>
            </w:r>
          </w:p>
        </w:tc>
        <w:tc>
          <w:tcPr>
            <w:tcW w:w="1720" w:type="dxa"/>
            <w:tcBorders>
              <w:top w:val="single" w:sz="4" w:space="0" w:color="auto"/>
              <w:left w:val="single" w:sz="4" w:space="0" w:color="auto"/>
            </w:tcBorders>
            <w:vAlign w:val="bottom"/>
          </w:tcPr>
          <w:p w14:paraId="64980B3E"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-0.041*</w:t>
            </w:r>
          </w:p>
        </w:tc>
      </w:tr>
      <w:tr w:rsidR="00620174" w:rsidRPr="006850EF" w14:paraId="3F128A6B" w14:textId="77777777" w:rsidTr="00620174">
        <w:tc>
          <w:tcPr>
            <w:tcW w:w="1129" w:type="dxa"/>
            <w:tcBorders>
              <w:bottom w:val="nil"/>
              <w:right w:val="single" w:sz="4" w:space="0" w:color="auto"/>
            </w:tcBorders>
            <w:shd w:val="clear" w:color="auto" w:fill="F2F2F2" w:themeFill="background1" w:themeFillShade="F2"/>
            <w:vAlign w:val="bottom"/>
          </w:tcPr>
          <w:p w14:paraId="2F5611EB"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13FA3D50" w14:textId="77777777" w:rsidR="00620174" w:rsidRPr="006850EF" w:rsidRDefault="00620174" w:rsidP="00620174">
            <w:pPr>
              <w:snapToGrid w:val="0"/>
              <w:spacing w:line="240" w:lineRule="auto"/>
              <w:jc w:val="center"/>
              <w:rPr>
                <w:color w:val="000000"/>
                <w:position w:val="6"/>
              </w:rPr>
            </w:pPr>
            <w:r w:rsidRPr="006850EF">
              <w:rPr>
                <w:color w:val="000000"/>
                <w:position w:val="6"/>
              </w:rPr>
              <w:t>[-0.091, -0.058]</w:t>
            </w:r>
          </w:p>
        </w:tc>
        <w:tc>
          <w:tcPr>
            <w:tcW w:w="1720" w:type="dxa"/>
            <w:tcBorders>
              <w:left w:val="single" w:sz="4" w:space="0" w:color="auto"/>
              <w:bottom w:val="nil"/>
              <w:right w:val="single" w:sz="4" w:space="0" w:color="auto"/>
            </w:tcBorders>
            <w:vAlign w:val="bottom"/>
          </w:tcPr>
          <w:p w14:paraId="020EF0D8" w14:textId="77777777" w:rsidR="00620174" w:rsidRPr="006850EF" w:rsidRDefault="00620174" w:rsidP="00620174">
            <w:pPr>
              <w:snapToGrid w:val="0"/>
              <w:spacing w:line="240" w:lineRule="auto"/>
              <w:jc w:val="center"/>
              <w:rPr>
                <w:color w:val="000000"/>
                <w:position w:val="6"/>
              </w:rPr>
            </w:pPr>
            <w:r w:rsidRPr="006850EF">
              <w:rPr>
                <w:color w:val="000000"/>
                <w:position w:val="6"/>
              </w:rPr>
              <w:t>[-0.052, -0.020]</w:t>
            </w:r>
          </w:p>
        </w:tc>
        <w:tc>
          <w:tcPr>
            <w:tcW w:w="1720" w:type="dxa"/>
            <w:tcBorders>
              <w:left w:val="single" w:sz="4" w:space="0" w:color="auto"/>
              <w:bottom w:val="nil"/>
              <w:right w:val="single" w:sz="4" w:space="0" w:color="auto"/>
            </w:tcBorders>
            <w:vAlign w:val="bottom"/>
          </w:tcPr>
          <w:p w14:paraId="123A4C96" w14:textId="77777777" w:rsidR="00620174" w:rsidRPr="006850EF" w:rsidRDefault="00620174" w:rsidP="00620174">
            <w:pPr>
              <w:snapToGrid w:val="0"/>
              <w:spacing w:line="240" w:lineRule="auto"/>
              <w:jc w:val="center"/>
              <w:rPr>
                <w:color w:val="000000"/>
                <w:position w:val="6"/>
              </w:rPr>
            </w:pPr>
            <w:r w:rsidRPr="006850EF">
              <w:rPr>
                <w:color w:val="000000"/>
                <w:position w:val="6"/>
              </w:rPr>
              <w:t>[-0.052, -0.020]</w:t>
            </w:r>
          </w:p>
        </w:tc>
        <w:tc>
          <w:tcPr>
            <w:tcW w:w="1720" w:type="dxa"/>
            <w:tcBorders>
              <w:left w:val="single" w:sz="4" w:space="0" w:color="auto"/>
              <w:bottom w:val="nil"/>
              <w:right w:val="single" w:sz="4" w:space="0" w:color="auto"/>
            </w:tcBorders>
            <w:vAlign w:val="bottom"/>
          </w:tcPr>
          <w:p w14:paraId="6198E039" w14:textId="77777777" w:rsidR="00620174" w:rsidRPr="006850EF" w:rsidRDefault="00620174" w:rsidP="00620174">
            <w:pPr>
              <w:snapToGrid w:val="0"/>
              <w:spacing w:line="240" w:lineRule="auto"/>
              <w:jc w:val="center"/>
              <w:rPr>
                <w:color w:val="000000"/>
                <w:position w:val="6"/>
              </w:rPr>
            </w:pPr>
            <w:r w:rsidRPr="006850EF">
              <w:rPr>
                <w:color w:val="000000"/>
                <w:position w:val="6"/>
              </w:rPr>
              <w:t>[-0.054, -0.022]</w:t>
            </w:r>
          </w:p>
        </w:tc>
        <w:tc>
          <w:tcPr>
            <w:tcW w:w="1720" w:type="dxa"/>
            <w:tcBorders>
              <w:left w:val="single" w:sz="4" w:space="0" w:color="auto"/>
              <w:bottom w:val="nil"/>
            </w:tcBorders>
            <w:vAlign w:val="bottom"/>
          </w:tcPr>
          <w:p w14:paraId="40DED15C" w14:textId="77777777" w:rsidR="00620174" w:rsidRPr="006850EF" w:rsidRDefault="00620174" w:rsidP="00620174">
            <w:pPr>
              <w:snapToGrid w:val="0"/>
              <w:spacing w:line="240" w:lineRule="auto"/>
              <w:jc w:val="center"/>
              <w:rPr>
                <w:color w:val="000000"/>
                <w:position w:val="6"/>
              </w:rPr>
            </w:pPr>
            <w:r w:rsidRPr="006850EF">
              <w:rPr>
                <w:color w:val="000000"/>
                <w:position w:val="6"/>
              </w:rPr>
              <w:t>[-0.057, -0.025]</w:t>
            </w:r>
          </w:p>
        </w:tc>
      </w:tr>
      <w:tr w:rsidR="00620174" w:rsidRPr="006850EF" w14:paraId="3EB3FFE6"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4554F619"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67720501"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4.42x10</w:t>
            </w:r>
            <w:r w:rsidRPr="006850EF">
              <w:rPr>
                <w:color w:val="000000"/>
                <w:position w:val="6"/>
                <w:vertAlign w:val="superscript"/>
              </w:rPr>
              <w:t>-18</w:t>
            </w:r>
          </w:p>
        </w:tc>
        <w:tc>
          <w:tcPr>
            <w:tcW w:w="1720" w:type="dxa"/>
            <w:tcBorders>
              <w:top w:val="nil"/>
              <w:left w:val="single" w:sz="4" w:space="0" w:color="auto"/>
              <w:bottom w:val="single" w:sz="4" w:space="0" w:color="auto"/>
              <w:right w:val="single" w:sz="4" w:space="0" w:color="auto"/>
            </w:tcBorders>
            <w:vAlign w:val="bottom"/>
          </w:tcPr>
          <w:p w14:paraId="1C36F51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1.92x10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03656B9F"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2.56x10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64DE5454"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1.02x10</w:t>
            </w:r>
            <w:r w:rsidRPr="006850EF">
              <w:rPr>
                <w:color w:val="000000"/>
                <w:position w:val="6"/>
                <w:vertAlign w:val="superscript"/>
              </w:rPr>
              <w:t>-5</w:t>
            </w:r>
          </w:p>
        </w:tc>
        <w:tc>
          <w:tcPr>
            <w:tcW w:w="1720" w:type="dxa"/>
            <w:tcBorders>
              <w:top w:val="nil"/>
              <w:left w:val="single" w:sz="4" w:space="0" w:color="auto"/>
              <w:bottom w:val="single" w:sz="4" w:space="0" w:color="auto"/>
            </w:tcBorders>
            <w:vAlign w:val="bottom"/>
          </w:tcPr>
          <w:p w14:paraId="405602BE"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2.34x10</w:t>
            </w:r>
            <w:r w:rsidRPr="006850EF">
              <w:rPr>
                <w:color w:val="000000"/>
                <w:position w:val="6"/>
                <w:vertAlign w:val="superscript"/>
              </w:rPr>
              <w:t>-6</w:t>
            </w:r>
          </w:p>
        </w:tc>
      </w:tr>
      <w:tr w:rsidR="00620174" w:rsidRPr="006850EF" w14:paraId="052266A0"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1A6D0255" w14:textId="77777777" w:rsidR="00620174" w:rsidRPr="006850EF" w:rsidRDefault="00620174" w:rsidP="00620174">
            <w:pPr>
              <w:spacing w:before="60" w:line="240" w:lineRule="auto"/>
              <w:jc w:val="center"/>
            </w:pPr>
            <w:proofErr w:type="spellStart"/>
            <w:r w:rsidRPr="006850EF">
              <w:t>RVEDVi</w:t>
            </w:r>
            <w:proofErr w:type="spellEnd"/>
          </w:p>
        </w:tc>
        <w:tc>
          <w:tcPr>
            <w:tcW w:w="1834" w:type="dxa"/>
            <w:tcBorders>
              <w:top w:val="single" w:sz="4" w:space="0" w:color="auto"/>
              <w:left w:val="single" w:sz="4" w:space="0" w:color="auto"/>
              <w:right w:val="single" w:sz="4" w:space="0" w:color="auto"/>
            </w:tcBorders>
            <w:vAlign w:val="bottom"/>
          </w:tcPr>
          <w:p w14:paraId="62FF404F" w14:textId="77777777" w:rsidR="00620174" w:rsidRPr="006850EF" w:rsidRDefault="00620174" w:rsidP="00620174">
            <w:pPr>
              <w:snapToGrid w:val="0"/>
              <w:spacing w:before="60" w:line="240" w:lineRule="auto"/>
              <w:jc w:val="center"/>
              <w:rPr>
                <w:b/>
                <w:bCs/>
                <w:color w:val="000000"/>
                <w:position w:val="6"/>
              </w:rPr>
            </w:pPr>
            <w:r w:rsidRPr="006850EF">
              <w:rPr>
                <w:color w:val="000000"/>
                <w:position w:val="6"/>
              </w:rPr>
              <w:t>-0.111*</w:t>
            </w:r>
          </w:p>
        </w:tc>
        <w:tc>
          <w:tcPr>
            <w:tcW w:w="1720" w:type="dxa"/>
            <w:tcBorders>
              <w:top w:val="single" w:sz="4" w:space="0" w:color="auto"/>
              <w:left w:val="single" w:sz="4" w:space="0" w:color="auto"/>
              <w:right w:val="single" w:sz="4" w:space="0" w:color="auto"/>
            </w:tcBorders>
            <w:vAlign w:val="bottom"/>
          </w:tcPr>
          <w:p w14:paraId="7552F0D6"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-0.047*</w:t>
            </w:r>
          </w:p>
        </w:tc>
        <w:tc>
          <w:tcPr>
            <w:tcW w:w="1720" w:type="dxa"/>
            <w:tcBorders>
              <w:top w:val="single" w:sz="4" w:space="0" w:color="auto"/>
              <w:left w:val="single" w:sz="4" w:space="0" w:color="auto"/>
              <w:right w:val="single" w:sz="4" w:space="0" w:color="auto"/>
            </w:tcBorders>
            <w:vAlign w:val="bottom"/>
          </w:tcPr>
          <w:p w14:paraId="09EE2F4A"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-0.043*</w:t>
            </w:r>
          </w:p>
        </w:tc>
        <w:tc>
          <w:tcPr>
            <w:tcW w:w="1720" w:type="dxa"/>
            <w:tcBorders>
              <w:top w:val="single" w:sz="4" w:space="0" w:color="auto"/>
              <w:left w:val="single" w:sz="4" w:space="0" w:color="auto"/>
              <w:right w:val="single" w:sz="4" w:space="0" w:color="auto"/>
            </w:tcBorders>
            <w:vAlign w:val="bottom"/>
          </w:tcPr>
          <w:p w14:paraId="1198F2F1"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-0.039*</w:t>
            </w:r>
          </w:p>
        </w:tc>
        <w:tc>
          <w:tcPr>
            <w:tcW w:w="1720" w:type="dxa"/>
            <w:tcBorders>
              <w:top w:val="single" w:sz="4" w:space="0" w:color="auto"/>
              <w:left w:val="single" w:sz="4" w:space="0" w:color="auto"/>
            </w:tcBorders>
            <w:vAlign w:val="bottom"/>
          </w:tcPr>
          <w:p w14:paraId="33ACBED9"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-0.040*</w:t>
            </w:r>
          </w:p>
        </w:tc>
      </w:tr>
      <w:tr w:rsidR="00620174" w:rsidRPr="006850EF" w14:paraId="6B03B3EB" w14:textId="77777777" w:rsidTr="00620174">
        <w:tc>
          <w:tcPr>
            <w:tcW w:w="1129" w:type="dxa"/>
            <w:tcBorders>
              <w:bottom w:val="nil"/>
              <w:right w:val="single" w:sz="4" w:space="0" w:color="auto"/>
            </w:tcBorders>
            <w:shd w:val="clear" w:color="auto" w:fill="F2F2F2" w:themeFill="background1" w:themeFillShade="F2"/>
            <w:vAlign w:val="bottom"/>
          </w:tcPr>
          <w:p w14:paraId="13C7A8CC"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6DA35513" w14:textId="77777777" w:rsidR="00620174" w:rsidRPr="006850EF" w:rsidRDefault="00620174" w:rsidP="00620174">
            <w:pPr>
              <w:snapToGrid w:val="0"/>
              <w:spacing w:line="240" w:lineRule="auto"/>
              <w:jc w:val="center"/>
              <w:rPr>
                <w:color w:val="000000"/>
                <w:position w:val="6"/>
              </w:rPr>
            </w:pPr>
            <w:r w:rsidRPr="006850EF">
              <w:rPr>
                <w:color w:val="000000"/>
                <w:position w:val="6"/>
              </w:rPr>
              <w:t>[-0.127, -0.095]</w:t>
            </w:r>
          </w:p>
        </w:tc>
        <w:tc>
          <w:tcPr>
            <w:tcW w:w="1720" w:type="dxa"/>
            <w:tcBorders>
              <w:left w:val="single" w:sz="4" w:space="0" w:color="auto"/>
              <w:bottom w:val="nil"/>
              <w:right w:val="single" w:sz="4" w:space="0" w:color="auto"/>
            </w:tcBorders>
            <w:vAlign w:val="bottom"/>
          </w:tcPr>
          <w:p w14:paraId="2E03B83C" w14:textId="77777777" w:rsidR="00620174" w:rsidRPr="006850EF" w:rsidRDefault="00620174" w:rsidP="00620174">
            <w:pPr>
              <w:snapToGrid w:val="0"/>
              <w:spacing w:line="240" w:lineRule="auto"/>
              <w:jc w:val="center"/>
              <w:rPr>
                <w:color w:val="000000"/>
                <w:position w:val="6"/>
              </w:rPr>
            </w:pPr>
            <w:r w:rsidRPr="006850EF">
              <w:rPr>
                <w:color w:val="000000"/>
                <w:position w:val="6"/>
              </w:rPr>
              <w:t>[-0.063, -0.031]</w:t>
            </w:r>
          </w:p>
        </w:tc>
        <w:tc>
          <w:tcPr>
            <w:tcW w:w="1720" w:type="dxa"/>
            <w:tcBorders>
              <w:left w:val="single" w:sz="4" w:space="0" w:color="auto"/>
              <w:bottom w:val="nil"/>
              <w:right w:val="single" w:sz="4" w:space="0" w:color="auto"/>
            </w:tcBorders>
            <w:vAlign w:val="bottom"/>
          </w:tcPr>
          <w:p w14:paraId="5FBF92DD" w14:textId="77777777" w:rsidR="00620174" w:rsidRPr="006850EF" w:rsidRDefault="00620174" w:rsidP="00620174">
            <w:pPr>
              <w:snapToGrid w:val="0"/>
              <w:spacing w:line="240" w:lineRule="auto"/>
              <w:jc w:val="center"/>
              <w:rPr>
                <w:color w:val="000000"/>
                <w:position w:val="6"/>
              </w:rPr>
            </w:pPr>
            <w:r w:rsidRPr="006850EF">
              <w:rPr>
                <w:color w:val="000000"/>
                <w:position w:val="6"/>
              </w:rPr>
              <w:t>[-0.059, -0.026]</w:t>
            </w:r>
          </w:p>
        </w:tc>
        <w:tc>
          <w:tcPr>
            <w:tcW w:w="1720" w:type="dxa"/>
            <w:tcBorders>
              <w:left w:val="single" w:sz="4" w:space="0" w:color="auto"/>
              <w:bottom w:val="nil"/>
              <w:right w:val="single" w:sz="4" w:space="0" w:color="auto"/>
            </w:tcBorders>
            <w:vAlign w:val="bottom"/>
          </w:tcPr>
          <w:p w14:paraId="5372038C" w14:textId="77777777" w:rsidR="00620174" w:rsidRPr="006850EF" w:rsidRDefault="00620174" w:rsidP="00620174">
            <w:pPr>
              <w:snapToGrid w:val="0"/>
              <w:spacing w:line="240" w:lineRule="auto"/>
              <w:jc w:val="center"/>
              <w:rPr>
                <w:color w:val="000000"/>
                <w:position w:val="6"/>
              </w:rPr>
            </w:pPr>
            <w:r w:rsidRPr="006850EF">
              <w:rPr>
                <w:color w:val="000000"/>
                <w:position w:val="6"/>
              </w:rPr>
              <w:t>[-0.055, -0.023]</w:t>
            </w:r>
          </w:p>
        </w:tc>
        <w:tc>
          <w:tcPr>
            <w:tcW w:w="1720" w:type="dxa"/>
            <w:tcBorders>
              <w:left w:val="single" w:sz="4" w:space="0" w:color="auto"/>
              <w:bottom w:val="nil"/>
            </w:tcBorders>
            <w:vAlign w:val="bottom"/>
          </w:tcPr>
          <w:p w14:paraId="57FEF4D7" w14:textId="77777777" w:rsidR="00620174" w:rsidRPr="006850EF" w:rsidRDefault="00620174" w:rsidP="00620174">
            <w:pPr>
              <w:snapToGrid w:val="0"/>
              <w:spacing w:line="240" w:lineRule="auto"/>
              <w:jc w:val="center"/>
              <w:rPr>
                <w:color w:val="000000"/>
                <w:position w:val="6"/>
              </w:rPr>
            </w:pPr>
            <w:r w:rsidRPr="006850EF">
              <w:rPr>
                <w:color w:val="000000"/>
                <w:position w:val="6"/>
              </w:rPr>
              <w:t>[-0.057, -0.024]</w:t>
            </w:r>
          </w:p>
        </w:tc>
      </w:tr>
      <w:tr w:rsidR="00620174" w:rsidRPr="006850EF" w14:paraId="65BB6EA5"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081A3A15"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7132E6E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1.64x10</w:t>
            </w:r>
            <w:r w:rsidRPr="006850EF">
              <w:rPr>
                <w:color w:val="000000"/>
                <w:position w:val="6"/>
                <w:vertAlign w:val="superscript"/>
              </w:rPr>
              <w:t>-38</w:t>
            </w:r>
          </w:p>
        </w:tc>
        <w:tc>
          <w:tcPr>
            <w:tcW w:w="1720" w:type="dxa"/>
            <w:tcBorders>
              <w:top w:val="nil"/>
              <w:left w:val="single" w:sz="4" w:space="0" w:color="auto"/>
              <w:bottom w:val="single" w:sz="4" w:space="0" w:color="auto"/>
              <w:right w:val="single" w:sz="4" w:space="0" w:color="auto"/>
            </w:tcBorders>
            <w:vAlign w:val="bottom"/>
          </w:tcPr>
          <w:p w14:paraId="48D143B9"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4.91x10</w:t>
            </w:r>
            <w:r w:rsidRPr="006850EF">
              <w:rPr>
                <w:color w:val="000000"/>
                <w:position w:val="6"/>
                <w:vertAlign w:val="superscript"/>
              </w:rPr>
              <w:t>-8</w:t>
            </w:r>
          </w:p>
        </w:tc>
        <w:tc>
          <w:tcPr>
            <w:tcW w:w="1720" w:type="dxa"/>
            <w:tcBorders>
              <w:top w:val="nil"/>
              <w:left w:val="single" w:sz="4" w:space="0" w:color="auto"/>
              <w:bottom w:val="single" w:sz="4" w:space="0" w:color="auto"/>
              <w:right w:val="single" w:sz="4" w:space="0" w:color="auto"/>
            </w:tcBorders>
            <w:vAlign w:val="bottom"/>
          </w:tcPr>
          <w:p w14:paraId="1F1FEA59"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9.67x10</w:t>
            </w:r>
            <w:r w:rsidRPr="006850EF">
              <w:rPr>
                <w:color w:val="000000"/>
                <w:position w:val="6"/>
                <w:vertAlign w:val="superscript"/>
              </w:rPr>
              <w:t>-7</w:t>
            </w:r>
          </w:p>
        </w:tc>
        <w:tc>
          <w:tcPr>
            <w:tcW w:w="1720" w:type="dxa"/>
            <w:tcBorders>
              <w:top w:val="nil"/>
              <w:left w:val="single" w:sz="4" w:space="0" w:color="auto"/>
              <w:bottom w:val="single" w:sz="4" w:space="0" w:color="auto"/>
              <w:right w:val="single" w:sz="4" w:space="0" w:color="auto"/>
            </w:tcBorders>
            <w:vAlign w:val="bottom"/>
          </w:tcPr>
          <w:p w14:paraId="266E1F84"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8.67x10</w:t>
            </w:r>
            <w:r w:rsidRPr="006850EF">
              <w:rPr>
                <w:color w:val="000000"/>
                <w:position w:val="6"/>
                <w:vertAlign w:val="superscript"/>
              </w:rPr>
              <w:t>-6</w:t>
            </w:r>
          </w:p>
        </w:tc>
        <w:tc>
          <w:tcPr>
            <w:tcW w:w="1720" w:type="dxa"/>
            <w:tcBorders>
              <w:top w:val="nil"/>
              <w:left w:val="single" w:sz="4" w:space="0" w:color="auto"/>
              <w:bottom w:val="single" w:sz="4" w:space="0" w:color="auto"/>
            </w:tcBorders>
            <w:vAlign w:val="bottom"/>
          </w:tcPr>
          <w:p w14:paraId="69BBD3DB"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6.13x10</w:t>
            </w:r>
            <w:r w:rsidRPr="006850EF">
              <w:rPr>
                <w:color w:val="000000"/>
                <w:position w:val="6"/>
                <w:vertAlign w:val="superscript"/>
              </w:rPr>
              <w:t>-6</w:t>
            </w:r>
          </w:p>
        </w:tc>
      </w:tr>
      <w:tr w:rsidR="00620174" w:rsidRPr="006850EF" w14:paraId="13D111C9"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629093F8" w14:textId="77777777" w:rsidR="00620174" w:rsidRPr="006850EF" w:rsidRDefault="00620174" w:rsidP="00620174">
            <w:pPr>
              <w:spacing w:before="60" w:line="240" w:lineRule="auto"/>
              <w:jc w:val="center"/>
            </w:pPr>
            <w:proofErr w:type="spellStart"/>
            <w:r w:rsidRPr="006850EF">
              <w:t>RVESVi</w:t>
            </w:r>
            <w:proofErr w:type="spellEnd"/>
          </w:p>
        </w:tc>
        <w:tc>
          <w:tcPr>
            <w:tcW w:w="1834" w:type="dxa"/>
            <w:tcBorders>
              <w:top w:val="single" w:sz="4" w:space="0" w:color="auto"/>
              <w:left w:val="single" w:sz="4" w:space="0" w:color="auto"/>
              <w:right w:val="single" w:sz="4" w:space="0" w:color="auto"/>
            </w:tcBorders>
            <w:vAlign w:val="bottom"/>
          </w:tcPr>
          <w:p w14:paraId="5F897DBD"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-0.101*</w:t>
            </w:r>
          </w:p>
        </w:tc>
        <w:tc>
          <w:tcPr>
            <w:tcW w:w="1720" w:type="dxa"/>
            <w:tcBorders>
              <w:top w:val="single" w:sz="4" w:space="0" w:color="auto"/>
              <w:left w:val="single" w:sz="4" w:space="0" w:color="auto"/>
              <w:right w:val="single" w:sz="4" w:space="0" w:color="auto"/>
            </w:tcBorders>
            <w:vAlign w:val="bottom"/>
          </w:tcPr>
          <w:p w14:paraId="38A9A409"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-0.041*</w:t>
            </w:r>
          </w:p>
        </w:tc>
        <w:tc>
          <w:tcPr>
            <w:tcW w:w="1720" w:type="dxa"/>
            <w:tcBorders>
              <w:top w:val="single" w:sz="4" w:space="0" w:color="auto"/>
              <w:left w:val="single" w:sz="4" w:space="0" w:color="auto"/>
              <w:right w:val="single" w:sz="4" w:space="0" w:color="auto"/>
            </w:tcBorders>
            <w:vAlign w:val="bottom"/>
          </w:tcPr>
          <w:p w14:paraId="5F06C815"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-0.038*</w:t>
            </w:r>
          </w:p>
        </w:tc>
        <w:tc>
          <w:tcPr>
            <w:tcW w:w="1720" w:type="dxa"/>
            <w:tcBorders>
              <w:top w:val="single" w:sz="4" w:space="0" w:color="auto"/>
              <w:left w:val="single" w:sz="4" w:space="0" w:color="auto"/>
              <w:right w:val="single" w:sz="4" w:space="0" w:color="auto"/>
            </w:tcBorders>
            <w:vAlign w:val="bottom"/>
          </w:tcPr>
          <w:p w14:paraId="2236AD2A"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-0.035*</w:t>
            </w:r>
          </w:p>
        </w:tc>
        <w:tc>
          <w:tcPr>
            <w:tcW w:w="1720" w:type="dxa"/>
            <w:tcBorders>
              <w:top w:val="single" w:sz="4" w:space="0" w:color="auto"/>
              <w:left w:val="single" w:sz="4" w:space="0" w:color="auto"/>
            </w:tcBorders>
            <w:vAlign w:val="bottom"/>
          </w:tcPr>
          <w:p w14:paraId="269DEE70"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-0.036*</w:t>
            </w:r>
          </w:p>
        </w:tc>
      </w:tr>
      <w:tr w:rsidR="00620174" w:rsidRPr="006850EF" w14:paraId="748518B2" w14:textId="77777777" w:rsidTr="00620174">
        <w:tc>
          <w:tcPr>
            <w:tcW w:w="1129" w:type="dxa"/>
            <w:tcBorders>
              <w:bottom w:val="nil"/>
              <w:right w:val="single" w:sz="4" w:space="0" w:color="auto"/>
            </w:tcBorders>
            <w:shd w:val="clear" w:color="auto" w:fill="F2F2F2" w:themeFill="background1" w:themeFillShade="F2"/>
            <w:vAlign w:val="bottom"/>
          </w:tcPr>
          <w:p w14:paraId="56A4105A"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6F143FB5" w14:textId="77777777" w:rsidR="00620174" w:rsidRPr="006850EF" w:rsidRDefault="00620174" w:rsidP="00620174">
            <w:pPr>
              <w:snapToGrid w:val="0"/>
              <w:spacing w:line="240" w:lineRule="auto"/>
              <w:jc w:val="center"/>
              <w:rPr>
                <w:color w:val="000000"/>
                <w:position w:val="6"/>
              </w:rPr>
            </w:pPr>
            <w:r w:rsidRPr="006850EF">
              <w:rPr>
                <w:color w:val="000000"/>
                <w:position w:val="6"/>
              </w:rPr>
              <w:t>[-0.117, -0.084]</w:t>
            </w:r>
          </w:p>
        </w:tc>
        <w:tc>
          <w:tcPr>
            <w:tcW w:w="1720" w:type="dxa"/>
            <w:tcBorders>
              <w:left w:val="single" w:sz="4" w:space="0" w:color="auto"/>
              <w:bottom w:val="nil"/>
              <w:right w:val="single" w:sz="4" w:space="0" w:color="auto"/>
            </w:tcBorders>
            <w:vAlign w:val="bottom"/>
          </w:tcPr>
          <w:p w14:paraId="76DCFBFC" w14:textId="77777777" w:rsidR="00620174" w:rsidRPr="006850EF" w:rsidRDefault="00620174" w:rsidP="00620174">
            <w:pPr>
              <w:snapToGrid w:val="0"/>
              <w:spacing w:line="240" w:lineRule="auto"/>
              <w:jc w:val="center"/>
              <w:rPr>
                <w:color w:val="000000"/>
                <w:position w:val="6"/>
              </w:rPr>
            </w:pPr>
            <w:r w:rsidRPr="006850EF">
              <w:rPr>
                <w:color w:val="000000"/>
                <w:position w:val="6"/>
              </w:rPr>
              <w:t>[-0.057, -0.025]</w:t>
            </w:r>
          </w:p>
        </w:tc>
        <w:tc>
          <w:tcPr>
            <w:tcW w:w="1720" w:type="dxa"/>
            <w:tcBorders>
              <w:left w:val="single" w:sz="4" w:space="0" w:color="auto"/>
              <w:bottom w:val="nil"/>
              <w:right w:val="single" w:sz="4" w:space="0" w:color="auto"/>
            </w:tcBorders>
            <w:vAlign w:val="bottom"/>
          </w:tcPr>
          <w:p w14:paraId="16BBEEDB" w14:textId="77777777" w:rsidR="00620174" w:rsidRPr="006850EF" w:rsidRDefault="00620174" w:rsidP="00620174">
            <w:pPr>
              <w:snapToGrid w:val="0"/>
              <w:spacing w:line="240" w:lineRule="auto"/>
              <w:jc w:val="center"/>
              <w:rPr>
                <w:color w:val="000000"/>
                <w:position w:val="6"/>
              </w:rPr>
            </w:pPr>
            <w:r w:rsidRPr="006850EF">
              <w:rPr>
                <w:color w:val="000000"/>
                <w:position w:val="6"/>
              </w:rPr>
              <w:t>[-0.054, -0.022]</w:t>
            </w:r>
          </w:p>
        </w:tc>
        <w:tc>
          <w:tcPr>
            <w:tcW w:w="1720" w:type="dxa"/>
            <w:tcBorders>
              <w:left w:val="single" w:sz="4" w:space="0" w:color="auto"/>
              <w:bottom w:val="nil"/>
              <w:right w:val="single" w:sz="4" w:space="0" w:color="auto"/>
            </w:tcBorders>
            <w:vAlign w:val="bottom"/>
          </w:tcPr>
          <w:p w14:paraId="42C70839" w14:textId="77777777" w:rsidR="00620174" w:rsidRPr="006850EF" w:rsidRDefault="00620174" w:rsidP="00620174">
            <w:pPr>
              <w:snapToGrid w:val="0"/>
              <w:spacing w:line="240" w:lineRule="auto"/>
              <w:jc w:val="center"/>
              <w:rPr>
                <w:color w:val="000000"/>
                <w:position w:val="6"/>
              </w:rPr>
            </w:pPr>
            <w:r w:rsidRPr="006850EF">
              <w:rPr>
                <w:color w:val="000000"/>
                <w:position w:val="6"/>
              </w:rPr>
              <w:t>[-0.051, -0.019]</w:t>
            </w:r>
          </w:p>
        </w:tc>
        <w:tc>
          <w:tcPr>
            <w:tcW w:w="1720" w:type="dxa"/>
            <w:tcBorders>
              <w:left w:val="single" w:sz="4" w:space="0" w:color="auto"/>
              <w:bottom w:val="nil"/>
            </w:tcBorders>
            <w:vAlign w:val="bottom"/>
          </w:tcPr>
          <w:p w14:paraId="6893432E" w14:textId="77777777" w:rsidR="00620174" w:rsidRPr="006850EF" w:rsidRDefault="00620174" w:rsidP="00620174">
            <w:pPr>
              <w:snapToGrid w:val="0"/>
              <w:spacing w:line="240" w:lineRule="auto"/>
              <w:jc w:val="center"/>
              <w:rPr>
                <w:color w:val="000000"/>
                <w:position w:val="6"/>
              </w:rPr>
            </w:pPr>
            <w:r w:rsidRPr="006850EF">
              <w:rPr>
                <w:color w:val="000000"/>
                <w:position w:val="6"/>
              </w:rPr>
              <w:t>[-0.052, -0.020]</w:t>
            </w:r>
          </w:p>
        </w:tc>
      </w:tr>
      <w:tr w:rsidR="00620174" w:rsidRPr="006850EF" w14:paraId="1B72DE0B"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31114E77"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7FFBF0FC"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5.44x10</w:t>
            </w:r>
            <w:r w:rsidRPr="006850EF">
              <w:rPr>
                <w:color w:val="000000"/>
                <w:position w:val="6"/>
                <w:vertAlign w:val="superscript"/>
              </w:rPr>
              <w:t>-32</w:t>
            </w:r>
          </w:p>
        </w:tc>
        <w:tc>
          <w:tcPr>
            <w:tcW w:w="1720" w:type="dxa"/>
            <w:tcBorders>
              <w:top w:val="nil"/>
              <w:left w:val="single" w:sz="4" w:space="0" w:color="auto"/>
              <w:bottom w:val="single" w:sz="4" w:space="0" w:color="auto"/>
              <w:right w:val="single" w:sz="4" w:space="0" w:color="auto"/>
            </w:tcBorders>
            <w:vAlign w:val="bottom"/>
          </w:tcPr>
          <w:p w14:paraId="7F58F7DE"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2.34x10</w:t>
            </w:r>
            <w:r w:rsidRPr="006850EF">
              <w:rPr>
                <w:color w:val="000000"/>
                <w:position w:val="6"/>
                <w:vertAlign w:val="superscript"/>
              </w:rPr>
              <w:t>-6</w:t>
            </w:r>
          </w:p>
        </w:tc>
        <w:tc>
          <w:tcPr>
            <w:tcW w:w="1720" w:type="dxa"/>
            <w:tcBorders>
              <w:top w:val="nil"/>
              <w:left w:val="single" w:sz="4" w:space="0" w:color="auto"/>
              <w:bottom w:val="single" w:sz="4" w:space="0" w:color="auto"/>
              <w:right w:val="single" w:sz="4" w:space="0" w:color="auto"/>
            </w:tcBorders>
            <w:vAlign w:val="bottom"/>
          </w:tcPr>
          <w:p w14:paraId="1329F776"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1.25x10</w:t>
            </w:r>
            <w:r w:rsidRPr="006850EF">
              <w:rPr>
                <w:color w:val="000000"/>
                <w:position w:val="6"/>
                <w:vertAlign w:val="superscript"/>
              </w:rPr>
              <w:t>-5</w:t>
            </w:r>
          </w:p>
        </w:tc>
        <w:tc>
          <w:tcPr>
            <w:tcW w:w="1720" w:type="dxa"/>
            <w:tcBorders>
              <w:top w:val="nil"/>
              <w:left w:val="single" w:sz="4" w:space="0" w:color="auto"/>
              <w:bottom w:val="single" w:sz="4" w:space="0" w:color="auto"/>
              <w:right w:val="single" w:sz="4" w:space="0" w:color="auto"/>
            </w:tcBorders>
            <w:vAlign w:val="bottom"/>
          </w:tcPr>
          <w:p w14:paraId="4C072E6D"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5.55x10</w:t>
            </w:r>
            <w:r w:rsidRPr="006850EF">
              <w:rPr>
                <w:color w:val="000000"/>
                <w:position w:val="6"/>
                <w:vertAlign w:val="superscript"/>
              </w:rPr>
              <w:t>-5</w:t>
            </w:r>
          </w:p>
        </w:tc>
        <w:tc>
          <w:tcPr>
            <w:tcW w:w="1720" w:type="dxa"/>
            <w:tcBorders>
              <w:top w:val="nil"/>
              <w:left w:val="single" w:sz="4" w:space="0" w:color="auto"/>
              <w:bottom w:val="single" w:sz="4" w:space="0" w:color="auto"/>
            </w:tcBorders>
            <w:vAlign w:val="bottom"/>
          </w:tcPr>
          <w:p w14:paraId="4A8CED27"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3.80x10</w:t>
            </w:r>
            <w:r w:rsidRPr="006850EF">
              <w:rPr>
                <w:color w:val="000000"/>
                <w:position w:val="6"/>
                <w:vertAlign w:val="superscript"/>
              </w:rPr>
              <w:t>-5</w:t>
            </w:r>
          </w:p>
        </w:tc>
      </w:tr>
      <w:tr w:rsidR="00620174" w:rsidRPr="006850EF" w14:paraId="538E050A"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20BCFC8D" w14:textId="77777777" w:rsidR="00620174" w:rsidRPr="006850EF" w:rsidRDefault="00620174" w:rsidP="00620174">
            <w:pPr>
              <w:spacing w:before="60" w:line="240" w:lineRule="auto"/>
              <w:jc w:val="center"/>
            </w:pPr>
            <w:r w:rsidRPr="006850EF">
              <w:t>RVEF</w:t>
            </w:r>
          </w:p>
        </w:tc>
        <w:tc>
          <w:tcPr>
            <w:tcW w:w="1834" w:type="dxa"/>
            <w:tcBorders>
              <w:top w:val="single" w:sz="4" w:space="0" w:color="auto"/>
              <w:left w:val="single" w:sz="4" w:space="0" w:color="auto"/>
              <w:right w:val="single" w:sz="4" w:space="0" w:color="auto"/>
            </w:tcBorders>
            <w:vAlign w:val="bottom"/>
          </w:tcPr>
          <w:p w14:paraId="0D317BAD"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0.029*</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3E625624"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0.008</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5D8F890E"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0.009</w:t>
            </w:r>
          </w:p>
        </w:tc>
        <w:tc>
          <w:tcPr>
            <w:tcW w:w="1720" w:type="dxa"/>
            <w:tcBorders>
              <w:top w:val="single" w:sz="4" w:space="0" w:color="auto"/>
              <w:left w:val="single" w:sz="4" w:space="0" w:color="auto"/>
              <w:right w:val="single" w:sz="4" w:space="0" w:color="auto"/>
            </w:tcBorders>
            <w:shd w:val="clear" w:color="auto" w:fill="F2F2F2" w:themeFill="background1" w:themeFillShade="F2"/>
            <w:vAlign w:val="bottom"/>
          </w:tcPr>
          <w:p w14:paraId="6689C017"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0.009</w:t>
            </w:r>
          </w:p>
        </w:tc>
        <w:tc>
          <w:tcPr>
            <w:tcW w:w="1720" w:type="dxa"/>
            <w:tcBorders>
              <w:top w:val="single" w:sz="4" w:space="0" w:color="auto"/>
              <w:left w:val="single" w:sz="4" w:space="0" w:color="auto"/>
            </w:tcBorders>
            <w:shd w:val="clear" w:color="auto" w:fill="F2F2F2" w:themeFill="background1" w:themeFillShade="F2"/>
            <w:vAlign w:val="bottom"/>
          </w:tcPr>
          <w:p w14:paraId="4D9B22AC" w14:textId="77777777" w:rsidR="00620174" w:rsidRPr="006850EF" w:rsidRDefault="00620174" w:rsidP="00620174">
            <w:pPr>
              <w:snapToGrid w:val="0"/>
              <w:spacing w:before="60" w:line="240" w:lineRule="auto"/>
              <w:jc w:val="center"/>
              <w:rPr>
                <w:color w:val="000000"/>
                <w:position w:val="6"/>
              </w:rPr>
            </w:pPr>
            <w:r w:rsidRPr="006850EF">
              <w:rPr>
                <w:color w:val="000000"/>
                <w:position w:val="6"/>
              </w:rPr>
              <w:t>0.010</w:t>
            </w:r>
          </w:p>
        </w:tc>
      </w:tr>
      <w:tr w:rsidR="00620174" w:rsidRPr="006850EF" w14:paraId="43A3BF00" w14:textId="77777777" w:rsidTr="00620174">
        <w:tc>
          <w:tcPr>
            <w:tcW w:w="1129" w:type="dxa"/>
            <w:tcBorders>
              <w:bottom w:val="nil"/>
              <w:right w:val="single" w:sz="4" w:space="0" w:color="auto"/>
            </w:tcBorders>
            <w:shd w:val="clear" w:color="auto" w:fill="F2F2F2" w:themeFill="background1" w:themeFillShade="F2"/>
            <w:vAlign w:val="bottom"/>
          </w:tcPr>
          <w:p w14:paraId="0A642156" w14:textId="77777777" w:rsidR="00620174" w:rsidRPr="006850EF" w:rsidRDefault="00620174" w:rsidP="00620174">
            <w:pPr>
              <w:spacing w:line="240" w:lineRule="auto"/>
              <w:jc w:val="center"/>
            </w:pPr>
          </w:p>
        </w:tc>
        <w:tc>
          <w:tcPr>
            <w:tcW w:w="1834" w:type="dxa"/>
            <w:tcBorders>
              <w:left w:val="single" w:sz="4" w:space="0" w:color="auto"/>
              <w:bottom w:val="nil"/>
              <w:right w:val="single" w:sz="4" w:space="0" w:color="auto"/>
            </w:tcBorders>
            <w:vAlign w:val="bottom"/>
          </w:tcPr>
          <w:p w14:paraId="3E5F8568" w14:textId="77777777" w:rsidR="00620174" w:rsidRPr="006850EF" w:rsidRDefault="00620174" w:rsidP="00620174">
            <w:pPr>
              <w:snapToGrid w:val="0"/>
              <w:spacing w:line="240" w:lineRule="auto"/>
              <w:jc w:val="center"/>
              <w:rPr>
                <w:color w:val="000000"/>
                <w:position w:val="6"/>
              </w:rPr>
            </w:pPr>
            <w:r w:rsidRPr="006850EF">
              <w:rPr>
                <w:color w:val="000000"/>
                <w:position w:val="6"/>
              </w:rPr>
              <w:t>[0.012, 0.045]</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718DC437" w14:textId="77777777" w:rsidR="00620174" w:rsidRPr="006850EF" w:rsidRDefault="00620174" w:rsidP="00620174">
            <w:pPr>
              <w:snapToGrid w:val="0"/>
              <w:spacing w:line="240" w:lineRule="auto"/>
              <w:jc w:val="center"/>
              <w:rPr>
                <w:color w:val="000000"/>
                <w:position w:val="6"/>
              </w:rPr>
            </w:pPr>
            <w:r w:rsidRPr="006850EF">
              <w:rPr>
                <w:color w:val="000000"/>
                <w:position w:val="6"/>
              </w:rPr>
              <w:t>[-0.007, 0.024]</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66AD5F39" w14:textId="77777777" w:rsidR="00620174" w:rsidRPr="006850EF" w:rsidRDefault="00620174" w:rsidP="00620174">
            <w:pPr>
              <w:snapToGrid w:val="0"/>
              <w:spacing w:line="240" w:lineRule="auto"/>
              <w:jc w:val="center"/>
              <w:rPr>
                <w:color w:val="000000"/>
                <w:position w:val="6"/>
              </w:rPr>
            </w:pPr>
            <w:r w:rsidRPr="006850EF">
              <w:rPr>
                <w:color w:val="000000"/>
                <w:position w:val="6"/>
              </w:rPr>
              <w:t>[-0.007, 0.025]</w:t>
            </w:r>
          </w:p>
        </w:tc>
        <w:tc>
          <w:tcPr>
            <w:tcW w:w="1720" w:type="dxa"/>
            <w:tcBorders>
              <w:left w:val="single" w:sz="4" w:space="0" w:color="auto"/>
              <w:bottom w:val="nil"/>
              <w:right w:val="single" w:sz="4" w:space="0" w:color="auto"/>
            </w:tcBorders>
            <w:shd w:val="clear" w:color="auto" w:fill="F2F2F2" w:themeFill="background1" w:themeFillShade="F2"/>
            <w:vAlign w:val="bottom"/>
          </w:tcPr>
          <w:p w14:paraId="242B079E" w14:textId="77777777" w:rsidR="00620174" w:rsidRPr="006850EF" w:rsidRDefault="00620174" w:rsidP="00620174">
            <w:pPr>
              <w:snapToGrid w:val="0"/>
              <w:spacing w:line="240" w:lineRule="auto"/>
              <w:jc w:val="center"/>
              <w:rPr>
                <w:color w:val="000000"/>
                <w:position w:val="6"/>
              </w:rPr>
            </w:pPr>
            <w:r w:rsidRPr="006850EF">
              <w:rPr>
                <w:color w:val="000000"/>
                <w:position w:val="6"/>
              </w:rPr>
              <w:t>[-0.007, 0.025]</w:t>
            </w:r>
          </w:p>
        </w:tc>
        <w:tc>
          <w:tcPr>
            <w:tcW w:w="1720" w:type="dxa"/>
            <w:tcBorders>
              <w:left w:val="single" w:sz="4" w:space="0" w:color="auto"/>
              <w:bottom w:val="nil"/>
            </w:tcBorders>
            <w:shd w:val="clear" w:color="auto" w:fill="F2F2F2" w:themeFill="background1" w:themeFillShade="F2"/>
            <w:vAlign w:val="bottom"/>
          </w:tcPr>
          <w:p w14:paraId="21D0002F" w14:textId="77777777" w:rsidR="00620174" w:rsidRPr="006850EF" w:rsidRDefault="00620174" w:rsidP="00620174">
            <w:pPr>
              <w:snapToGrid w:val="0"/>
              <w:spacing w:line="240" w:lineRule="auto"/>
              <w:jc w:val="center"/>
              <w:rPr>
                <w:color w:val="000000"/>
                <w:position w:val="6"/>
              </w:rPr>
            </w:pPr>
            <w:r w:rsidRPr="006850EF">
              <w:rPr>
                <w:color w:val="000000"/>
                <w:position w:val="6"/>
              </w:rPr>
              <w:t>[-0.006, 0.026]</w:t>
            </w:r>
          </w:p>
        </w:tc>
      </w:tr>
      <w:tr w:rsidR="00620174" w:rsidRPr="006850EF" w14:paraId="12AB36E2" w14:textId="77777777" w:rsidTr="00620174">
        <w:tc>
          <w:tcPr>
            <w:tcW w:w="1129" w:type="dxa"/>
            <w:tcBorders>
              <w:top w:val="nil"/>
              <w:bottom w:val="single" w:sz="4" w:space="0" w:color="auto"/>
              <w:right w:val="single" w:sz="4" w:space="0" w:color="auto"/>
            </w:tcBorders>
            <w:shd w:val="clear" w:color="auto" w:fill="F2F2F2" w:themeFill="background1" w:themeFillShade="F2"/>
            <w:vAlign w:val="bottom"/>
          </w:tcPr>
          <w:p w14:paraId="7BE3381D" w14:textId="77777777" w:rsidR="00620174" w:rsidRPr="006850EF" w:rsidRDefault="00620174" w:rsidP="00620174">
            <w:pPr>
              <w:spacing w:line="240" w:lineRule="auto"/>
              <w:jc w:val="center"/>
            </w:pPr>
          </w:p>
        </w:tc>
        <w:tc>
          <w:tcPr>
            <w:tcW w:w="1834" w:type="dxa"/>
            <w:tcBorders>
              <w:top w:val="nil"/>
              <w:left w:val="single" w:sz="4" w:space="0" w:color="auto"/>
              <w:bottom w:val="single" w:sz="4" w:space="0" w:color="auto"/>
              <w:right w:val="single" w:sz="4" w:space="0" w:color="auto"/>
            </w:tcBorders>
            <w:vAlign w:val="bottom"/>
          </w:tcPr>
          <w:p w14:paraId="56ECBDEC"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9.39x10</w:t>
            </w:r>
            <w:r w:rsidRPr="006850EF">
              <w:rPr>
                <w:color w:val="000000"/>
                <w:position w:val="6"/>
                <w:vertAlign w:val="superscript"/>
              </w:rPr>
              <w:t>-4</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533EFDA5"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0.3095</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329586E6"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0.2755</w:t>
            </w:r>
          </w:p>
        </w:tc>
        <w:tc>
          <w:tcPr>
            <w:tcW w:w="17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2D64E4DF"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0.2783</w:t>
            </w:r>
          </w:p>
        </w:tc>
        <w:tc>
          <w:tcPr>
            <w:tcW w:w="1720" w:type="dxa"/>
            <w:tcBorders>
              <w:top w:val="nil"/>
              <w:left w:val="single" w:sz="4" w:space="0" w:color="auto"/>
              <w:bottom w:val="single" w:sz="4" w:space="0" w:color="auto"/>
            </w:tcBorders>
            <w:shd w:val="clear" w:color="auto" w:fill="F2F2F2" w:themeFill="background1" w:themeFillShade="F2"/>
            <w:vAlign w:val="bottom"/>
          </w:tcPr>
          <w:p w14:paraId="12AD0526"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0.2458</w:t>
            </w:r>
          </w:p>
        </w:tc>
      </w:tr>
      <w:tr w:rsidR="00620174" w:rsidRPr="006850EF" w14:paraId="3C3940B3" w14:textId="77777777" w:rsidTr="00620174">
        <w:tc>
          <w:tcPr>
            <w:tcW w:w="1129" w:type="dxa"/>
            <w:tcBorders>
              <w:top w:val="single" w:sz="4" w:space="0" w:color="auto"/>
              <w:right w:val="single" w:sz="4" w:space="0" w:color="auto"/>
            </w:tcBorders>
            <w:shd w:val="clear" w:color="auto" w:fill="F2F2F2" w:themeFill="background1" w:themeFillShade="F2"/>
            <w:vAlign w:val="bottom"/>
          </w:tcPr>
          <w:p w14:paraId="4D6538CB" w14:textId="77777777" w:rsidR="00620174" w:rsidRPr="006850EF" w:rsidRDefault="00620174" w:rsidP="00620174">
            <w:pPr>
              <w:spacing w:before="60" w:line="240" w:lineRule="auto"/>
              <w:jc w:val="center"/>
            </w:pPr>
            <w:proofErr w:type="spellStart"/>
            <w:r w:rsidRPr="006850EF">
              <w:t>RVSVi</w:t>
            </w:r>
            <w:proofErr w:type="spellEnd"/>
          </w:p>
        </w:tc>
        <w:tc>
          <w:tcPr>
            <w:tcW w:w="1834" w:type="dxa"/>
            <w:tcBorders>
              <w:top w:val="single" w:sz="4" w:space="0" w:color="auto"/>
              <w:left w:val="single" w:sz="4" w:space="0" w:color="auto"/>
              <w:right w:val="single" w:sz="4" w:space="0" w:color="auto"/>
            </w:tcBorders>
            <w:vAlign w:val="bottom"/>
          </w:tcPr>
          <w:p w14:paraId="3F40A288" w14:textId="77777777" w:rsidR="00620174" w:rsidRPr="006850EF" w:rsidRDefault="00620174" w:rsidP="00620174">
            <w:pPr>
              <w:spacing w:before="60" w:line="240" w:lineRule="auto"/>
              <w:jc w:val="center"/>
              <w:rPr>
                <w:color w:val="000000"/>
                <w:position w:val="6"/>
              </w:rPr>
            </w:pPr>
            <w:r w:rsidRPr="006850EF">
              <w:rPr>
                <w:color w:val="000000"/>
                <w:position w:val="6"/>
              </w:rPr>
              <w:t>-0.082*</w:t>
            </w:r>
          </w:p>
        </w:tc>
        <w:tc>
          <w:tcPr>
            <w:tcW w:w="1720" w:type="dxa"/>
            <w:tcBorders>
              <w:top w:val="single" w:sz="4" w:space="0" w:color="auto"/>
              <w:left w:val="single" w:sz="4" w:space="0" w:color="auto"/>
              <w:right w:val="single" w:sz="4" w:space="0" w:color="auto"/>
            </w:tcBorders>
            <w:vAlign w:val="bottom"/>
          </w:tcPr>
          <w:p w14:paraId="2DA80CA1" w14:textId="77777777" w:rsidR="00620174" w:rsidRPr="006850EF" w:rsidRDefault="00620174" w:rsidP="00620174">
            <w:pPr>
              <w:spacing w:before="60" w:line="240" w:lineRule="auto"/>
              <w:jc w:val="center"/>
              <w:rPr>
                <w:color w:val="000000"/>
                <w:position w:val="6"/>
              </w:rPr>
            </w:pPr>
            <w:r w:rsidRPr="006850EF">
              <w:rPr>
                <w:color w:val="000000"/>
                <w:position w:val="6"/>
              </w:rPr>
              <w:t>-0.036*</w:t>
            </w:r>
          </w:p>
        </w:tc>
        <w:tc>
          <w:tcPr>
            <w:tcW w:w="1720" w:type="dxa"/>
            <w:tcBorders>
              <w:top w:val="single" w:sz="4" w:space="0" w:color="auto"/>
              <w:left w:val="single" w:sz="4" w:space="0" w:color="auto"/>
              <w:right w:val="single" w:sz="4" w:space="0" w:color="auto"/>
            </w:tcBorders>
            <w:shd w:val="clear" w:color="auto" w:fill="auto"/>
            <w:vAlign w:val="bottom"/>
          </w:tcPr>
          <w:p w14:paraId="22F9526F" w14:textId="77777777" w:rsidR="00620174" w:rsidRPr="006850EF" w:rsidRDefault="00620174" w:rsidP="00620174">
            <w:pPr>
              <w:spacing w:before="60" w:line="240" w:lineRule="auto"/>
              <w:jc w:val="center"/>
              <w:rPr>
                <w:color w:val="000000"/>
                <w:position w:val="6"/>
              </w:rPr>
            </w:pPr>
            <w:r w:rsidRPr="006850EF">
              <w:rPr>
                <w:color w:val="000000"/>
                <w:position w:val="6"/>
              </w:rPr>
              <w:t>-0.031*</w:t>
            </w:r>
          </w:p>
        </w:tc>
        <w:tc>
          <w:tcPr>
            <w:tcW w:w="1720" w:type="dxa"/>
            <w:tcBorders>
              <w:top w:val="single" w:sz="4" w:space="0" w:color="auto"/>
              <w:left w:val="single" w:sz="4" w:space="0" w:color="auto"/>
              <w:right w:val="single" w:sz="4" w:space="0" w:color="auto"/>
            </w:tcBorders>
            <w:shd w:val="clear" w:color="auto" w:fill="auto"/>
            <w:vAlign w:val="bottom"/>
          </w:tcPr>
          <w:p w14:paraId="51DC2CE9" w14:textId="77777777" w:rsidR="00620174" w:rsidRPr="006850EF" w:rsidRDefault="00620174" w:rsidP="00620174">
            <w:pPr>
              <w:spacing w:before="60" w:line="240" w:lineRule="auto"/>
              <w:jc w:val="center"/>
              <w:rPr>
                <w:color w:val="000000"/>
                <w:position w:val="6"/>
              </w:rPr>
            </w:pPr>
            <w:r w:rsidRPr="006850EF">
              <w:rPr>
                <w:color w:val="000000"/>
                <w:position w:val="6"/>
              </w:rPr>
              <w:t>-0.028*</w:t>
            </w:r>
          </w:p>
        </w:tc>
        <w:tc>
          <w:tcPr>
            <w:tcW w:w="1720" w:type="dxa"/>
            <w:tcBorders>
              <w:top w:val="single" w:sz="4" w:space="0" w:color="auto"/>
              <w:left w:val="single" w:sz="4" w:space="0" w:color="auto"/>
            </w:tcBorders>
            <w:shd w:val="clear" w:color="auto" w:fill="auto"/>
            <w:vAlign w:val="bottom"/>
          </w:tcPr>
          <w:p w14:paraId="06B3D684" w14:textId="77777777" w:rsidR="00620174" w:rsidRPr="006850EF" w:rsidRDefault="00620174" w:rsidP="00620174">
            <w:pPr>
              <w:spacing w:before="60" w:line="240" w:lineRule="auto"/>
              <w:jc w:val="center"/>
              <w:rPr>
                <w:color w:val="000000"/>
                <w:position w:val="6"/>
              </w:rPr>
            </w:pPr>
            <w:r w:rsidRPr="006850EF">
              <w:rPr>
                <w:color w:val="000000"/>
                <w:position w:val="6"/>
              </w:rPr>
              <w:t>-0.028*</w:t>
            </w:r>
          </w:p>
        </w:tc>
      </w:tr>
      <w:tr w:rsidR="00620174" w:rsidRPr="006850EF" w14:paraId="2319DD7E" w14:textId="77777777" w:rsidTr="00620174">
        <w:tc>
          <w:tcPr>
            <w:tcW w:w="1129" w:type="dxa"/>
            <w:tcBorders>
              <w:right w:val="single" w:sz="4" w:space="0" w:color="auto"/>
            </w:tcBorders>
            <w:shd w:val="clear" w:color="auto" w:fill="F2F2F2" w:themeFill="background1" w:themeFillShade="F2"/>
            <w:vAlign w:val="center"/>
          </w:tcPr>
          <w:p w14:paraId="7B73D616" w14:textId="77777777" w:rsidR="00620174" w:rsidRPr="006850EF" w:rsidRDefault="00620174" w:rsidP="00620174">
            <w:pPr>
              <w:spacing w:line="240" w:lineRule="auto"/>
              <w:jc w:val="center"/>
            </w:pPr>
            <w:r w:rsidRPr="006850EF">
              <w:rPr>
                <w:b/>
                <w:bCs/>
              </w:rPr>
              <w:t xml:space="preserve"> </w:t>
            </w:r>
          </w:p>
        </w:tc>
        <w:tc>
          <w:tcPr>
            <w:tcW w:w="1834" w:type="dxa"/>
            <w:tcBorders>
              <w:left w:val="single" w:sz="4" w:space="0" w:color="auto"/>
              <w:right w:val="single" w:sz="4" w:space="0" w:color="auto"/>
            </w:tcBorders>
            <w:vAlign w:val="bottom"/>
          </w:tcPr>
          <w:p w14:paraId="25E8F9A3" w14:textId="77777777" w:rsidR="00620174" w:rsidRPr="006850EF" w:rsidRDefault="00620174" w:rsidP="00620174">
            <w:pPr>
              <w:spacing w:line="240" w:lineRule="auto"/>
              <w:jc w:val="center"/>
              <w:rPr>
                <w:color w:val="000000"/>
                <w:position w:val="6"/>
              </w:rPr>
            </w:pPr>
            <w:r w:rsidRPr="006850EF">
              <w:rPr>
                <w:color w:val="000000"/>
                <w:position w:val="6"/>
              </w:rPr>
              <w:t>[-0.099, -0.066]</w:t>
            </w:r>
          </w:p>
        </w:tc>
        <w:tc>
          <w:tcPr>
            <w:tcW w:w="1720" w:type="dxa"/>
            <w:tcBorders>
              <w:left w:val="single" w:sz="4" w:space="0" w:color="auto"/>
              <w:right w:val="single" w:sz="4" w:space="0" w:color="auto"/>
            </w:tcBorders>
            <w:vAlign w:val="bottom"/>
          </w:tcPr>
          <w:p w14:paraId="75BDAE90" w14:textId="77777777" w:rsidR="00620174" w:rsidRPr="006850EF" w:rsidRDefault="00620174" w:rsidP="00620174">
            <w:pPr>
              <w:spacing w:line="240" w:lineRule="auto"/>
              <w:jc w:val="center"/>
              <w:rPr>
                <w:color w:val="000000"/>
                <w:position w:val="6"/>
              </w:rPr>
            </w:pPr>
            <w:r w:rsidRPr="006850EF">
              <w:rPr>
                <w:color w:val="000000"/>
                <w:position w:val="6"/>
              </w:rPr>
              <w:t>[-0.051, -0.020]</w:t>
            </w:r>
          </w:p>
        </w:tc>
        <w:tc>
          <w:tcPr>
            <w:tcW w:w="1720" w:type="dxa"/>
            <w:tcBorders>
              <w:left w:val="single" w:sz="4" w:space="0" w:color="auto"/>
              <w:right w:val="single" w:sz="4" w:space="0" w:color="auto"/>
            </w:tcBorders>
            <w:shd w:val="clear" w:color="auto" w:fill="auto"/>
            <w:vAlign w:val="bottom"/>
          </w:tcPr>
          <w:p w14:paraId="08DECE0A" w14:textId="77777777" w:rsidR="00620174" w:rsidRPr="006850EF" w:rsidRDefault="00620174" w:rsidP="00620174">
            <w:pPr>
              <w:spacing w:line="240" w:lineRule="auto"/>
              <w:jc w:val="center"/>
              <w:rPr>
                <w:color w:val="000000"/>
                <w:position w:val="6"/>
              </w:rPr>
            </w:pPr>
            <w:r w:rsidRPr="006850EF">
              <w:rPr>
                <w:color w:val="000000"/>
                <w:position w:val="6"/>
              </w:rPr>
              <w:t>[-0.047, -0.015]</w:t>
            </w:r>
          </w:p>
        </w:tc>
        <w:tc>
          <w:tcPr>
            <w:tcW w:w="1720" w:type="dxa"/>
            <w:tcBorders>
              <w:left w:val="single" w:sz="4" w:space="0" w:color="auto"/>
              <w:right w:val="single" w:sz="4" w:space="0" w:color="auto"/>
            </w:tcBorders>
            <w:shd w:val="clear" w:color="auto" w:fill="auto"/>
            <w:vAlign w:val="bottom"/>
          </w:tcPr>
          <w:p w14:paraId="669315B2" w14:textId="77777777" w:rsidR="00620174" w:rsidRPr="006850EF" w:rsidRDefault="00620174" w:rsidP="00620174">
            <w:pPr>
              <w:spacing w:line="240" w:lineRule="auto"/>
              <w:jc w:val="center"/>
              <w:rPr>
                <w:color w:val="000000"/>
                <w:position w:val="6"/>
              </w:rPr>
            </w:pPr>
            <w:r w:rsidRPr="006850EF">
              <w:rPr>
                <w:color w:val="000000"/>
                <w:position w:val="6"/>
              </w:rPr>
              <w:t>[-0.044, -0.012]</w:t>
            </w:r>
          </w:p>
        </w:tc>
        <w:tc>
          <w:tcPr>
            <w:tcW w:w="1720" w:type="dxa"/>
            <w:tcBorders>
              <w:left w:val="single" w:sz="4" w:space="0" w:color="auto"/>
            </w:tcBorders>
            <w:shd w:val="clear" w:color="auto" w:fill="auto"/>
            <w:vAlign w:val="bottom"/>
          </w:tcPr>
          <w:p w14:paraId="33B4331E" w14:textId="77777777" w:rsidR="00620174" w:rsidRPr="006850EF" w:rsidRDefault="00620174" w:rsidP="00620174">
            <w:pPr>
              <w:spacing w:line="240" w:lineRule="auto"/>
              <w:jc w:val="center"/>
              <w:rPr>
                <w:color w:val="000000"/>
                <w:position w:val="6"/>
              </w:rPr>
            </w:pPr>
            <w:r w:rsidRPr="006850EF">
              <w:rPr>
                <w:color w:val="000000"/>
                <w:position w:val="6"/>
              </w:rPr>
              <w:t>[-0.045, -0.012]</w:t>
            </w:r>
          </w:p>
        </w:tc>
      </w:tr>
      <w:tr w:rsidR="00620174" w:rsidRPr="006850EF" w14:paraId="0EC4974B" w14:textId="77777777" w:rsidTr="00620174">
        <w:tc>
          <w:tcPr>
            <w:tcW w:w="1129" w:type="dxa"/>
            <w:tcBorders>
              <w:bottom w:val="single" w:sz="4" w:space="0" w:color="auto"/>
              <w:right w:val="single" w:sz="4" w:space="0" w:color="auto"/>
            </w:tcBorders>
            <w:shd w:val="clear" w:color="auto" w:fill="F2F2F2" w:themeFill="background1" w:themeFillShade="F2"/>
            <w:vAlign w:val="bottom"/>
          </w:tcPr>
          <w:p w14:paraId="3252EB37" w14:textId="77777777" w:rsidR="00620174" w:rsidRPr="006850EF" w:rsidRDefault="00620174" w:rsidP="00620174">
            <w:pPr>
              <w:spacing w:line="240" w:lineRule="auto"/>
              <w:jc w:val="center"/>
            </w:pPr>
            <w:r w:rsidRPr="006850EF">
              <w:t xml:space="preserve"> </w:t>
            </w:r>
          </w:p>
        </w:tc>
        <w:tc>
          <w:tcPr>
            <w:tcW w:w="1834" w:type="dxa"/>
            <w:tcBorders>
              <w:left w:val="single" w:sz="4" w:space="0" w:color="auto"/>
              <w:right w:val="single" w:sz="4" w:space="0" w:color="auto"/>
            </w:tcBorders>
            <w:vAlign w:val="bottom"/>
          </w:tcPr>
          <w:p w14:paraId="3216588D"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6.66x10</w:t>
            </w:r>
            <w:r w:rsidRPr="006850EF">
              <w:rPr>
                <w:color w:val="000000"/>
                <w:position w:val="6"/>
                <w:vertAlign w:val="superscript"/>
              </w:rPr>
              <w:t>-22</w:t>
            </w:r>
          </w:p>
        </w:tc>
        <w:tc>
          <w:tcPr>
            <w:tcW w:w="1720" w:type="dxa"/>
            <w:tcBorders>
              <w:left w:val="single" w:sz="4" w:space="0" w:color="auto"/>
              <w:bottom w:val="single" w:sz="4" w:space="0" w:color="auto"/>
              <w:right w:val="single" w:sz="4" w:space="0" w:color="auto"/>
            </w:tcBorders>
            <w:vAlign w:val="bottom"/>
          </w:tcPr>
          <w:p w14:paraId="1E4FDC36"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2.81x10</w:t>
            </w:r>
            <w:r w:rsidRPr="006850EF">
              <w:rPr>
                <w:color w:val="000000"/>
                <w:position w:val="6"/>
                <w:vertAlign w:val="superscript"/>
              </w:rPr>
              <w:t>-5</w:t>
            </w:r>
          </w:p>
        </w:tc>
        <w:tc>
          <w:tcPr>
            <w:tcW w:w="1720" w:type="dxa"/>
            <w:tcBorders>
              <w:left w:val="single" w:sz="4" w:space="0" w:color="auto"/>
              <w:right w:val="single" w:sz="4" w:space="0" w:color="auto"/>
            </w:tcBorders>
            <w:shd w:val="clear" w:color="auto" w:fill="auto"/>
            <w:vAlign w:val="bottom"/>
          </w:tcPr>
          <w:p w14:paraId="78BFC5ED"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2.09x10</w:t>
            </w:r>
            <w:r w:rsidRPr="006850EF">
              <w:rPr>
                <w:color w:val="000000"/>
                <w:position w:val="6"/>
                <w:vertAlign w:val="superscript"/>
              </w:rPr>
              <w:t>-4</w:t>
            </w:r>
          </w:p>
        </w:tc>
        <w:tc>
          <w:tcPr>
            <w:tcW w:w="1720" w:type="dxa"/>
            <w:tcBorders>
              <w:left w:val="single" w:sz="4" w:space="0" w:color="auto"/>
              <w:bottom w:val="single" w:sz="4" w:space="0" w:color="auto"/>
              <w:right w:val="single" w:sz="4" w:space="0" w:color="auto"/>
            </w:tcBorders>
            <w:shd w:val="clear" w:color="auto" w:fill="auto"/>
            <w:vAlign w:val="bottom"/>
          </w:tcPr>
          <w:p w14:paraId="70190BC8"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9.47x10</w:t>
            </w:r>
            <w:r w:rsidRPr="006850EF">
              <w:rPr>
                <w:color w:val="000000"/>
                <w:position w:val="6"/>
                <w:vertAlign w:val="superscript"/>
              </w:rPr>
              <w:t>-4</w:t>
            </w:r>
          </w:p>
        </w:tc>
        <w:tc>
          <w:tcPr>
            <w:tcW w:w="1720" w:type="dxa"/>
            <w:tcBorders>
              <w:left w:val="single" w:sz="4" w:space="0" w:color="auto"/>
            </w:tcBorders>
            <w:shd w:val="clear" w:color="auto" w:fill="auto"/>
            <w:vAlign w:val="bottom"/>
          </w:tcPr>
          <w:p w14:paraId="0BE5ED13" w14:textId="77777777" w:rsidR="00620174" w:rsidRPr="006850EF" w:rsidRDefault="00620174" w:rsidP="00620174">
            <w:pPr>
              <w:snapToGrid w:val="0"/>
              <w:spacing w:after="60" w:line="240" w:lineRule="auto"/>
              <w:jc w:val="center"/>
              <w:rPr>
                <w:color w:val="000000"/>
                <w:position w:val="6"/>
              </w:rPr>
            </w:pPr>
            <w:r w:rsidRPr="006850EF">
              <w:rPr>
                <w:color w:val="000000"/>
                <w:position w:val="6"/>
              </w:rPr>
              <w:t>9.77x10</w:t>
            </w:r>
            <w:r w:rsidRPr="006850EF">
              <w:rPr>
                <w:color w:val="000000"/>
                <w:position w:val="6"/>
                <w:vertAlign w:val="superscript"/>
              </w:rPr>
              <w:t>-4</w:t>
            </w:r>
          </w:p>
        </w:tc>
      </w:tr>
    </w:tbl>
    <w:p w14:paraId="145474D0" w14:textId="77777777" w:rsidR="00620174" w:rsidRPr="00AB252D" w:rsidRDefault="00620174" w:rsidP="00620174">
      <w:pPr>
        <w:spacing w:line="240" w:lineRule="auto"/>
      </w:pPr>
      <w:r w:rsidRPr="00AB252D">
        <w:rPr>
          <w:b/>
          <w:bCs/>
        </w:rPr>
        <w:t xml:space="preserve">Supplementary Table </w:t>
      </w:r>
      <w:r>
        <w:rPr>
          <w:b/>
          <w:bCs/>
        </w:rPr>
        <w:t>6</w:t>
      </w:r>
      <w:r w:rsidRPr="00AB252D">
        <w:rPr>
          <w:b/>
          <w:bCs/>
        </w:rPr>
        <w:t xml:space="preserve"> </w:t>
      </w:r>
      <w:r>
        <w:rPr>
          <w:b/>
          <w:bCs/>
        </w:rPr>
        <w:t>footnote</w:t>
      </w:r>
      <w:r w:rsidRPr="00AB252D">
        <w:rPr>
          <w:b/>
          <w:bCs/>
        </w:rPr>
        <w:t>.</w:t>
      </w:r>
      <w:r w:rsidRPr="00AB252D">
        <w:t xml:space="preserve"> Results are standardised beta coefficients with 95% confidence interval </w:t>
      </w:r>
      <w:r w:rsidRPr="00EC617E">
        <w:t>and p-value</w:t>
      </w:r>
      <w:r>
        <w:t xml:space="preserve"> adjusted for multiple testing</w:t>
      </w:r>
      <w:r w:rsidRPr="00AB252D">
        <w:t xml:space="preserve">. Each cell represents results from an individual linear regression model. </w:t>
      </w:r>
      <w:r w:rsidRPr="00AA1BCA">
        <w:t xml:space="preserve">Model </w:t>
      </w:r>
      <w:r>
        <w:t>1</w:t>
      </w:r>
      <w:r w:rsidRPr="00AA1BCA">
        <w:t xml:space="preserve">: age, sex. Model </w:t>
      </w:r>
      <w:r>
        <w:t>2</w:t>
      </w:r>
      <w:r w:rsidRPr="00AA1BCA">
        <w:t xml:space="preserve">: age, sex, education, deprivation. Model </w:t>
      </w:r>
      <w:r>
        <w:t>3</w:t>
      </w:r>
      <w:r w:rsidRPr="00AA1BCA">
        <w:t xml:space="preserve">: age, sex, education, deprivation, diabetes, hypertension, hypercholesterolaemia, prior myocardial infarction. Model </w:t>
      </w:r>
      <w:r>
        <w:t>4</w:t>
      </w:r>
      <w:r w:rsidRPr="00AA1BCA">
        <w:t>: age, sex, education, deprivation, diabetes, hypertension, hypercholesterolaemia, prior myocardial infarction, smoking, alcohol, exercise</w:t>
      </w:r>
      <w:r w:rsidRPr="00AB252D">
        <w:t xml:space="preserve">. </w:t>
      </w:r>
      <w:proofErr w:type="spellStart"/>
      <w:r w:rsidRPr="00AB252D">
        <w:t>LVEDVi</w:t>
      </w:r>
      <w:proofErr w:type="spellEnd"/>
      <w:r w:rsidRPr="00AB252D">
        <w:t xml:space="preserve">: left ventricular end-diastolic volume; LVEF: left ventricular ejection fraction; </w:t>
      </w:r>
      <w:proofErr w:type="spellStart"/>
      <w:r w:rsidRPr="00AB252D">
        <w:t>LVESVi</w:t>
      </w:r>
      <w:proofErr w:type="spellEnd"/>
      <w:r w:rsidRPr="00AB252D">
        <w:t xml:space="preserve">: left ventricular end-systolic volume; </w:t>
      </w:r>
      <w:proofErr w:type="spellStart"/>
      <w:r w:rsidRPr="00AB252D">
        <w:t>RVEDVi</w:t>
      </w:r>
      <w:proofErr w:type="spellEnd"/>
      <w:r w:rsidRPr="00AB252D">
        <w:t xml:space="preserve">: right ventricular end-diastolic volume; RVEF: right ventricular ejection fraction; </w:t>
      </w:r>
      <w:proofErr w:type="spellStart"/>
      <w:r w:rsidRPr="00AB252D">
        <w:t>RVESVi</w:t>
      </w:r>
      <w:proofErr w:type="spellEnd"/>
      <w:r w:rsidRPr="00AB252D">
        <w:t xml:space="preserve">: right ventricular end-systolic volume; </w:t>
      </w:r>
      <w:proofErr w:type="spellStart"/>
      <w:r w:rsidRPr="00AB252D">
        <w:t>LVSVi</w:t>
      </w:r>
      <w:proofErr w:type="spellEnd"/>
      <w:r w:rsidRPr="00AB252D">
        <w:t xml:space="preserve">: left ventricular stroke volume; </w:t>
      </w:r>
      <w:proofErr w:type="spellStart"/>
      <w:r w:rsidRPr="00AB252D">
        <w:t>RVSVi</w:t>
      </w:r>
      <w:proofErr w:type="spellEnd"/>
      <w:r w:rsidRPr="00AB252D">
        <w:t xml:space="preserve">: right ventricular stroke volume. i denotes indexation to body surface area calculated by Du </w:t>
      </w:r>
      <w:proofErr w:type="spellStart"/>
      <w:r w:rsidRPr="00AB252D">
        <w:t>Bois</w:t>
      </w:r>
      <w:proofErr w:type="spellEnd"/>
      <w:r w:rsidRPr="00AB252D">
        <w:t xml:space="preserve"> formula.</w:t>
      </w:r>
    </w:p>
    <w:p w14:paraId="0712158D" w14:textId="77777777" w:rsidR="00620174" w:rsidRDefault="00620174" w:rsidP="00620174">
      <w:r>
        <w:br w:type="page"/>
      </w:r>
    </w:p>
    <w:p w14:paraId="0B9D7CB9" w14:textId="30205860" w:rsidR="00620174" w:rsidRPr="00620174" w:rsidRDefault="00620174" w:rsidP="00620174">
      <w:pPr>
        <w:spacing w:line="240" w:lineRule="auto"/>
        <w:jc w:val="center"/>
      </w:pPr>
      <w:r w:rsidRPr="000E206D">
        <w:rPr>
          <w:b/>
          <w:bCs/>
        </w:rPr>
        <w:lastRenderedPageBreak/>
        <w:t xml:space="preserve">Supplementary Table 7. </w:t>
      </w:r>
      <w:r w:rsidRPr="000E206D">
        <w:rPr>
          <w:b/>
          <w:bCs/>
          <w:color w:val="201F1E"/>
        </w:rPr>
        <w:t>Interaction effects between CMR and age, and between CMR and sex for reaction time in fully adjusted models</w:t>
      </w:r>
    </w:p>
    <w:tbl>
      <w:tblPr>
        <w:tblW w:w="0" w:type="auto"/>
        <w:jc w:val="center"/>
        <w:tblLook w:val="04A0" w:firstRow="1" w:lastRow="0" w:firstColumn="1" w:lastColumn="0" w:noHBand="0" w:noVBand="1"/>
      </w:tblPr>
      <w:tblGrid>
        <w:gridCol w:w="1774"/>
        <w:gridCol w:w="1836"/>
        <w:gridCol w:w="1824"/>
      </w:tblGrid>
      <w:tr w:rsidR="00620174" w:rsidRPr="006850EF" w14:paraId="4C44DA5F" w14:textId="77777777" w:rsidTr="0047215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67CE1" w14:textId="77777777" w:rsidR="00620174" w:rsidRPr="006850EF" w:rsidRDefault="00620174" w:rsidP="00472150">
            <w:pPr>
              <w:spacing w:line="360" w:lineRule="auto"/>
              <w:jc w:val="center"/>
              <w:rPr>
                <w:b/>
                <w:bCs/>
                <w:color w:val="000000"/>
              </w:rPr>
            </w:pPr>
            <w:r w:rsidRPr="006850EF">
              <w:rPr>
                <w:b/>
                <w:bCs/>
                <w:color w:val="000000"/>
              </w:rPr>
              <w:t>Interaction term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9C01" w14:textId="77777777" w:rsidR="00620174" w:rsidRPr="006850EF" w:rsidRDefault="00620174" w:rsidP="00472150">
            <w:pPr>
              <w:spacing w:line="360" w:lineRule="auto"/>
              <w:jc w:val="center"/>
              <w:rPr>
                <w:b/>
                <w:bCs/>
                <w:color w:val="000000"/>
              </w:rPr>
            </w:pPr>
            <w:r w:rsidRPr="006850EF">
              <w:rPr>
                <w:b/>
                <w:bCs/>
                <w:color w:val="000000"/>
              </w:rPr>
              <w:t>CMR component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AAB28" w14:textId="77777777" w:rsidR="00620174" w:rsidRPr="006850EF" w:rsidRDefault="00620174" w:rsidP="00472150">
            <w:pPr>
              <w:spacing w:line="360" w:lineRule="auto"/>
              <w:jc w:val="center"/>
              <w:rPr>
                <w:b/>
                <w:bCs/>
                <w:color w:val="000000"/>
              </w:rPr>
            </w:pPr>
            <w:r w:rsidRPr="006850EF">
              <w:rPr>
                <w:b/>
                <w:bCs/>
                <w:color w:val="000000"/>
              </w:rPr>
              <w:t>Adj</w:t>
            </w:r>
            <w:r>
              <w:rPr>
                <w:b/>
                <w:bCs/>
                <w:color w:val="000000"/>
              </w:rPr>
              <w:t>usted</w:t>
            </w:r>
            <w:r w:rsidRPr="006850EF">
              <w:rPr>
                <w:b/>
                <w:bCs/>
                <w:color w:val="000000"/>
              </w:rPr>
              <w:t xml:space="preserve"> p-value</w:t>
            </w:r>
          </w:p>
        </w:tc>
      </w:tr>
      <w:tr w:rsidR="00620174" w:rsidRPr="006850EF" w14:paraId="2263E875" w14:textId="77777777" w:rsidTr="0047215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7A5B3D" w14:textId="77777777" w:rsidR="00620174" w:rsidRPr="006850EF" w:rsidRDefault="00620174" w:rsidP="00472150">
            <w:pPr>
              <w:spacing w:line="360" w:lineRule="auto"/>
              <w:rPr>
                <w:color w:val="000000"/>
              </w:rPr>
            </w:pPr>
            <w:r w:rsidRPr="006850EF">
              <w:rPr>
                <w:color w:val="000000"/>
              </w:rPr>
              <w:t>CMR with 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D5C7" w14:textId="77777777" w:rsidR="00620174" w:rsidRPr="006850EF" w:rsidRDefault="00620174" w:rsidP="00472150">
            <w:pPr>
              <w:spacing w:line="360" w:lineRule="auto"/>
              <w:rPr>
                <w:color w:val="000000"/>
              </w:rPr>
            </w:pPr>
            <w:proofErr w:type="spellStart"/>
            <w:r w:rsidRPr="006850EF">
              <w:rPr>
                <w:color w:val="000000"/>
              </w:rPr>
              <w:t>LVEDVi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09FD" w14:textId="77777777" w:rsidR="00620174" w:rsidRPr="006850EF" w:rsidRDefault="00620174" w:rsidP="00472150">
            <w:pPr>
              <w:spacing w:line="360" w:lineRule="auto"/>
              <w:jc w:val="center"/>
              <w:rPr>
                <w:color w:val="000000"/>
              </w:rPr>
            </w:pPr>
            <w:r w:rsidRPr="006850EF">
              <w:rPr>
                <w:color w:val="000000"/>
              </w:rPr>
              <w:t>0.6548</w:t>
            </w:r>
          </w:p>
        </w:tc>
      </w:tr>
      <w:tr w:rsidR="00620174" w:rsidRPr="006850EF" w14:paraId="42BFDB27"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6DD99729"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E4BF" w14:textId="77777777" w:rsidR="00620174" w:rsidRPr="006850EF" w:rsidRDefault="00620174" w:rsidP="00472150">
            <w:pPr>
              <w:spacing w:line="360" w:lineRule="auto"/>
              <w:rPr>
                <w:color w:val="000000"/>
              </w:rPr>
            </w:pPr>
            <w:proofErr w:type="spellStart"/>
            <w:r w:rsidRPr="006850EF">
              <w:rPr>
                <w:color w:val="000000"/>
              </w:rPr>
              <w:t>LVESVi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601B" w14:textId="77777777" w:rsidR="00620174" w:rsidRPr="006850EF" w:rsidRDefault="00620174" w:rsidP="00472150">
            <w:pPr>
              <w:spacing w:line="360" w:lineRule="auto"/>
              <w:jc w:val="center"/>
              <w:rPr>
                <w:color w:val="000000"/>
              </w:rPr>
            </w:pPr>
            <w:r w:rsidRPr="006850EF">
              <w:rPr>
                <w:color w:val="000000"/>
              </w:rPr>
              <w:t>0.6362</w:t>
            </w:r>
          </w:p>
        </w:tc>
      </w:tr>
      <w:tr w:rsidR="00620174" w:rsidRPr="006850EF" w14:paraId="4D7BE81F"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55473DDC"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D00D5" w14:textId="77777777" w:rsidR="00620174" w:rsidRPr="006850EF" w:rsidRDefault="00620174" w:rsidP="00472150">
            <w:pPr>
              <w:spacing w:line="360" w:lineRule="auto"/>
              <w:rPr>
                <w:color w:val="000000"/>
              </w:rPr>
            </w:pPr>
            <w:r w:rsidRPr="006850EF">
              <w:rPr>
                <w:color w:val="000000"/>
              </w:rPr>
              <w:t>LVEF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5B209" w14:textId="77777777" w:rsidR="00620174" w:rsidRPr="006850EF" w:rsidRDefault="00620174" w:rsidP="00472150">
            <w:pPr>
              <w:spacing w:line="360" w:lineRule="auto"/>
              <w:jc w:val="center"/>
              <w:rPr>
                <w:color w:val="000000"/>
              </w:rPr>
            </w:pPr>
            <w:r w:rsidRPr="006850EF">
              <w:rPr>
                <w:color w:val="000000"/>
              </w:rPr>
              <w:t>0.4068</w:t>
            </w:r>
          </w:p>
        </w:tc>
      </w:tr>
      <w:tr w:rsidR="00620174" w:rsidRPr="006850EF" w14:paraId="5845C1E0"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2584D9D6" w14:textId="77777777" w:rsidR="00620174" w:rsidRPr="006850EF" w:rsidRDefault="00620174" w:rsidP="00472150">
            <w:pPr>
              <w:spacing w:line="360" w:lineRule="auto"/>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5A1C8" w14:textId="77777777" w:rsidR="00620174" w:rsidRPr="006850EF" w:rsidRDefault="00620174" w:rsidP="00472150">
            <w:pPr>
              <w:spacing w:line="360" w:lineRule="auto"/>
              <w:rPr>
                <w:color w:val="000000"/>
              </w:rPr>
            </w:pPr>
            <w:proofErr w:type="spellStart"/>
            <w:r w:rsidRPr="006850EF">
              <w:rPr>
                <w:color w:val="000000"/>
              </w:rPr>
              <w:t>LVSVi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C7AF5" w14:textId="77777777" w:rsidR="00620174" w:rsidRPr="006850EF" w:rsidRDefault="00620174" w:rsidP="00472150">
            <w:pPr>
              <w:spacing w:line="360" w:lineRule="auto"/>
              <w:jc w:val="center"/>
              <w:rPr>
                <w:color w:val="000000"/>
              </w:rPr>
            </w:pPr>
            <w:r w:rsidRPr="006850EF">
              <w:rPr>
                <w:color w:val="000000"/>
              </w:rPr>
              <w:t>0.8605</w:t>
            </w:r>
          </w:p>
        </w:tc>
      </w:tr>
      <w:tr w:rsidR="00620174" w:rsidRPr="006850EF" w14:paraId="72353EAE"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072B830C" w14:textId="77777777" w:rsidR="00620174" w:rsidRPr="006850EF" w:rsidRDefault="00620174" w:rsidP="00472150">
            <w:pPr>
              <w:spacing w:line="360" w:lineRule="auto"/>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2094" w14:textId="77777777" w:rsidR="00620174" w:rsidRPr="006850EF" w:rsidRDefault="00620174" w:rsidP="00472150">
            <w:pPr>
              <w:spacing w:line="360" w:lineRule="auto"/>
              <w:rPr>
                <w:color w:val="000000"/>
              </w:rPr>
            </w:pPr>
            <w:r w:rsidRPr="006850EF">
              <w:rPr>
                <w:color w:val="000000"/>
              </w:rPr>
              <w:t>LVMi (g/m2)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909B" w14:textId="77777777" w:rsidR="00620174" w:rsidRPr="006850EF" w:rsidRDefault="00620174" w:rsidP="00472150">
            <w:pPr>
              <w:spacing w:line="360" w:lineRule="auto"/>
              <w:jc w:val="center"/>
              <w:rPr>
                <w:color w:val="000000"/>
              </w:rPr>
            </w:pPr>
            <w:r w:rsidRPr="006850EF">
              <w:rPr>
                <w:color w:val="000000"/>
              </w:rPr>
              <w:t>0.0515</w:t>
            </w:r>
          </w:p>
        </w:tc>
      </w:tr>
      <w:tr w:rsidR="00620174" w:rsidRPr="006850EF" w14:paraId="6B616AE0"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7FB29823"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36B88" w14:textId="77777777" w:rsidR="00620174" w:rsidRPr="006850EF" w:rsidRDefault="00620174" w:rsidP="00472150">
            <w:pPr>
              <w:spacing w:line="360" w:lineRule="auto"/>
              <w:rPr>
                <w:color w:val="000000"/>
              </w:rPr>
            </w:pPr>
            <w:proofErr w:type="spellStart"/>
            <w:r w:rsidRPr="006850EF">
              <w:rPr>
                <w:color w:val="000000"/>
              </w:rPr>
              <w:t>RVEDVi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FAC7" w14:textId="77777777" w:rsidR="00620174" w:rsidRPr="006850EF" w:rsidRDefault="00620174" w:rsidP="00472150">
            <w:pPr>
              <w:spacing w:line="360" w:lineRule="auto"/>
              <w:jc w:val="center"/>
              <w:rPr>
                <w:color w:val="000000"/>
              </w:rPr>
            </w:pPr>
            <w:r w:rsidRPr="006850EF">
              <w:rPr>
                <w:color w:val="000000"/>
              </w:rPr>
              <w:t>0.1098</w:t>
            </w:r>
          </w:p>
        </w:tc>
      </w:tr>
      <w:tr w:rsidR="00620174" w:rsidRPr="006850EF" w14:paraId="421F7696"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134DFCC4"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9DEE" w14:textId="77777777" w:rsidR="00620174" w:rsidRPr="006850EF" w:rsidRDefault="00620174" w:rsidP="00472150">
            <w:pPr>
              <w:spacing w:line="360" w:lineRule="auto"/>
              <w:rPr>
                <w:color w:val="000000"/>
              </w:rPr>
            </w:pPr>
            <w:proofErr w:type="spellStart"/>
            <w:r w:rsidRPr="006850EF">
              <w:rPr>
                <w:color w:val="000000"/>
              </w:rPr>
              <w:t>RVESVi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58C2C" w14:textId="77777777" w:rsidR="00620174" w:rsidRPr="006850EF" w:rsidRDefault="00620174" w:rsidP="00472150">
            <w:pPr>
              <w:spacing w:line="360" w:lineRule="auto"/>
              <w:jc w:val="center"/>
              <w:rPr>
                <w:color w:val="000000"/>
              </w:rPr>
            </w:pPr>
            <w:r w:rsidRPr="006850EF">
              <w:rPr>
                <w:color w:val="000000"/>
              </w:rPr>
              <w:t>0.0141</w:t>
            </w:r>
          </w:p>
        </w:tc>
      </w:tr>
      <w:tr w:rsidR="00620174" w:rsidRPr="006850EF" w14:paraId="3928B5E6" w14:textId="77777777" w:rsidTr="00472150">
        <w:trPr>
          <w:trHeight w:val="300"/>
          <w:jc w:val="center"/>
        </w:trPr>
        <w:tc>
          <w:tcPr>
            <w:tcW w:w="0" w:type="auto"/>
            <w:tcBorders>
              <w:top w:val="nil"/>
              <w:left w:val="single" w:sz="4" w:space="0" w:color="auto"/>
              <w:right w:val="single" w:sz="4" w:space="0" w:color="auto"/>
            </w:tcBorders>
            <w:shd w:val="clear" w:color="auto" w:fill="auto"/>
            <w:noWrap/>
            <w:vAlign w:val="bottom"/>
            <w:hideMark/>
          </w:tcPr>
          <w:p w14:paraId="4C15230C"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52EE" w14:textId="77777777" w:rsidR="00620174" w:rsidRPr="006850EF" w:rsidRDefault="00620174" w:rsidP="00472150">
            <w:pPr>
              <w:spacing w:line="360" w:lineRule="auto"/>
              <w:rPr>
                <w:color w:val="000000"/>
              </w:rPr>
            </w:pPr>
            <w:r w:rsidRPr="006850EF">
              <w:rPr>
                <w:color w:val="000000"/>
              </w:rPr>
              <w:t>RVEF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70EC" w14:textId="77777777" w:rsidR="00620174" w:rsidRPr="006850EF" w:rsidRDefault="00620174" w:rsidP="00472150">
            <w:pPr>
              <w:spacing w:line="360" w:lineRule="auto"/>
              <w:jc w:val="center"/>
              <w:rPr>
                <w:color w:val="000000"/>
              </w:rPr>
            </w:pPr>
            <w:r w:rsidRPr="006850EF">
              <w:rPr>
                <w:color w:val="000000"/>
              </w:rPr>
              <w:t>0.0514</w:t>
            </w:r>
          </w:p>
        </w:tc>
      </w:tr>
      <w:tr w:rsidR="00620174" w:rsidRPr="006850EF" w14:paraId="1937BD25" w14:textId="77777777" w:rsidTr="0047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D6F9D1"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AA8C7" w14:textId="77777777" w:rsidR="00620174" w:rsidRPr="006850EF" w:rsidRDefault="00620174" w:rsidP="00472150">
            <w:pPr>
              <w:spacing w:line="360" w:lineRule="auto"/>
              <w:rPr>
                <w:color w:val="000000"/>
              </w:rPr>
            </w:pPr>
            <w:proofErr w:type="spellStart"/>
            <w:r w:rsidRPr="006850EF">
              <w:rPr>
                <w:color w:val="000000"/>
              </w:rPr>
              <w:t>RVSVi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E30A" w14:textId="77777777" w:rsidR="00620174" w:rsidRPr="006850EF" w:rsidRDefault="00620174" w:rsidP="00472150">
            <w:pPr>
              <w:spacing w:line="360" w:lineRule="auto"/>
              <w:jc w:val="center"/>
              <w:rPr>
                <w:color w:val="000000"/>
              </w:rPr>
            </w:pPr>
            <w:r w:rsidRPr="006850EF">
              <w:rPr>
                <w:color w:val="000000"/>
              </w:rPr>
              <w:t>0.9925</w:t>
            </w:r>
          </w:p>
        </w:tc>
      </w:tr>
      <w:tr w:rsidR="00620174" w:rsidRPr="006850EF" w14:paraId="214D2349" w14:textId="77777777" w:rsidTr="00472150">
        <w:trPr>
          <w:trHeight w:val="300"/>
          <w:jc w:val="center"/>
        </w:trPr>
        <w:tc>
          <w:tcPr>
            <w:tcW w:w="0" w:type="auto"/>
            <w:tcBorders>
              <w:top w:val="single" w:sz="4" w:space="0" w:color="auto"/>
              <w:left w:val="single" w:sz="4" w:space="0" w:color="auto"/>
              <w:right w:val="single" w:sz="4" w:space="0" w:color="auto"/>
            </w:tcBorders>
            <w:shd w:val="clear" w:color="auto" w:fill="auto"/>
            <w:noWrap/>
            <w:vAlign w:val="bottom"/>
            <w:hideMark/>
          </w:tcPr>
          <w:p w14:paraId="0A5FE500" w14:textId="77777777" w:rsidR="00620174" w:rsidRPr="006850EF" w:rsidRDefault="00620174" w:rsidP="00472150">
            <w:pPr>
              <w:spacing w:line="360" w:lineRule="auto"/>
              <w:rPr>
                <w:color w:val="000000"/>
              </w:rPr>
            </w:pPr>
            <w:r w:rsidRPr="006850EF">
              <w:rPr>
                <w:color w:val="000000"/>
              </w:rPr>
              <w:t>CMR with sex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D917" w14:textId="77777777" w:rsidR="00620174" w:rsidRPr="006850EF" w:rsidRDefault="00620174" w:rsidP="00472150">
            <w:pPr>
              <w:spacing w:line="360" w:lineRule="auto"/>
              <w:rPr>
                <w:color w:val="000000"/>
              </w:rPr>
            </w:pPr>
            <w:proofErr w:type="spellStart"/>
            <w:r w:rsidRPr="006850EF">
              <w:rPr>
                <w:color w:val="000000"/>
              </w:rPr>
              <w:t>LVEDVi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501A7" w14:textId="77777777" w:rsidR="00620174" w:rsidRPr="006850EF" w:rsidRDefault="00620174" w:rsidP="00472150">
            <w:pPr>
              <w:spacing w:line="360" w:lineRule="auto"/>
              <w:jc w:val="center"/>
              <w:rPr>
                <w:color w:val="000000"/>
              </w:rPr>
            </w:pPr>
            <w:r w:rsidRPr="006850EF">
              <w:rPr>
                <w:color w:val="000000"/>
              </w:rPr>
              <w:t>0.8941</w:t>
            </w:r>
          </w:p>
        </w:tc>
      </w:tr>
      <w:tr w:rsidR="00620174" w:rsidRPr="006850EF" w14:paraId="757C60AE" w14:textId="77777777" w:rsidTr="00472150">
        <w:trPr>
          <w:trHeight w:val="300"/>
          <w:jc w:val="center"/>
        </w:trPr>
        <w:tc>
          <w:tcPr>
            <w:tcW w:w="0" w:type="auto"/>
            <w:tcBorders>
              <w:left w:val="single" w:sz="4" w:space="0" w:color="auto"/>
              <w:right w:val="single" w:sz="4" w:space="0" w:color="auto"/>
            </w:tcBorders>
            <w:shd w:val="clear" w:color="auto" w:fill="auto"/>
            <w:noWrap/>
            <w:vAlign w:val="bottom"/>
            <w:hideMark/>
          </w:tcPr>
          <w:p w14:paraId="274F632A"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C0C37" w14:textId="77777777" w:rsidR="00620174" w:rsidRPr="006850EF" w:rsidRDefault="00620174" w:rsidP="00472150">
            <w:pPr>
              <w:spacing w:line="360" w:lineRule="auto"/>
              <w:rPr>
                <w:color w:val="000000"/>
              </w:rPr>
            </w:pPr>
            <w:proofErr w:type="spellStart"/>
            <w:r w:rsidRPr="006850EF">
              <w:rPr>
                <w:color w:val="000000"/>
              </w:rPr>
              <w:t>LVESVi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D582C" w14:textId="77777777" w:rsidR="00620174" w:rsidRPr="006850EF" w:rsidRDefault="00620174" w:rsidP="00472150">
            <w:pPr>
              <w:spacing w:line="360" w:lineRule="auto"/>
              <w:jc w:val="center"/>
              <w:rPr>
                <w:color w:val="000000"/>
              </w:rPr>
            </w:pPr>
            <w:r w:rsidRPr="006850EF">
              <w:rPr>
                <w:color w:val="000000"/>
              </w:rPr>
              <w:t>0.7714</w:t>
            </w:r>
          </w:p>
        </w:tc>
      </w:tr>
      <w:tr w:rsidR="00620174" w:rsidRPr="006850EF" w14:paraId="5CB3F617" w14:textId="77777777" w:rsidTr="00472150">
        <w:trPr>
          <w:trHeight w:val="300"/>
          <w:jc w:val="center"/>
        </w:trPr>
        <w:tc>
          <w:tcPr>
            <w:tcW w:w="0" w:type="auto"/>
            <w:tcBorders>
              <w:left w:val="single" w:sz="4" w:space="0" w:color="auto"/>
              <w:right w:val="single" w:sz="4" w:space="0" w:color="auto"/>
            </w:tcBorders>
            <w:shd w:val="clear" w:color="auto" w:fill="auto"/>
            <w:noWrap/>
            <w:vAlign w:val="bottom"/>
            <w:hideMark/>
          </w:tcPr>
          <w:p w14:paraId="3F95E51A"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2F3E1" w14:textId="77777777" w:rsidR="00620174" w:rsidRPr="006850EF" w:rsidRDefault="00620174" w:rsidP="00472150">
            <w:pPr>
              <w:spacing w:line="360" w:lineRule="auto"/>
              <w:rPr>
                <w:color w:val="000000"/>
              </w:rPr>
            </w:pPr>
            <w:r w:rsidRPr="006850EF">
              <w:rPr>
                <w:color w:val="000000"/>
              </w:rPr>
              <w:t>LVEF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2EBFB" w14:textId="77777777" w:rsidR="00620174" w:rsidRPr="006850EF" w:rsidRDefault="00620174" w:rsidP="00472150">
            <w:pPr>
              <w:spacing w:line="360" w:lineRule="auto"/>
              <w:jc w:val="center"/>
              <w:rPr>
                <w:color w:val="000000"/>
              </w:rPr>
            </w:pPr>
            <w:r w:rsidRPr="006850EF">
              <w:rPr>
                <w:color w:val="000000"/>
              </w:rPr>
              <w:t>0.7269</w:t>
            </w:r>
          </w:p>
        </w:tc>
      </w:tr>
      <w:tr w:rsidR="00620174" w:rsidRPr="006850EF" w14:paraId="12ED6566" w14:textId="77777777" w:rsidTr="00472150">
        <w:trPr>
          <w:trHeight w:val="300"/>
          <w:jc w:val="center"/>
        </w:trPr>
        <w:tc>
          <w:tcPr>
            <w:tcW w:w="0" w:type="auto"/>
            <w:tcBorders>
              <w:left w:val="single" w:sz="4" w:space="0" w:color="auto"/>
              <w:bottom w:val="nil"/>
              <w:right w:val="single" w:sz="4" w:space="0" w:color="auto"/>
            </w:tcBorders>
            <w:shd w:val="clear" w:color="auto" w:fill="auto"/>
            <w:noWrap/>
            <w:vAlign w:val="bottom"/>
            <w:hideMark/>
          </w:tcPr>
          <w:p w14:paraId="7EF4BE7F" w14:textId="77777777" w:rsidR="00620174" w:rsidRPr="006850EF" w:rsidRDefault="00620174" w:rsidP="00472150">
            <w:pPr>
              <w:spacing w:line="360" w:lineRule="auto"/>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0ECB" w14:textId="77777777" w:rsidR="00620174" w:rsidRPr="006850EF" w:rsidRDefault="00620174" w:rsidP="00472150">
            <w:pPr>
              <w:spacing w:line="360" w:lineRule="auto"/>
              <w:rPr>
                <w:color w:val="000000"/>
              </w:rPr>
            </w:pPr>
            <w:proofErr w:type="spellStart"/>
            <w:r w:rsidRPr="006850EF">
              <w:rPr>
                <w:color w:val="000000"/>
              </w:rPr>
              <w:t>LVSVi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D3093" w14:textId="77777777" w:rsidR="00620174" w:rsidRPr="006850EF" w:rsidRDefault="00620174" w:rsidP="00472150">
            <w:pPr>
              <w:spacing w:line="360" w:lineRule="auto"/>
              <w:jc w:val="center"/>
              <w:rPr>
                <w:color w:val="000000"/>
              </w:rPr>
            </w:pPr>
            <w:r w:rsidRPr="006850EF">
              <w:rPr>
                <w:color w:val="000000"/>
              </w:rPr>
              <w:t>0.8208</w:t>
            </w:r>
          </w:p>
        </w:tc>
      </w:tr>
      <w:tr w:rsidR="00620174" w:rsidRPr="006850EF" w14:paraId="1D85E294"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3857C668" w14:textId="77777777" w:rsidR="00620174" w:rsidRPr="006850EF" w:rsidRDefault="00620174" w:rsidP="00472150">
            <w:pPr>
              <w:spacing w:line="360" w:lineRule="auto"/>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6125" w14:textId="77777777" w:rsidR="00620174" w:rsidRPr="006850EF" w:rsidRDefault="00620174" w:rsidP="00472150">
            <w:pPr>
              <w:spacing w:line="360" w:lineRule="auto"/>
              <w:rPr>
                <w:color w:val="000000"/>
              </w:rPr>
            </w:pPr>
            <w:r w:rsidRPr="006850EF">
              <w:rPr>
                <w:color w:val="000000"/>
              </w:rPr>
              <w:t>LVMi (g/m2)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2885A" w14:textId="77777777" w:rsidR="00620174" w:rsidRPr="006850EF" w:rsidRDefault="00620174" w:rsidP="00472150">
            <w:pPr>
              <w:spacing w:line="360" w:lineRule="auto"/>
              <w:jc w:val="center"/>
              <w:rPr>
                <w:color w:val="000000"/>
              </w:rPr>
            </w:pPr>
            <w:r w:rsidRPr="006850EF">
              <w:rPr>
                <w:color w:val="000000"/>
              </w:rPr>
              <w:t>0.7269</w:t>
            </w:r>
          </w:p>
        </w:tc>
      </w:tr>
      <w:tr w:rsidR="00620174" w:rsidRPr="006850EF" w14:paraId="6C02A408"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3452013D"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640D9" w14:textId="77777777" w:rsidR="00620174" w:rsidRPr="006850EF" w:rsidRDefault="00620174" w:rsidP="00472150">
            <w:pPr>
              <w:spacing w:line="360" w:lineRule="auto"/>
              <w:rPr>
                <w:color w:val="000000"/>
              </w:rPr>
            </w:pPr>
            <w:proofErr w:type="spellStart"/>
            <w:r w:rsidRPr="006850EF">
              <w:rPr>
                <w:color w:val="000000"/>
              </w:rPr>
              <w:t>RVEDVi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ADCF" w14:textId="77777777" w:rsidR="00620174" w:rsidRPr="006850EF" w:rsidRDefault="00620174" w:rsidP="00472150">
            <w:pPr>
              <w:spacing w:line="360" w:lineRule="auto"/>
              <w:jc w:val="center"/>
              <w:rPr>
                <w:color w:val="000000"/>
              </w:rPr>
            </w:pPr>
            <w:r w:rsidRPr="006850EF">
              <w:rPr>
                <w:color w:val="000000"/>
              </w:rPr>
              <w:t>0.8906</w:t>
            </w:r>
          </w:p>
        </w:tc>
      </w:tr>
      <w:tr w:rsidR="00620174" w:rsidRPr="006850EF" w14:paraId="615E5F3B" w14:textId="77777777" w:rsidTr="00472150">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14:paraId="3C5BABD6"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FDFF" w14:textId="77777777" w:rsidR="00620174" w:rsidRPr="006850EF" w:rsidRDefault="00620174" w:rsidP="00472150">
            <w:pPr>
              <w:spacing w:line="360" w:lineRule="auto"/>
              <w:rPr>
                <w:color w:val="000000"/>
              </w:rPr>
            </w:pPr>
            <w:proofErr w:type="spellStart"/>
            <w:r w:rsidRPr="006850EF">
              <w:rPr>
                <w:color w:val="000000"/>
              </w:rPr>
              <w:t>RVESVi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DD87" w14:textId="77777777" w:rsidR="00620174" w:rsidRPr="006850EF" w:rsidRDefault="00620174" w:rsidP="00472150">
            <w:pPr>
              <w:spacing w:line="360" w:lineRule="auto"/>
              <w:jc w:val="center"/>
              <w:rPr>
                <w:color w:val="000000"/>
              </w:rPr>
            </w:pPr>
            <w:r w:rsidRPr="006850EF">
              <w:rPr>
                <w:color w:val="000000"/>
              </w:rPr>
              <w:t>0.7566</w:t>
            </w:r>
          </w:p>
        </w:tc>
      </w:tr>
      <w:tr w:rsidR="00620174" w:rsidRPr="006850EF" w14:paraId="6AB6E6B7" w14:textId="77777777" w:rsidTr="00472150">
        <w:trPr>
          <w:trHeight w:val="300"/>
          <w:jc w:val="center"/>
        </w:trPr>
        <w:tc>
          <w:tcPr>
            <w:tcW w:w="0" w:type="auto"/>
            <w:tcBorders>
              <w:top w:val="nil"/>
              <w:left w:val="single" w:sz="4" w:space="0" w:color="auto"/>
              <w:right w:val="single" w:sz="4" w:space="0" w:color="auto"/>
            </w:tcBorders>
            <w:shd w:val="clear" w:color="auto" w:fill="auto"/>
            <w:noWrap/>
            <w:vAlign w:val="bottom"/>
            <w:hideMark/>
          </w:tcPr>
          <w:p w14:paraId="7C783671"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8F5A" w14:textId="77777777" w:rsidR="00620174" w:rsidRPr="006850EF" w:rsidRDefault="00620174" w:rsidP="00472150">
            <w:pPr>
              <w:spacing w:line="360" w:lineRule="auto"/>
              <w:rPr>
                <w:color w:val="000000"/>
              </w:rPr>
            </w:pPr>
            <w:r w:rsidRPr="006850EF">
              <w:rPr>
                <w:color w:val="000000"/>
              </w:rPr>
              <w:t>RVEF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144BE" w14:textId="77777777" w:rsidR="00620174" w:rsidRPr="006850EF" w:rsidRDefault="00620174" w:rsidP="00472150">
            <w:pPr>
              <w:spacing w:line="360" w:lineRule="auto"/>
              <w:jc w:val="center"/>
              <w:rPr>
                <w:color w:val="000000"/>
              </w:rPr>
            </w:pPr>
            <w:r w:rsidRPr="006850EF">
              <w:rPr>
                <w:color w:val="000000"/>
              </w:rPr>
              <w:t>0.8565</w:t>
            </w:r>
          </w:p>
        </w:tc>
      </w:tr>
      <w:tr w:rsidR="00620174" w:rsidRPr="006850EF" w14:paraId="4A1AEAD3" w14:textId="77777777" w:rsidTr="0047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DF571" w14:textId="77777777" w:rsidR="00620174" w:rsidRPr="006850EF" w:rsidRDefault="00620174" w:rsidP="00472150">
            <w:pPr>
              <w:spacing w:line="360" w:lineRule="auto"/>
              <w:rPr>
                <w:color w:val="000000"/>
              </w:rPr>
            </w:pPr>
            <w:r w:rsidRPr="006850EF">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DA64C" w14:textId="77777777" w:rsidR="00620174" w:rsidRPr="006850EF" w:rsidRDefault="00620174" w:rsidP="00472150">
            <w:pPr>
              <w:spacing w:line="360" w:lineRule="auto"/>
              <w:rPr>
                <w:color w:val="000000"/>
              </w:rPr>
            </w:pPr>
            <w:proofErr w:type="spellStart"/>
            <w:r w:rsidRPr="006850EF">
              <w:rPr>
                <w:color w:val="000000"/>
              </w:rPr>
              <w:t>RVSVi</w:t>
            </w:r>
            <w:proofErr w:type="spellEnd"/>
            <w:r w:rsidRPr="006850EF">
              <w:rPr>
                <w:color w:val="000000"/>
              </w:rPr>
              <w:t xml:space="preserve"> (ml/m2)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9EED" w14:textId="77777777" w:rsidR="00620174" w:rsidRPr="006850EF" w:rsidRDefault="00620174" w:rsidP="00472150">
            <w:pPr>
              <w:spacing w:line="360" w:lineRule="auto"/>
              <w:jc w:val="center"/>
              <w:rPr>
                <w:color w:val="000000"/>
              </w:rPr>
            </w:pPr>
            <w:r w:rsidRPr="006850EF">
              <w:rPr>
                <w:color w:val="000000"/>
              </w:rPr>
              <w:t>0.8906</w:t>
            </w:r>
          </w:p>
        </w:tc>
      </w:tr>
    </w:tbl>
    <w:p w14:paraId="05AF7CBE" w14:textId="77777777" w:rsidR="00620174" w:rsidRDefault="00620174" w:rsidP="00620174">
      <w:pPr>
        <w:rPr>
          <w:rStyle w:val="Hyperlink"/>
          <w:color w:val="000000" w:themeColor="text1"/>
          <w:bdr w:val="none" w:sz="0" w:space="0" w:color="auto" w:frame="1"/>
          <w:lang w:val="en"/>
        </w:rPr>
      </w:pPr>
      <w:r w:rsidRPr="00EC617E">
        <w:rPr>
          <w:b/>
          <w:bCs/>
        </w:rPr>
        <w:t xml:space="preserve">Supplementary Table </w:t>
      </w:r>
      <w:r>
        <w:rPr>
          <w:b/>
          <w:bCs/>
        </w:rPr>
        <w:t xml:space="preserve">7 footnote: </w:t>
      </w:r>
      <w:r w:rsidRPr="00AB252D">
        <w:rPr>
          <w:rStyle w:val="Hyperlink"/>
          <w:color w:val="000000" w:themeColor="text1"/>
          <w:bdr w:val="none" w:sz="0" w:space="0" w:color="auto" w:frame="1"/>
          <w:lang w:val="en"/>
        </w:rPr>
        <w:t>*</w:t>
      </w:r>
      <w:r w:rsidRPr="00AB252D">
        <w:t>adjusted for: age, sex, education, deprivation, diabetes, hypertension, hypercholesterolaemia, prior myocardial</w:t>
      </w:r>
      <w:r w:rsidRPr="00EC617E">
        <w:t xml:space="preserve"> infarction, smoking, alcohol, exercise</w:t>
      </w:r>
      <w:r>
        <w:t>. CI: confidence interval.</w:t>
      </w:r>
    </w:p>
    <w:p w14:paraId="38514191" w14:textId="77777777" w:rsidR="00620174" w:rsidRDefault="00620174" w:rsidP="00620174"/>
    <w:p w14:paraId="00EEDD8A" w14:textId="77777777" w:rsidR="003C3BEF" w:rsidRPr="008D1BC1" w:rsidRDefault="003C3BEF" w:rsidP="003C3BEF"/>
    <w:p w14:paraId="3CC80446" w14:textId="77777777" w:rsidR="003C3BEF" w:rsidRDefault="003C3BEF" w:rsidP="003C3BEF">
      <w:pPr>
        <w:spacing w:before="120"/>
      </w:pPr>
    </w:p>
    <w:p w14:paraId="0FC8E4B3" w14:textId="77777777" w:rsidR="00A30FD6" w:rsidRPr="005C678C" w:rsidRDefault="00A30FD6" w:rsidP="003023B8">
      <w:pPr>
        <w:widowControl w:val="0"/>
        <w:autoSpaceDE w:val="0"/>
        <w:autoSpaceDN w:val="0"/>
        <w:adjustRightInd w:val="0"/>
        <w:ind w:left="640" w:hanging="640"/>
        <w:rPr>
          <w:color w:val="000000" w:themeColor="text1"/>
        </w:rPr>
      </w:pPr>
    </w:p>
    <w:sectPr w:rsidR="00A30FD6" w:rsidRPr="005C678C" w:rsidSect="00010C2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Hiragino Sans W2">
    <w:altName w:val="﷽﷽﷽﷽﷽﷽﷽﷽ Sans W2"/>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1051A4"/>
    <w:multiLevelType w:val="hybridMultilevel"/>
    <w:tmpl w:val="00F4D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7DF5934-0F1E-4D25-B6D9-BEB5EA6C8818}"/>
    <w:docVar w:name="dgnword-eventsink" w:val="2189950089008"/>
  </w:docVars>
  <w:rsids>
    <w:rsidRoot w:val="0037429A"/>
    <w:rsid w:val="00003651"/>
    <w:rsid w:val="000048DF"/>
    <w:rsid w:val="000076C2"/>
    <w:rsid w:val="0001003E"/>
    <w:rsid w:val="00010C22"/>
    <w:rsid w:val="00014E2F"/>
    <w:rsid w:val="00036E13"/>
    <w:rsid w:val="0004249C"/>
    <w:rsid w:val="00052264"/>
    <w:rsid w:val="000542F0"/>
    <w:rsid w:val="00060B6C"/>
    <w:rsid w:val="00064B61"/>
    <w:rsid w:val="000713B6"/>
    <w:rsid w:val="000734A1"/>
    <w:rsid w:val="000753F2"/>
    <w:rsid w:val="000811F6"/>
    <w:rsid w:val="00084A5F"/>
    <w:rsid w:val="00084B95"/>
    <w:rsid w:val="00092FE8"/>
    <w:rsid w:val="000966A0"/>
    <w:rsid w:val="000A0A45"/>
    <w:rsid w:val="000A28AF"/>
    <w:rsid w:val="000A785C"/>
    <w:rsid w:val="000B6801"/>
    <w:rsid w:val="000C338D"/>
    <w:rsid w:val="000D18D5"/>
    <w:rsid w:val="000D69D5"/>
    <w:rsid w:val="000E52CA"/>
    <w:rsid w:val="000F4BD3"/>
    <w:rsid w:val="00100074"/>
    <w:rsid w:val="00100AF0"/>
    <w:rsid w:val="00102AC4"/>
    <w:rsid w:val="0010529A"/>
    <w:rsid w:val="00107DF5"/>
    <w:rsid w:val="00111297"/>
    <w:rsid w:val="0011150C"/>
    <w:rsid w:val="001249A3"/>
    <w:rsid w:val="0013063A"/>
    <w:rsid w:val="00131679"/>
    <w:rsid w:val="00131B23"/>
    <w:rsid w:val="00131F30"/>
    <w:rsid w:val="0014424C"/>
    <w:rsid w:val="0014684C"/>
    <w:rsid w:val="00150134"/>
    <w:rsid w:val="00153966"/>
    <w:rsid w:val="00156565"/>
    <w:rsid w:val="001605BD"/>
    <w:rsid w:val="00160DD3"/>
    <w:rsid w:val="00165B1F"/>
    <w:rsid w:val="0016623D"/>
    <w:rsid w:val="001807BF"/>
    <w:rsid w:val="00180A05"/>
    <w:rsid w:val="00182DED"/>
    <w:rsid w:val="00190399"/>
    <w:rsid w:val="00192217"/>
    <w:rsid w:val="00196273"/>
    <w:rsid w:val="00197813"/>
    <w:rsid w:val="001A1D2B"/>
    <w:rsid w:val="001A21C2"/>
    <w:rsid w:val="001A25D6"/>
    <w:rsid w:val="001A4D64"/>
    <w:rsid w:val="001A69FE"/>
    <w:rsid w:val="001A7151"/>
    <w:rsid w:val="001B187E"/>
    <w:rsid w:val="001B2A1C"/>
    <w:rsid w:val="001B47C2"/>
    <w:rsid w:val="001C1B52"/>
    <w:rsid w:val="001C2C8D"/>
    <w:rsid w:val="001C459A"/>
    <w:rsid w:val="001C5040"/>
    <w:rsid w:val="001C5373"/>
    <w:rsid w:val="001C55F6"/>
    <w:rsid w:val="001D15B5"/>
    <w:rsid w:val="001E449D"/>
    <w:rsid w:val="001E6924"/>
    <w:rsid w:val="001E6FC8"/>
    <w:rsid w:val="001F3A32"/>
    <w:rsid w:val="001F76AD"/>
    <w:rsid w:val="00201AC1"/>
    <w:rsid w:val="00205148"/>
    <w:rsid w:val="00205C17"/>
    <w:rsid w:val="002075C4"/>
    <w:rsid w:val="00211E79"/>
    <w:rsid w:val="002139D0"/>
    <w:rsid w:val="00214946"/>
    <w:rsid w:val="002176FB"/>
    <w:rsid w:val="00222331"/>
    <w:rsid w:val="00223E08"/>
    <w:rsid w:val="0023020D"/>
    <w:rsid w:val="00230FF1"/>
    <w:rsid w:val="002348FD"/>
    <w:rsid w:val="002401EC"/>
    <w:rsid w:val="00242098"/>
    <w:rsid w:val="00246BF3"/>
    <w:rsid w:val="00255487"/>
    <w:rsid w:val="002777C9"/>
    <w:rsid w:val="0028091F"/>
    <w:rsid w:val="00283EA5"/>
    <w:rsid w:val="002904CB"/>
    <w:rsid w:val="00293717"/>
    <w:rsid w:val="00295132"/>
    <w:rsid w:val="00295F36"/>
    <w:rsid w:val="002A1764"/>
    <w:rsid w:val="002A18FE"/>
    <w:rsid w:val="002A1F63"/>
    <w:rsid w:val="002A3674"/>
    <w:rsid w:val="002A6285"/>
    <w:rsid w:val="002A75F1"/>
    <w:rsid w:val="002A7ADF"/>
    <w:rsid w:val="002B24BB"/>
    <w:rsid w:val="002C0DBE"/>
    <w:rsid w:val="002C1732"/>
    <w:rsid w:val="002C2A6C"/>
    <w:rsid w:val="002C4ECE"/>
    <w:rsid w:val="002D0105"/>
    <w:rsid w:val="002D399E"/>
    <w:rsid w:val="002E1346"/>
    <w:rsid w:val="002E2E50"/>
    <w:rsid w:val="002F1A85"/>
    <w:rsid w:val="0030166B"/>
    <w:rsid w:val="003023B8"/>
    <w:rsid w:val="00310C47"/>
    <w:rsid w:val="003253B8"/>
    <w:rsid w:val="00327F66"/>
    <w:rsid w:val="00330F24"/>
    <w:rsid w:val="00332561"/>
    <w:rsid w:val="00333757"/>
    <w:rsid w:val="003428C6"/>
    <w:rsid w:val="00345AFF"/>
    <w:rsid w:val="00352674"/>
    <w:rsid w:val="00355792"/>
    <w:rsid w:val="00373135"/>
    <w:rsid w:val="00373E1C"/>
    <w:rsid w:val="0037429A"/>
    <w:rsid w:val="00381E88"/>
    <w:rsid w:val="003822F4"/>
    <w:rsid w:val="0038511F"/>
    <w:rsid w:val="00386CAC"/>
    <w:rsid w:val="003879AE"/>
    <w:rsid w:val="00390F3D"/>
    <w:rsid w:val="0039583D"/>
    <w:rsid w:val="003A477E"/>
    <w:rsid w:val="003A59B5"/>
    <w:rsid w:val="003A7071"/>
    <w:rsid w:val="003A766C"/>
    <w:rsid w:val="003B0C9F"/>
    <w:rsid w:val="003B0D86"/>
    <w:rsid w:val="003B2631"/>
    <w:rsid w:val="003B3CBB"/>
    <w:rsid w:val="003C3BEF"/>
    <w:rsid w:val="003E01A0"/>
    <w:rsid w:val="003F6F68"/>
    <w:rsid w:val="00402168"/>
    <w:rsid w:val="0040567E"/>
    <w:rsid w:val="0041152F"/>
    <w:rsid w:val="00413717"/>
    <w:rsid w:val="004144D3"/>
    <w:rsid w:val="00414856"/>
    <w:rsid w:val="00425B02"/>
    <w:rsid w:val="0043628F"/>
    <w:rsid w:val="00436381"/>
    <w:rsid w:val="004457F2"/>
    <w:rsid w:val="00450DFE"/>
    <w:rsid w:val="00451A52"/>
    <w:rsid w:val="00451B7D"/>
    <w:rsid w:val="00453DB5"/>
    <w:rsid w:val="0045484A"/>
    <w:rsid w:val="0045496F"/>
    <w:rsid w:val="00455AC2"/>
    <w:rsid w:val="0046150E"/>
    <w:rsid w:val="0046489E"/>
    <w:rsid w:val="00467619"/>
    <w:rsid w:val="00470687"/>
    <w:rsid w:val="00471113"/>
    <w:rsid w:val="00480802"/>
    <w:rsid w:val="0049090D"/>
    <w:rsid w:val="00491678"/>
    <w:rsid w:val="004955C1"/>
    <w:rsid w:val="00496F3B"/>
    <w:rsid w:val="004A3003"/>
    <w:rsid w:val="004B0D76"/>
    <w:rsid w:val="004B35F7"/>
    <w:rsid w:val="004B4683"/>
    <w:rsid w:val="004C0A0D"/>
    <w:rsid w:val="004C1CF3"/>
    <w:rsid w:val="004C396D"/>
    <w:rsid w:val="004C3FCD"/>
    <w:rsid w:val="004D3EA8"/>
    <w:rsid w:val="004D4842"/>
    <w:rsid w:val="004E2136"/>
    <w:rsid w:val="004E29C7"/>
    <w:rsid w:val="004E3CA9"/>
    <w:rsid w:val="004E54E6"/>
    <w:rsid w:val="004E5AB7"/>
    <w:rsid w:val="004E6255"/>
    <w:rsid w:val="004F2700"/>
    <w:rsid w:val="00503FA3"/>
    <w:rsid w:val="00506498"/>
    <w:rsid w:val="00512D74"/>
    <w:rsid w:val="00526037"/>
    <w:rsid w:val="00527176"/>
    <w:rsid w:val="0052782B"/>
    <w:rsid w:val="005328C5"/>
    <w:rsid w:val="00534602"/>
    <w:rsid w:val="00536F69"/>
    <w:rsid w:val="005417E7"/>
    <w:rsid w:val="005615BC"/>
    <w:rsid w:val="00567A63"/>
    <w:rsid w:val="00570635"/>
    <w:rsid w:val="005743B7"/>
    <w:rsid w:val="0057542B"/>
    <w:rsid w:val="00581145"/>
    <w:rsid w:val="00586B1E"/>
    <w:rsid w:val="00590209"/>
    <w:rsid w:val="00591763"/>
    <w:rsid w:val="00594F15"/>
    <w:rsid w:val="00596679"/>
    <w:rsid w:val="005A6687"/>
    <w:rsid w:val="005B0E11"/>
    <w:rsid w:val="005B294F"/>
    <w:rsid w:val="005B6E1F"/>
    <w:rsid w:val="005C01E0"/>
    <w:rsid w:val="005C14B7"/>
    <w:rsid w:val="005C37F8"/>
    <w:rsid w:val="005C40A6"/>
    <w:rsid w:val="005C47A2"/>
    <w:rsid w:val="005C5060"/>
    <w:rsid w:val="005C678C"/>
    <w:rsid w:val="005C7EE9"/>
    <w:rsid w:val="005D09D6"/>
    <w:rsid w:val="005D4A97"/>
    <w:rsid w:val="005D5F80"/>
    <w:rsid w:val="005F2233"/>
    <w:rsid w:val="00606AD3"/>
    <w:rsid w:val="00614B38"/>
    <w:rsid w:val="00620174"/>
    <w:rsid w:val="0062170E"/>
    <w:rsid w:val="00625862"/>
    <w:rsid w:val="006332BF"/>
    <w:rsid w:val="006346FF"/>
    <w:rsid w:val="00634799"/>
    <w:rsid w:val="006418DD"/>
    <w:rsid w:val="006571C9"/>
    <w:rsid w:val="006654A0"/>
    <w:rsid w:val="006721D5"/>
    <w:rsid w:val="0067355E"/>
    <w:rsid w:val="00676834"/>
    <w:rsid w:val="00686375"/>
    <w:rsid w:val="006874DB"/>
    <w:rsid w:val="00687C2A"/>
    <w:rsid w:val="0069166F"/>
    <w:rsid w:val="0069169A"/>
    <w:rsid w:val="0069736A"/>
    <w:rsid w:val="006A2F37"/>
    <w:rsid w:val="006A4C44"/>
    <w:rsid w:val="006A7240"/>
    <w:rsid w:val="006A77C4"/>
    <w:rsid w:val="006A79BD"/>
    <w:rsid w:val="006B154B"/>
    <w:rsid w:val="006B5AA5"/>
    <w:rsid w:val="006B7932"/>
    <w:rsid w:val="006C665E"/>
    <w:rsid w:val="006D5356"/>
    <w:rsid w:val="006D72A7"/>
    <w:rsid w:val="006E2466"/>
    <w:rsid w:val="006E30E4"/>
    <w:rsid w:val="006E4160"/>
    <w:rsid w:val="006F1430"/>
    <w:rsid w:val="006F23D4"/>
    <w:rsid w:val="006F6F7E"/>
    <w:rsid w:val="0070577C"/>
    <w:rsid w:val="00706CEA"/>
    <w:rsid w:val="0071679A"/>
    <w:rsid w:val="007232F2"/>
    <w:rsid w:val="00723D3E"/>
    <w:rsid w:val="00747F35"/>
    <w:rsid w:val="00753A79"/>
    <w:rsid w:val="00755677"/>
    <w:rsid w:val="007558E1"/>
    <w:rsid w:val="007676FC"/>
    <w:rsid w:val="00775243"/>
    <w:rsid w:val="00782181"/>
    <w:rsid w:val="0078776F"/>
    <w:rsid w:val="00797CAB"/>
    <w:rsid w:val="007A3FC5"/>
    <w:rsid w:val="007A4A9B"/>
    <w:rsid w:val="007B0080"/>
    <w:rsid w:val="007B471E"/>
    <w:rsid w:val="007B67DC"/>
    <w:rsid w:val="007C5025"/>
    <w:rsid w:val="007C66C0"/>
    <w:rsid w:val="007F5E62"/>
    <w:rsid w:val="007F7303"/>
    <w:rsid w:val="00802047"/>
    <w:rsid w:val="00811BBA"/>
    <w:rsid w:val="008150F5"/>
    <w:rsid w:val="00824FE2"/>
    <w:rsid w:val="00827F81"/>
    <w:rsid w:val="0083796D"/>
    <w:rsid w:val="00844279"/>
    <w:rsid w:val="0084597E"/>
    <w:rsid w:val="008507CA"/>
    <w:rsid w:val="00850E81"/>
    <w:rsid w:val="00856E60"/>
    <w:rsid w:val="00862251"/>
    <w:rsid w:val="008643A7"/>
    <w:rsid w:val="00871FA4"/>
    <w:rsid w:val="00884F1D"/>
    <w:rsid w:val="0088571E"/>
    <w:rsid w:val="00894A32"/>
    <w:rsid w:val="008A63F7"/>
    <w:rsid w:val="008A695A"/>
    <w:rsid w:val="008B23F8"/>
    <w:rsid w:val="008D2120"/>
    <w:rsid w:val="008D49FC"/>
    <w:rsid w:val="008D62A1"/>
    <w:rsid w:val="008D7BEF"/>
    <w:rsid w:val="008E02C6"/>
    <w:rsid w:val="008E1B9F"/>
    <w:rsid w:val="008E23EE"/>
    <w:rsid w:val="008E5C88"/>
    <w:rsid w:val="008E5C97"/>
    <w:rsid w:val="008F0F3F"/>
    <w:rsid w:val="008F34CD"/>
    <w:rsid w:val="008F3F05"/>
    <w:rsid w:val="008F4DF8"/>
    <w:rsid w:val="00900BC4"/>
    <w:rsid w:val="009074EE"/>
    <w:rsid w:val="009314EA"/>
    <w:rsid w:val="00931532"/>
    <w:rsid w:val="00931B97"/>
    <w:rsid w:val="009416CD"/>
    <w:rsid w:val="0094664F"/>
    <w:rsid w:val="00947849"/>
    <w:rsid w:val="00950578"/>
    <w:rsid w:val="009536BD"/>
    <w:rsid w:val="009555D0"/>
    <w:rsid w:val="00962C04"/>
    <w:rsid w:val="0096330F"/>
    <w:rsid w:val="0096496B"/>
    <w:rsid w:val="00966C57"/>
    <w:rsid w:val="00970221"/>
    <w:rsid w:val="00973DEC"/>
    <w:rsid w:val="009807A0"/>
    <w:rsid w:val="00980923"/>
    <w:rsid w:val="009868C6"/>
    <w:rsid w:val="00986CD4"/>
    <w:rsid w:val="00993E99"/>
    <w:rsid w:val="00996903"/>
    <w:rsid w:val="009A0201"/>
    <w:rsid w:val="009B01B0"/>
    <w:rsid w:val="009C0630"/>
    <w:rsid w:val="009C0983"/>
    <w:rsid w:val="009D44F6"/>
    <w:rsid w:val="009D59B6"/>
    <w:rsid w:val="009D6DBB"/>
    <w:rsid w:val="009D794F"/>
    <w:rsid w:val="009E59D8"/>
    <w:rsid w:val="009E6864"/>
    <w:rsid w:val="009F38BD"/>
    <w:rsid w:val="009F42C1"/>
    <w:rsid w:val="009F6B6E"/>
    <w:rsid w:val="00A055FF"/>
    <w:rsid w:val="00A06E99"/>
    <w:rsid w:val="00A07554"/>
    <w:rsid w:val="00A157B1"/>
    <w:rsid w:val="00A15ACE"/>
    <w:rsid w:val="00A173B2"/>
    <w:rsid w:val="00A1790F"/>
    <w:rsid w:val="00A247B3"/>
    <w:rsid w:val="00A249F1"/>
    <w:rsid w:val="00A30FD6"/>
    <w:rsid w:val="00A52850"/>
    <w:rsid w:val="00A60CB0"/>
    <w:rsid w:val="00A660BC"/>
    <w:rsid w:val="00A67FB3"/>
    <w:rsid w:val="00A814AA"/>
    <w:rsid w:val="00A83D46"/>
    <w:rsid w:val="00A83D9A"/>
    <w:rsid w:val="00A849A1"/>
    <w:rsid w:val="00A90206"/>
    <w:rsid w:val="00A9111E"/>
    <w:rsid w:val="00A93A93"/>
    <w:rsid w:val="00AA1E81"/>
    <w:rsid w:val="00AB0101"/>
    <w:rsid w:val="00AB161B"/>
    <w:rsid w:val="00AB2580"/>
    <w:rsid w:val="00AC1871"/>
    <w:rsid w:val="00AC5E48"/>
    <w:rsid w:val="00AC6948"/>
    <w:rsid w:val="00AD313E"/>
    <w:rsid w:val="00AE0093"/>
    <w:rsid w:val="00AE022C"/>
    <w:rsid w:val="00AE4E07"/>
    <w:rsid w:val="00AF1FAD"/>
    <w:rsid w:val="00AF3625"/>
    <w:rsid w:val="00B02CDE"/>
    <w:rsid w:val="00B069F2"/>
    <w:rsid w:val="00B109A9"/>
    <w:rsid w:val="00B135BE"/>
    <w:rsid w:val="00B14B30"/>
    <w:rsid w:val="00B14CD9"/>
    <w:rsid w:val="00B21DBA"/>
    <w:rsid w:val="00B22D61"/>
    <w:rsid w:val="00B24544"/>
    <w:rsid w:val="00B326C3"/>
    <w:rsid w:val="00B35FCD"/>
    <w:rsid w:val="00B439EF"/>
    <w:rsid w:val="00B45C56"/>
    <w:rsid w:val="00B476D2"/>
    <w:rsid w:val="00B477CE"/>
    <w:rsid w:val="00B64052"/>
    <w:rsid w:val="00B676B8"/>
    <w:rsid w:val="00B77869"/>
    <w:rsid w:val="00B80EF4"/>
    <w:rsid w:val="00B87713"/>
    <w:rsid w:val="00B92890"/>
    <w:rsid w:val="00B97CCC"/>
    <w:rsid w:val="00BA0272"/>
    <w:rsid w:val="00BA3228"/>
    <w:rsid w:val="00BA743D"/>
    <w:rsid w:val="00BB3BA5"/>
    <w:rsid w:val="00BB4411"/>
    <w:rsid w:val="00BB4548"/>
    <w:rsid w:val="00BC0FE7"/>
    <w:rsid w:val="00BC5FEF"/>
    <w:rsid w:val="00BC6822"/>
    <w:rsid w:val="00BD0A99"/>
    <w:rsid w:val="00BD4F5F"/>
    <w:rsid w:val="00BD5ACC"/>
    <w:rsid w:val="00BD5C9F"/>
    <w:rsid w:val="00BF5170"/>
    <w:rsid w:val="00C0397A"/>
    <w:rsid w:val="00C063AF"/>
    <w:rsid w:val="00C07FDA"/>
    <w:rsid w:val="00C100E3"/>
    <w:rsid w:val="00C14235"/>
    <w:rsid w:val="00C15305"/>
    <w:rsid w:val="00C1537A"/>
    <w:rsid w:val="00C20861"/>
    <w:rsid w:val="00C2378F"/>
    <w:rsid w:val="00C2663E"/>
    <w:rsid w:val="00C33714"/>
    <w:rsid w:val="00C33A80"/>
    <w:rsid w:val="00C34FAA"/>
    <w:rsid w:val="00C36A97"/>
    <w:rsid w:val="00C456E4"/>
    <w:rsid w:val="00C50E9C"/>
    <w:rsid w:val="00C52683"/>
    <w:rsid w:val="00C530AF"/>
    <w:rsid w:val="00C561BB"/>
    <w:rsid w:val="00C669CD"/>
    <w:rsid w:val="00C72333"/>
    <w:rsid w:val="00C822C3"/>
    <w:rsid w:val="00C9073E"/>
    <w:rsid w:val="00C958EA"/>
    <w:rsid w:val="00CA099B"/>
    <w:rsid w:val="00CA3235"/>
    <w:rsid w:val="00CA4BB9"/>
    <w:rsid w:val="00CA76F2"/>
    <w:rsid w:val="00CA78FD"/>
    <w:rsid w:val="00CB01BD"/>
    <w:rsid w:val="00CB1753"/>
    <w:rsid w:val="00CB2120"/>
    <w:rsid w:val="00CB2ABD"/>
    <w:rsid w:val="00CB72B7"/>
    <w:rsid w:val="00CB737A"/>
    <w:rsid w:val="00CC055D"/>
    <w:rsid w:val="00CC1E9C"/>
    <w:rsid w:val="00CC325E"/>
    <w:rsid w:val="00CC5E2B"/>
    <w:rsid w:val="00CD088A"/>
    <w:rsid w:val="00CD570F"/>
    <w:rsid w:val="00CE0B61"/>
    <w:rsid w:val="00CE4E52"/>
    <w:rsid w:val="00CE7D8E"/>
    <w:rsid w:val="00CF083E"/>
    <w:rsid w:val="00CF0970"/>
    <w:rsid w:val="00CF17A4"/>
    <w:rsid w:val="00CF1DCD"/>
    <w:rsid w:val="00CF21DD"/>
    <w:rsid w:val="00CF401C"/>
    <w:rsid w:val="00CF5AB3"/>
    <w:rsid w:val="00D12A89"/>
    <w:rsid w:val="00D20BAD"/>
    <w:rsid w:val="00D239D2"/>
    <w:rsid w:val="00D32ABD"/>
    <w:rsid w:val="00D32D73"/>
    <w:rsid w:val="00D47FC2"/>
    <w:rsid w:val="00D56F96"/>
    <w:rsid w:val="00D61339"/>
    <w:rsid w:val="00D6524E"/>
    <w:rsid w:val="00D702CC"/>
    <w:rsid w:val="00D73498"/>
    <w:rsid w:val="00D76A5B"/>
    <w:rsid w:val="00D76C65"/>
    <w:rsid w:val="00D82FC9"/>
    <w:rsid w:val="00D86811"/>
    <w:rsid w:val="00D933A7"/>
    <w:rsid w:val="00D96C55"/>
    <w:rsid w:val="00DA32B4"/>
    <w:rsid w:val="00DA4C97"/>
    <w:rsid w:val="00DC1E83"/>
    <w:rsid w:val="00DC3758"/>
    <w:rsid w:val="00DC4AC2"/>
    <w:rsid w:val="00DD0EBC"/>
    <w:rsid w:val="00DD15EC"/>
    <w:rsid w:val="00DD4B39"/>
    <w:rsid w:val="00DD604F"/>
    <w:rsid w:val="00DE0124"/>
    <w:rsid w:val="00DE438B"/>
    <w:rsid w:val="00DF7B24"/>
    <w:rsid w:val="00E05FD7"/>
    <w:rsid w:val="00E067DB"/>
    <w:rsid w:val="00E11019"/>
    <w:rsid w:val="00E12116"/>
    <w:rsid w:val="00E211BE"/>
    <w:rsid w:val="00E226A1"/>
    <w:rsid w:val="00E2502B"/>
    <w:rsid w:val="00E3790C"/>
    <w:rsid w:val="00E458F4"/>
    <w:rsid w:val="00E53B2B"/>
    <w:rsid w:val="00E54F90"/>
    <w:rsid w:val="00E65BEE"/>
    <w:rsid w:val="00E7008D"/>
    <w:rsid w:val="00E72DD3"/>
    <w:rsid w:val="00E85740"/>
    <w:rsid w:val="00E87BA2"/>
    <w:rsid w:val="00E923B2"/>
    <w:rsid w:val="00E925F2"/>
    <w:rsid w:val="00E95070"/>
    <w:rsid w:val="00E9773E"/>
    <w:rsid w:val="00E97CCB"/>
    <w:rsid w:val="00E97E60"/>
    <w:rsid w:val="00EA7255"/>
    <w:rsid w:val="00EA753D"/>
    <w:rsid w:val="00EB3872"/>
    <w:rsid w:val="00EC5E2F"/>
    <w:rsid w:val="00EC6F9C"/>
    <w:rsid w:val="00EE3E89"/>
    <w:rsid w:val="00EF488A"/>
    <w:rsid w:val="00EF589F"/>
    <w:rsid w:val="00EF6E66"/>
    <w:rsid w:val="00EF7098"/>
    <w:rsid w:val="00F1495C"/>
    <w:rsid w:val="00F20E53"/>
    <w:rsid w:val="00F21186"/>
    <w:rsid w:val="00F324FA"/>
    <w:rsid w:val="00F37023"/>
    <w:rsid w:val="00F461BD"/>
    <w:rsid w:val="00F52A55"/>
    <w:rsid w:val="00F57B3D"/>
    <w:rsid w:val="00F57EBE"/>
    <w:rsid w:val="00F6210E"/>
    <w:rsid w:val="00F66998"/>
    <w:rsid w:val="00F70CFC"/>
    <w:rsid w:val="00F8075D"/>
    <w:rsid w:val="00F902F1"/>
    <w:rsid w:val="00F92FF9"/>
    <w:rsid w:val="00F953E7"/>
    <w:rsid w:val="00F954CB"/>
    <w:rsid w:val="00FA1CD3"/>
    <w:rsid w:val="00FB53D8"/>
    <w:rsid w:val="00FC000C"/>
    <w:rsid w:val="00FC25F2"/>
    <w:rsid w:val="00FC4087"/>
    <w:rsid w:val="00FD0A02"/>
    <w:rsid w:val="00FD13D5"/>
    <w:rsid w:val="00FD6BF9"/>
    <w:rsid w:val="00FE21F2"/>
    <w:rsid w:val="00FE3445"/>
    <w:rsid w:val="00FE6FB7"/>
    <w:rsid w:val="00FF0ADD"/>
    <w:rsid w:val="00FF3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3440"/>
  <w14:defaultImageDpi w14:val="32767"/>
  <w15:chartTrackingRefBased/>
  <w15:docId w15:val="{BDF1A09F-9E93-D943-8E3B-18F5C533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285"/>
    <w:pPr>
      <w:spacing w:line="480" w:lineRule="auto"/>
    </w:pPr>
    <w:rPr>
      <w:rFonts w:ascii="Times New Roman" w:eastAsia="Times New Roman" w:hAnsi="Times New Roman" w:cs="Times New Roman"/>
      <w:sz w:val="22"/>
      <w:szCs w:val="22"/>
      <w:lang w:eastAsia="en-GB"/>
    </w:rPr>
  </w:style>
  <w:style w:type="paragraph" w:styleId="Heading2">
    <w:name w:val="heading 2"/>
    <w:basedOn w:val="Normal"/>
    <w:next w:val="Normal"/>
    <w:link w:val="Heading2Char"/>
    <w:uiPriority w:val="9"/>
    <w:unhideWhenUsed/>
    <w:qFormat/>
    <w:rsid w:val="002A6285"/>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8C6"/>
    <w:rPr>
      <w:sz w:val="18"/>
      <w:szCs w:val="18"/>
    </w:rPr>
  </w:style>
  <w:style w:type="character" w:customStyle="1" w:styleId="BalloonTextChar">
    <w:name w:val="Balloon Text Char"/>
    <w:basedOn w:val="DefaultParagraphFont"/>
    <w:link w:val="BalloonText"/>
    <w:uiPriority w:val="99"/>
    <w:semiHidden/>
    <w:rsid w:val="009868C6"/>
    <w:rPr>
      <w:rFonts w:ascii="Times New Roman" w:hAnsi="Times New Roman" w:cs="Times New Roman"/>
      <w:sz w:val="18"/>
      <w:szCs w:val="18"/>
    </w:rPr>
  </w:style>
  <w:style w:type="paragraph" w:styleId="ListParagraph">
    <w:name w:val="List Paragraph"/>
    <w:basedOn w:val="Normal"/>
    <w:uiPriority w:val="34"/>
    <w:qFormat/>
    <w:rsid w:val="005A6687"/>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570635"/>
    <w:rPr>
      <w:color w:val="0563C1" w:themeColor="hyperlink"/>
      <w:u w:val="single"/>
    </w:rPr>
  </w:style>
  <w:style w:type="character" w:styleId="CommentReference">
    <w:name w:val="annotation reference"/>
    <w:basedOn w:val="DefaultParagraphFont"/>
    <w:uiPriority w:val="99"/>
    <w:semiHidden/>
    <w:unhideWhenUsed/>
    <w:rsid w:val="00570635"/>
    <w:rPr>
      <w:sz w:val="16"/>
      <w:szCs w:val="16"/>
    </w:rPr>
  </w:style>
  <w:style w:type="paragraph" w:styleId="CommentText">
    <w:name w:val="annotation text"/>
    <w:basedOn w:val="Normal"/>
    <w:link w:val="CommentTextChar"/>
    <w:uiPriority w:val="99"/>
    <w:unhideWhenUsed/>
    <w:rsid w:val="00570635"/>
    <w:rPr>
      <w:sz w:val="20"/>
      <w:szCs w:val="20"/>
    </w:rPr>
  </w:style>
  <w:style w:type="character" w:customStyle="1" w:styleId="CommentTextChar">
    <w:name w:val="Comment Text Char"/>
    <w:basedOn w:val="DefaultParagraphFont"/>
    <w:link w:val="CommentText"/>
    <w:uiPriority w:val="99"/>
    <w:rsid w:val="0057063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C7EE9"/>
    <w:rPr>
      <w:b/>
      <w:bCs/>
    </w:rPr>
  </w:style>
  <w:style w:type="character" w:customStyle="1" w:styleId="CommentSubjectChar">
    <w:name w:val="Comment Subject Char"/>
    <w:basedOn w:val="CommentTextChar"/>
    <w:link w:val="CommentSubject"/>
    <w:uiPriority w:val="99"/>
    <w:semiHidden/>
    <w:rsid w:val="005C7EE9"/>
    <w:rPr>
      <w:rFonts w:ascii="Times New Roman" w:eastAsia="Times New Roman" w:hAnsi="Times New Roman" w:cs="Times New Roman"/>
      <w:b/>
      <w:bCs/>
      <w:sz w:val="20"/>
      <w:szCs w:val="20"/>
      <w:lang w:eastAsia="en-GB"/>
    </w:rPr>
  </w:style>
  <w:style w:type="character" w:customStyle="1" w:styleId="apple-converted-space">
    <w:name w:val="apple-converted-space"/>
    <w:basedOn w:val="DefaultParagraphFont"/>
    <w:rsid w:val="00AE4E07"/>
  </w:style>
  <w:style w:type="character" w:customStyle="1" w:styleId="Heading2Char">
    <w:name w:val="Heading 2 Char"/>
    <w:basedOn w:val="DefaultParagraphFont"/>
    <w:link w:val="Heading2"/>
    <w:uiPriority w:val="9"/>
    <w:rsid w:val="002A6285"/>
    <w:rPr>
      <w:rFonts w:ascii="Times New Roman" w:eastAsia="Times New Roman" w:hAnsi="Times New Roman" w:cs="Times New Roman"/>
      <w:b/>
      <w:bCs/>
      <w:sz w:val="22"/>
      <w:szCs w:val="22"/>
      <w:lang w:eastAsia="en-GB"/>
    </w:rPr>
  </w:style>
  <w:style w:type="paragraph" w:styleId="NormalWeb">
    <w:name w:val="Normal (Web)"/>
    <w:basedOn w:val="Normal"/>
    <w:uiPriority w:val="99"/>
    <w:unhideWhenUsed/>
    <w:rsid w:val="00C72333"/>
    <w:pPr>
      <w:spacing w:before="100" w:beforeAutospacing="1" w:after="100" w:afterAutospacing="1" w:line="240" w:lineRule="auto"/>
    </w:pPr>
    <w:rPr>
      <w:sz w:val="24"/>
      <w:szCs w:val="24"/>
    </w:rPr>
  </w:style>
  <w:style w:type="character" w:customStyle="1" w:styleId="UnresolvedMention1">
    <w:name w:val="Unresolved Mention1"/>
    <w:basedOn w:val="DefaultParagraphFont"/>
    <w:uiPriority w:val="99"/>
    <w:rsid w:val="002904CB"/>
    <w:rPr>
      <w:color w:val="605E5C"/>
      <w:shd w:val="clear" w:color="auto" w:fill="E1DFDD"/>
    </w:rPr>
  </w:style>
  <w:style w:type="paragraph" w:styleId="Revision">
    <w:name w:val="Revision"/>
    <w:hidden/>
    <w:uiPriority w:val="99"/>
    <w:semiHidden/>
    <w:rsid w:val="005C37F8"/>
    <w:rPr>
      <w:rFonts w:ascii="Times New Roman" w:eastAsia="Times New Roman" w:hAnsi="Times New Roman" w:cs="Times New Roman"/>
      <w:sz w:val="22"/>
      <w:szCs w:val="22"/>
      <w:lang w:eastAsia="en-GB"/>
    </w:rPr>
  </w:style>
  <w:style w:type="character" w:styleId="FollowedHyperlink">
    <w:name w:val="FollowedHyperlink"/>
    <w:basedOn w:val="DefaultParagraphFont"/>
    <w:uiPriority w:val="99"/>
    <w:semiHidden/>
    <w:unhideWhenUsed/>
    <w:rsid w:val="0062170E"/>
    <w:rPr>
      <w:color w:val="954F72" w:themeColor="followedHyperlink"/>
      <w:u w:val="single"/>
    </w:rPr>
  </w:style>
  <w:style w:type="character" w:customStyle="1" w:styleId="normaltextrun">
    <w:name w:val="normaltextrun"/>
    <w:basedOn w:val="DefaultParagraphFont"/>
    <w:rsid w:val="0062170E"/>
  </w:style>
  <w:style w:type="character" w:customStyle="1" w:styleId="eop">
    <w:name w:val="eop"/>
    <w:basedOn w:val="DefaultParagraphFont"/>
    <w:rsid w:val="0062170E"/>
  </w:style>
  <w:style w:type="paragraph" w:customStyle="1" w:styleId="paragraph">
    <w:name w:val="paragraph"/>
    <w:basedOn w:val="Normal"/>
    <w:rsid w:val="0062170E"/>
    <w:pPr>
      <w:spacing w:before="100" w:beforeAutospacing="1" w:after="100" w:afterAutospacing="1" w:line="240" w:lineRule="auto"/>
    </w:pPr>
    <w:rPr>
      <w:sz w:val="24"/>
      <w:szCs w:val="24"/>
    </w:rPr>
  </w:style>
  <w:style w:type="character" w:styleId="PlaceholderText">
    <w:name w:val="Placeholder Text"/>
    <w:basedOn w:val="DefaultParagraphFont"/>
    <w:uiPriority w:val="99"/>
    <w:semiHidden/>
    <w:rsid w:val="00436381"/>
    <w:rPr>
      <w:color w:val="808080"/>
    </w:rPr>
  </w:style>
  <w:style w:type="character" w:styleId="UnresolvedMention">
    <w:name w:val="Unresolved Mention"/>
    <w:basedOn w:val="DefaultParagraphFont"/>
    <w:uiPriority w:val="99"/>
    <w:semiHidden/>
    <w:unhideWhenUsed/>
    <w:rsid w:val="00150134"/>
    <w:rPr>
      <w:color w:val="605E5C"/>
      <w:shd w:val="clear" w:color="auto" w:fill="E1DFDD"/>
    </w:rPr>
  </w:style>
  <w:style w:type="table" w:styleId="TableGridLight">
    <w:name w:val="Grid Table Light"/>
    <w:basedOn w:val="TableNormal"/>
    <w:uiPriority w:val="40"/>
    <w:rsid w:val="003C3B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20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0174"/>
    <w:rPr>
      <w:b/>
      <w:bCs/>
    </w:rPr>
  </w:style>
  <w:style w:type="table" w:styleId="TableTheme">
    <w:name w:val="Table Theme"/>
    <w:basedOn w:val="TableNormal"/>
    <w:uiPriority w:val="99"/>
    <w:rsid w:val="00620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0880">
      <w:bodyDiv w:val="1"/>
      <w:marLeft w:val="0"/>
      <w:marRight w:val="0"/>
      <w:marTop w:val="0"/>
      <w:marBottom w:val="0"/>
      <w:divBdr>
        <w:top w:val="none" w:sz="0" w:space="0" w:color="auto"/>
        <w:left w:val="none" w:sz="0" w:space="0" w:color="auto"/>
        <w:bottom w:val="none" w:sz="0" w:space="0" w:color="auto"/>
        <w:right w:val="none" w:sz="0" w:space="0" w:color="auto"/>
      </w:divBdr>
      <w:divsChild>
        <w:div w:id="266233219">
          <w:marLeft w:val="0"/>
          <w:marRight w:val="0"/>
          <w:marTop w:val="0"/>
          <w:marBottom w:val="0"/>
          <w:divBdr>
            <w:top w:val="none" w:sz="0" w:space="0" w:color="auto"/>
            <w:left w:val="none" w:sz="0" w:space="0" w:color="auto"/>
            <w:bottom w:val="none" w:sz="0" w:space="0" w:color="auto"/>
            <w:right w:val="none" w:sz="0" w:space="0" w:color="auto"/>
          </w:divBdr>
        </w:div>
      </w:divsChild>
    </w:div>
    <w:div w:id="47070692">
      <w:bodyDiv w:val="1"/>
      <w:marLeft w:val="0"/>
      <w:marRight w:val="0"/>
      <w:marTop w:val="0"/>
      <w:marBottom w:val="0"/>
      <w:divBdr>
        <w:top w:val="none" w:sz="0" w:space="0" w:color="auto"/>
        <w:left w:val="none" w:sz="0" w:space="0" w:color="auto"/>
        <w:bottom w:val="none" w:sz="0" w:space="0" w:color="auto"/>
        <w:right w:val="none" w:sz="0" w:space="0" w:color="auto"/>
      </w:divBdr>
      <w:divsChild>
        <w:div w:id="2085030541">
          <w:marLeft w:val="0"/>
          <w:marRight w:val="0"/>
          <w:marTop w:val="0"/>
          <w:marBottom w:val="0"/>
          <w:divBdr>
            <w:top w:val="none" w:sz="0" w:space="0" w:color="auto"/>
            <w:left w:val="none" w:sz="0" w:space="0" w:color="auto"/>
            <w:bottom w:val="none" w:sz="0" w:space="0" w:color="auto"/>
            <w:right w:val="none" w:sz="0" w:space="0" w:color="auto"/>
          </w:divBdr>
        </w:div>
        <w:div w:id="1237132234">
          <w:marLeft w:val="0"/>
          <w:marRight w:val="0"/>
          <w:marTop w:val="0"/>
          <w:marBottom w:val="0"/>
          <w:divBdr>
            <w:top w:val="none" w:sz="0" w:space="0" w:color="auto"/>
            <w:left w:val="none" w:sz="0" w:space="0" w:color="auto"/>
            <w:bottom w:val="none" w:sz="0" w:space="0" w:color="auto"/>
            <w:right w:val="none" w:sz="0" w:space="0" w:color="auto"/>
          </w:divBdr>
        </w:div>
      </w:divsChild>
    </w:div>
    <w:div w:id="51126512">
      <w:bodyDiv w:val="1"/>
      <w:marLeft w:val="0"/>
      <w:marRight w:val="0"/>
      <w:marTop w:val="0"/>
      <w:marBottom w:val="0"/>
      <w:divBdr>
        <w:top w:val="none" w:sz="0" w:space="0" w:color="auto"/>
        <w:left w:val="none" w:sz="0" w:space="0" w:color="auto"/>
        <w:bottom w:val="none" w:sz="0" w:space="0" w:color="auto"/>
        <w:right w:val="none" w:sz="0" w:space="0" w:color="auto"/>
      </w:divBdr>
    </w:div>
    <w:div w:id="76681244">
      <w:bodyDiv w:val="1"/>
      <w:marLeft w:val="0"/>
      <w:marRight w:val="0"/>
      <w:marTop w:val="0"/>
      <w:marBottom w:val="0"/>
      <w:divBdr>
        <w:top w:val="none" w:sz="0" w:space="0" w:color="auto"/>
        <w:left w:val="none" w:sz="0" w:space="0" w:color="auto"/>
        <w:bottom w:val="none" w:sz="0" w:space="0" w:color="auto"/>
        <w:right w:val="none" w:sz="0" w:space="0" w:color="auto"/>
      </w:divBdr>
    </w:div>
    <w:div w:id="181671453">
      <w:bodyDiv w:val="1"/>
      <w:marLeft w:val="0"/>
      <w:marRight w:val="0"/>
      <w:marTop w:val="0"/>
      <w:marBottom w:val="0"/>
      <w:divBdr>
        <w:top w:val="none" w:sz="0" w:space="0" w:color="auto"/>
        <w:left w:val="none" w:sz="0" w:space="0" w:color="auto"/>
        <w:bottom w:val="none" w:sz="0" w:space="0" w:color="auto"/>
        <w:right w:val="none" w:sz="0" w:space="0" w:color="auto"/>
      </w:divBdr>
    </w:div>
    <w:div w:id="314535341">
      <w:bodyDiv w:val="1"/>
      <w:marLeft w:val="0"/>
      <w:marRight w:val="0"/>
      <w:marTop w:val="0"/>
      <w:marBottom w:val="0"/>
      <w:divBdr>
        <w:top w:val="none" w:sz="0" w:space="0" w:color="auto"/>
        <w:left w:val="none" w:sz="0" w:space="0" w:color="auto"/>
        <w:bottom w:val="none" w:sz="0" w:space="0" w:color="auto"/>
        <w:right w:val="none" w:sz="0" w:space="0" w:color="auto"/>
      </w:divBdr>
      <w:divsChild>
        <w:div w:id="671761827">
          <w:marLeft w:val="0"/>
          <w:marRight w:val="0"/>
          <w:marTop w:val="0"/>
          <w:marBottom w:val="0"/>
          <w:divBdr>
            <w:top w:val="none" w:sz="0" w:space="0" w:color="auto"/>
            <w:left w:val="none" w:sz="0" w:space="0" w:color="auto"/>
            <w:bottom w:val="none" w:sz="0" w:space="0" w:color="auto"/>
            <w:right w:val="none" w:sz="0" w:space="0" w:color="auto"/>
          </w:divBdr>
          <w:divsChild>
            <w:div w:id="1586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4434">
      <w:bodyDiv w:val="1"/>
      <w:marLeft w:val="0"/>
      <w:marRight w:val="0"/>
      <w:marTop w:val="0"/>
      <w:marBottom w:val="0"/>
      <w:divBdr>
        <w:top w:val="none" w:sz="0" w:space="0" w:color="auto"/>
        <w:left w:val="none" w:sz="0" w:space="0" w:color="auto"/>
        <w:bottom w:val="none" w:sz="0" w:space="0" w:color="auto"/>
        <w:right w:val="none" w:sz="0" w:space="0" w:color="auto"/>
      </w:divBdr>
    </w:div>
    <w:div w:id="360937623">
      <w:bodyDiv w:val="1"/>
      <w:marLeft w:val="0"/>
      <w:marRight w:val="0"/>
      <w:marTop w:val="0"/>
      <w:marBottom w:val="0"/>
      <w:divBdr>
        <w:top w:val="none" w:sz="0" w:space="0" w:color="auto"/>
        <w:left w:val="none" w:sz="0" w:space="0" w:color="auto"/>
        <w:bottom w:val="none" w:sz="0" w:space="0" w:color="auto"/>
        <w:right w:val="none" w:sz="0" w:space="0" w:color="auto"/>
      </w:divBdr>
    </w:div>
    <w:div w:id="662198650">
      <w:bodyDiv w:val="1"/>
      <w:marLeft w:val="0"/>
      <w:marRight w:val="0"/>
      <w:marTop w:val="0"/>
      <w:marBottom w:val="0"/>
      <w:divBdr>
        <w:top w:val="none" w:sz="0" w:space="0" w:color="auto"/>
        <w:left w:val="none" w:sz="0" w:space="0" w:color="auto"/>
        <w:bottom w:val="none" w:sz="0" w:space="0" w:color="auto"/>
        <w:right w:val="none" w:sz="0" w:space="0" w:color="auto"/>
      </w:divBdr>
    </w:div>
    <w:div w:id="745028237">
      <w:bodyDiv w:val="1"/>
      <w:marLeft w:val="0"/>
      <w:marRight w:val="0"/>
      <w:marTop w:val="0"/>
      <w:marBottom w:val="0"/>
      <w:divBdr>
        <w:top w:val="none" w:sz="0" w:space="0" w:color="auto"/>
        <w:left w:val="none" w:sz="0" w:space="0" w:color="auto"/>
        <w:bottom w:val="none" w:sz="0" w:space="0" w:color="auto"/>
        <w:right w:val="none" w:sz="0" w:space="0" w:color="auto"/>
      </w:divBdr>
    </w:div>
    <w:div w:id="894043476">
      <w:bodyDiv w:val="1"/>
      <w:marLeft w:val="0"/>
      <w:marRight w:val="0"/>
      <w:marTop w:val="0"/>
      <w:marBottom w:val="0"/>
      <w:divBdr>
        <w:top w:val="none" w:sz="0" w:space="0" w:color="auto"/>
        <w:left w:val="none" w:sz="0" w:space="0" w:color="auto"/>
        <w:bottom w:val="none" w:sz="0" w:space="0" w:color="auto"/>
        <w:right w:val="none" w:sz="0" w:space="0" w:color="auto"/>
      </w:divBdr>
    </w:div>
    <w:div w:id="907039502">
      <w:bodyDiv w:val="1"/>
      <w:marLeft w:val="0"/>
      <w:marRight w:val="0"/>
      <w:marTop w:val="0"/>
      <w:marBottom w:val="0"/>
      <w:divBdr>
        <w:top w:val="none" w:sz="0" w:space="0" w:color="auto"/>
        <w:left w:val="none" w:sz="0" w:space="0" w:color="auto"/>
        <w:bottom w:val="none" w:sz="0" w:space="0" w:color="auto"/>
        <w:right w:val="none" w:sz="0" w:space="0" w:color="auto"/>
      </w:divBdr>
    </w:div>
    <w:div w:id="968585920">
      <w:bodyDiv w:val="1"/>
      <w:marLeft w:val="0"/>
      <w:marRight w:val="0"/>
      <w:marTop w:val="0"/>
      <w:marBottom w:val="0"/>
      <w:divBdr>
        <w:top w:val="none" w:sz="0" w:space="0" w:color="auto"/>
        <w:left w:val="none" w:sz="0" w:space="0" w:color="auto"/>
        <w:bottom w:val="none" w:sz="0" w:space="0" w:color="auto"/>
        <w:right w:val="none" w:sz="0" w:space="0" w:color="auto"/>
      </w:divBdr>
    </w:div>
    <w:div w:id="1032651370">
      <w:bodyDiv w:val="1"/>
      <w:marLeft w:val="0"/>
      <w:marRight w:val="0"/>
      <w:marTop w:val="0"/>
      <w:marBottom w:val="0"/>
      <w:divBdr>
        <w:top w:val="none" w:sz="0" w:space="0" w:color="auto"/>
        <w:left w:val="none" w:sz="0" w:space="0" w:color="auto"/>
        <w:bottom w:val="none" w:sz="0" w:space="0" w:color="auto"/>
        <w:right w:val="none" w:sz="0" w:space="0" w:color="auto"/>
      </w:divBdr>
    </w:div>
    <w:div w:id="1082483758">
      <w:bodyDiv w:val="1"/>
      <w:marLeft w:val="0"/>
      <w:marRight w:val="0"/>
      <w:marTop w:val="0"/>
      <w:marBottom w:val="0"/>
      <w:divBdr>
        <w:top w:val="none" w:sz="0" w:space="0" w:color="auto"/>
        <w:left w:val="none" w:sz="0" w:space="0" w:color="auto"/>
        <w:bottom w:val="none" w:sz="0" w:space="0" w:color="auto"/>
        <w:right w:val="none" w:sz="0" w:space="0" w:color="auto"/>
      </w:divBdr>
    </w:div>
    <w:div w:id="1107505616">
      <w:bodyDiv w:val="1"/>
      <w:marLeft w:val="0"/>
      <w:marRight w:val="0"/>
      <w:marTop w:val="0"/>
      <w:marBottom w:val="0"/>
      <w:divBdr>
        <w:top w:val="none" w:sz="0" w:space="0" w:color="auto"/>
        <w:left w:val="none" w:sz="0" w:space="0" w:color="auto"/>
        <w:bottom w:val="none" w:sz="0" w:space="0" w:color="auto"/>
        <w:right w:val="none" w:sz="0" w:space="0" w:color="auto"/>
      </w:divBdr>
    </w:div>
    <w:div w:id="1141078619">
      <w:bodyDiv w:val="1"/>
      <w:marLeft w:val="0"/>
      <w:marRight w:val="0"/>
      <w:marTop w:val="0"/>
      <w:marBottom w:val="0"/>
      <w:divBdr>
        <w:top w:val="none" w:sz="0" w:space="0" w:color="auto"/>
        <w:left w:val="none" w:sz="0" w:space="0" w:color="auto"/>
        <w:bottom w:val="none" w:sz="0" w:space="0" w:color="auto"/>
        <w:right w:val="none" w:sz="0" w:space="0" w:color="auto"/>
      </w:divBdr>
    </w:div>
    <w:div w:id="1141270350">
      <w:bodyDiv w:val="1"/>
      <w:marLeft w:val="0"/>
      <w:marRight w:val="0"/>
      <w:marTop w:val="0"/>
      <w:marBottom w:val="0"/>
      <w:divBdr>
        <w:top w:val="none" w:sz="0" w:space="0" w:color="auto"/>
        <w:left w:val="none" w:sz="0" w:space="0" w:color="auto"/>
        <w:bottom w:val="none" w:sz="0" w:space="0" w:color="auto"/>
        <w:right w:val="none" w:sz="0" w:space="0" w:color="auto"/>
      </w:divBdr>
      <w:divsChild>
        <w:div w:id="275791945">
          <w:marLeft w:val="0"/>
          <w:marRight w:val="0"/>
          <w:marTop w:val="0"/>
          <w:marBottom w:val="0"/>
          <w:divBdr>
            <w:top w:val="none" w:sz="0" w:space="0" w:color="auto"/>
            <w:left w:val="none" w:sz="0" w:space="0" w:color="auto"/>
            <w:bottom w:val="none" w:sz="0" w:space="0" w:color="auto"/>
            <w:right w:val="none" w:sz="0" w:space="0" w:color="auto"/>
          </w:divBdr>
        </w:div>
      </w:divsChild>
    </w:div>
    <w:div w:id="1221791553">
      <w:bodyDiv w:val="1"/>
      <w:marLeft w:val="0"/>
      <w:marRight w:val="0"/>
      <w:marTop w:val="0"/>
      <w:marBottom w:val="0"/>
      <w:divBdr>
        <w:top w:val="none" w:sz="0" w:space="0" w:color="auto"/>
        <w:left w:val="none" w:sz="0" w:space="0" w:color="auto"/>
        <w:bottom w:val="none" w:sz="0" w:space="0" w:color="auto"/>
        <w:right w:val="none" w:sz="0" w:space="0" w:color="auto"/>
      </w:divBdr>
      <w:divsChild>
        <w:div w:id="1373505095">
          <w:marLeft w:val="0"/>
          <w:marRight w:val="0"/>
          <w:marTop w:val="0"/>
          <w:marBottom w:val="0"/>
          <w:divBdr>
            <w:top w:val="none" w:sz="0" w:space="0" w:color="auto"/>
            <w:left w:val="none" w:sz="0" w:space="0" w:color="auto"/>
            <w:bottom w:val="none" w:sz="0" w:space="0" w:color="auto"/>
            <w:right w:val="none" w:sz="0" w:space="0" w:color="auto"/>
          </w:divBdr>
        </w:div>
      </w:divsChild>
    </w:div>
    <w:div w:id="1329406850">
      <w:bodyDiv w:val="1"/>
      <w:marLeft w:val="0"/>
      <w:marRight w:val="0"/>
      <w:marTop w:val="0"/>
      <w:marBottom w:val="0"/>
      <w:divBdr>
        <w:top w:val="none" w:sz="0" w:space="0" w:color="auto"/>
        <w:left w:val="none" w:sz="0" w:space="0" w:color="auto"/>
        <w:bottom w:val="none" w:sz="0" w:space="0" w:color="auto"/>
        <w:right w:val="none" w:sz="0" w:space="0" w:color="auto"/>
      </w:divBdr>
      <w:divsChild>
        <w:div w:id="1773092078">
          <w:marLeft w:val="0"/>
          <w:marRight w:val="0"/>
          <w:marTop w:val="0"/>
          <w:marBottom w:val="0"/>
          <w:divBdr>
            <w:top w:val="none" w:sz="0" w:space="0" w:color="auto"/>
            <w:left w:val="none" w:sz="0" w:space="0" w:color="auto"/>
            <w:bottom w:val="none" w:sz="0" w:space="0" w:color="auto"/>
            <w:right w:val="none" w:sz="0" w:space="0" w:color="auto"/>
          </w:divBdr>
        </w:div>
        <w:div w:id="236667223">
          <w:marLeft w:val="0"/>
          <w:marRight w:val="0"/>
          <w:marTop w:val="0"/>
          <w:marBottom w:val="0"/>
          <w:divBdr>
            <w:top w:val="none" w:sz="0" w:space="0" w:color="auto"/>
            <w:left w:val="none" w:sz="0" w:space="0" w:color="auto"/>
            <w:bottom w:val="none" w:sz="0" w:space="0" w:color="auto"/>
            <w:right w:val="none" w:sz="0" w:space="0" w:color="auto"/>
          </w:divBdr>
        </w:div>
      </w:divsChild>
    </w:div>
    <w:div w:id="1364207653">
      <w:bodyDiv w:val="1"/>
      <w:marLeft w:val="0"/>
      <w:marRight w:val="0"/>
      <w:marTop w:val="0"/>
      <w:marBottom w:val="0"/>
      <w:divBdr>
        <w:top w:val="none" w:sz="0" w:space="0" w:color="auto"/>
        <w:left w:val="none" w:sz="0" w:space="0" w:color="auto"/>
        <w:bottom w:val="none" w:sz="0" w:space="0" w:color="auto"/>
        <w:right w:val="none" w:sz="0" w:space="0" w:color="auto"/>
      </w:divBdr>
    </w:div>
    <w:div w:id="1390884012">
      <w:bodyDiv w:val="1"/>
      <w:marLeft w:val="0"/>
      <w:marRight w:val="0"/>
      <w:marTop w:val="0"/>
      <w:marBottom w:val="0"/>
      <w:divBdr>
        <w:top w:val="none" w:sz="0" w:space="0" w:color="auto"/>
        <w:left w:val="none" w:sz="0" w:space="0" w:color="auto"/>
        <w:bottom w:val="none" w:sz="0" w:space="0" w:color="auto"/>
        <w:right w:val="none" w:sz="0" w:space="0" w:color="auto"/>
      </w:divBdr>
    </w:div>
    <w:div w:id="1573462490">
      <w:bodyDiv w:val="1"/>
      <w:marLeft w:val="0"/>
      <w:marRight w:val="0"/>
      <w:marTop w:val="0"/>
      <w:marBottom w:val="0"/>
      <w:divBdr>
        <w:top w:val="none" w:sz="0" w:space="0" w:color="auto"/>
        <w:left w:val="none" w:sz="0" w:space="0" w:color="auto"/>
        <w:bottom w:val="none" w:sz="0" w:space="0" w:color="auto"/>
        <w:right w:val="none" w:sz="0" w:space="0" w:color="auto"/>
      </w:divBdr>
      <w:divsChild>
        <w:div w:id="286014564">
          <w:marLeft w:val="0"/>
          <w:marRight w:val="0"/>
          <w:marTop w:val="0"/>
          <w:marBottom w:val="0"/>
          <w:divBdr>
            <w:top w:val="none" w:sz="0" w:space="0" w:color="auto"/>
            <w:left w:val="none" w:sz="0" w:space="0" w:color="auto"/>
            <w:bottom w:val="none" w:sz="0" w:space="0" w:color="auto"/>
            <w:right w:val="none" w:sz="0" w:space="0" w:color="auto"/>
          </w:divBdr>
        </w:div>
      </w:divsChild>
    </w:div>
    <w:div w:id="1635404172">
      <w:bodyDiv w:val="1"/>
      <w:marLeft w:val="0"/>
      <w:marRight w:val="0"/>
      <w:marTop w:val="0"/>
      <w:marBottom w:val="0"/>
      <w:divBdr>
        <w:top w:val="none" w:sz="0" w:space="0" w:color="auto"/>
        <w:left w:val="none" w:sz="0" w:space="0" w:color="auto"/>
        <w:bottom w:val="none" w:sz="0" w:space="0" w:color="auto"/>
        <w:right w:val="none" w:sz="0" w:space="0" w:color="auto"/>
      </w:divBdr>
    </w:div>
    <w:div w:id="1764760632">
      <w:bodyDiv w:val="1"/>
      <w:marLeft w:val="0"/>
      <w:marRight w:val="0"/>
      <w:marTop w:val="0"/>
      <w:marBottom w:val="0"/>
      <w:divBdr>
        <w:top w:val="none" w:sz="0" w:space="0" w:color="auto"/>
        <w:left w:val="none" w:sz="0" w:space="0" w:color="auto"/>
        <w:bottom w:val="none" w:sz="0" w:space="0" w:color="auto"/>
        <w:right w:val="none" w:sz="0" w:space="0" w:color="auto"/>
      </w:divBdr>
    </w:div>
    <w:div w:id="1767654934">
      <w:bodyDiv w:val="1"/>
      <w:marLeft w:val="0"/>
      <w:marRight w:val="0"/>
      <w:marTop w:val="0"/>
      <w:marBottom w:val="0"/>
      <w:divBdr>
        <w:top w:val="none" w:sz="0" w:space="0" w:color="auto"/>
        <w:left w:val="none" w:sz="0" w:space="0" w:color="auto"/>
        <w:bottom w:val="none" w:sz="0" w:space="0" w:color="auto"/>
        <w:right w:val="none" w:sz="0" w:space="0" w:color="auto"/>
      </w:divBdr>
    </w:div>
    <w:div w:id="1782260158">
      <w:bodyDiv w:val="1"/>
      <w:marLeft w:val="0"/>
      <w:marRight w:val="0"/>
      <w:marTop w:val="0"/>
      <w:marBottom w:val="0"/>
      <w:divBdr>
        <w:top w:val="none" w:sz="0" w:space="0" w:color="auto"/>
        <w:left w:val="none" w:sz="0" w:space="0" w:color="auto"/>
        <w:bottom w:val="none" w:sz="0" w:space="0" w:color="auto"/>
        <w:right w:val="none" w:sz="0" w:space="0" w:color="auto"/>
      </w:divBdr>
    </w:div>
    <w:div w:id="1783187191">
      <w:bodyDiv w:val="1"/>
      <w:marLeft w:val="0"/>
      <w:marRight w:val="0"/>
      <w:marTop w:val="0"/>
      <w:marBottom w:val="0"/>
      <w:divBdr>
        <w:top w:val="none" w:sz="0" w:space="0" w:color="auto"/>
        <w:left w:val="none" w:sz="0" w:space="0" w:color="auto"/>
        <w:bottom w:val="none" w:sz="0" w:space="0" w:color="auto"/>
        <w:right w:val="none" w:sz="0" w:space="0" w:color="auto"/>
      </w:divBdr>
      <w:divsChild>
        <w:div w:id="88893586">
          <w:marLeft w:val="0"/>
          <w:marRight w:val="0"/>
          <w:marTop w:val="0"/>
          <w:marBottom w:val="0"/>
          <w:divBdr>
            <w:top w:val="none" w:sz="0" w:space="0" w:color="auto"/>
            <w:left w:val="none" w:sz="0" w:space="0" w:color="auto"/>
            <w:bottom w:val="none" w:sz="0" w:space="0" w:color="auto"/>
            <w:right w:val="none" w:sz="0" w:space="0" w:color="auto"/>
          </w:divBdr>
        </w:div>
        <w:div w:id="1166282966">
          <w:marLeft w:val="0"/>
          <w:marRight w:val="0"/>
          <w:marTop w:val="0"/>
          <w:marBottom w:val="0"/>
          <w:divBdr>
            <w:top w:val="none" w:sz="0" w:space="0" w:color="auto"/>
            <w:left w:val="none" w:sz="0" w:space="0" w:color="auto"/>
            <w:bottom w:val="none" w:sz="0" w:space="0" w:color="auto"/>
            <w:right w:val="none" w:sz="0" w:space="0" w:color="auto"/>
          </w:divBdr>
        </w:div>
        <w:div w:id="1660839182">
          <w:marLeft w:val="0"/>
          <w:marRight w:val="0"/>
          <w:marTop w:val="0"/>
          <w:marBottom w:val="0"/>
          <w:divBdr>
            <w:top w:val="none" w:sz="0" w:space="0" w:color="auto"/>
            <w:left w:val="none" w:sz="0" w:space="0" w:color="auto"/>
            <w:bottom w:val="none" w:sz="0" w:space="0" w:color="auto"/>
            <w:right w:val="none" w:sz="0" w:space="0" w:color="auto"/>
          </w:divBdr>
        </w:div>
      </w:divsChild>
    </w:div>
    <w:div w:id="1865361766">
      <w:bodyDiv w:val="1"/>
      <w:marLeft w:val="0"/>
      <w:marRight w:val="0"/>
      <w:marTop w:val="0"/>
      <w:marBottom w:val="0"/>
      <w:divBdr>
        <w:top w:val="none" w:sz="0" w:space="0" w:color="auto"/>
        <w:left w:val="none" w:sz="0" w:space="0" w:color="auto"/>
        <w:bottom w:val="none" w:sz="0" w:space="0" w:color="auto"/>
        <w:right w:val="none" w:sz="0" w:space="0" w:color="auto"/>
      </w:divBdr>
    </w:div>
    <w:div w:id="1889565998">
      <w:bodyDiv w:val="1"/>
      <w:marLeft w:val="0"/>
      <w:marRight w:val="0"/>
      <w:marTop w:val="0"/>
      <w:marBottom w:val="0"/>
      <w:divBdr>
        <w:top w:val="none" w:sz="0" w:space="0" w:color="auto"/>
        <w:left w:val="none" w:sz="0" w:space="0" w:color="auto"/>
        <w:bottom w:val="none" w:sz="0" w:space="0" w:color="auto"/>
        <w:right w:val="none" w:sz="0" w:space="0" w:color="auto"/>
      </w:divBdr>
      <w:divsChild>
        <w:div w:id="8066407">
          <w:marLeft w:val="0"/>
          <w:marRight w:val="0"/>
          <w:marTop w:val="0"/>
          <w:marBottom w:val="0"/>
          <w:divBdr>
            <w:top w:val="none" w:sz="0" w:space="0" w:color="auto"/>
            <w:left w:val="none" w:sz="0" w:space="0" w:color="auto"/>
            <w:bottom w:val="none" w:sz="0" w:space="0" w:color="auto"/>
            <w:right w:val="none" w:sz="0" w:space="0" w:color="auto"/>
          </w:divBdr>
        </w:div>
        <w:div w:id="633095355">
          <w:marLeft w:val="0"/>
          <w:marRight w:val="0"/>
          <w:marTop w:val="0"/>
          <w:marBottom w:val="0"/>
          <w:divBdr>
            <w:top w:val="none" w:sz="0" w:space="0" w:color="auto"/>
            <w:left w:val="none" w:sz="0" w:space="0" w:color="auto"/>
            <w:bottom w:val="none" w:sz="0" w:space="0" w:color="auto"/>
            <w:right w:val="none" w:sz="0" w:space="0" w:color="auto"/>
          </w:divBdr>
        </w:div>
        <w:div w:id="1739015061">
          <w:marLeft w:val="0"/>
          <w:marRight w:val="0"/>
          <w:marTop w:val="0"/>
          <w:marBottom w:val="0"/>
          <w:divBdr>
            <w:top w:val="none" w:sz="0" w:space="0" w:color="auto"/>
            <w:left w:val="none" w:sz="0" w:space="0" w:color="auto"/>
            <w:bottom w:val="none" w:sz="0" w:space="0" w:color="auto"/>
            <w:right w:val="none" w:sz="0" w:space="0" w:color="auto"/>
          </w:divBdr>
        </w:div>
        <w:div w:id="1209757038">
          <w:marLeft w:val="0"/>
          <w:marRight w:val="0"/>
          <w:marTop w:val="0"/>
          <w:marBottom w:val="0"/>
          <w:divBdr>
            <w:top w:val="none" w:sz="0" w:space="0" w:color="auto"/>
            <w:left w:val="none" w:sz="0" w:space="0" w:color="auto"/>
            <w:bottom w:val="none" w:sz="0" w:space="0" w:color="auto"/>
            <w:right w:val="none" w:sz="0" w:space="0" w:color="auto"/>
          </w:divBdr>
        </w:div>
        <w:div w:id="1012534213">
          <w:marLeft w:val="0"/>
          <w:marRight w:val="0"/>
          <w:marTop w:val="0"/>
          <w:marBottom w:val="0"/>
          <w:divBdr>
            <w:top w:val="none" w:sz="0" w:space="0" w:color="auto"/>
            <w:left w:val="none" w:sz="0" w:space="0" w:color="auto"/>
            <w:bottom w:val="none" w:sz="0" w:space="0" w:color="auto"/>
            <w:right w:val="none" w:sz="0" w:space="0" w:color="auto"/>
          </w:divBdr>
        </w:div>
        <w:div w:id="2126539673">
          <w:marLeft w:val="0"/>
          <w:marRight w:val="0"/>
          <w:marTop w:val="0"/>
          <w:marBottom w:val="0"/>
          <w:divBdr>
            <w:top w:val="none" w:sz="0" w:space="0" w:color="auto"/>
            <w:left w:val="none" w:sz="0" w:space="0" w:color="auto"/>
            <w:bottom w:val="none" w:sz="0" w:space="0" w:color="auto"/>
            <w:right w:val="none" w:sz="0" w:space="0" w:color="auto"/>
          </w:divBdr>
        </w:div>
        <w:div w:id="1685326785">
          <w:marLeft w:val="0"/>
          <w:marRight w:val="0"/>
          <w:marTop w:val="0"/>
          <w:marBottom w:val="0"/>
          <w:divBdr>
            <w:top w:val="none" w:sz="0" w:space="0" w:color="auto"/>
            <w:left w:val="none" w:sz="0" w:space="0" w:color="auto"/>
            <w:bottom w:val="none" w:sz="0" w:space="0" w:color="auto"/>
            <w:right w:val="none" w:sz="0" w:space="0" w:color="auto"/>
          </w:divBdr>
        </w:div>
      </w:divsChild>
    </w:div>
    <w:div w:id="194237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biobank.ctsu.ox.ac.uk/crystal/crystal/images/ukb_snap.jpg"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FD30CF2-2AAB-47B8-B125-E0DFD85E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30014</Words>
  <Characters>171082</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Raisi-Estabragh</dc:creator>
  <cp:keywords/>
  <dc:description/>
  <cp:lastModifiedBy>Karen Drake</cp:lastModifiedBy>
  <cp:revision>2</cp:revision>
  <cp:lastPrinted>2020-11-20T16:34:00Z</cp:lastPrinted>
  <dcterms:created xsi:type="dcterms:W3CDTF">2021-04-07T10:32:00Z</dcterms:created>
  <dcterms:modified xsi:type="dcterms:W3CDTF">2021-04-07T10:32:00Z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http://www.zotero.org/styles/bmj</vt:lpwstr>
  </property>
  <property fmtid="{D5CDD505-2E9C-101B-9397-08002B2CF9AE}" pid="5" name="Mendeley Recent Style Name 1_1">
    <vt:lpwstr>BMJ</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http://www.zotero.org/styles/european-heart-journal</vt:lpwstr>
  </property>
  <property fmtid="{D5CDD505-2E9C-101B-9397-08002B2CF9AE}" pid="9" name="Mendeley Recent Style Name 3_1">
    <vt:lpwstr>European Heart Journal</vt:lpwstr>
  </property>
  <property fmtid="{D5CDD505-2E9C-101B-9397-08002B2CF9AE}" pid="10" name="Mendeley Recent Style Id 4_1">
    <vt:lpwstr>http://www.zotero.org/styles/european-heart-journal-cardiovascular-imaging</vt:lpwstr>
  </property>
  <property fmtid="{D5CDD505-2E9C-101B-9397-08002B2CF9AE}" pid="11" name="Mendeley Recent Style Name 4_1">
    <vt:lpwstr>European Heart Journal - Cardiovascular Imaging</vt:lpwstr>
  </property>
  <property fmtid="{D5CDD505-2E9C-101B-9397-08002B2CF9AE}" pid="12" name="Mendeley Recent Style Id 5_1">
    <vt:lpwstr>http://www.zotero.org/styles/frontiers-in-cardiovascular-medicine</vt:lpwstr>
  </property>
  <property fmtid="{D5CDD505-2E9C-101B-9397-08002B2CF9AE}" pid="13" name="Mendeley Recent Style Name 5_1">
    <vt:lpwstr>Frontiers in Cardiovascular Medicine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http://www.zotero.org/styles/journal-of-the-american-college-of-cardiology</vt:lpwstr>
  </property>
  <property fmtid="{D5CDD505-2E9C-101B-9397-08002B2CF9AE}" pid="19" name="Mendeley Recent Style Name 8_1">
    <vt:lpwstr>Journal of the American College of Cardiology</vt:lpwstr>
  </property>
  <property fmtid="{D5CDD505-2E9C-101B-9397-08002B2CF9AE}" pid="20" name="Mendeley Recent Style Id 9_1">
    <vt:lpwstr>http://www.zotero.org/styles/the-american-journal-of-clinical-nutrition</vt:lpwstr>
  </property>
  <property fmtid="{D5CDD505-2E9C-101B-9397-08002B2CF9AE}" pid="21" name="Mendeley Recent Style Name 9_1">
    <vt:lpwstr>The American Journal of Clinical Nutrition</vt:lpwstr>
  </property>
  <property fmtid="{D5CDD505-2E9C-101B-9397-08002B2CF9AE}" pid="22" name="Mendeley Document_1">
    <vt:lpwstr>True</vt:lpwstr>
  </property>
  <property fmtid="{D5CDD505-2E9C-101B-9397-08002B2CF9AE}" pid="23" name="Mendeley Unique User Id_1">
    <vt:lpwstr>937765fd-da0f-3dac-8008-8e44c038a03f</vt:lpwstr>
  </property>
  <property fmtid="{D5CDD505-2E9C-101B-9397-08002B2CF9AE}" pid="24" name="Mendeley Citation Style_1">
    <vt:lpwstr>http://www.zotero.org/styles/european-heart-journal-cardiovascular-imaging</vt:lpwstr>
  </property>
</Properties>
</file>