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CB050" w14:textId="3A7B0455" w:rsidR="00FE4FF0" w:rsidRPr="001811E9" w:rsidRDefault="001811E9" w:rsidP="001811E9">
      <w:pPr>
        <w:autoSpaceDE w:val="0"/>
        <w:autoSpaceDN w:val="0"/>
        <w:adjustRightInd w:val="0"/>
        <w:spacing w:after="0" w:line="276" w:lineRule="auto"/>
        <w:jc w:val="right"/>
        <w:rPr>
          <w:rFonts w:ascii="Calibri" w:hAnsi="Calibri" w:cs="Calibri"/>
          <w:i/>
          <w:iCs/>
          <w:color w:val="131413"/>
          <w:sz w:val="20"/>
          <w:szCs w:val="20"/>
        </w:rPr>
      </w:pPr>
      <w:r w:rsidRPr="001811E9">
        <w:rPr>
          <w:rFonts w:ascii="Calibri" w:hAnsi="Calibri" w:cs="Calibri"/>
          <w:i/>
          <w:iCs/>
          <w:color w:val="131413"/>
          <w:sz w:val="20"/>
          <w:szCs w:val="20"/>
        </w:rPr>
        <w:t>NOGG very high risk v</w:t>
      </w:r>
      <w:r w:rsidR="00A672CD">
        <w:rPr>
          <w:rFonts w:ascii="Calibri" w:hAnsi="Calibri" w:cs="Calibri"/>
          <w:i/>
          <w:iCs/>
          <w:color w:val="131413"/>
          <w:sz w:val="20"/>
          <w:szCs w:val="20"/>
        </w:rPr>
        <w:t>5</w:t>
      </w:r>
    </w:p>
    <w:p w14:paraId="7B53E8A8" w14:textId="77777777" w:rsidR="00FE4FF0" w:rsidRDefault="00FE4FF0" w:rsidP="00875A63">
      <w:pPr>
        <w:autoSpaceDE w:val="0"/>
        <w:autoSpaceDN w:val="0"/>
        <w:adjustRightInd w:val="0"/>
        <w:spacing w:after="0" w:line="276" w:lineRule="auto"/>
        <w:jc w:val="center"/>
        <w:rPr>
          <w:rFonts w:ascii="Calibri" w:hAnsi="Calibri" w:cs="Calibri"/>
          <w:b/>
          <w:bCs/>
          <w:color w:val="131413"/>
          <w:sz w:val="28"/>
          <w:szCs w:val="28"/>
        </w:rPr>
      </w:pPr>
    </w:p>
    <w:p w14:paraId="7AE53DFD" w14:textId="561D3EE6" w:rsidR="008F26B6" w:rsidRPr="00875A63" w:rsidRDefault="008331AE" w:rsidP="00875A63">
      <w:pPr>
        <w:autoSpaceDE w:val="0"/>
        <w:autoSpaceDN w:val="0"/>
        <w:adjustRightInd w:val="0"/>
        <w:spacing w:after="0" w:line="276" w:lineRule="auto"/>
        <w:jc w:val="center"/>
        <w:rPr>
          <w:rFonts w:ascii="Calibri" w:hAnsi="Calibri" w:cs="Calibri"/>
          <w:b/>
          <w:bCs/>
          <w:color w:val="131413"/>
          <w:sz w:val="28"/>
          <w:szCs w:val="28"/>
        </w:rPr>
      </w:pPr>
      <w:r w:rsidRPr="00875A63">
        <w:rPr>
          <w:rFonts w:ascii="Calibri" w:hAnsi="Calibri" w:cs="Calibri"/>
          <w:b/>
          <w:bCs/>
          <w:color w:val="131413"/>
          <w:sz w:val="28"/>
          <w:szCs w:val="28"/>
        </w:rPr>
        <w:t>An assessment of intervention thresholds</w:t>
      </w:r>
      <w:r w:rsidR="0054484E" w:rsidRPr="00875A63">
        <w:rPr>
          <w:rFonts w:ascii="Calibri" w:hAnsi="Calibri" w:cs="Calibri"/>
          <w:b/>
          <w:bCs/>
          <w:color w:val="131413"/>
          <w:sz w:val="28"/>
          <w:szCs w:val="28"/>
        </w:rPr>
        <w:t xml:space="preserve"> for very high </w:t>
      </w:r>
      <w:r w:rsidR="00EC1678">
        <w:rPr>
          <w:rFonts w:ascii="Calibri" w:hAnsi="Calibri" w:cs="Calibri"/>
          <w:b/>
          <w:bCs/>
          <w:color w:val="131413"/>
          <w:sz w:val="28"/>
          <w:szCs w:val="28"/>
        </w:rPr>
        <w:t xml:space="preserve">fracture </w:t>
      </w:r>
      <w:r w:rsidR="0054484E" w:rsidRPr="00875A63">
        <w:rPr>
          <w:rFonts w:ascii="Calibri" w:hAnsi="Calibri" w:cs="Calibri"/>
          <w:b/>
          <w:bCs/>
          <w:color w:val="131413"/>
          <w:sz w:val="28"/>
          <w:szCs w:val="28"/>
        </w:rPr>
        <w:t>risk</w:t>
      </w:r>
      <w:r w:rsidR="00875A63" w:rsidRPr="00875A63">
        <w:rPr>
          <w:rFonts w:ascii="Calibri" w:hAnsi="Calibri" w:cs="Calibri"/>
          <w:b/>
          <w:bCs/>
          <w:color w:val="131413"/>
          <w:sz w:val="28"/>
          <w:szCs w:val="28"/>
        </w:rPr>
        <w:t xml:space="preserve"> applied to the NOGG guidelines</w:t>
      </w:r>
      <w:r w:rsidR="00DC2EA6">
        <w:rPr>
          <w:rFonts w:ascii="Calibri" w:hAnsi="Calibri" w:cs="Calibri"/>
          <w:b/>
          <w:bCs/>
          <w:color w:val="131413"/>
          <w:sz w:val="28"/>
          <w:szCs w:val="28"/>
        </w:rPr>
        <w:t>.</w:t>
      </w:r>
    </w:p>
    <w:p w14:paraId="4B1B483B" w14:textId="77777777" w:rsidR="008F26B6" w:rsidRDefault="008F26B6" w:rsidP="00E0088F">
      <w:pPr>
        <w:autoSpaceDE w:val="0"/>
        <w:autoSpaceDN w:val="0"/>
        <w:adjustRightInd w:val="0"/>
        <w:spacing w:after="0" w:line="276" w:lineRule="auto"/>
        <w:rPr>
          <w:rFonts w:ascii="Calibri" w:hAnsi="Calibri" w:cs="Calibri"/>
          <w:b/>
          <w:bCs/>
          <w:color w:val="131413"/>
          <w:sz w:val="20"/>
          <w:szCs w:val="20"/>
        </w:rPr>
      </w:pPr>
    </w:p>
    <w:p w14:paraId="413BFF02" w14:textId="77777777" w:rsidR="007B7885" w:rsidRDefault="007B7885" w:rsidP="00E0088F">
      <w:pPr>
        <w:autoSpaceDE w:val="0"/>
        <w:autoSpaceDN w:val="0"/>
        <w:adjustRightInd w:val="0"/>
        <w:spacing w:after="0" w:line="276" w:lineRule="auto"/>
        <w:rPr>
          <w:rFonts w:ascii="Calibri" w:hAnsi="Calibri" w:cs="Calibri"/>
          <w:b/>
          <w:bCs/>
          <w:color w:val="131413"/>
          <w:sz w:val="20"/>
          <w:szCs w:val="20"/>
        </w:rPr>
      </w:pPr>
    </w:p>
    <w:p w14:paraId="286F9FE4" w14:textId="26DDB8CF" w:rsidR="007B7885" w:rsidRPr="001811E9" w:rsidRDefault="007B7885" w:rsidP="00FE4FF0">
      <w:pPr>
        <w:autoSpaceDE w:val="0"/>
        <w:autoSpaceDN w:val="0"/>
        <w:adjustRightInd w:val="0"/>
        <w:spacing w:after="0" w:line="276" w:lineRule="auto"/>
        <w:jc w:val="center"/>
        <w:rPr>
          <w:rFonts w:ascii="Calibri" w:hAnsi="Calibri" w:cs="Calibri"/>
          <w:b/>
          <w:bCs/>
          <w:color w:val="131413"/>
          <w:sz w:val="24"/>
          <w:szCs w:val="24"/>
        </w:rPr>
      </w:pPr>
      <w:r w:rsidRPr="001811E9">
        <w:rPr>
          <w:rFonts w:ascii="Calibri" w:hAnsi="Calibri" w:cs="Calibri"/>
          <w:b/>
          <w:bCs/>
          <w:color w:val="131413"/>
          <w:sz w:val="24"/>
          <w:szCs w:val="24"/>
        </w:rPr>
        <w:t xml:space="preserve">A report for the National Osteoporosis Guideline </w:t>
      </w:r>
      <w:r w:rsidR="00FE4FF0" w:rsidRPr="001811E9">
        <w:rPr>
          <w:rFonts w:ascii="Calibri" w:hAnsi="Calibri" w:cs="Calibri"/>
          <w:b/>
          <w:bCs/>
          <w:color w:val="131413"/>
          <w:sz w:val="24"/>
          <w:szCs w:val="24"/>
        </w:rPr>
        <w:t>Group (NOGG)</w:t>
      </w:r>
    </w:p>
    <w:p w14:paraId="3BE5BECE" w14:textId="77777777" w:rsidR="007B7885" w:rsidRDefault="007B7885" w:rsidP="00E0088F">
      <w:pPr>
        <w:autoSpaceDE w:val="0"/>
        <w:autoSpaceDN w:val="0"/>
        <w:adjustRightInd w:val="0"/>
        <w:spacing w:after="0" w:line="276" w:lineRule="auto"/>
        <w:rPr>
          <w:rFonts w:ascii="Calibri" w:hAnsi="Calibri" w:cs="Calibri"/>
          <w:b/>
          <w:bCs/>
          <w:color w:val="131413"/>
          <w:sz w:val="20"/>
          <w:szCs w:val="20"/>
        </w:rPr>
      </w:pPr>
    </w:p>
    <w:p w14:paraId="5F62549C" w14:textId="77777777" w:rsidR="007B7885" w:rsidRDefault="007B7885" w:rsidP="00E0088F">
      <w:pPr>
        <w:autoSpaceDE w:val="0"/>
        <w:autoSpaceDN w:val="0"/>
        <w:adjustRightInd w:val="0"/>
        <w:spacing w:after="0" w:line="276" w:lineRule="auto"/>
        <w:rPr>
          <w:rFonts w:ascii="Calibri" w:hAnsi="Calibri" w:cs="Calibri"/>
          <w:b/>
          <w:bCs/>
          <w:color w:val="131413"/>
          <w:sz w:val="20"/>
          <w:szCs w:val="20"/>
        </w:rPr>
      </w:pPr>
    </w:p>
    <w:p w14:paraId="20B7325F" w14:textId="040EC30E" w:rsidR="0041550C" w:rsidRPr="004F6DD0" w:rsidRDefault="00184019" w:rsidP="0041550C">
      <w:pPr>
        <w:spacing w:after="200" w:line="276" w:lineRule="auto"/>
        <w:rPr>
          <w:rFonts w:ascii="Calibri" w:eastAsia="Calibri" w:hAnsi="Calibri" w:cs="Calibri"/>
          <w:b/>
          <w:sz w:val="24"/>
          <w:szCs w:val="24"/>
        </w:rPr>
      </w:pPr>
      <w:r w:rsidRPr="00184019">
        <w:rPr>
          <w:rFonts w:ascii="Calibri" w:eastAsia="Calibri" w:hAnsi="Calibri" w:cs="Times New Roman"/>
        </w:rPr>
        <w:br/>
      </w:r>
      <w:r w:rsidR="0041550C" w:rsidRPr="00DF209B">
        <w:rPr>
          <w:rFonts w:ascii="Calibri" w:eastAsia="MS Mincho" w:hAnsi="Calibri" w:cs="Times New Roman"/>
          <w:sz w:val="24"/>
          <w:szCs w:val="24"/>
          <w:lang w:eastAsia="ja-JP"/>
        </w:rPr>
        <w:t>John A Kanis</w:t>
      </w:r>
      <w:r w:rsidR="0041550C" w:rsidRPr="00DF209B">
        <w:rPr>
          <w:rFonts w:ascii="Calibri" w:eastAsia="MS Mincho" w:hAnsi="Calibri" w:cs="Times New Roman"/>
          <w:sz w:val="24"/>
          <w:szCs w:val="24"/>
          <w:vertAlign w:val="superscript"/>
          <w:lang w:eastAsia="ja-JP"/>
        </w:rPr>
        <w:t>1,2</w:t>
      </w:r>
      <w:bookmarkStart w:id="0" w:name="_Hlk64033250"/>
      <w:r w:rsidR="00DC5B5A" w:rsidRPr="00DF209B">
        <w:rPr>
          <w:rFonts w:ascii="Calibri" w:eastAsia="MS Mincho" w:hAnsi="Calibri" w:cs="Times New Roman"/>
          <w:sz w:val="24"/>
          <w:szCs w:val="24"/>
          <w:vertAlign w:val="superscript"/>
          <w:lang w:eastAsia="ja-JP"/>
        </w:rPr>
        <w:t xml:space="preserve"> </w:t>
      </w:r>
      <w:r w:rsidR="00DC5B5A" w:rsidRPr="00DF209B">
        <w:rPr>
          <w:rFonts w:ascii="Calibri" w:eastAsia="MS Mincho" w:hAnsi="Calibri" w:cs="Times New Roman"/>
          <w:sz w:val="24"/>
          <w:szCs w:val="24"/>
          <w:lang w:eastAsia="ja-JP"/>
        </w:rPr>
        <w:t xml:space="preserve">∙ </w:t>
      </w:r>
      <w:bookmarkEnd w:id="0"/>
      <w:r w:rsidR="0041550C" w:rsidRPr="00DF209B">
        <w:rPr>
          <w:rFonts w:ascii="Calibri" w:eastAsia="MS Mincho" w:hAnsi="Calibri" w:cs="Times New Roman"/>
          <w:sz w:val="24"/>
          <w:szCs w:val="24"/>
          <w:lang w:eastAsia="ja-JP"/>
        </w:rPr>
        <w:t>Helena Johansson</w:t>
      </w:r>
      <w:r w:rsidR="0041550C" w:rsidRPr="00DF209B">
        <w:rPr>
          <w:rFonts w:ascii="Calibri" w:eastAsia="MS Mincho" w:hAnsi="Calibri" w:cs="Times New Roman"/>
          <w:sz w:val="24"/>
          <w:szCs w:val="24"/>
          <w:vertAlign w:val="superscript"/>
          <w:lang w:eastAsia="ja-JP"/>
        </w:rPr>
        <w:t>1,2</w:t>
      </w:r>
      <w:r w:rsidR="00DC5B5A" w:rsidRPr="00DF209B">
        <w:rPr>
          <w:rFonts w:ascii="Calibri" w:eastAsia="MS Mincho" w:hAnsi="Calibri" w:cs="Times New Roman"/>
          <w:sz w:val="24"/>
          <w:szCs w:val="24"/>
          <w:vertAlign w:val="superscript"/>
          <w:lang w:eastAsia="ja-JP"/>
        </w:rPr>
        <w:t xml:space="preserve"> </w:t>
      </w:r>
      <w:r w:rsidR="00DC5B5A" w:rsidRPr="00DF209B">
        <w:rPr>
          <w:rFonts w:ascii="Calibri" w:eastAsia="MS Mincho" w:hAnsi="Calibri" w:cs="Times New Roman"/>
          <w:sz w:val="24"/>
          <w:szCs w:val="24"/>
          <w:lang w:eastAsia="ja-JP"/>
        </w:rPr>
        <w:t xml:space="preserve">∙ </w:t>
      </w:r>
      <w:r w:rsidR="0041550C" w:rsidRPr="00DF209B">
        <w:rPr>
          <w:rFonts w:ascii="Calibri" w:eastAsia="MS Mincho" w:hAnsi="Calibri" w:cs="Times New Roman"/>
          <w:sz w:val="24"/>
          <w:szCs w:val="24"/>
          <w:lang w:eastAsia="ja-JP"/>
        </w:rPr>
        <w:t>Nicholas C Harvey</w:t>
      </w:r>
      <w:r w:rsidR="0041550C" w:rsidRPr="00DF209B">
        <w:rPr>
          <w:rFonts w:ascii="Calibri" w:eastAsia="MS Mincho" w:hAnsi="Calibri" w:cs="Times New Roman"/>
          <w:sz w:val="24"/>
          <w:szCs w:val="24"/>
          <w:vertAlign w:val="superscript"/>
          <w:lang w:eastAsia="ja-JP"/>
        </w:rPr>
        <w:t>3,4</w:t>
      </w:r>
      <w:r w:rsidR="00DC5B5A" w:rsidRPr="00DF209B">
        <w:rPr>
          <w:rFonts w:ascii="Calibri" w:eastAsia="MS Mincho" w:hAnsi="Calibri" w:cs="Times New Roman"/>
          <w:sz w:val="24"/>
          <w:szCs w:val="24"/>
          <w:lang w:eastAsia="ja-JP"/>
        </w:rPr>
        <w:t xml:space="preserve"> ∙ </w:t>
      </w:r>
      <w:r w:rsidR="0041550C" w:rsidRPr="00DF209B">
        <w:rPr>
          <w:rFonts w:ascii="Calibri" w:eastAsia="MS Mincho" w:hAnsi="Calibri" w:cs="Times New Roman"/>
          <w:sz w:val="24"/>
          <w:szCs w:val="24"/>
          <w:lang w:eastAsia="ja-JP"/>
        </w:rPr>
        <w:t>Mattias Lorentzon</w:t>
      </w:r>
      <w:r w:rsidR="0041550C" w:rsidRPr="00DF209B">
        <w:rPr>
          <w:rFonts w:ascii="Calibri" w:eastAsia="MS Mincho" w:hAnsi="Calibri" w:cs="Times New Roman"/>
          <w:sz w:val="24"/>
          <w:szCs w:val="24"/>
          <w:vertAlign w:val="superscript"/>
          <w:lang w:eastAsia="ja-JP"/>
        </w:rPr>
        <w:t>1,</w:t>
      </w:r>
      <w:r w:rsidR="000039FA" w:rsidRPr="00DF209B">
        <w:rPr>
          <w:rFonts w:ascii="Calibri" w:eastAsia="MS Mincho" w:hAnsi="Calibri" w:cs="Times New Roman"/>
          <w:sz w:val="24"/>
          <w:szCs w:val="24"/>
          <w:vertAlign w:val="superscript"/>
          <w:lang w:eastAsia="ja-JP"/>
        </w:rPr>
        <w:t>5</w:t>
      </w:r>
      <w:r w:rsidR="00DC5B5A" w:rsidRPr="00DF209B">
        <w:rPr>
          <w:rFonts w:ascii="Calibri" w:eastAsia="MS Mincho" w:hAnsi="Calibri" w:cs="Times New Roman"/>
          <w:sz w:val="24"/>
          <w:szCs w:val="24"/>
          <w:vertAlign w:val="superscript"/>
          <w:lang w:eastAsia="ja-JP"/>
        </w:rPr>
        <w:t xml:space="preserve"> </w:t>
      </w:r>
      <w:r w:rsidR="00DC5B5A" w:rsidRPr="00DF209B">
        <w:rPr>
          <w:rFonts w:ascii="Calibri" w:eastAsia="MS Mincho" w:hAnsi="Calibri" w:cs="Times New Roman"/>
          <w:sz w:val="24"/>
          <w:szCs w:val="24"/>
          <w:lang w:eastAsia="ja-JP"/>
        </w:rPr>
        <w:t xml:space="preserve">∙ </w:t>
      </w:r>
      <w:r w:rsidR="0041550C" w:rsidRPr="00DF209B">
        <w:rPr>
          <w:rFonts w:ascii="Calibri" w:eastAsia="Calibri" w:hAnsi="Calibri" w:cs="Times New Roman"/>
          <w:sz w:val="24"/>
          <w:szCs w:val="24"/>
        </w:rPr>
        <w:t>Enwu Liu</w:t>
      </w:r>
      <w:r w:rsidR="0041550C" w:rsidRPr="00DF209B">
        <w:rPr>
          <w:rFonts w:ascii="Calibri" w:eastAsia="Calibri" w:hAnsi="Calibri" w:cs="Times New Roman"/>
          <w:sz w:val="24"/>
          <w:szCs w:val="24"/>
          <w:vertAlign w:val="superscript"/>
        </w:rPr>
        <w:t>1</w:t>
      </w:r>
      <w:r w:rsidR="0041550C" w:rsidRPr="00DF209B">
        <w:rPr>
          <w:rFonts w:ascii="Calibri" w:eastAsia="Calibri" w:hAnsi="Calibri" w:cs="Times New Roman"/>
          <w:sz w:val="24"/>
          <w:szCs w:val="24"/>
        </w:rPr>
        <w:t xml:space="preserve"> </w:t>
      </w:r>
      <w:bookmarkStart w:id="1" w:name="_Hlk22287265"/>
      <w:r w:rsidR="0041550C" w:rsidRPr="00DF209B">
        <w:rPr>
          <w:rFonts w:ascii="Calibri" w:eastAsia="Calibri" w:hAnsi="Calibri" w:cs="Times New Roman"/>
          <w:sz w:val="24"/>
          <w:szCs w:val="24"/>
        </w:rPr>
        <w:t xml:space="preserve">∙ </w:t>
      </w:r>
      <w:bookmarkEnd w:id="1"/>
      <w:r w:rsidR="0041550C" w:rsidRPr="00DF209B">
        <w:rPr>
          <w:rFonts w:ascii="Calibri" w:eastAsia="Calibri" w:hAnsi="Calibri" w:cs="Times New Roman"/>
          <w:sz w:val="24"/>
          <w:szCs w:val="24"/>
        </w:rPr>
        <w:t>Liesbeth Vandenput</w:t>
      </w:r>
      <w:r w:rsidR="0041550C" w:rsidRPr="00DF209B">
        <w:rPr>
          <w:rFonts w:ascii="Calibri" w:eastAsia="Calibri" w:hAnsi="Calibri" w:cs="Times New Roman"/>
          <w:sz w:val="24"/>
          <w:szCs w:val="24"/>
          <w:vertAlign w:val="superscript"/>
        </w:rPr>
        <w:t>1,</w:t>
      </w:r>
      <w:r w:rsidR="00E763A5" w:rsidRPr="00DF209B">
        <w:rPr>
          <w:rFonts w:ascii="Calibri" w:eastAsia="Calibri" w:hAnsi="Calibri" w:cs="Times New Roman"/>
          <w:sz w:val="24"/>
          <w:szCs w:val="24"/>
          <w:vertAlign w:val="superscript"/>
        </w:rPr>
        <w:t>6</w:t>
      </w:r>
      <w:r w:rsidR="0041550C" w:rsidRPr="00DF209B">
        <w:rPr>
          <w:rFonts w:ascii="Calibri" w:eastAsia="Calibri" w:hAnsi="Calibri" w:cs="Times New Roman"/>
          <w:sz w:val="24"/>
          <w:szCs w:val="24"/>
        </w:rPr>
        <w:t xml:space="preserve"> </w:t>
      </w:r>
      <w:r w:rsidR="00DC2EA6" w:rsidRPr="00DF209B">
        <w:rPr>
          <w:rFonts w:ascii="Calibri" w:eastAsia="Calibri" w:hAnsi="Calibri" w:cs="Times New Roman"/>
          <w:sz w:val="24"/>
          <w:szCs w:val="24"/>
        </w:rPr>
        <w:t>∙ Eugene</w:t>
      </w:r>
      <w:r w:rsidR="0041550C" w:rsidRPr="00DF209B">
        <w:rPr>
          <w:rFonts w:ascii="Calibri" w:eastAsia="MS Mincho" w:hAnsi="Calibri" w:cs="Times New Roman"/>
          <w:sz w:val="24"/>
          <w:szCs w:val="24"/>
          <w:lang w:eastAsia="ja-JP"/>
        </w:rPr>
        <w:t xml:space="preserve"> V McCloskey</w:t>
      </w:r>
      <w:r w:rsidR="0041550C" w:rsidRPr="00DF209B">
        <w:rPr>
          <w:rFonts w:ascii="Calibri" w:eastAsia="MS Mincho" w:hAnsi="Calibri" w:cs="Times New Roman"/>
          <w:sz w:val="24"/>
          <w:szCs w:val="24"/>
          <w:vertAlign w:val="superscript"/>
          <w:lang w:eastAsia="ja-JP"/>
        </w:rPr>
        <w:t xml:space="preserve">2, </w:t>
      </w:r>
      <w:r w:rsidR="00E763A5" w:rsidRPr="00DF209B">
        <w:rPr>
          <w:rFonts w:ascii="Calibri" w:eastAsia="MS Mincho" w:hAnsi="Calibri" w:cs="Times New Roman"/>
          <w:sz w:val="24"/>
          <w:szCs w:val="24"/>
          <w:vertAlign w:val="superscript"/>
          <w:lang w:eastAsia="ja-JP"/>
        </w:rPr>
        <w:t>7</w:t>
      </w:r>
    </w:p>
    <w:p w14:paraId="2F1423CE" w14:textId="77777777" w:rsidR="0041550C" w:rsidRPr="004F6DD0" w:rsidRDefault="0041550C" w:rsidP="0041550C">
      <w:pPr>
        <w:spacing w:after="200" w:line="276" w:lineRule="auto"/>
        <w:outlineLvl w:val="0"/>
        <w:rPr>
          <w:rFonts w:ascii="Calibri" w:eastAsia="Calibri" w:hAnsi="Calibri" w:cs="Calibri"/>
          <w:sz w:val="24"/>
          <w:szCs w:val="24"/>
        </w:rPr>
      </w:pPr>
    </w:p>
    <w:p w14:paraId="32AE5FA4" w14:textId="77777777" w:rsidR="0041550C" w:rsidRPr="00CE4827" w:rsidRDefault="0041550C" w:rsidP="0041550C">
      <w:pPr>
        <w:spacing w:after="240" w:line="240" w:lineRule="auto"/>
        <w:ind w:left="567" w:hanging="142"/>
        <w:rPr>
          <w:rFonts w:ascii="Calibri" w:eastAsia="Calibri" w:hAnsi="Calibri" w:cs="Times New Roman"/>
          <w:sz w:val="24"/>
          <w:szCs w:val="24"/>
          <w:lang w:val="en-AU"/>
        </w:rPr>
      </w:pPr>
      <w:r w:rsidRPr="00CE4827">
        <w:rPr>
          <w:rFonts w:ascii="Calibri" w:eastAsia="Times New Roman" w:hAnsi="Calibri" w:cs="Times New Roman"/>
          <w:sz w:val="24"/>
          <w:szCs w:val="20"/>
          <w:vertAlign w:val="superscript"/>
          <w:lang w:eastAsia="fr-FR"/>
        </w:rPr>
        <w:t xml:space="preserve">1 </w:t>
      </w:r>
      <w:r w:rsidRPr="00CE4827">
        <w:rPr>
          <w:rFonts w:ascii="Calibri" w:eastAsia="Calibri" w:hAnsi="Calibri" w:cs="Times New Roman"/>
          <w:sz w:val="24"/>
          <w:szCs w:val="24"/>
          <w:lang w:val="en-AU"/>
        </w:rPr>
        <w:t>Mary McKillop Institute for Health Research, Australian Catholic University, Melbourne, Australia</w:t>
      </w:r>
    </w:p>
    <w:p w14:paraId="6697ED31" w14:textId="77777777" w:rsidR="0041550C" w:rsidRPr="00CE4827" w:rsidRDefault="0041550C" w:rsidP="0041550C">
      <w:pPr>
        <w:spacing w:after="240" w:line="240" w:lineRule="auto"/>
        <w:ind w:left="567" w:hanging="142"/>
        <w:rPr>
          <w:rFonts w:ascii="Calibri" w:eastAsia="MS Mincho" w:hAnsi="Calibri" w:cs="Times New Roman"/>
          <w:sz w:val="24"/>
          <w:szCs w:val="24"/>
          <w:lang w:eastAsia="ja-JP"/>
        </w:rPr>
      </w:pPr>
      <w:r w:rsidRPr="00CE4827">
        <w:rPr>
          <w:rFonts w:ascii="Calibri" w:eastAsia="MS Mincho" w:hAnsi="Calibri" w:cs="Times New Roman"/>
          <w:sz w:val="24"/>
          <w:szCs w:val="24"/>
          <w:vertAlign w:val="superscript"/>
          <w:lang w:eastAsia="ja-JP"/>
        </w:rPr>
        <w:t>2</w:t>
      </w:r>
      <w:r w:rsidRPr="00CE4827">
        <w:rPr>
          <w:rFonts w:ascii="Calibri" w:eastAsia="MS Mincho" w:hAnsi="Calibri" w:cs="Times New Roman"/>
          <w:sz w:val="24"/>
          <w:szCs w:val="24"/>
          <w:lang w:eastAsia="ja-JP"/>
        </w:rPr>
        <w:t xml:space="preserve"> Centre for Metabolic Bone Diseases, University of Sheffield, Sheffield, UK</w:t>
      </w:r>
    </w:p>
    <w:p w14:paraId="6D73701A" w14:textId="77777777" w:rsidR="0041550C" w:rsidRPr="00CE4827" w:rsidRDefault="0041550C" w:rsidP="0041550C">
      <w:pPr>
        <w:spacing w:after="240" w:line="240" w:lineRule="auto"/>
        <w:ind w:left="567" w:hanging="142"/>
        <w:rPr>
          <w:rFonts w:ascii="Calibri" w:eastAsia="MS Mincho" w:hAnsi="Calibri" w:cs="Times New Roman"/>
          <w:sz w:val="24"/>
          <w:szCs w:val="24"/>
          <w:lang w:eastAsia="ja-JP"/>
        </w:rPr>
      </w:pPr>
      <w:r w:rsidRPr="00CE4827">
        <w:rPr>
          <w:rFonts w:ascii="Calibri" w:eastAsia="MS Mincho" w:hAnsi="Calibri" w:cs="Times New Roman"/>
          <w:sz w:val="24"/>
          <w:szCs w:val="24"/>
          <w:vertAlign w:val="superscript"/>
          <w:lang w:eastAsia="ja-JP"/>
        </w:rPr>
        <w:t xml:space="preserve">3 </w:t>
      </w:r>
      <w:r w:rsidRPr="00CE4827">
        <w:rPr>
          <w:rFonts w:ascii="Calibri" w:eastAsia="MS Mincho" w:hAnsi="Calibri" w:cs="Times New Roman"/>
          <w:sz w:val="24"/>
          <w:szCs w:val="24"/>
          <w:lang w:eastAsia="ja-JP"/>
        </w:rPr>
        <w:t xml:space="preserve">MRC Lifecourse Epidemiology Unit, University of Southampton, Southampton, UK </w:t>
      </w:r>
    </w:p>
    <w:p w14:paraId="00A08697" w14:textId="77777777" w:rsidR="0041550C" w:rsidRPr="00CE4827" w:rsidRDefault="0041550C" w:rsidP="0041550C">
      <w:pPr>
        <w:spacing w:after="240" w:line="240" w:lineRule="auto"/>
        <w:ind w:left="567" w:hanging="142"/>
        <w:rPr>
          <w:rFonts w:ascii="Calibri" w:eastAsia="MS Mincho" w:hAnsi="Calibri" w:cs="Times New Roman"/>
          <w:sz w:val="24"/>
          <w:szCs w:val="24"/>
          <w:lang w:eastAsia="ja-JP"/>
        </w:rPr>
      </w:pPr>
      <w:r w:rsidRPr="00CE4827">
        <w:rPr>
          <w:rFonts w:ascii="Calibri" w:eastAsia="MS Mincho" w:hAnsi="Calibri" w:cs="Times New Roman"/>
          <w:sz w:val="24"/>
          <w:szCs w:val="24"/>
          <w:vertAlign w:val="superscript"/>
          <w:lang w:eastAsia="ja-JP"/>
        </w:rPr>
        <w:t xml:space="preserve">4 </w:t>
      </w:r>
      <w:r w:rsidRPr="00CE4827">
        <w:rPr>
          <w:rFonts w:ascii="Calibri" w:eastAsia="MS Mincho" w:hAnsi="Calibri" w:cs="Times New Roman"/>
          <w:sz w:val="24"/>
          <w:szCs w:val="24"/>
          <w:lang w:eastAsia="ja-JP"/>
        </w:rPr>
        <w:t>NIHR Southampton Biomedical Research Centre, University of Southampton and University Hospital Southampton NHS Foundation Trust, Southampton, UK</w:t>
      </w:r>
    </w:p>
    <w:p w14:paraId="33ADBE5F" w14:textId="25190480" w:rsidR="0041550C" w:rsidRPr="00CE4827" w:rsidRDefault="000039FA" w:rsidP="0041550C">
      <w:pPr>
        <w:spacing w:after="240" w:line="240" w:lineRule="auto"/>
        <w:ind w:left="567" w:hanging="142"/>
        <w:rPr>
          <w:rFonts w:ascii="Calibri" w:eastAsia="MS Mincho" w:hAnsi="Calibri" w:cs="Times New Roman"/>
          <w:sz w:val="24"/>
          <w:szCs w:val="24"/>
          <w:lang w:val="en-US" w:eastAsia="ja-JP"/>
        </w:rPr>
      </w:pPr>
      <w:r>
        <w:rPr>
          <w:rFonts w:ascii="Calibri" w:eastAsia="MS Mincho" w:hAnsi="Calibri" w:cs="Times New Roman"/>
          <w:sz w:val="24"/>
          <w:szCs w:val="24"/>
          <w:vertAlign w:val="superscript"/>
          <w:lang w:val="en-US" w:eastAsia="ja-JP"/>
        </w:rPr>
        <w:t>5</w:t>
      </w:r>
      <w:r w:rsidR="0041550C" w:rsidRPr="00CE4827">
        <w:rPr>
          <w:rFonts w:ascii="Calibri" w:eastAsia="MS Mincho" w:hAnsi="Calibri" w:cs="Times New Roman"/>
          <w:sz w:val="24"/>
          <w:szCs w:val="24"/>
          <w:vertAlign w:val="superscript"/>
          <w:lang w:val="en-US" w:eastAsia="ja-JP"/>
        </w:rPr>
        <w:t xml:space="preserve"> </w:t>
      </w:r>
      <w:r w:rsidR="00494C8E">
        <w:rPr>
          <w:rFonts w:ascii="Calibri" w:eastAsia="MS Mincho" w:hAnsi="Calibri" w:cs="Times New Roman"/>
          <w:sz w:val="24"/>
          <w:szCs w:val="24"/>
          <w:lang w:val="en-US" w:eastAsia="ja-JP"/>
        </w:rPr>
        <w:t>Sahlgrenska Osteoporosis Centre</w:t>
      </w:r>
      <w:r w:rsidR="00494C8E" w:rsidRPr="00CE4827">
        <w:rPr>
          <w:rFonts w:ascii="Calibri" w:eastAsia="MS Mincho" w:hAnsi="Calibri" w:cs="Times New Roman"/>
          <w:sz w:val="24"/>
          <w:szCs w:val="24"/>
          <w:lang w:val="en-US" w:eastAsia="ja-JP"/>
        </w:rPr>
        <w:t>,</w:t>
      </w:r>
      <w:r w:rsidR="0041550C" w:rsidRPr="00CE4827">
        <w:rPr>
          <w:rFonts w:ascii="Calibri" w:eastAsia="MS Mincho" w:hAnsi="Calibri" w:cs="Times New Roman"/>
          <w:sz w:val="24"/>
          <w:szCs w:val="24"/>
          <w:lang w:val="en-US" w:eastAsia="ja-JP"/>
        </w:rPr>
        <w:t xml:space="preserve"> Institute of Medicine, University of Gothenburg, Sweden</w:t>
      </w:r>
    </w:p>
    <w:p w14:paraId="2B6D089C" w14:textId="24B78A06" w:rsidR="0041550C" w:rsidRDefault="00E763A5" w:rsidP="0041550C">
      <w:pPr>
        <w:spacing w:after="240" w:line="240" w:lineRule="auto"/>
        <w:ind w:left="567" w:hanging="142"/>
        <w:rPr>
          <w:rFonts w:ascii="Calibri" w:eastAsia="MS Mincho" w:hAnsi="Calibri" w:cs="Times New Roman"/>
          <w:sz w:val="24"/>
          <w:szCs w:val="24"/>
          <w:lang w:val="en-US" w:eastAsia="ja-JP"/>
        </w:rPr>
      </w:pPr>
      <w:r>
        <w:rPr>
          <w:rFonts w:ascii="Calibri" w:eastAsia="MS Mincho" w:hAnsi="Calibri" w:cs="Times New Roman"/>
          <w:sz w:val="24"/>
          <w:szCs w:val="24"/>
          <w:vertAlign w:val="superscript"/>
          <w:lang w:val="en-US" w:eastAsia="ja-JP"/>
        </w:rPr>
        <w:t>6</w:t>
      </w:r>
      <w:r w:rsidR="0041550C" w:rsidRPr="00CE4827">
        <w:rPr>
          <w:rFonts w:ascii="Calibri" w:eastAsia="MS Mincho" w:hAnsi="Calibri" w:cs="Times New Roman"/>
          <w:sz w:val="24"/>
          <w:szCs w:val="24"/>
          <w:vertAlign w:val="superscript"/>
          <w:lang w:val="en-US" w:eastAsia="ja-JP"/>
        </w:rPr>
        <w:t xml:space="preserve"> </w:t>
      </w:r>
      <w:r w:rsidR="0041550C" w:rsidRPr="00CE4827">
        <w:rPr>
          <w:rFonts w:ascii="Calibri" w:eastAsia="MS Mincho" w:hAnsi="Calibri" w:cs="Times New Roman"/>
          <w:sz w:val="24"/>
          <w:szCs w:val="24"/>
          <w:lang w:val="en-US" w:eastAsia="ja-JP"/>
        </w:rPr>
        <w:t>Department of Internal Medicine and Clinical Nutrition, Institute of Medicine, Sahlgrenska Academy, University of Gothenburg, Gothenburg, Sweden</w:t>
      </w:r>
    </w:p>
    <w:p w14:paraId="641A4359" w14:textId="524498CC" w:rsidR="0041550C" w:rsidRPr="00CE4827" w:rsidRDefault="00DC5B5A" w:rsidP="0041550C">
      <w:pPr>
        <w:spacing w:after="240" w:line="240" w:lineRule="auto"/>
        <w:ind w:left="567" w:hanging="142"/>
        <w:rPr>
          <w:rFonts w:ascii="Calibri" w:eastAsia="MS Mincho" w:hAnsi="Calibri" w:cs="Times New Roman"/>
          <w:bCs/>
          <w:sz w:val="24"/>
          <w:szCs w:val="24"/>
          <w:lang w:val="en-US" w:eastAsia="ja-JP"/>
        </w:rPr>
      </w:pPr>
      <w:r>
        <w:rPr>
          <w:rFonts w:ascii="Calibri" w:eastAsia="MS Mincho" w:hAnsi="Calibri" w:cs="Times New Roman"/>
          <w:bCs/>
          <w:sz w:val="24"/>
          <w:szCs w:val="24"/>
          <w:vertAlign w:val="superscript"/>
          <w:lang w:val="en-US" w:eastAsia="ja-JP"/>
        </w:rPr>
        <w:t>7</w:t>
      </w:r>
      <w:r w:rsidR="0041550C" w:rsidRPr="00CE4827">
        <w:rPr>
          <w:rFonts w:ascii="Calibri" w:eastAsia="MS Mincho" w:hAnsi="Calibri" w:cs="Times New Roman"/>
          <w:bCs/>
          <w:sz w:val="24"/>
          <w:szCs w:val="24"/>
          <w:vertAlign w:val="superscript"/>
          <w:lang w:val="en-US" w:eastAsia="ja-JP"/>
        </w:rPr>
        <w:t xml:space="preserve"> </w:t>
      </w:r>
      <w:r w:rsidR="0041550C" w:rsidRPr="00CE4827">
        <w:rPr>
          <w:rFonts w:ascii="Calibri" w:eastAsia="MS Mincho" w:hAnsi="Calibri" w:cs="Times New Roman"/>
          <w:bCs/>
          <w:sz w:val="24"/>
          <w:szCs w:val="24"/>
          <w:lang w:val="en-US" w:eastAsia="ja-JP"/>
        </w:rPr>
        <w:t>Mellanby Centre for bone research, Department of Oncology and Metabolism, University of Sheffield, Sheffield, UK</w:t>
      </w:r>
    </w:p>
    <w:p w14:paraId="598AF7B4" w14:textId="77777777" w:rsidR="00184019" w:rsidRPr="00583C06" w:rsidRDefault="00184019" w:rsidP="00101D5A">
      <w:pPr>
        <w:spacing w:after="240" w:line="240" w:lineRule="auto"/>
        <w:ind w:left="142" w:hanging="142"/>
        <w:rPr>
          <w:rFonts w:ascii="Calibri" w:eastAsia="MS Mincho" w:hAnsi="Calibri" w:cs="Times New Roman"/>
          <w:sz w:val="24"/>
          <w:szCs w:val="24"/>
          <w:lang w:val="en-US" w:eastAsia="ja-JP"/>
        </w:rPr>
      </w:pPr>
    </w:p>
    <w:p w14:paraId="469DC03E" w14:textId="77777777" w:rsidR="00583C06" w:rsidRPr="00583C06" w:rsidRDefault="00583C06" w:rsidP="00101D5A">
      <w:pPr>
        <w:spacing w:after="0" w:line="240" w:lineRule="auto"/>
        <w:rPr>
          <w:rFonts w:ascii="Calibri" w:eastAsia="MS Mincho" w:hAnsi="Calibri" w:cs="Times New Roman"/>
          <w:sz w:val="24"/>
          <w:szCs w:val="24"/>
          <w:lang w:eastAsia="ja-JP"/>
        </w:rPr>
      </w:pPr>
    </w:p>
    <w:p w14:paraId="2CE4F812" w14:textId="54D44AE7" w:rsidR="00583C06" w:rsidRDefault="00583C06" w:rsidP="00101D5A">
      <w:pPr>
        <w:rPr>
          <w:rFonts w:ascii="Calibri" w:eastAsia="Calibri" w:hAnsi="Calibri" w:cs="Times New Roman"/>
          <w:color w:val="0563C1"/>
          <w:sz w:val="24"/>
          <w:szCs w:val="24"/>
          <w:u w:val="single"/>
        </w:rPr>
      </w:pPr>
      <w:r w:rsidRPr="00583C06">
        <w:rPr>
          <w:rFonts w:ascii="Calibri" w:eastAsia="Calibri" w:hAnsi="Calibri" w:cs="Times New Roman"/>
          <w:sz w:val="24"/>
          <w:szCs w:val="24"/>
        </w:rPr>
        <w:t xml:space="preserve">Correspondence to: Prof John A Kanis, Centre for Metabolic Bone Diseases, University of Sheffield Medical School, Beech Hill Road, Sheffield S10 2RX, UK; Tel: +44 114 285 1109; Fax: +44 114 285 1813; </w:t>
      </w:r>
      <w:hyperlink r:id="rId7" w:history="1">
        <w:r w:rsidRPr="00583C06">
          <w:rPr>
            <w:rFonts w:ascii="Calibri" w:eastAsia="Calibri" w:hAnsi="Calibri" w:cs="Times New Roman"/>
            <w:color w:val="0563C1"/>
            <w:sz w:val="24"/>
            <w:szCs w:val="24"/>
            <w:u w:val="single"/>
          </w:rPr>
          <w:t>w.j.pontefract@shef.ac.uk</w:t>
        </w:r>
      </w:hyperlink>
    </w:p>
    <w:p w14:paraId="6F4A6BE3" w14:textId="1519D9DB" w:rsidR="00263E0A" w:rsidRDefault="00263E0A" w:rsidP="00101D5A">
      <w:pPr>
        <w:rPr>
          <w:rFonts w:ascii="Calibri" w:eastAsia="Calibri" w:hAnsi="Calibri" w:cs="Times New Roman"/>
          <w:color w:val="0563C1"/>
          <w:sz w:val="24"/>
          <w:szCs w:val="24"/>
          <w:u w:val="single"/>
        </w:rPr>
      </w:pPr>
    </w:p>
    <w:p w14:paraId="1BC759BD" w14:textId="49CA5D75" w:rsidR="00263E0A" w:rsidRDefault="00263E0A">
      <w:pPr>
        <w:rPr>
          <w:rFonts w:ascii="Calibri" w:eastAsia="Calibri" w:hAnsi="Calibri" w:cs="Times New Roman"/>
          <w:sz w:val="24"/>
          <w:szCs w:val="24"/>
        </w:rPr>
      </w:pPr>
      <w:r>
        <w:rPr>
          <w:rFonts w:ascii="Calibri" w:eastAsia="Calibri" w:hAnsi="Calibri" w:cs="Times New Roman"/>
          <w:sz w:val="24"/>
          <w:szCs w:val="24"/>
        </w:rPr>
        <w:br w:type="page"/>
      </w:r>
    </w:p>
    <w:p w14:paraId="73703B60" w14:textId="77777777" w:rsidR="00263E0A" w:rsidRPr="00583C06" w:rsidRDefault="00263E0A" w:rsidP="00101D5A">
      <w:pPr>
        <w:rPr>
          <w:rFonts w:ascii="Calibri" w:eastAsia="Calibri" w:hAnsi="Calibri" w:cs="Times New Roman"/>
          <w:sz w:val="24"/>
          <w:szCs w:val="24"/>
        </w:rPr>
      </w:pPr>
    </w:p>
    <w:p w14:paraId="670D9371" w14:textId="3A50506F" w:rsidR="00583C06" w:rsidRPr="00263E0A" w:rsidRDefault="007733E4" w:rsidP="00AA1754">
      <w:pPr>
        <w:spacing w:line="276" w:lineRule="auto"/>
        <w:ind w:left="567"/>
        <w:rPr>
          <w:rFonts w:ascii="Calibri" w:eastAsia="Calibri" w:hAnsi="Calibri" w:cs="Times New Roman"/>
          <w:b/>
          <w:bCs/>
          <w:sz w:val="28"/>
          <w:szCs w:val="28"/>
        </w:rPr>
      </w:pPr>
      <w:r w:rsidRPr="00263E0A">
        <w:rPr>
          <w:rFonts w:ascii="Calibri" w:eastAsia="Calibri" w:hAnsi="Calibri" w:cs="Times New Roman"/>
          <w:b/>
          <w:bCs/>
          <w:sz w:val="28"/>
          <w:szCs w:val="28"/>
        </w:rPr>
        <w:t>Abstract</w:t>
      </w:r>
    </w:p>
    <w:p w14:paraId="155CEA66" w14:textId="0129B9D2" w:rsidR="00AD2CD4" w:rsidRPr="00263E0A" w:rsidRDefault="007733E4" w:rsidP="00AA1754">
      <w:pPr>
        <w:spacing w:line="276" w:lineRule="auto"/>
        <w:ind w:left="567"/>
        <w:rPr>
          <w:rFonts w:ascii="Calibri" w:eastAsia="Calibri" w:hAnsi="Calibri" w:cs="Times New Roman"/>
          <w:bCs/>
          <w:sz w:val="24"/>
          <w:szCs w:val="24"/>
        </w:rPr>
      </w:pPr>
      <w:r w:rsidRPr="00263E0A">
        <w:rPr>
          <w:rFonts w:ascii="Calibri" w:eastAsia="Calibri" w:hAnsi="Calibri" w:cs="Times New Roman"/>
          <w:b/>
          <w:sz w:val="24"/>
          <w:szCs w:val="24"/>
        </w:rPr>
        <w:t>Summary</w:t>
      </w:r>
      <w:r w:rsidR="00BE63A6" w:rsidRPr="00263E0A">
        <w:rPr>
          <w:rFonts w:ascii="Calibri" w:eastAsia="Calibri" w:hAnsi="Calibri" w:cs="Times New Roman"/>
          <w:b/>
          <w:sz w:val="24"/>
          <w:szCs w:val="24"/>
        </w:rPr>
        <w:t xml:space="preserve"> </w:t>
      </w:r>
      <w:r w:rsidR="00D30EA9" w:rsidRPr="00263E0A">
        <w:rPr>
          <w:rFonts w:ascii="Calibri" w:eastAsia="Calibri" w:hAnsi="Calibri" w:cs="Times New Roman"/>
          <w:bCs/>
          <w:sz w:val="24"/>
          <w:szCs w:val="24"/>
        </w:rPr>
        <w:t>The National Osteoporosis Guideline G</w:t>
      </w:r>
      <w:r w:rsidR="00800417" w:rsidRPr="00263E0A">
        <w:rPr>
          <w:rFonts w:ascii="Calibri" w:eastAsia="Calibri" w:hAnsi="Calibri" w:cs="Times New Roman"/>
          <w:bCs/>
          <w:sz w:val="24"/>
          <w:szCs w:val="24"/>
        </w:rPr>
        <w:t xml:space="preserve">roup (NOGG) have developed </w:t>
      </w:r>
      <w:r w:rsidR="00E36F15" w:rsidRPr="00263E0A">
        <w:rPr>
          <w:rFonts w:ascii="Calibri" w:eastAsia="Calibri" w:hAnsi="Calibri" w:cs="Times New Roman"/>
          <w:bCs/>
          <w:sz w:val="24"/>
          <w:szCs w:val="24"/>
        </w:rPr>
        <w:t>intervention threshol</w:t>
      </w:r>
      <w:r w:rsidR="005A29C9" w:rsidRPr="00263E0A">
        <w:rPr>
          <w:rFonts w:ascii="Calibri" w:eastAsia="Calibri" w:hAnsi="Calibri" w:cs="Times New Roman"/>
          <w:bCs/>
          <w:sz w:val="24"/>
          <w:szCs w:val="24"/>
        </w:rPr>
        <w:t>d</w:t>
      </w:r>
      <w:r w:rsidR="00E36F15" w:rsidRPr="00263E0A">
        <w:rPr>
          <w:rFonts w:ascii="Calibri" w:eastAsia="Calibri" w:hAnsi="Calibri" w:cs="Times New Roman"/>
          <w:bCs/>
          <w:sz w:val="24"/>
          <w:szCs w:val="24"/>
        </w:rPr>
        <w:t>s</w:t>
      </w:r>
      <w:r w:rsidR="005A29C9" w:rsidRPr="00263E0A">
        <w:rPr>
          <w:rFonts w:ascii="Calibri" w:eastAsia="Calibri" w:hAnsi="Calibri" w:cs="Times New Roman"/>
          <w:bCs/>
          <w:sz w:val="24"/>
          <w:szCs w:val="24"/>
        </w:rPr>
        <w:t xml:space="preserve"> </w:t>
      </w:r>
      <w:r w:rsidR="002355C7" w:rsidRPr="00263E0A">
        <w:rPr>
          <w:rFonts w:ascii="Calibri" w:eastAsia="Calibri" w:hAnsi="Calibri" w:cs="Times New Roman"/>
          <w:bCs/>
          <w:sz w:val="24"/>
          <w:szCs w:val="24"/>
        </w:rPr>
        <w:t>based on FRAX</w:t>
      </w:r>
      <w:r w:rsidR="002355C7" w:rsidRPr="00263E0A">
        <w:rPr>
          <w:rFonts w:ascii="Calibri" w:eastAsia="Calibri" w:hAnsi="Calibri" w:cs="Calibri"/>
          <w:bCs/>
          <w:sz w:val="24"/>
          <w:szCs w:val="24"/>
        </w:rPr>
        <w:t>®</w:t>
      </w:r>
      <w:r w:rsidR="002355C7" w:rsidRPr="00263E0A">
        <w:rPr>
          <w:rFonts w:ascii="Calibri" w:eastAsia="Calibri" w:hAnsi="Calibri" w:cs="Times New Roman"/>
          <w:bCs/>
          <w:sz w:val="24"/>
          <w:szCs w:val="24"/>
        </w:rPr>
        <w:t xml:space="preserve"> </w:t>
      </w:r>
      <w:r w:rsidR="005A29C9" w:rsidRPr="00263E0A">
        <w:rPr>
          <w:rFonts w:ascii="Calibri" w:eastAsia="Calibri" w:hAnsi="Calibri" w:cs="Times New Roman"/>
          <w:bCs/>
          <w:sz w:val="24"/>
          <w:szCs w:val="24"/>
        </w:rPr>
        <w:t xml:space="preserve">to </w:t>
      </w:r>
      <w:r w:rsidR="00E36F15" w:rsidRPr="00263E0A">
        <w:rPr>
          <w:rFonts w:ascii="Calibri" w:eastAsia="Calibri" w:hAnsi="Calibri" w:cs="Times New Roman"/>
          <w:bCs/>
          <w:sz w:val="24"/>
          <w:szCs w:val="24"/>
        </w:rPr>
        <w:t>characterise</w:t>
      </w:r>
      <w:r w:rsidR="005A29C9" w:rsidRPr="00263E0A">
        <w:rPr>
          <w:rFonts w:ascii="Calibri" w:eastAsia="Calibri" w:hAnsi="Calibri" w:cs="Times New Roman"/>
          <w:bCs/>
          <w:sz w:val="24"/>
          <w:szCs w:val="24"/>
        </w:rPr>
        <w:t xml:space="preserve"> patients at high and very hi</w:t>
      </w:r>
      <w:r w:rsidR="000B2055" w:rsidRPr="00263E0A">
        <w:rPr>
          <w:rFonts w:ascii="Calibri" w:eastAsia="Calibri" w:hAnsi="Calibri" w:cs="Times New Roman"/>
          <w:bCs/>
          <w:sz w:val="24"/>
          <w:szCs w:val="24"/>
        </w:rPr>
        <w:t>gh risk of fracture</w:t>
      </w:r>
      <w:r w:rsidR="0038319D" w:rsidRPr="00263E0A">
        <w:rPr>
          <w:rFonts w:ascii="Calibri" w:eastAsia="Calibri" w:hAnsi="Calibri" w:cs="Times New Roman"/>
          <w:bCs/>
          <w:sz w:val="24"/>
          <w:szCs w:val="24"/>
        </w:rPr>
        <w:t>.</w:t>
      </w:r>
    </w:p>
    <w:p w14:paraId="54011120" w14:textId="1C6918C5" w:rsidR="00EF3F99" w:rsidRPr="00263E0A" w:rsidRDefault="00EF3F99" w:rsidP="00AA1754">
      <w:pPr>
        <w:spacing w:line="276" w:lineRule="auto"/>
        <w:ind w:left="567"/>
        <w:rPr>
          <w:rFonts w:ascii="Calibri" w:eastAsia="Calibri" w:hAnsi="Calibri" w:cs="Times New Roman"/>
          <w:bCs/>
          <w:sz w:val="24"/>
          <w:szCs w:val="24"/>
        </w:rPr>
      </w:pPr>
      <w:r w:rsidRPr="00263E0A">
        <w:rPr>
          <w:rFonts w:ascii="Calibri" w:eastAsia="Calibri" w:hAnsi="Calibri" w:cs="Times New Roman"/>
          <w:b/>
          <w:sz w:val="24"/>
          <w:szCs w:val="24"/>
        </w:rPr>
        <w:t>Introduction</w:t>
      </w:r>
      <w:r w:rsidR="0038319D" w:rsidRPr="00263E0A">
        <w:rPr>
          <w:rFonts w:ascii="Calibri" w:eastAsia="Calibri" w:hAnsi="Calibri" w:cs="Times New Roman"/>
          <w:b/>
          <w:sz w:val="24"/>
          <w:szCs w:val="24"/>
        </w:rPr>
        <w:t xml:space="preserve"> </w:t>
      </w:r>
      <w:r w:rsidR="00195939" w:rsidRPr="00263E0A">
        <w:rPr>
          <w:rFonts w:ascii="Calibri" w:eastAsia="Calibri" w:hAnsi="Calibri" w:cs="Times New Roman"/>
          <w:bCs/>
          <w:sz w:val="24"/>
          <w:szCs w:val="24"/>
        </w:rPr>
        <w:t>Guidelines</w:t>
      </w:r>
      <w:r w:rsidR="003B594F" w:rsidRPr="00263E0A">
        <w:rPr>
          <w:rFonts w:ascii="Calibri" w:eastAsia="Calibri" w:hAnsi="Calibri" w:cs="Times New Roman"/>
          <w:bCs/>
          <w:sz w:val="24"/>
          <w:szCs w:val="24"/>
        </w:rPr>
        <w:t xml:space="preserve"> </w:t>
      </w:r>
      <w:r w:rsidR="00195939" w:rsidRPr="00263E0A">
        <w:rPr>
          <w:rFonts w:ascii="Calibri" w:eastAsia="Calibri" w:hAnsi="Calibri" w:cs="Times New Roman"/>
          <w:bCs/>
          <w:sz w:val="24"/>
          <w:szCs w:val="24"/>
        </w:rPr>
        <w:t>for the assessment of fracture ris</w:t>
      </w:r>
      <w:r w:rsidR="006B6E6A" w:rsidRPr="00263E0A">
        <w:rPr>
          <w:rFonts w:ascii="Calibri" w:eastAsia="Calibri" w:hAnsi="Calibri" w:cs="Times New Roman"/>
          <w:bCs/>
          <w:sz w:val="24"/>
          <w:szCs w:val="24"/>
        </w:rPr>
        <w:t xml:space="preserve">k </w:t>
      </w:r>
      <w:r w:rsidR="001831FA" w:rsidRPr="00263E0A">
        <w:rPr>
          <w:rFonts w:ascii="Calibri" w:eastAsia="Calibri" w:hAnsi="Calibri" w:cs="Times New Roman"/>
          <w:bCs/>
          <w:sz w:val="24"/>
          <w:szCs w:val="24"/>
        </w:rPr>
        <w:t>have begun to</w:t>
      </w:r>
      <w:r w:rsidR="003B594F" w:rsidRPr="00263E0A">
        <w:rPr>
          <w:rFonts w:ascii="Calibri" w:eastAsia="Calibri" w:hAnsi="Calibri" w:cs="Times New Roman"/>
          <w:bCs/>
          <w:sz w:val="24"/>
          <w:szCs w:val="24"/>
        </w:rPr>
        <w:t xml:space="preserve"> categoris</w:t>
      </w:r>
      <w:r w:rsidR="001831FA" w:rsidRPr="00263E0A">
        <w:rPr>
          <w:rFonts w:ascii="Calibri" w:eastAsia="Calibri" w:hAnsi="Calibri" w:cs="Times New Roman"/>
          <w:bCs/>
          <w:sz w:val="24"/>
          <w:szCs w:val="24"/>
        </w:rPr>
        <w:t>e patients eligible</w:t>
      </w:r>
      <w:r w:rsidR="00EE7808" w:rsidRPr="00263E0A">
        <w:rPr>
          <w:rFonts w:ascii="Calibri" w:eastAsia="Calibri" w:hAnsi="Calibri" w:cs="Times New Roman"/>
          <w:bCs/>
          <w:sz w:val="24"/>
          <w:szCs w:val="24"/>
        </w:rPr>
        <w:t xml:space="preserve"> for treatment</w:t>
      </w:r>
      <w:r w:rsidR="003B594F" w:rsidRPr="00263E0A">
        <w:rPr>
          <w:rFonts w:ascii="Calibri" w:eastAsia="Calibri" w:hAnsi="Calibri" w:cs="Times New Roman"/>
          <w:bCs/>
          <w:sz w:val="24"/>
          <w:szCs w:val="24"/>
        </w:rPr>
        <w:t xml:space="preserve"> </w:t>
      </w:r>
      <w:r w:rsidR="00EE7808" w:rsidRPr="00263E0A">
        <w:rPr>
          <w:rFonts w:ascii="Calibri" w:eastAsia="Calibri" w:hAnsi="Calibri" w:cs="Times New Roman"/>
          <w:bCs/>
          <w:sz w:val="24"/>
          <w:szCs w:val="24"/>
        </w:rPr>
        <w:t>into high and very high</w:t>
      </w:r>
      <w:r w:rsidR="003B594F" w:rsidRPr="00263E0A">
        <w:rPr>
          <w:rFonts w:ascii="Calibri" w:eastAsia="Calibri" w:hAnsi="Calibri" w:cs="Times New Roman"/>
          <w:bCs/>
          <w:sz w:val="24"/>
          <w:szCs w:val="24"/>
        </w:rPr>
        <w:t xml:space="preserve"> risk of fracture</w:t>
      </w:r>
      <w:r w:rsidR="00EE7808" w:rsidRPr="00263E0A">
        <w:rPr>
          <w:rFonts w:ascii="Calibri" w:eastAsia="Calibri" w:hAnsi="Calibri" w:cs="Times New Roman"/>
          <w:bCs/>
          <w:sz w:val="24"/>
          <w:szCs w:val="24"/>
        </w:rPr>
        <w:t xml:space="preserve"> to</w:t>
      </w:r>
      <w:r w:rsidR="003B594F" w:rsidRPr="00263E0A">
        <w:rPr>
          <w:rFonts w:ascii="Calibri" w:eastAsia="Calibri" w:hAnsi="Calibri" w:cs="Times New Roman"/>
          <w:bCs/>
          <w:sz w:val="24"/>
          <w:szCs w:val="24"/>
        </w:rPr>
        <w:t xml:space="preserve"> inform choice of therapeutic approach.</w:t>
      </w:r>
      <w:r w:rsidR="00960333" w:rsidRPr="00263E0A">
        <w:rPr>
          <w:rFonts w:ascii="Calibri" w:eastAsia="Calibri" w:hAnsi="Calibri" w:cs="Times New Roman"/>
          <w:bCs/>
          <w:sz w:val="24"/>
          <w:szCs w:val="24"/>
        </w:rPr>
        <w:t xml:space="preserve">  The aim of the present study was to </w:t>
      </w:r>
      <w:r w:rsidR="008B4AE1" w:rsidRPr="00263E0A">
        <w:rPr>
          <w:rFonts w:ascii="Calibri" w:eastAsia="Calibri" w:hAnsi="Calibri" w:cs="Times New Roman"/>
          <w:bCs/>
          <w:sz w:val="24"/>
          <w:szCs w:val="24"/>
        </w:rPr>
        <w:t>develop</w:t>
      </w:r>
      <w:r w:rsidR="00990023" w:rsidRPr="00263E0A">
        <w:rPr>
          <w:rFonts w:ascii="Calibri" w:eastAsia="Calibri" w:hAnsi="Calibri" w:cs="Times New Roman"/>
          <w:bCs/>
          <w:sz w:val="24"/>
          <w:szCs w:val="24"/>
        </w:rPr>
        <w:t xml:space="preserve"> intervention thresholds based on</w:t>
      </w:r>
      <w:r w:rsidR="00CE380E" w:rsidRPr="00263E0A">
        <w:rPr>
          <w:rFonts w:ascii="Calibri" w:eastAsia="Calibri" w:hAnsi="Calibri" w:cs="Times New Roman"/>
          <w:bCs/>
          <w:sz w:val="24"/>
          <w:szCs w:val="24"/>
        </w:rPr>
        <w:t xml:space="preserve"> the </w:t>
      </w:r>
      <w:r w:rsidR="00016A9C" w:rsidRPr="00263E0A">
        <w:rPr>
          <w:rFonts w:ascii="Calibri" w:eastAsia="Calibri" w:hAnsi="Calibri" w:cs="Times New Roman"/>
          <w:bCs/>
          <w:sz w:val="24"/>
          <w:szCs w:val="24"/>
        </w:rPr>
        <w:t>hybrid assessment</w:t>
      </w:r>
      <w:r w:rsidR="008B4AE1" w:rsidRPr="00263E0A">
        <w:rPr>
          <w:rFonts w:ascii="Calibri" w:eastAsia="Calibri" w:hAnsi="Calibri" w:cs="Times New Roman"/>
          <w:bCs/>
          <w:sz w:val="24"/>
          <w:szCs w:val="24"/>
        </w:rPr>
        <w:t xml:space="preserve"> model of NOGG.</w:t>
      </w:r>
    </w:p>
    <w:p w14:paraId="70905BE2" w14:textId="635DD132" w:rsidR="002C00A3" w:rsidRPr="00263E0A" w:rsidRDefault="00EF3F99" w:rsidP="00AA1754">
      <w:pPr>
        <w:spacing w:line="276" w:lineRule="auto"/>
        <w:ind w:left="567"/>
        <w:rPr>
          <w:rFonts w:ascii="Calibri" w:eastAsia="Calibri" w:hAnsi="Calibri" w:cs="Times New Roman"/>
          <w:bCs/>
          <w:sz w:val="24"/>
          <w:szCs w:val="24"/>
        </w:rPr>
      </w:pPr>
      <w:r w:rsidRPr="00263E0A">
        <w:rPr>
          <w:rFonts w:ascii="Calibri" w:eastAsia="Calibri" w:hAnsi="Calibri" w:cs="Times New Roman"/>
          <w:b/>
          <w:sz w:val="24"/>
          <w:szCs w:val="24"/>
        </w:rPr>
        <w:t>Methods</w:t>
      </w:r>
      <w:r w:rsidR="00016A9C" w:rsidRPr="00263E0A">
        <w:rPr>
          <w:rFonts w:ascii="Calibri" w:eastAsia="Calibri" w:hAnsi="Calibri" w:cs="Times New Roman"/>
          <w:b/>
          <w:sz w:val="24"/>
          <w:szCs w:val="24"/>
        </w:rPr>
        <w:t xml:space="preserve"> </w:t>
      </w:r>
      <w:r w:rsidR="00A5138D" w:rsidRPr="00263E0A">
        <w:rPr>
          <w:rFonts w:ascii="Calibri" w:eastAsia="Calibri" w:hAnsi="Calibri" w:cs="Times New Roman"/>
          <w:bCs/>
          <w:sz w:val="24"/>
          <w:szCs w:val="24"/>
        </w:rPr>
        <w:t xml:space="preserve">We examined the impact of intervention thresholds in a </w:t>
      </w:r>
      <w:r w:rsidR="00300EFD">
        <w:rPr>
          <w:rFonts w:ascii="Calibri" w:eastAsia="Calibri" w:hAnsi="Calibri" w:cs="Times New Roman"/>
          <w:bCs/>
          <w:sz w:val="24"/>
          <w:szCs w:val="24"/>
        </w:rPr>
        <w:t xml:space="preserve">simulated </w:t>
      </w:r>
      <w:r w:rsidR="00A5138D" w:rsidRPr="00263E0A">
        <w:rPr>
          <w:rFonts w:ascii="Calibri" w:eastAsia="Calibri" w:hAnsi="Calibri" w:cs="Times New Roman"/>
          <w:bCs/>
          <w:sz w:val="24"/>
          <w:szCs w:val="24"/>
        </w:rPr>
        <w:t>cross-sectional cohort of women age 50 years or more</w:t>
      </w:r>
      <w:r w:rsidR="005F60D2">
        <w:rPr>
          <w:rFonts w:ascii="Calibri" w:eastAsia="Calibri" w:hAnsi="Calibri" w:cs="Times New Roman"/>
          <w:bCs/>
          <w:sz w:val="24"/>
          <w:szCs w:val="24"/>
        </w:rPr>
        <w:t xml:space="preserve"> from the UK</w:t>
      </w:r>
      <w:r w:rsidR="00CF79E5" w:rsidRPr="00CF79E5">
        <w:rPr>
          <w:rFonts w:ascii="Calibri" w:eastAsia="Calibri" w:hAnsi="Calibri" w:cs="Times New Roman"/>
          <w:bCs/>
          <w:sz w:val="24"/>
          <w:szCs w:val="24"/>
        </w:rPr>
        <w:t xml:space="preserve"> with the distribution of baseline characteristics based on that in the FRAX cohorts.</w:t>
      </w:r>
      <w:r w:rsidR="00303D03">
        <w:rPr>
          <w:rFonts w:ascii="Calibri" w:eastAsia="Calibri" w:hAnsi="Calibri" w:cs="Times New Roman"/>
          <w:bCs/>
          <w:sz w:val="24"/>
          <w:szCs w:val="24"/>
        </w:rPr>
        <w:t xml:space="preserve"> </w:t>
      </w:r>
      <w:r w:rsidR="00626746" w:rsidRPr="00263E0A">
        <w:rPr>
          <w:rFonts w:ascii="Calibri" w:eastAsia="Calibri" w:hAnsi="Calibri" w:cs="Times New Roman"/>
          <w:bCs/>
          <w:sz w:val="24"/>
          <w:szCs w:val="24"/>
        </w:rPr>
        <w:t xml:space="preserve"> The prevalence of very high risk</w:t>
      </w:r>
      <w:r w:rsidR="0061171E" w:rsidRPr="00263E0A">
        <w:rPr>
          <w:rFonts w:ascii="Calibri" w:eastAsia="Calibri" w:hAnsi="Calibri" w:cs="Times New Roman"/>
          <w:bCs/>
          <w:sz w:val="24"/>
          <w:szCs w:val="24"/>
        </w:rPr>
        <w:t xml:space="preserve"> using the hybrid model was compared with</w:t>
      </w:r>
      <w:r w:rsidR="00CB6F25" w:rsidRPr="00263E0A">
        <w:rPr>
          <w:rFonts w:ascii="Calibri" w:eastAsia="Calibri" w:hAnsi="Calibri" w:cs="Times New Roman"/>
          <w:bCs/>
          <w:sz w:val="24"/>
          <w:szCs w:val="24"/>
        </w:rPr>
        <w:t xml:space="preserve"> age-dependent thre</w:t>
      </w:r>
      <w:r w:rsidR="00307DC0" w:rsidRPr="00263E0A">
        <w:rPr>
          <w:rFonts w:ascii="Calibri" w:eastAsia="Calibri" w:hAnsi="Calibri" w:cs="Times New Roman"/>
          <w:bCs/>
          <w:sz w:val="24"/>
          <w:szCs w:val="24"/>
        </w:rPr>
        <w:t>sholds used by the international Osteoporosis Foundation and the European Society for Clinical and Economic Aspects of Osteoporosis and Osteoarthritis</w:t>
      </w:r>
      <w:r w:rsidR="00156AE3" w:rsidRPr="00263E0A">
        <w:rPr>
          <w:rFonts w:ascii="Calibri" w:eastAsia="Calibri" w:hAnsi="Calibri" w:cs="Times New Roman"/>
          <w:bCs/>
          <w:sz w:val="24"/>
          <w:szCs w:val="24"/>
        </w:rPr>
        <w:t xml:space="preserve"> (IOF/ESCEO)</w:t>
      </w:r>
      <w:r w:rsidR="00307DC0" w:rsidRPr="00263E0A">
        <w:rPr>
          <w:rFonts w:ascii="Calibri" w:eastAsia="Calibri" w:hAnsi="Calibri" w:cs="Times New Roman"/>
          <w:bCs/>
          <w:sz w:val="24"/>
          <w:szCs w:val="24"/>
        </w:rPr>
        <w:t xml:space="preserve">.  </w:t>
      </w:r>
      <w:r w:rsidR="004947F2" w:rsidRPr="00263E0A">
        <w:rPr>
          <w:rFonts w:ascii="Calibri" w:eastAsia="Calibri" w:hAnsi="Calibri" w:cs="Times New Roman"/>
          <w:bCs/>
          <w:sz w:val="24"/>
          <w:szCs w:val="24"/>
        </w:rPr>
        <w:t>The appropriateness of threshol</w:t>
      </w:r>
      <w:r w:rsidR="00BE3A9E" w:rsidRPr="00263E0A">
        <w:rPr>
          <w:rFonts w:ascii="Calibri" w:eastAsia="Calibri" w:hAnsi="Calibri" w:cs="Times New Roman"/>
          <w:bCs/>
          <w:sz w:val="24"/>
          <w:szCs w:val="24"/>
        </w:rPr>
        <w:t>d</w:t>
      </w:r>
      <w:r w:rsidR="004947F2" w:rsidRPr="00263E0A">
        <w:rPr>
          <w:rFonts w:ascii="Calibri" w:eastAsia="Calibri" w:hAnsi="Calibri" w:cs="Times New Roman"/>
          <w:bCs/>
          <w:sz w:val="24"/>
          <w:szCs w:val="24"/>
        </w:rPr>
        <w:t xml:space="preserve">s </w:t>
      </w:r>
      <w:r w:rsidR="00D53E63" w:rsidRPr="00263E0A">
        <w:rPr>
          <w:rFonts w:ascii="Calibri" w:eastAsia="Calibri" w:hAnsi="Calibri" w:cs="Times New Roman"/>
          <w:bCs/>
          <w:sz w:val="24"/>
          <w:szCs w:val="24"/>
        </w:rPr>
        <w:t>was</w:t>
      </w:r>
      <w:r w:rsidR="004947F2" w:rsidRPr="00263E0A">
        <w:rPr>
          <w:rFonts w:ascii="Calibri" w:eastAsia="Calibri" w:hAnsi="Calibri" w:cs="Times New Roman"/>
          <w:bCs/>
          <w:sz w:val="24"/>
          <w:szCs w:val="24"/>
        </w:rPr>
        <w:t xml:space="preserve"> tested based on the </w:t>
      </w:r>
      <w:r w:rsidR="00D80AB4" w:rsidRPr="00263E0A">
        <w:rPr>
          <w:rFonts w:ascii="Calibri" w:eastAsia="Calibri" w:hAnsi="Calibri" w:cs="Times New Roman"/>
          <w:bCs/>
          <w:sz w:val="24"/>
          <w:szCs w:val="24"/>
        </w:rPr>
        <w:t>populations treated with anabolic</w:t>
      </w:r>
      <w:r w:rsidR="00684F9E" w:rsidRPr="00263E0A">
        <w:rPr>
          <w:rFonts w:ascii="Calibri" w:eastAsia="Calibri" w:hAnsi="Calibri" w:cs="Times New Roman"/>
          <w:bCs/>
          <w:sz w:val="24"/>
          <w:szCs w:val="24"/>
        </w:rPr>
        <w:t xml:space="preserve"> agents</w:t>
      </w:r>
      <w:r w:rsidR="00987229" w:rsidRPr="00263E0A">
        <w:rPr>
          <w:rFonts w:ascii="Calibri" w:eastAsia="Calibri" w:hAnsi="Calibri" w:cs="Times New Roman"/>
          <w:bCs/>
          <w:sz w:val="24"/>
          <w:szCs w:val="24"/>
        </w:rPr>
        <w:t>.</w:t>
      </w:r>
    </w:p>
    <w:p w14:paraId="0F79F938" w14:textId="6F696924" w:rsidR="002C00A3" w:rsidRPr="008E7CF9" w:rsidRDefault="002C00A3" w:rsidP="00AA1754">
      <w:pPr>
        <w:spacing w:line="276" w:lineRule="auto"/>
        <w:ind w:left="567"/>
        <w:rPr>
          <w:rFonts w:ascii="Calibri" w:eastAsia="Calibri" w:hAnsi="Calibri" w:cs="Times New Roman"/>
          <w:bCs/>
        </w:rPr>
      </w:pPr>
      <w:r w:rsidRPr="00263E0A">
        <w:rPr>
          <w:rFonts w:ascii="Calibri" w:eastAsia="Calibri" w:hAnsi="Calibri" w:cs="Times New Roman"/>
          <w:b/>
          <w:sz w:val="24"/>
          <w:szCs w:val="24"/>
        </w:rPr>
        <w:t>Results</w:t>
      </w:r>
      <w:r w:rsidR="008E7CF9" w:rsidRPr="00263E0A">
        <w:rPr>
          <w:rFonts w:ascii="Calibri" w:eastAsia="Calibri" w:hAnsi="Calibri" w:cs="Times New Roman"/>
          <w:b/>
          <w:sz w:val="24"/>
          <w:szCs w:val="24"/>
        </w:rPr>
        <w:t xml:space="preserve">.  </w:t>
      </w:r>
      <w:r w:rsidR="005F392C" w:rsidRPr="00263E0A">
        <w:rPr>
          <w:rFonts w:ascii="Calibri" w:eastAsia="Calibri" w:hAnsi="Calibri" w:cs="Times New Roman"/>
          <w:bCs/>
          <w:sz w:val="24"/>
          <w:szCs w:val="24"/>
        </w:rPr>
        <w:t xml:space="preserve">With an upper intervention threshold </w:t>
      </w:r>
      <w:r w:rsidR="00A60A87" w:rsidRPr="00C426FF">
        <w:rPr>
          <w:rFonts w:ascii="Calibri" w:eastAsia="Calibri" w:hAnsi="Calibri" w:cs="Times New Roman"/>
          <w:bCs/>
          <w:sz w:val="24"/>
          <w:szCs w:val="24"/>
        </w:rPr>
        <w:t xml:space="preserve">using </w:t>
      </w:r>
      <w:r w:rsidR="00527F4A" w:rsidRPr="00C426FF">
        <w:rPr>
          <w:rFonts w:ascii="Calibri" w:eastAsia="Calibri" w:hAnsi="Calibri" w:cs="Times New Roman"/>
          <w:bCs/>
          <w:sz w:val="24"/>
          <w:szCs w:val="24"/>
        </w:rPr>
        <w:t>the IOF</w:t>
      </w:r>
      <w:r w:rsidR="00A60A87" w:rsidRPr="00C426FF">
        <w:rPr>
          <w:rFonts w:ascii="Calibri" w:eastAsia="Calibri" w:hAnsi="Calibri" w:cs="Times New Roman"/>
          <w:bCs/>
          <w:sz w:val="24"/>
          <w:szCs w:val="24"/>
        </w:rPr>
        <w:t xml:space="preserve">/ESCEO </w:t>
      </w:r>
      <w:r w:rsidR="002F627A" w:rsidRPr="00C426FF">
        <w:rPr>
          <w:rFonts w:ascii="Calibri" w:eastAsia="Calibri" w:hAnsi="Calibri" w:cs="Times New Roman"/>
          <w:bCs/>
          <w:sz w:val="24"/>
          <w:szCs w:val="24"/>
        </w:rPr>
        <w:t>criteria</w:t>
      </w:r>
      <w:r w:rsidR="0080224E" w:rsidRPr="00C426FF">
        <w:rPr>
          <w:rFonts w:ascii="Calibri" w:eastAsia="Calibri" w:hAnsi="Calibri" w:cs="Times New Roman"/>
          <w:bCs/>
          <w:sz w:val="24"/>
          <w:szCs w:val="24"/>
        </w:rPr>
        <w:t>,</w:t>
      </w:r>
      <w:r w:rsidR="002F627A" w:rsidRPr="00C426FF">
        <w:rPr>
          <w:rFonts w:ascii="Calibri" w:eastAsia="Calibri" w:hAnsi="Calibri" w:cs="Times New Roman"/>
          <w:bCs/>
          <w:sz w:val="24"/>
          <w:szCs w:val="24"/>
        </w:rPr>
        <w:t xml:space="preserve"> 56% of women age </w:t>
      </w:r>
      <w:r w:rsidR="00B23E6A" w:rsidRPr="00C426FF">
        <w:rPr>
          <w:rFonts w:ascii="Calibri" w:eastAsia="Calibri" w:hAnsi="Calibri" w:cs="Times New Roman"/>
          <w:bCs/>
          <w:sz w:val="24"/>
          <w:szCs w:val="24"/>
        </w:rPr>
        <w:t>50 years or more would be characterised at very high risk</w:t>
      </w:r>
      <w:r w:rsidR="006F28ED" w:rsidRPr="00C426FF">
        <w:rPr>
          <w:rFonts w:ascii="Calibri" w:eastAsia="Calibri" w:hAnsi="Calibri" w:cs="Times New Roman"/>
          <w:bCs/>
          <w:sz w:val="24"/>
          <w:szCs w:val="24"/>
        </w:rPr>
        <w:t xml:space="preserve">.  </w:t>
      </w:r>
      <w:r w:rsidR="00B23E6A" w:rsidRPr="00C426FF">
        <w:rPr>
          <w:rFonts w:ascii="Calibri" w:eastAsia="Calibri" w:hAnsi="Calibri" w:cs="Times New Roman"/>
          <w:bCs/>
          <w:sz w:val="24"/>
          <w:szCs w:val="24"/>
        </w:rPr>
        <w:t xml:space="preserve"> </w:t>
      </w:r>
      <w:r w:rsidR="006F28ED" w:rsidRPr="00C426FF">
        <w:rPr>
          <w:rFonts w:ascii="Calibri" w:eastAsia="Calibri" w:hAnsi="Calibri" w:cs="Times New Roman"/>
          <w:bCs/>
          <w:sz w:val="24"/>
          <w:szCs w:val="24"/>
        </w:rPr>
        <w:t>This compares with 3</w:t>
      </w:r>
      <w:r w:rsidR="00527F4A" w:rsidRPr="00C426FF">
        <w:rPr>
          <w:rFonts w:ascii="Calibri" w:eastAsia="Calibri" w:hAnsi="Calibri" w:cs="Times New Roman"/>
          <w:bCs/>
          <w:sz w:val="24"/>
          <w:szCs w:val="24"/>
        </w:rPr>
        <w:t>6</w:t>
      </w:r>
      <w:r w:rsidR="006F28ED" w:rsidRPr="00C426FF">
        <w:rPr>
          <w:rFonts w:ascii="Calibri" w:eastAsia="Calibri" w:hAnsi="Calibri" w:cs="Times New Roman"/>
          <w:bCs/>
          <w:sz w:val="24"/>
          <w:szCs w:val="24"/>
        </w:rPr>
        <w:t>% using the IOF/ESCEO criteria and</w:t>
      </w:r>
      <w:r w:rsidR="006F28ED" w:rsidRPr="00263E0A">
        <w:rPr>
          <w:rFonts w:ascii="Calibri" w:eastAsia="Calibri" w:hAnsi="Calibri" w:cs="Times New Roman"/>
          <w:bCs/>
          <w:sz w:val="24"/>
          <w:szCs w:val="24"/>
        </w:rPr>
        <w:t xml:space="preserve"> an age-specific intervention threshold over all ages.</w:t>
      </w:r>
      <w:r w:rsidR="00527F4A" w:rsidRPr="00263E0A">
        <w:rPr>
          <w:rFonts w:ascii="Calibri" w:eastAsia="Calibri" w:hAnsi="Calibri" w:cs="Times New Roman"/>
          <w:bCs/>
          <w:sz w:val="24"/>
          <w:szCs w:val="24"/>
        </w:rPr>
        <w:t xml:space="preserve"> </w:t>
      </w:r>
      <w:bookmarkStart w:id="2" w:name="_Hlk62058689"/>
      <w:r w:rsidR="00030ABC" w:rsidRPr="00263E0A">
        <w:rPr>
          <w:rFonts w:ascii="Calibri" w:eastAsia="Calibri" w:hAnsi="Calibri" w:cs="Times New Roman"/>
          <w:bCs/>
          <w:sz w:val="24"/>
          <w:szCs w:val="24"/>
        </w:rPr>
        <w:t>With a</w:t>
      </w:r>
      <w:r w:rsidR="00101FD7" w:rsidRPr="00263E0A">
        <w:rPr>
          <w:rFonts w:ascii="Calibri" w:eastAsia="Calibri" w:hAnsi="Calibri" w:cs="Times New Roman"/>
          <w:bCs/>
          <w:sz w:val="24"/>
          <w:szCs w:val="24"/>
        </w:rPr>
        <w:t>n upper intervention threshold</w:t>
      </w:r>
      <w:r w:rsidR="008E7CF9" w:rsidRPr="00263E0A">
        <w:rPr>
          <w:rFonts w:ascii="Calibri" w:eastAsia="Calibri" w:hAnsi="Calibri" w:cs="Times New Roman"/>
          <w:bCs/>
          <w:sz w:val="24"/>
          <w:szCs w:val="24"/>
        </w:rPr>
        <w:t xml:space="preserve"> of 1.</w:t>
      </w:r>
      <w:r w:rsidR="004E2AF5" w:rsidRPr="00263E0A">
        <w:rPr>
          <w:rFonts w:ascii="Calibri" w:eastAsia="Calibri" w:hAnsi="Calibri" w:cs="Times New Roman"/>
          <w:bCs/>
          <w:sz w:val="24"/>
          <w:szCs w:val="24"/>
        </w:rPr>
        <w:t>6</w:t>
      </w:r>
      <w:r w:rsidR="008E7CF9" w:rsidRPr="00263E0A">
        <w:rPr>
          <w:rFonts w:ascii="Calibri" w:eastAsia="Calibri" w:hAnsi="Calibri" w:cs="Times New Roman"/>
          <w:bCs/>
          <w:sz w:val="24"/>
          <w:szCs w:val="24"/>
        </w:rPr>
        <w:t xml:space="preserve"> times the </w:t>
      </w:r>
      <w:r w:rsidR="004E2AF5" w:rsidRPr="00263E0A">
        <w:rPr>
          <w:rFonts w:ascii="Calibri" w:eastAsia="Calibri" w:hAnsi="Calibri" w:cs="Times New Roman"/>
          <w:bCs/>
          <w:sz w:val="24"/>
          <w:szCs w:val="24"/>
        </w:rPr>
        <w:t>pre-</w:t>
      </w:r>
      <w:r w:rsidR="004E2AF5" w:rsidRPr="0037533C">
        <w:rPr>
          <w:rFonts w:ascii="Calibri" w:eastAsia="Calibri" w:hAnsi="Calibri" w:cs="Times New Roman"/>
          <w:bCs/>
          <w:sz w:val="24"/>
          <w:szCs w:val="24"/>
        </w:rPr>
        <w:t>existing intervention threshold</w:t>
      </w:r>
      <w:r w:rsidR="008E7CF9" w:rsidRPr="0037533C">
        <w:rPr>
          <w:rFonts w:ascii="Calibri" w:eastAsia="Calibri" w:hAnsi="Calibri" w:cs="Times New Roman"/>
          <w:bCs/>
          <w:sz w:val="24"/>
          <w:szCs w:val="24"/>
        </w:rPr>
        <w:t>,</w:t>
      </w:r>
      <w:bookmarkEnd w:id="2"/>
      <w:r w:rsidR="008E7CF9" w:rsidRPr="0037533C">
        <w:rPr>
          <w:rFonts w:ascii="Calibri" w:eastAsia="Calibri" w:hAnsi="Calibri" w:cs="Times New Roman"/>
          <w:bCs/>
          <w:sz w:val="24"/>
          <w:szCs w:val="24"/>
        </w:rPr>
        <w:t xml:space="preserve"> </w:t>
      </w:r>
      <w:r w:rsidR="0037533C" w:rsidRPr="0037533C">
        <w:rPr>
          <w:rFonts w:ascii="Calibri" w:eastAsia="Calibri" w:hAnsi="Calibri" w:cs="Times New Roman"/>
          <w:bCs/>
          <w:sz w:val="24"/>
          <w:szCs w:val="24"/>
        </w:rPr>
        <w:t>10</w:t>
      </w:r>
      <w:r w:rsidR="00793C62" w:rsidRPr="0037533C">
        <w:rPr>
          <w:rFonts w:ascii="Calibri" w:eastAsia="Calibri" w:hAnsi="Calibri" w:cs="Times New Roman"/>
          <w:bCs/>
          <w:sz w:val="24"/>
          <w:szCs w:val="24"/>
        </w:rPr>
        <w:t>% of women age 50 years or</w:t>
      </w:r>
      <w:r w:rsidR="00793C62" w:rsidRPr="00263E0A">
        <w:rPr>
          <w:rFonts w:ascii="Calibri" w:eastAsia="Calibri" w:hAnsi="Calibri" w:cs="Times New Roman"/>
          <w:bCs/>
          <w:sz w:val="24"/>
          <w:szCs w:val="24"/>
        </w:rPr>
        <w:t xml:space="preserve"> more would be characterised at ve</w:t>
      </w:r>
      <w:r w:rsidR="001C1CEB" w:rsidRPr="00263E0A">
        <w:rPr>
          <w:rFonts w:ascii="Calibri" w:eastAsia="Calibri" w:hAnsi="Calibri" w:cs="Times New Roman"/>
          <w:bCs/>
          <w:sz w:val="24"/>
          <w:szCs w:val="24"/>
        </w:rPr>
        <w:t>ry high risk</w:t>
      </w:r>
      <w:r w:rsidR="00581573" w:rsidRPr="00263E0A">
        <w:rPr>
          <w:rFonts w:ascii="Calibri" w:eastAsia="Calibri" w:hAnsi="Calibri" w:cs="Times New Roman"/>
          <w:bCs/>
          <w:sz w:val="24"/>
          <w:szCs w:val="24"/>
        </w:rPr>
        <w:t>.</w:t>
      </w:r>
      <w:r w:rsidR="00AE6AE0" w:rsidRPr="00263E0A">
        <w:rPr>
          <w:rFonts w:ascii="Calibri" w:eastAsia="Calibri" w:hAnsi="Calibri" w:cs="Times New Roman"/>
          <w:bCs/>
          <w:sz w:val="24"/>
          <w:szCs w:val="24"/>
        </w:rPr>
        <w:t xml:space="preserve"> </w:t>
      </w:r>
      <w:r w:rsidR="00581573" w:rsidRPr="00263E0A">
        <w:rPr>
          <w:rFonts w:ascii="Calibri" w:eastAsia="Calibri" w:hAnsi="Calibri" w:cs="Times New Roman"/>
          <w:bCs/>
          <w:sz w:val="24"/>
          <w:szCs w:val="24"/>
        </w:rPr>
        <w:t xml:space="preserve"> </w:t>
      </w:r>
      <w:r w:rsidR="00793C62" w:rsidRPr="00263E0A">
        <w:rPr>
          <w:rFonts w:ascii="Calibri" w:eastAsia="Calibri" w:hAnsi="Calibri" w:cs="Times New Roman"/>
          <w:bCs/>
          <w:sz w:val="24"/>
          <w:szCs w:val="24"/>
        </w:rPr>
        <w:t xml:space="preserve"> </w:t>
      </w:r>
      <w:r w:rsidR="004675F7" w:rsidRPr="00263E0A">
        <w:rPr>
          <w:rFonts w:ascii="Calibri" w:eastAsia="Calibri" w:hAnsi="Calibri" w:cs="Times New Roman"/>
          <w:bCs/>
          <w:sz w:val="24"/>
          <w:szCs w:val="24"/>
        </w:rPr>
        <w:t xml:space="preserve">The data </w:t>
      </w:r>
      <w:r w:rsidR="00B911B1" w:rsidRPr="00263E0A">
        <w:rPr>
          <w:rFonts w:ascii="Calibri" w:eastAsia="Calibri" w:hAnsi="Calibri" w:cs="Times New Roman"/>
          <w:bCs/>
          <w:sz w:val="24"/>
          <w:szCs w:val="24"/>
        </w:rPr>
        <w:t xml:space="preserve">from </w:t>
      </w:r>
      <w:r w:rsidR="00021591" w:rsidRPr="00263E0A">
        <w:rPr>
          <w:rFonts w:ascii="Calibri" w:eastAsia="Calibri" w:hAnsi="Calibri" w:cs="Times New Roman"/>
          <w:bCs/>
          <w:sz w:val="24"/>
          <w:szCs w:val="24"/>
        </w:rPr>
        <w:t xml:space="preserve">phase 3 studies </w:t>
      </w:r>
      <w:r w:rsidR="004675F7" w:rsidRPr="00263E0A">
        <w:rPr>
          <w:rFonts w:ascii="Calibri" w:eastAsia="Calibri" w:hAnsi="Calibri" w:cs="Times New Roman"/>
          <w:bCs/>
          <w:sz w:val="24"/>
          <w:szCs w:val="24"/>
        </w:rPr>
        <w:t xml:space="preserve">indicate that most </w:t>
      </w:r>
      <w:r w:rsidR="00305545">
        <w:rPr>
          <w:rFonts w:ascii="Calibri" w:eastAsia="Calibri" w:hAnsi="Calibri" w:cs="Times New Roman"/>
          <w:bCs/>
          <w:sz w:val="24"/>
          <w:szCs w:val="24"/>
        </w:rPr>
        <w:t>trial participants</w:t>
      </w:r>
      <w:r w:rsidR="004675F7" w:rsidRPr="00263E0A">
        <w:rPr>
          <w:rFonts w:ascii="Calibri" w:eastAsia="Calibri" w:hAnsi="Calibri" w:cs="Times New Roman"/>
          <w:bCs/>
          <w:sz w:val="24"/>
          <w:szCs w:val="24"/>
        </w:rPr>
        <w:t xml:space="preserve"> exposed to </w:t>
      </w:r>
      <w:r w:rsidR="00B911B1" w:rsidRPr="00263E0A">
        <w:rPr>
          <w:rFonts w:ascii="Calibri" w:eastAsia="Calibri" w:hAnsi="Calibri" w:cs="Times New Roman"/>
          <w:bCs/>
          <w:sz w:val="24"/>
          <w:szCs w:val="24"/>
        </w:rPr>
        <w:t>romosozumab</w:t>
      </w:r>
      <w:r w:rsidR="004675F7" w:rsidRPr="00263E0A">
        <w:rPr>
          <w:rFonts w:ascii="Calibri" w:eastAsia="Calibri" w:hAnsi="Calibri" w:cs="Times New Roman"/>
          <w:bCs/>
          <w:sz w:val="24"/>
          <w:szCs w:val="24"/>
        </w:rPr>
        <w:t xml:space="preserve"> </w:t>
      </w:r>
      <w:r w:rsidR="00021591" w:rsidRPr="00263E0A">
        <w:rPr>
          <w:rFonts w:ascii="Calibri" w:eastAsia="Calibri" w:hAnsi="Calibri" w:cs="Times New Roman"/>
          <w:bCs/>
          <w:sz w:val="24"/>
          <w:szCs w:val="24"/>
        </w:rPr>
        <w:t xml:space="preserve">or teriparatide </w:t>
      </w:r>
      <w:r w:rsidR="004675F7" w:rsidRPr="00263E0A">
        <w:rPr>
          <w:rFonts w:ascii="Calibri" w:eastAsia="Calibri" w:hAnsi="Calibri" w:cs="Times New Roman"/>
          <w:bCs/>
          <w:sz w:val="24"/>
          <w:szCs w:val="24"/>
        </w:rPr>
        <w:t xml:space="preserve">would fall into the very </w:t>
      </w:r>
      <w:r w:rsidR="00810ADA" w:rsidRPr="00263E0A">
        <w:rPr>
          <w:rFonts w:ascii="Calibri" w:eastAsia="Calibri" w:hAnsi="Calibri" w:cs="Times New Roman"/>
          <w:bCs/>
          <w:sz w:val="24"/>
          <w:szCs w:val="24"/>
        </w:rPr>
        <w:t>high-risk</w:t>
      </w:r>
      <w:r w:rsidR="004675F7" w:rsidRPr="00263E0A">
        <w:rPr>
          <w:rFonts w:ascii="Calibri" w:eastAsia="Calibri" w:hAnsi="Calibri" w:cs="Times New Roman"/>
          <w:bCs/>
          <w:sz w:val="24"/>
          <w:szCs w:val="24"/>
        </w:rPr>
        <w:t xml:space="preserve"> category</w:t>
      </w:r>
      <w:r w:rsidR="00FD56A6">
        <w:rPr>
          <w:rFonts w:ascii="Calibri" w:eastAsia="Calibri" w:hAnsi="Calibri" w:cs="Times New Roman"/>
          <w:bCs/>
        </w:rPr>
        <w:t>.</w:t>
      </w:r>
    </w:p>
    <w:p w14:paraId="203F8D50" w14:textId="6258CAE1" w:rsidR="002C00A3" w:rsidRPr="009A252F" w:rsidRDefault="002C00A3" w:rsidP="00AA1754">
      <w:pPr>
        <w:spacing w:line="276" w:lineRule="auto"/>
        <w:ind w:left="567"/>
        <w:rPr>
          <w:rFonts w:ascii="Calibri" w:eastAsia="Calibri" w:hAnsi="Calibri" w:cs="Times New Roman"/>
          <w:bCs/>
          <w:sz w:val="24"/>
          <w:szCs w:val="24"/>
        </w:rPr>
      </w:pPr>
      <w:r w:rsidRPr="009A252F">
        <w:rPr>
          <w:rFonts w:ascii="Calibri" w:eastAsia="Calibri" w:hAnsi="Calibri" w:cs="Times New Roman"/>
          <w:b/>
          <w:sz w:val="24"/>
          <w:szCs w:val="24"/>
        </w:rPr>
        <w:t>Conclusions</w:t>
      </w:r>
      <w:r w:rsidR="003B4D58" w:rsidRPr="009A252F">
        <w:rPr>
          <w:rFonts w:ascii="Calibri" w:eastAsia="Calibri" w:hAnsi="Calibri" w:cs="Times New Roman"/>
          <w:b/>
          <w:sz w:val="24"/>
          <w:szCs w:val="24"/>
        </w:rPr>
        <w:t xml:space="preserve"> </w:t>
      </w:r>
      <w:r w:rsidR="00CD3E98" w:rsidRPr="009A252F">
        <w:rPr>
          <w:rFonts w:ascii="Calibri" w:eastAsia="Calibri" w:hAnsi="Calibri" w:cs="Times New Roman"/>
          <w:bCs/>
          <w:sz w:val="24"/>
          <w:szCs w:val="24"/>
        </w:rPr>
        <w:t>P</w:t>
      </w:r>
      <w:r w:rsidR="005B77FD" w:rsidRPr="009A252F">
        <w:rPr>
          <w:rFonts w:ascii="Calibri" w:eastAsia="Calibri" w:hAnsi="Calibri" w:cs="Times New Roman"/>
          <w:bCs/>
          <w:sz w:val="24"/>
          <w:szCs w:val="24"/>
        </w:rPr>
        <w:t xml:space="preserve">roposals for FRAX based criteria for very high risk </w:t>
      </w:r>
      <w:r w:rsidR="00F11BF6" w:rsidRPr="009A252F">
        <w:rPr>
          <w:rFonts w:ascii="Calibri" w:eastAsia="Calibri" w:hAnsi="Calibri" w:cs="Times New Roman"/>
          <w:bCs/>
          <w:sz w:val="24"/>
          <w:szCs w:val="24"/>
        </w:rPr>
        <w:t xml:space="preserve">for the NOGG hybrid </w:t>
      </w:r>
      <w:r w:rsidR="00E92F67" w:rsidRPr="009A252F">
        <w:rPr>
          <w:rFonts w:ascii="Calibri" w:eastAsia="Calibri" w:hAnsi="Calibri" w:cs="Times New Roman"/>
          <w:bCs/>
          <w:sz w:val="24"/>
          <w:szCs w:val="24"/>
        </w:rPr>
        <w:t xml:space="preserve">model </w:t>
      </w:r>
      <w:r w:rsidR="005B77FD" w:rsidRPr="009A252F">
        <w:rPr>
          <w:rFonts w:ascii="Calibri" w:eastAsia="Calibri" w:hAnsi="Calibri" w:cs="Times New Roman"/>
          <w:bCs/>
          <w:sz w:val="24"/>
          <w:szCs w:val="24"/>
        </w:rPr>
        <w:t xml:space="preserve">categorise a small proportion of women age 50 years or more (10%) </w:t>
      </w:r>
      <w:r w:rsidR="00687484">
        <w:rPr>
          <w:rFonts w:ascii="Calibri" w:eastAsia="Calibri" w:hAnsi="Calibri" w:cs="Times New Roman"/>
          <w:bCs/>
          <w:sz w:val="24"/>
          <w:szCs w:val="24"/>
        </w:rPr>
        <w:t>in this highest risk stratum. The level of risk identified was</w:t>
      </w:r>
      <w:r w:rsidR="00687484" w:rsidRPr="009A252F">
        <w:rPr>
          <w:rFonts w:ascii="Calibri" w:eastAsia="Calibri" w:hAnsi="Calibri" w:cs="Times New Roman"/>
          <w:bCs/>
          <w:sz w:val="24"/>
          <w:szCs w:val="24"/>
        </w:rPr>
        <w:t xml:space="preserve"> comparable </w:t>
      </w:r>
      <w:r w:rsidR="00687484">
        <w:rPr>
          <w:rFonts w:ascii="Calibri" w:eastAsia="Calibri" w:hAnsi="Calibri" w:cs="Times New Roman"/>
          <w:bCs/>
          <w:sz w:val="24"/>
          <w:szCs w:val="24"/>
        </w:rPr>
        <w:t xml:space="preserve">to </w:t>
      </w:r>
      <w:r w:rsidR="00687484" w:rsidRPr="009A252F">
        <w:rPr>
          <w:rFonts w:ascii="Calibri" w:eastAsia="Calibri" w:hAnsi="Calibri" w:cs="Times New Roman"/>
          <w:bCs/>
          <w:sz w:val="24"/>
          <w:szCs w:val="24"/>
        </w:rPr>
        <w:t>that of women enrolled in trials of anabolic agents.</w:t>
      </w:r>
      <w:r w:rsidR="005B77FD" w:rsidRPr="009A252F">
        <w:rPr>
          <w:rFonts w:ascii="Calibri" w:eastAsia="Calibri" w:hAnsi="Calibri" w:cs="Times New Roman"/>
          <w:b/>
          <w:sz w:val="24"/>
          <w:szCs w:val="24"/>
        </w:rPr>
        <w:t xml:space="preserve"> </w:t>
      </w:r>
    </w:p>
    <w:p w14:paraId="102942ED" w14:textId="77777777" w:rsidR="002C00A3" w:rsidRPr="009A252F" w:rsidRDefault="002C00A3" w:rsidP="00AA1754">
      <w:pPr>
        <w:spacing w:line="276" w:lineRule="auto"/>
        <w:ind w:left="567"/>
        <w:rPr>
          <w:rFonts w:ascii="Calibri" w:eastAsia="Calibri" w:hAnsi="Calibri" w:cs="Times New Roman"/>
          <w:b/>
          <w:sz w:val="24"/>
          <w:szCs w:val="24"/>
        </w:rPr>
      </w:pPr>
    </w:p>
    <w:p w14:paraId="0EDE4C24" w14:textId="547661F7" w:rsidR="00583C06" w:rsidRPr="009A252F" w:rsidRDefault="002C00A3" w:rsidP="00AA1754">
      <w:pPr>
        <w:spacing w:line="276" w:lineRule="auto"/>
        <w:ind w:left="567"/>
        <w:rPr>
          <w:rFonts w:ascii="Calibri" w:eastAsia="Calibri" w:hAnsi="Calibri" w:cs="Times New Roman"/>
          <w:b/>
          <w:sz w:val="24"/>
          <w:szCs w:val="24"/>
        </w:rPr>
      </w:pPr>
      <w:r w:rsidRPr="009A252F">
        <w:rPr>
          <w:rFonts w:ascii="Calibri" w:eastAsia="Calibri" w:hAnsi="Calibri" w:cs="Times New Roman"/>
          <w:b/>
          <w:sz w:val="24"/>
          <w:szCs w:val="24"/>
        </w:rPr>
        <w:t>Key</w:t>
      </w:r>
      <w:r w:rsidR="00FC643F" w:rsidRPr="009A252F">
        <w:rPr>
          <w:rFonts w:ascii="Calibri" w:eastAsia="Calibri" w:hAnsi="Calibri" w:cs="Times New Roman"/>
          <w:b/>
          <w:sz w:val="24"/>
          <w:szCs w:val="24"/>
        </w:rPr>
        <w:t xml:space="preserve">words </w:t>
      </w:r>
      <w:r w:rsidR="00E8075B" w:rsidRPr="009A252F">
        <w:rPr>
          <w:rFonts w:ascii="Calibri" w:eastAsia="Calibri" w:hAnsi="Calibri" w:cs="Times New Roman"/>
          <w:bCs/>
          <w:sz w:val="24"/>
          <w:szCs w:val="24"/>
        </w:rPr>
        <w:t xml:space="preserve">Anabolic treatments </w:t>
      </w:r>
      <w:r w:rsidR="00076ED2" w:rsidRPr="009A252F">
        <w:rPr>
          <w:rFonts w:ascii="Calibri" w:eastAsia="MS Mincho" w:hAnsi="Calibri" w:cs="Times New Roman"/>
          <w:sz w:val="24"/>
          <w:szCs w:val="24"/>
          <w:lang w:eastAsia="ja-JP"/>
        </w:rPr>
        <w:t xml:space="preserve">∙ </w:t>
      </w:r>
      <w:r w:rsidR="00E8075B" w:rsidRPr="009A252F">
        <w:rPr>
          <w:rFonts w:ascii="Calibri" w:eastAsia="Calibri" w:hAnsi="Calibri" w:cs="Times New Roman"/>
          <w:bCs/>
          <w:sz w:val="24"/>
          <w:szCs w:val="24"/>
        </w:rPr>
        <w:t>Assessment guidelines</w:t>
      </w:r>
      <w:r w:rsidR="00076ED2" w:rsidRPr="009A252F">
        <w:rPr>
          <w:rFonts w:ascii="Calibri" w:eastAsia="Calibri" w:hAnsi="Calibri" w:cs="Times New Roman"/>
          <w:bCs/>
          <w:sz w:val="24"/>
          <w:szCs w:val="24"/>
        </w:rPr>
        <w:t xml:space="preserve"> </w:t>
      </w:r>
      <w:r w:rsidR="00076ED2" w:rsidRPr="009A252F">
        <w:rPr>
          <w:rFonts w:ascii="Calibri" w:eastAsia="MS Mincho" w:hAnsi="Calibri" w:cs="Times New Roman"/>
          <w:sz w:val="24"/>
          <w:szCs w:val="24"/>
          <w:lang w:eastAsia="ja-JP"/>
        </w:rPr>
        <w:t>∙</w:t>
      </w:r>
      <w:r w:rsidR="00BE63A6" w:rsidRPr="009A252F">
        <w:rPr>
          <w:rFonts w:ascii="Calibri" w:eastAsia="MS Mincho" w:hAnsi="Calibri" w:cs="Times New Roman"/>
          <w:sz w:val="24"/>
          <w:szCs w:val="24"/>
          <w:lang w:eastAsia="ja-JP"/>
        </w:rPr>
        <w:t xml:space="preserve"> </w:t>
      </w:r>
      <w:r w:rsidR="00FC643F" w:rsidRPr="009A252F">
        <w:rPr>
          <w:rFonts w:ascii="Calibri" w:eastAsia="Calibri" w:hAnsi="Calibri" w:cs="Times New Roman"/>
          <w:bCs/>
          <w:sz w:val="24"/>
          <w:szCs w:val="24"/>
        </w:rPr>
        <w:t>High ris</w:t>
      </w:r>
      <w:r w:rsidR="008E3A42" w:rsidRPr="009A252F">
        <w:rPr>
          <w:rFonts w:ascii="Calibri" w:eastAsia="Calibri" w:hAnsi="Calibri" w:cs="Times New Roman"/>
          <w:bCs/>
          <w:sz w:val="24"/>
          <w:szCs w:val="24"/>
        </w:rPr>
        <w:t xml:space="preserve">k </w:t>
      </w:r>
      <w:r w:rsidR="00076ED2" w:rsidRPr="009A252F">
        <w:rPr>
          <w:rFonts w:ascii="Calibri" w:eastAsia="Calibri" w:hAnsi="Calibri" w:cs="Times New Roman"/>
          <w:bCs/>
          <w:sz w:val="24"/>
          <w:szCs w:val="24"/>
        </w:rPr>
        <w:t xml:space="preserve">∙ </w:t>
      </w:r>
      <w:r w:rsidR="008E3A42" w:rsidRPr="009A252F">
        <w:rPr>
          <w:rFonts w:ascii="Calibri" w:eastAsia="Calibri" w:hAnsi="Calibri" w:cs="Times New Roman"/>
          <w:bCs/>
          <w:sz w:val="24"/>
          <w:szCs w:val="24"/>
        </w:rPr>
        <w:t>Intervention thresholds</w:t>
      </w:r>
      <w:r w:rsidR="00CE585E" w:rsidRPr="009A252F">
        <w:rPr>
          <w:rFonts w:ascii="Calibri" w:eastAsia="Calibri" w:hAnsi="Calibri" w:cs="Times New Roman"/>
          <w:b/>
          <w:sz w:val="24"/>
          <w:szCs w:val="24"/>
        </w:rPr>
        <w:t xml:space="preserve"> </w:t>
      </w:r>
      <w:r w:rsidR="00076ED2" w:rsidRPr="009A252F">
        <w:rPr>
          <w:rFonts w:ascii="Calibri" w:eastAsia="Calibri" w:hAnsi="Calibri" w:cs="Times New Roman"/>
          <w:b/>
          <w:sz w:val="24"/>
          <w:szCs w:val="24"/>
        </w:rPr>
        <w:t xml:space="preserve">∙ </w:t>
      </w:r>
      <w:r w:rsidR="00E8075B" w:rsidRPr="009A252F">
        <w:rPr>
          <w:rFonts w:ascii="Calibri" w:eastAsia="Calibri" w:hAnsi="Calibri" w:cs="Times New Roman"/>
          <w:bCs/>
          <w:sz w:val="24"/>
          <w:szCs w:val="24"/>
        </w:rPr>
        <w:t>Very high risk</w:t>
      </w:r>
      <w:r w:rsidR="00E8075B" w:rsidRPr="009A252F">
        <w:rPr>
          <w:rFonts w:ascii="Calibri" w:eastAsia="Calibri" w:hAnsi="Calibri" w:cs="Times New Roman"/>
          <w:b/>
          <w:sz w:val="24"/>
          <w:szCs w:val="24"/>
        </w:rPr>
        <w:t xml:space="preserve"> </w:t>
      </w:r>
      <w:r w:rsidR="00583C06" w:rsidRPr="009A252F">
        <w:rPr>
          <w:rFonts w:ascii="Calibri" w:eastAsia="Calibri" w:hAnsi="Calibri" w:cs="Times New Roman"/>
          <w:b/>
          <w:sz w:val="24"/>
          <w:szCs w:val="24"/>
        </w:rPr>
        <w:br w:type="page"/>
      </w:r>
    </w:p>
    <w:p w14:paraId="6529FABA" w14:textId="77777777" w:rsidR="001811E9" w:rsidRDefault="001811E9" w:rsidP="00AA1754">
      <w:pPr>
        <w:autoSpaceDE w:val="0"/>
        <w:autoSpaceDN w:val="0"/>
        <w:adjustRightInd w:val="0"/>
        <w:spacing w:after="0" w:line="276" w:lineRule="auto"/>
        <w:rPr>
          <w:rFonts w:ascii="Calibri" w:hAnsi="Calibri" w:cs="Calibri"/>
          <w:b/>
          <w:bCs/>
          <w:color w:val="131413"/>
          <w:sz w:val="20"/>
          <w:szCs w:val="20"/>
        </w:rPr>
      </w:pPr>
    </w:p>
    <w:p w14:paraId="7B5FCDB4" w14:textId="77777777" w:rsidR="001811E9" w:rsidRDefault="001811E9" w:rsidP="00AA1754">
      <w:pPr>
        <w:autoSpaceDE w:val="0"/>
        <w:autoSpaceDN w:val="0"/>
        <w:adjustRightInd w:val="0"/>
        <w:spacing w:after="0" w:line="276" w:lineRule="auto"/>
        <w:rPr>
          <w:rFonts w:ascii="Calibri" w:hAnsi="Calibri" w:cs="Calibri"/>
          <w:b/>
          <w:bCs/>
          <w:color w:val="131413"/>
          <w:sz w:val="20"/>
          <w:szCs w:val="20"/>
        </w:rPr>
      </w:pPr>
    </w:p>
    <w:p w14:paraId="35D30073" w14:textId="77777777" w:rsidR="00106FF5" w:rsidRDefault="00106FF5" w:rsidP="00AA1754">
      <w:pPr>
        <w:autoSpaceDE w:val="0"/>
        <w:autoSpaceDN w:val="0"/>
        <w:adjustRightInd w:val="0"/>
        <w:spacing w:after="0" w:line="276" w:lineRule="auto"/>
        <w:rPr>
          <w:rFonts w:ascii="Calibri" w:hAnsi="Calibri" w:cs="Calibri"/>
          <w:b/>
          <w:bCs/>
          <w:color w:val="131413"/>
          <w:sz w:val="20"/>
          <w:szCs w:val="20"/>
        </w:rPr>
      </w:pPr>
    </w:p>
    <w:p w14:paraId="340B56FA" w14:textId="712BBBDD" w:rsidR="00E0088F" w:rsidRPr="0071536C" w:rsidRDefault="00E0088F" w:rsidP="00AA1754">
      <w:pPr>
        <w:autoSpaceDE w:val="0"/>
        <w:autoSpaceDN w:val="0"/>
        <w:adjustRightInd w:val="0"/>
        <w:spacing w:after="0" w:line="276" w:lineRule="auto"/>
        <w:rPr>
          <w:rFonts w:ascii="Calibri" w:hAnsi="Calibri" w:cs="Calibri"/>
          <w:b/>
          <w:bCs/>
          <w:color w:val="131413"/>
          <w:sz w:val="24"/>
          <w:szCs w:val="24"/>
        </w:rPr>
      </w:pPr>
      <w:r w:rsidRPr="0071536C">
        <w:rPr>
          <w:rFonts w:ascii="Calibri" w:hAnsi="Calibri" w:cs="Calibri"/>
          <w:b/>
          <w:bCs/>
          <w:color w:val="131413"/>
          <w:sz w:val="24"/>
          <w:szCs w:val="24"/>
        </w:rPr>
        <w:t>Introduction</w:t>
      </w:r>
    </w:p>
    <w:p w14:paraId="7B9E0EAE" w14:textId="23BAF57E" w:rsidR="00885AE6" w:rsidRPr="0071536C" w:rsidRDefault="00E0088F" w:rsidP="00AA1754">
      <w:pPr>
        <w:autoSpaceDE w:val="0"/>
        <w:autoSpaceDN w:val="0"/>
        <w:adjustRightInd w:val="0"/>
        <w:spacing w:after="0" w:line="276" w:lineRule="auto"/>
        <w:rPr>
          <w:rFonts w:ascii="Calibri" w:hAnsi="Calibri" w:cs="Calibri"/>
          <w:color w:val="131413"/>
          <w:sz w:val="24"/>
          <w:szCs w:val="24"/>
        </w:rPr>
      </w:pPr>
      <w:r w:rsidRPr="0071536C">
        <w:rPr>
          <w:rFonts w:ascii="Calibri" w:hAnsi="Calibri" w:cs="Calibri"/>
          <w:color w:val="131413"/>
          <w:sz w:val="24"/>
          <w:szCs w:val="24"/>
        </w:rPr>
        <w:t>The development of fracture risk assessment tools has enabled a step change in the management of osteoporosis as patients can now be selected for therapy on the basis of absolute fracture risk rather than bone mineral density (BMD) T-score alone. Of the several assessment tools available, the most</w:t>
      </w:r>
      <w:r w:rsidR="00D03F55">
        <w:rPr>
          <w:rFonts w:ascii="Calibri" w:hAnsi="Calibri" w:cs="Calibri"/>
          <w:color w:val="131413"/>
          <w:sz w:val="24"/>
          <w:szCs w:val="24"/>
        </w:rPr>
        <w:t xml:space="preserve"> </w:t>
      </w:r>
      <w:r w:rsidRPr="0071536C">
        <w:rPr>
          <w:rFonts w:ascii="Calibri" w:hAnsi="Calibri" w:cs="Calibri"/>
          <w:color w:val="131413"/>
          <w:sz w:val="24"/>
          <w:szCs w:val="24"/>
        </w:rPr>
        <w:t xml:space="preserve">widely used is FRAX® which is recommended in more than 100 national and international </w:t>
      </w:r>
      <w:r w:rsidRPr="0071536C">
        <w:rPr>
          <w:rFonts w:ascii="Calibri" w:hAnsi="Calibri" w:cs="Calibri"/>
          <w:sz w:val="24"/>
          <w:szCs w:val="24"/>
        </w:rPr>
        <w:t>guidelines [</w:t>
      </w:r>
      <w:r w:rsidR="004E61D0">
        <w:rPr>
          <w:rFonts w:ascii="Calibri" w:hAnsi="Calibri" w:cs="Calibri"/>
          <w:sz w:val="24"/>
          <w:szCs w:val="24"/>
        </w:rPr>
        <w:t>1</w:t>
      </w:r>
      <w:r w:rsidRPr="0071536C">
        <w:rPr>
          <w:rFonts w:ascii="Calibri" w:hAnsi="Calibri" w:cs="Calibri"/>
          <w:sz w:val="24"/>
          <w:szCs w:val="24"/>
        </w:rPr>
        <w:t>].</w:t>
      </w:r>
      <w:r w:rsidR="0088052F" w:rsidRPr="0071536C">
        <w:rPr>
          <w:rFonts w:ascii="Calibri" w:hAnsi="Calibri" w:cs="Calibri"/>
          <w:sz w:val="24"/>
          <w:szCs w:val="24"/>
        </w:rPr>
        <w:t xml:space="preserve"> </w:t>
      </w:r>
      <w:r w:rsidR="00EC320A" w:rsidRPr="0071536C">
        <w:rPr>
          <w:rFonts w:ascii="Calibri" w:hAnsi="Calibri" w:cs="Calibri"/>
          <w:sz w:val="24"/>
          <w:szCs w:val="24"/>
        </w:rPr>
        <w:t xml:space="preserve"> </w:t>
      </w:r>
      <w:r w:rsidR="0088052F" w:rsidRPr="0071536C">
        <w:rPr>
          <w:rFonts w:ascii="Calibri" w:hAnsi="Calibri" w:cs="Calibri"/>
          <w:sz w:val="24"/>
          <w:szCs w:val="24"/>
        </w:rPr>
        <w:t xml:space="preserve">The approach used to direct interventions </w:t>
      </w:r>
      <w:r w:rsidR="00F75326">
        <w:rPr>
          <w:rFonts w:ascii="Calibri" w:hAnsi="Calibri" w:cs="Calibri"/>
          <w:sz w:val="24"/>
          <w:szCs w:val="24"/>
        </w:rPr>
        <w:t xml:space="preserve">with FRAX </w:t>
      </w:r>
      <w:r w:rsidR="0088052F" w:rsidRPr="0071536C">
        <w:rPr>
          <w:rFonts w:ascii="Calibri" w:hAnsi="Calibri" w:cs="Calibri"/>
          <w:sz w:val="24"/>
          <w:szCs w:val="24"/>
        </w:rPr>
        <w:t xml:space="preserve">has varied worldwide.  In the US and Japan, for example, </w:t>
      </w:r>
      <w:r w:rsidR="0088052F" w:rsidRPr="0071536C">
        <w:rPr>
          <w:rFonts w:ascii="Calibri" w:hAnsi="Calibri" w:cs="Calibri"/>
          <w:color w:val="131413"/>
          <w:sz w:val="24"/>
          <w:szCs w:val="24"/>
        </w:rPr>
        <w:t xml:space="preserve">BMD </w:t>
      </w:r>
      <w:r w:rsidR="00BD0EA2">
        <w:rPr>
          <w:rFonts w:ascii="Calibri" w:hAnsi="Calibri" w:cs="Calibri"/>
          <w:color w:val="131413"/>
          <w:sz w:val="24"/>
          <w:szCs w:val="24"/>
        </w:rPr>
        <w:t xml:space="preserve">has </w:t>
      </w:r>
      <w:r w:rsidR="0088052F" w:rsidRPr="0071536C">
        <w:rPr>
          <w:rFonts w:ascii="Calibri" w:hAnsi="Calibri" w:cs="Calibri"/>
          <w:color w:val="131413"/>
          <w:sz w:val="24"/>
          <w:szCs w:val="24"/>
        </w:rPr>
        <w:t xml:space="preserve">remained the gateway for risk assessment and FRAX </w:t>
      </w:r>
      <w:r w:rsidR="003013A3">
        <w:rPr>
          <w:rFonts w:ascii="Calibri" w:hAnsi="Calibri" w:cs="Calibri"/>
          <w:color w:val="131413"/>
          <w:sz w:val="24"/>
          <w:szCs w:val="24"/>
        </w:rPr>
        <w:t>is</w:t>
      </w:r>
      <w:r w:rsidR="0088052F" w:rsidRPr="0071536C">
        <w:rPr>
          <w:rFonts w:ascii="Calibri" w:hAnsi="Calibri" w:cs="Calibri"/>
          <w:color w:val="131413"/>
          <w:sz w:val="24"/>
          <w:szCs w:val="24"/>
        </w:rPr>
        <w:t xml:space="preserve"> reserved for those individuals without osteoporosis but with a low BMD [</w:t>
      </w:r>
      <w:r w:rsidR="00F63360">
        <w:rPr>
          <w:rFonts w:ascii="Calibri" w:hAnsi="Calibri" w:cs="Calibri"/>
          <w:color w:val="131413"/>
          <w:sz w:val="24"/>
          <w:szCs w:val="24"/>
        </w:rPr>
        <w:t>2</w:t>
      </w:r>
      <w:r w:rsidR="00225E3D">
        <w:rPr>
          <w:rFonts w:ascii="Calibri" w:hAnsi="Calibri" w:cs="Calibri"/>
          <w:color w:val="131413"/>
          <w:sz w:val="24"/>
          <w:szCs w:val="24"/>
        </w:rPr>
        <w:t>,3]</w:t>
      </w:r>
      <w:r w:rsidR="0088052F" w:rsidRPr="0071536C">
        <w:rPr>
          <w:rFonts w:ascii="Calibri" w:hAnsi="Calibri" w:cs="Calibri"/>
          <w:color w:val="131413"/>
          <w:sz w:val="24"/>
          <w:szCs w:val="24"/>
        </w:rPr>
        <w:t>.  Both guidelines used a fixed intervention threshold for FRAX (20% and 15% 10-year probability of a major osteoporotic fracture, respectively).  In many other countries, particularly in Europe</w:t>
      </w:r>
      <w:r w:rsidR="00C357F3">
        <w:rPr>
          <w:rFonts w:ascii="Calibri" w:hAnsi="Calibri" w:cs="Calibri"/>
          <w:color w:val="131413"/>
          <w:sz w:val="24"/>
          <w:szCs w:val="24"/>
        </w:rPr>
        <w:t>, parts o</w:t>
      </w:r>
      <w:r w:rsidR="002F5832">
        <w:rPr>
          <w:rFonts w:ascii="Calibri" w:hAnsi="Calibri" w:cs="Calibri"/>
          <w:color w:val="131413"/>
          <w:sz w:val="24"/>
          <w:szCs w:val="24"/>
        </w:rPr>
        <w:t>f Asia</w:t>
      </w:r>
      <w:r w:rsidR="0088052F" w:rsidRPr="0071536C">
        <w:rPr>
          <w:rFonts w:ascii="Calibri" w:hAnsi="Calibri" w:cs="Calibri"/>
          <w:color w:val="131413"/>
          <w:sz w:val="24"/>
          <w:szCs w:val="24"/>
        </w:rPr>
        <w:t xml:space="preserve"> and Latin America, age</w:t>
      </w:r>
      <w:r w:rsidR="00A60934">
        <w:rPr>
          <w:rFonts w:ascii="Calibri" w:hAnsi="Calibri" w:cs="Calibri"/>
          <w:color w:val="131413"/>
          <w:sz w:val="24"/>
          <w:szCs w:val="24"/>
        </w:rPr>
        <w:t>-</w:t>
      </w:r>
      <w:r w:rsidR="0088052F" w:rsidRPr="0071536C">
        <w:rPr>
          <w:rFonts w:ascii="Calibri" w:hAnsi="Calibri" w:cs="Calibri"/>
          <w:color w:val="131413"/>
          <w:sz w:val="24"/>
          <w:szCs w:val="24"/>
        </w:rPr>
        <w:t xml:space="preserve">dependent intervention thresholds have been </w:t>
      </w:r>
      <w:r w:rsidR="009173D7" w:rsidRPr="0071536C">
        <w:rPr>
          <w:rFonts w:ascii="Calibri" w:hAnsi="Calibri" w:cs="Calibri"/>
          <w:color w:val="131413"/>
          <w:sz w:val="24"/>
          <w:szCs w:val="24"/>
        </w:rPr>
        <w:t>preferred</w:t>
      </w:r>
      <w:r w:rsidR="0088052F" w:rsidRPr="0071536C">
        <w:rPr>
          <w:rFonts w:ascii="Calibri" w:hAnsi="Calibri" w:cs="Calibri"/>
          <w:color w:val="131413"/>
          <w:sz w:val="24"/>
          <w:szCs w:val="24"/>
        </w:rPr>
        <w:t xml:space="preserve"> </w:t>
      </w:r>
      <w:r w:rsidR="006B3C4A">
        <w:rPr>
          <w:rFonts w:ascii="Calibri" w:hAnsi="Calibri" w:cs="Calibri"/>
          <w:color w:val="131413"/>
          <w:sz w:val="24"/>
          <w:szCs w:val="24"/>
        </w:rPr>
        <w:t>[1,</w:t>
      </w:r>
      <w:r w:rsidR="00225E3D">
        <w:rPr>
          <w:rFonts w:ascii="Calibri" w:hAnsi="Calibri" w:cs="Calibri"/>
          <w:color w:val="131413"/>
          <w:sz w:val="24"/>
          <w:szCs w:val="24"/>
        </w:rPr>
        <w:t xml:space="preserve"> 4</w:t>
      </w:r>
      <w:r w:rsidR="00D65595">
        <w:rPr>
          <w:rFonts w:ascii="Calibri" w:hAnsi="Calibri" w:cs="Calibri"/>
          <w:color w:val="131413"/>
          <w:sz w:val="24"/>
          <w:szCs w:val="24"/>
        </w:rPr>
        <w:t xml:space="preserve">, 5, </w:t>
      </w:r>
      <w:r w:rsidR="002438F2">
        <w:rPr>
          <w:rFonts w:ascii="Calibri" w:hAnsi="Calibri" w:cs="Calibri"/>
          <w:color w:val="131413"/>
          <w:sz w:val="24"/>
          <w:szCs w:val="24"/>
        </w:rPr>
        <w:t>6]</w:t>
      </w:r>
      <w:r w:rsidR="009173D7" w:rsidRPr="0071536C">
        <w:rPr>
          <w:rFonts w:ascii="Calibri" w:hAnsi="Calibri" w:cs="Calibri"/>
          <w:color w:val="131413"/>
          <w:sz w:val="24"/>
          <w:szCs w:val="24"/>
        </w:rPr>
        <w:t xml:space="preserve">.  </w:t>
      </w:r>
      <w:r w:rsidR="0088052F" w:rsidRPr="0071536C">
        <w:rPr>
          <w:rFonts w:ascii="Calibri" w:hAnsi="Calibri" w:cs="Calibri"/>
          <w:color w:val="131413"/>
          <w:sz w:val="24"/>
          <w:szCs w:val="24"/>
        </w:rPr>
        <w:t xml:space="preserve"> </w:t>
      </w:r>
      <w:r w:rsidR="009173D7" w:rsidRPr="0071536C">
        <w:rPr>
          <w:rFonts w:ascii="Calibri" w:hAnsi="Calibri" w:cs="Calibri"/>
          <w:color w:val="131413"/>
          <w:sz w:val="24"/>
          <w:szCs w:val="24"/>
        </w:rPr>
        <w:t xml:space="preserve">Given that most assessment guidelines recommend treatment in postmenopausal women with a prior fragility </w:t>
      </w:r>
      <w:r w:rsidR="002B0A65" w:rsidRPr="0071536C">
        <w:rPr>
          <w:rFonts w:ascii="Calibri" w:hAnsi="Calibri" w:cs="Calibri"/>
          <w:color w:val="131413"/>
          <w:sz w:val="24"/>
          <w:szCs w:val="24"/>
        </w:rPr>
        <w:t>fracture, age</w:t>
      </w:r>
      <w:r w:rsidR="009173D7" w:rsidRPr="0071536C">
        <w:rPr>
          <w:rFonts w:ascii="Calibri" w:hAnsi="Calibri" w:cs="Calibri"/>
          <w:color w:val="131413"/>
          <w:sz w:val="24"/>
          <w:szCs w:val="24"/>
        </w:rPr>
        <w:t>-dependent intervention thresholds reflect the age-specific fracture probability equivalent to a woman of average BMI with a prior fragility fracture, no additional risk factors and without knowledge of BMD.</w:t>
      </w:r>
      <w:r w:rsidR="0088052F" w:rsidRPr="0071536C">
        <w:rPr>
          <w:rFonts w:ascii="Calibri" w:hAnsi="Calibri" w:cs="Calibri"/>
          <w:color w:val="131413"/>
          <w:sz w:val="24"/>
          <w:szCs w:val="24"/>
        </w:rPr>
        <w:t xml:space="preserve"> </w:t>
      </w:r>
      <w:r w:rsidR="000B0C3A">
        <w:rPr>
          <w:rFonts w:ascii="Calibri" w:hAnsi="Calibri" w:cs="Calibri"/>
          <w:color w:val="131413"/>
          <w:sz w:val="24"/>
          <w:szCs w:val="24"/>
        </w:rPr>
        <w:t>In the UK,</w:t>
      </w:r>
      <w:r w:rsidR="009173D7" w:rsidRPr="0071536C">
        <w:rPr>
          <w:rFonts w:ascii="Calibri" w:hAnsi="Calibri" w:cs="Calibri"/>
          <w:color w:val="131413"/>
          <w:sz w:val="24"/>
          <w:szCs w:val="24"/>
        </w:rPr>
        <w:t xml:space="preserve"> </w:t>
      </w:r>
      <w:r w:rsidR="000B0C3A">
        <w:rPr>
          <w:rFonts w:ascii="Calibri" w:hAnsi="Calibri" w:cs="Calibri"/>
          <w:color w:val="131413"/>
          <w:sz w:val="24"/>
          <w:szCs w:val="24"/>
        </w:rPr>
        <w:t>t</w:t>
      </w:r>
      <w:r w:rsidR="009173D7" w:rsidRPr="0071536C">
        <w:rPr>
          <w:rFonts w:ascii="Calibri" w:hAnsi="Calibri" w:cs="Calibri"/>
          <w:color w:val="131413"/>
          <w:sz w:val="24"/>
          <w:szCs w:val="24"/>
        </w:rPr>
        <w:t xml:space="preserve">he National Osteoporosis Guideline Group (NOGG) adopted what has been termed a hybrid approach – namely an age-dependent threshold up to the age of </w:t>
      </w:r>
      <w:r w:rsidR="00663163">
        <w:rPr>
          <w:rFonts w:ascii="Calibri" w:hAnsi="Calibri" w:cs="Calibri"/>
          <w:color w:val="131413"/>
          <w:sz w:val="24"/>
          <w:szCs w:val="24"/>
        </w:rPr>
        <w:t>70</w:t>
      </w:r>
      <w:r w:rsidR="00663163" w:rsidRPr="0071536C">
        <w:rPr>
          <w:rFonts w:ascii="Calibri" w:hAnsi="Calibri" w:cs="Calibri"/>
          <w:color w:val="131413"/>
          <w:sz w:val="24"/>
          <w:szCs w:val="24"/>
        </w:rPr>
        <w:t xml:space="preserve"> </w:t>
      </w:r>
      <w:r w:rsidR="009173D7" w:rsidRPr="0071536C">
        <w:rPr>
          <w:rFonts w:ascii="Calibri" w:hAnsi="Calibri" w:cs="Calibri"/>
          <w:color w:val="131413"/>
          <w:sz w:val="24"/>
          <w:szCs w:val="24"/>
        </w:rPr>
        <w:t xml:space="preserve">years </w:t>
      </w:r>
      <w:r w:rsidR="00663163">
        <w:rPr>
          <w:rFonts w:ascii="Calibri" w:hAnsi="Calibri" w:cs="Calibri"/>
          <w:color w:val="131413"/>
          <w:sz w:val="24"/>
          <w:szCs w:val="24"/>
        </w:rPr>
        <w:t>with</w:t>
      </w:r>
      <w:r w:rsidR="00663163" w:rsidRPr="0071536C">
        <w:rPr>
          <w:rFonts w:ascii="Calibri" w:hAnsi="Calibri" w:cs="Calibri"/>
          <w:color w:val="131413"/>
          <w:sz w:val="24"/>
          <w:szCs w:val="24"/>
        </w:rPr>
        <w:t xml:space="preserve"> </w:t>
      </w:r>
      <w:r w:rsidR="009173D7" w:rsidRPr="0071536C">
        <w:rPr>
          <w:rFonts w:ascii="Calibri" w:hAnsi="Calibri" w:cs="Calibri"/>
          <w:color w:val="131413"/>
          <w:sz w:val="24"/>
          <w:szCs w:val="24"/>
        </w:rPr>
        <w:t xml:space="preserve">a fixed threshold </w:t>
      </w:r>
      <w:r w:rsidR="00D90C43">
        <w:rPr>
          <w:rFonts w:ascii="Calibri" w:hAnsi="Calibri" w:cs="Calibri"/>
          <w:color w:val="131413"/>
          <w:sz w:val="24"/>
          <w:szCs w:val="24"/>
        </w:rPr>
        <w:t>thereafter</w:t>
      </w:r>
      <w:r w:rsidR="00D90C43" w:rsidRPr="0071536C">
        <w:rPr>
          <w:rFonts w:ascii="Calibri" w:hAnsi="Calibri" w:cs="Calibri"/>
          <w:color w:val="131413"/>
          <w:sz w:val="24"/>
          <w:szCs w:val="24"/>
        </w:rPr>
        <w:t xml:space="preserve"> </w:t>
      </w:r>
      <w:r w:rsidR="00D90C43">
        <w:rPr>
          <w:rFonts w:ascii="Calibri" w:hAnsi="Calibri" w:cs="Calibri"/>
          <w:color w:val="131413"/>
          <w:sz w:val="24"/>
          <w:szCs w:val="24"/>
        </w:rPr>
        <w:t>[</w:t>
      </w:r>
      <w:r w:rsidR="00FD5F79">
        <w:rPr>
          <w:rFonts w:ascii="Calibri" w:hAnsi="Calibri" w:cs="Calibri"/>
          <w:color w:val="131413"/>
          <w:sz w:val="24"/>
          <w:szCs w:val="24"/>
        </w:rPr>
        <w:t>7,8]</w:t>
      </w:r>
      <w:r w:rsidR="008A72D6" w:rsidRPr="0071536C">
        <w:rPr>
          <w:rFonts w:ascii="Calibri" w:hAnsi="Calibri" w:cs="Calibri"/>
          <w:color w:val="131413"/>
          <w:sz w:val="24"/>
          <w:szCs w:val="24"/>
        </w:rPr>
        <w:t>.</w:t>
      </w:r>
      <w:r w:rsidR="001A0AFF">
        <w:rPr>
          <w:rFonts w:ascii="Calibri" w:hAnsi="Calibri" w:cs="Calibri"/>
          <w:color w:val="131413"/>
          <w:sz w:val="24"/>
          <w:szCs w:val="24"/>
        </w:rPr>
        <w:t xml:space="preserve"> The reason </w:t>
      </w:r>
      <w:r w:rsidR="00FA3412">
        <w:rPr>
          <w:rFonts w:ascii="Calibri" w:hAnsi="Calibri" w:cs="Calibri"/>
          <w:color w:val="131413"/>
          <w:sz w:val="24"/>
          <w:szCs w:val="24"/>
        </w:rPr>
        <w:t xml:space="preserve">for the fixed threshold </w:t>
      </w:r>
      <w:r w:rsidR="001A0AFF">
        <w:rPr>
          <w:rFonts w:ascii="Calibri" w:hAnsi="Calibri" w:cs="Calibri"/>
          <w:color w:val="131413"/>
          <w:sz w:val="24"/>
          <w:szCs w:val="24"/>
        </w:rPr>
        <w:t>was</w:t>
      </w:r>
      <w:r w:rsidR="008522E7">
        <w:rPr>
          <w:rFonts w:ascii="Calibri" w:hAnsi="Calibri" w:cs="Calibri"/>
          <w:color w:val="131413"/>
          <w:sz w:val="24"/>
          <w:szCs w:val="24"/>
        </w:rPr>
        <w:t xml:space="preserve"> </w:t>
      </w:r>
      <w:r w:rsidR="0060527E">
        <w:rPr>
          <w:rFonts w:ascii="Calibri" w:hAnsi="Calibri" w:cs="Calibri"/>
          <w:color w:val="131413"/>
          <w:sz w:val="24"/>
          <w:szCs w:val="24"/>
        </w:rPr>
        <w:t xml:space="preserve">to </w:t>
      </w:r>
      <w:r w:rsidR="008522E7">
        <w:rPr>
          <w:rFonts w:ascii="Calibri" w:hAnsi="Calibri" w:cs="Calibri"/>
          <w:color w:val="131413"/>
          <w:sz w:val="24"/>
          <w:szCs w:val="24"/>
        </w:rPr>
        <w:t>decrease inequalities</w:t>
      </w:r>
      <w:r w:rsidR="008522E7" w:rsidRPr="008522E7">
        <w:t xml:space="preserve"> </w:t>
      </w:r>
      <w:r w:rsidR="008522E7" w:rsidRPr="008522E7">
        <w:rPr>
          <w:rFonts w:ascii="Calibri" w:hAnsi="Calibri" w:cs="Calibri"/>
          <w:color w:val="131413"/>
          <w:sz w:val="24"/>
          <w:szCs w:val="24"/>
        </w:rPr>
        <w:t>in access</w:t>
      </w:r>
      <w:r w:rsidR="0060527E">
        <w:rPr>
          <w:rFonts w:ascii="Calibri" w:hAnsi="Calibri" w:cs="Calibri"/>
          <w:color w:val="131413"/>
          <w:sz w:val="24"/>
          <w:szCs w:val="24"/>
        </w:rPr>
        <w:t xml:space="preserve"> </w:t>
      </w:r>
      <w:r w:rsidR="008522E7" w:rsidRPr="008522E7">
        <w:rPr>
          <w:rFonts w:ascii="Calibri" w:hAnsi="Calibri" w:cs="Calibri"/>
          <w:color w:val="131413"/>
          <w:sz w:val="24"/>
          <w:szCs w:val="24"/>
        </w:rPr>
        <w:t xml:space="preserve">to therapy </w:t>
      </w:r>
      <w:r w:rsidR="00CE0D51">
        <w:rPr>
          <w:rFonts w:ascii="Calibri" w:hAnsi="Calibri" w:cs="Calibri"/>
          <w:color w:val="131413"/>
          <w:sz w:val="24"/>
          <w:szCs w:val="24"/>
        </w:rPr>
        <w:t xml:space="preserve">that </w:t>
      </w:r>
      <w:r w:rsidR="008522E7" w:rsidRPr="008522E7">
        <w:rPr>
          <w:rFonts w:ascii="Calibri" w:hAnsi="Calibri" w:cs="Calibri"/>
          <w:color w:val="131413"/>
          <w:sz w:val="24"/>
          <w:szCs w:val="24"/>
        </w:rPr>
        <w:t>ar</w:t>
      </w:r>
      <w:r w:rsidR="00CE0D51">
        <w:rPr>
          <w:rFonts w:ascii="Calibri" w:hAnsi="Calibri" w:cs="Calibri"/>
          <w:color w:val="131413"/>
          <w:sz w:val="24"/>
          <w:szCs w:val="24"/>
        </w:rPr>
        <w:t>o</w:t>
      </w:r>
      <w:r w:rsidR="008522E7" w:rsidRPr="008522E7">
        <w:rPr>
          <w:rFonts w:ascii="Calibri" w:hAnsi="Calibri" w:cs="Calibri"/>
          <w:color w:val="131413"/>
          <w:sz w:val="24"/>
          <w:szCs w:val="24"/>
        </w:rPr>
        <w:t>se at older ages</w:t>
      </w:r>
      <w:r w:rsidR="0060527E">
        <w:rPr>
          <w:rFonts w:ascii="Calibri" w:hAnsi="Calibri" w:cs="Calibri"/>
          <w:color w:val="131413"/>
          <w:sz w:val="24"/>
          <w:szCs w:val="24"/>
        </w:rPr>
        <w:t xml:space="preserve"> </w:t>
      </w:r>
      <w:r w:rsidR="008522E7" w:rsidRPr="008522E7">
        <w:rPr>
          <w:rFonts w:ascii="Calibri" w:hAnsi="Calibri" w:cs="Calibri"/>
          <w:color w:val="131413"/>
          <w:sz w:val="24"/>
          <w:szCs w:val="24"/>
        </w:rPr>
        <w:t>(≥70 years) depending on the presence or absence</w:t>
      </w:r>
      <w:r w:rsidR="009B52FB">
        <w:rPr>
          <w:rFonts w:ascii="Calibri" w:hAnsi="Calibri" w:cs="Calibri"/>
          <w:color w:val="131413"/>
          <w:sz w:val="24"/>
          <w:szCs w:val="24"/>
        </w:rPr>
        <w:t xml:space="preserve"> </w:t>
      </w:r>
      <w:r w:rsidR="008522E7" w:rsidRPr="008522E7">
        <w:rPr>
          <w:rFonts w:ascii="Calibri" w:hAnsi="Calibri" w:cs="Calibri"/>
          <w:color w:val="131413"/>
          <w:sz w:val="24"/>
          <w:szCs w:val="24"/>
        </w:rPr>
        <w:t>of a prior fracture.</w:t>
      </w:r>
    </w:p>
    <w:p w14:paraId="2ABD86F0" w14:textId="43EE5ECF" w:rsidR="008A72D6" w:rsidRPr="0071536C" w:rsidRDefault="008A72D6" w:rsidP="00AA1754">
      <w:pPr>
        <w:autoSpaceDE w:val="0"/>
        <w:autoSpaceDN w:val="0"/>
        <w:adjustRightInd w:val="0"/>
        <w:spacing w:after="0" w:line="276" w:lineRule="auto"/>
        <w:rPr>
          <w:rFonts w:ascii="Calibri" w:hAnsi="Calibri" w:cs="Calibri"/>
          <w:color w:val="131413"/>
          <w:sz w:val="24"/>
          <w:szCs w:val="24"/>
        </w:rPr>
      </w:pPr>
    </w:p>
    <w:p w14:paraId="2AB7F8D4" w14:textId="77676665" w:rsidR="008A72D6" w:rsidRPr="0071536C" w:rsidRDefault="008A72D6" w:rsidP="00AA1754">
      <w:pPr>
        <w:autoSpaceDE w:val="0"/>
        <w:autoSpaceDN w:val="0"/>
        <w:adjustRightInd w:val="0"/>
        <w:spacing w:after="0" w:line="276" w:lineRule="auto"/>
        <w:rPr>
          <w:rFonts w:ascii="Calibri" w:hAnsi="Calibri" w:cs="Calibri"/>
          <w:color w:val="131413"/>
          <w:sz w:val="24"/>
          <w:szCs w:val="24"/>
        </w:rPr>
      </w:pPr>
      <w:r w:rsidRPr="0071536C">
        <w:rPr>
          <w:rFonts w:ascii="Calibri" w:hAnsi="Calibri" w:cs="Calibri"/>
          <w:color w:val="131413"/>
          <w:sz w:val="24"/>
          <w:szCs w:val="24"/>
        </w:rPr>
        <w:t xml:space="preserve">Recently, </w:t>
      </w:r>
      <w:r w:rsidR="00BE080A" w:rsidRPr="0071536C">
        <w:rPr>
          <w:sz w:val="24"/>
          <w:szCs w:val="24"/>
        </w:rPr>
        <w:t xml:space="preserve">the </w:t>
      </w:r>
      <w:r w:rsidR="00BE080A" w:rsidRPr="0071536C">
        <w:rPr>
          <w:rFonts w:ascii="Calibri" w:hAnsi="Calibri" w:cs="Calibri"/>
          <w:color w:val="131413"/>
          <w:sz w:val="24"/>
          <w:szCs w:val="24"/>
        </w:rPr>
        <w:t xml:space="preserve">International Osteoporosis Foundation </w:t>
      </w:r>
      <w:r w:rsidR="008D2C8C" w:rsidRPr="008D2C8C">
        <w:rPr>
          <w:rFonts w:ascii="Calibri" w:hAnsi="Calibri" w:cs="Calibri"/>
          <w:color w:val="131413"/>
          <w:sz w:val="24"/>
          <w:szCs w:val="24"/>
        </w:rPr>
        <w:t xml:space="preserve">(IOF) </w:t>
      </w:r>
      <w:r w:rsidR="00BE080A" w:rsidRPr="0071536C">
        <w:rPr>
          <w:rFonts w:ascii="Calibri" w:hAnsi="Calibri" w:cs="Calibri"/>
          <w:color w:val="131413"/>
          <w:sz w:val="24"/>
          <w:szCs w:val="24"/>
        </w:rPr>
        <w:t xml:space="preserve">and </w:t>
      </w:r>
      <w:bookmarkStart w:id="3" w:name="_Hlk62048527"/>
      <w:r w:rsidR="00BE080A" w:rsidRPr="0071536C">
        <w:rPr>
          <w:rFonts w:ascii="Calibri" w:hAnsi="Calibri" w:cs="Calibri"/>
          <w:color w:val="131413"/>
          <w:sz w:val="24"/>
          <w:szCs w:val="24"/>
        </w:rPr>
        <w:t>European Society for Clinical and Economic Aspects of Osteoporosis and Osteoarthritis</w:t>
      </w:r>
      <w:bookmarkEnd w:id="3"/>
      <w:r w:rsidR="008D2C8C">
        <w:rPr>
          <w:rFonts w:ascii="Calibri" w:hAnsi="Calibri" w:cs="Calibri"/>
          <w:color w:val="131413"/>
          <w:sz w:val="24"/>
          <w:szCs w:val="24"/>
        </w:rPr>
        <w:t xml:space="preserve"> (ESCEO)</w:t>
      </w:r>
      <w:r w:rsidR="00BE080A" w:rsidRPr="0071536C">
        <w:rPr>
          <w:rFonts w:ascii="Calibri" w:hAnsi="Calibri" w:cs="Calibri"/>
          <w:color w:val="131413"/>
          <w:sz w:val="24"/>
          <w:szCs w:val="24"/>
        </w:rPr>
        <w:t xml:space="preserve"> </w:t>
      </w:r>
      <w:r w:rsidR="0043110A" w:rsidRPr="0071536C">
        <w:rPr>
          <w:rFonts w:ascii="Calibri" w:hAnsi="Calibri" w:cs="Calibri"/>
          <w:color w:val="131413"/>
          <w:sz w:val="24"/>
          <w:szCs w:val="24"/>
        </w:rPr>
        <w:t>recommended that</w:t>
      </w:r>
      <w:r w:rsidRPr="0071536C">
        <w:rPr>
          <w:rFonts w:ascii="Calibri" w:hAnsi="Calibri" w:cs="Calibri"/>
          <w:color w:val="131413"/>
          <w:sz w:val="24"/>
          <w:szCs w:val="24"/>
        </w:rPr>
        <w:t xml:space="preserve"> individuals eligible for treatment</w:t>
      </w:r>
      <w:r w:rsidR="0043110A" w:rsidRPr="0071536C">
        <w:rPr>
          <w:rFonts w:ascii="Calibri" w:hAnsi="Calibri" w:cs="Calibri"/>
          <w:color w:val="131413"/>
          <w:sz w:val="24"/>
          <w:szCs w:val="24"/>
        </w:rPr>
        <w:t xml:space="preserve"> be </w:t>
      </w:r>
      <w:r w:rsidR="00C56FC1" w:rsidRPr="0071536C">
        <w:rPr>
          <w:rFonts w:ascii="Calibri" w:hAnsi="Calibri" w:cs="Calibri"/>
          <w:color w:val="131413"/>
          <w:sz w:val="24"/>
          <w:szCs w:val="24"/>
        </w:rPr>
        <w:t>dichotomised</w:t>
      </w:r>
      <w:r w:rsidRPr="0071536C">
        <w:rPr>
          <w:rFonts w:ascii="Calibri" w:hAnsi="Calibri" w:cs="Calibri"/>
          <w:color w:val="131413"/>
          <w:sz w:val="24"/>
          <w:szCs w:val="24"/>
        </w:rPr>
        <w:t xml:space="preserve"> into those at high risk and those at very high risk</w:t>
      </w:r>
      <w:r w:rsidR="009639A2">
        <w:rPr>
          <w:rFonts w:ascii="Calibri" w:hAnsi="Calibri" w:cs="Calibri"/>
          <w:color w:val="131413"/>
          <w:sz w:val="24"/>
          <w:szCs w:val="24"/>
        </w:rPr>
        <w:t xml:space="preserve"> of fracture</w:t>
      </w:r>
      <w:r w:rsidRPr="0071536C">
        <w:rPr>
          <w:rFonts w:ascii="Calibri" w:hAnsi="Calibri" w:cs="Calibri"/>
          <w:color w:val="131413"/>
          <w:sz w:val="24"/>
          <w:szCs w:val="24"/>
        </w:rPr>
        <w:t xml:space="preserve"> [</w:t>
      </w:r>
      <w:r w:rsidR="0073479F">
        <w:rPr>
          <w:rFonts w:ascii="Calibri" w:hAnsi="Calibri" w:cs="Calibri"/>
          <w:color w:val="131413"/>
          <w:sz w:val="24"/>
          <w:szCs w:val="24"/>
        </w:rPr>
        <w:t>9]</w:t>
      </w:r>
      <w:r w:rsidRPr="0071536C">
        <w:rPr>
          <w:rFonts w:ascii="Calibri" w:hAnsi="Calibri" w:cs="Calibri"/>
          <w:color w:val="131413"/>
          <w:sz w:val="24"/>
          <w:szCs w:val="24"/>
        </w:rPr>
        <w:t xml:space="preserve">.  The move </w:t>
      </w:r>
      <w:r w:rsidR="002A6E2D">
        <w:rPr>
          <w:rFonts w:ascii="Calibri" w:hAnsi="Calibri" w:cs="Calibri"/>
          <w:color w:val="131413"/>
          <w:sz w:val="24"/>
          <w:szCs w:val="24"/>
        </w:rPr>
        <w:t>responded to</w:t>
      </w:r>
      <w:r w:rsidRPr="0071536C">
        <w:rPr>
          <w:rFonts w:ascii="Calibri" w:hAnsi="Calibri" w:cs="Calibri"/>
          <w:color w:val="131413"/>
          <w:sz w:val="24"/>
          <w:szCs w:val="24"/>
        </w:rPr>
        <w:t xml:space="preserve"> the development of </w:t>
      </w:r>
      <w:r w:rsidR="00FC3695" w:rsidRPr="0071536C">
        <w:rPr>
          <w:rFonts w:ascii="Calibri" w:hAnsi="Calibri" w:cs="Calibri"/>
          <w:color w:val="131413"/>
          <w:sz w:val="24"/>
          <w:szCs w:val="24"/>
        </w:rPr>
        <w:t xml:space="preserve">new </w:t>
      </w:r>
      <w:r w:rsidRPr="0071536C">
        <w:rPr>
          <w:rFonts w:ascii="Calibri" w:hAnsi="Calibri" w:cs="Calibri"/>
          <w:color w:val="131413"/>
          <w:sz w:val="24"/>
          <w:szCs w:val="24"/>
        </w:rPr>
        <w:t>anabolic agents that might be used preferentially in those at very high risk</w:t>
      </w:r>
      <w:r w:rsidR="004F3DDC">
        <w:rPr>
          <w:rFonts w:ascii="Calibri" w:hAnsi="Calibri" w:cs="Calibri"/>
          <w:color w:val="131413"/>
          <w:sz w:val="24"/>
          <w:szCs w:val="24"/>
        </w:rPr>
        <w:t xml:space="preserve"> [10, 11, 12,</w:t>
      </w:r>
      <w:r w:rsidR="00F81E5E">
        <w:rPr>
          <w:rFonts w:ascii="Calibri" w:hAnsi="Calibri" w:cs="Calibri"/>
          <w:color w:val="131413"/>
          <w:sz w:val="24"/>
          <w:szCs w:val="24"/>
        </w:rPr>
        <w:t xml:space="preserve"> </w:t>
      </w:r>
      <w:r w:rsidR="00E6595D">
        <w:rPr>
          <w:rFonts w:ascii="Calibri" w:hAnsi="Calibri" w:cs="Calibri"/>
          <w:color w:val="131413"/>
          <w:sz w:val="24"/>
          <w:szCs w:val="24"/>
        </w:rPr>
        <w:t>13]</w:t>
      </w:r>
      <w:r w:rsidR="00FA7BF7">
        <w:rPr>
          <w:rFonts w:ascii="Calibri" w:hAnsi="Calibri" w:cs="Calibri"/>
          <w:color w:val="131413"/>
          <w:sz w:val="24"/>
          <w:szCs w:val="24"/>
        </w:rPr>
        <w:t>.  A second consideration</w:t>
      </w:r>
      <w:r w:rsidR="00192E9F">
        <w:rPr>
          <w:rFonts w:ascii="Calibri" w:hAnsi="Calibri" w:cs="Calibri"/>
          <w:color w:val="131413"/>
          <w:sz w:val="24"/>
          <w:szCs w:val="24"/>
        </w:rPr>
        <w:t xml:space="preserve"> was the quantification of the imminent risk associated</w:t>
      </w:r>
      <w:r w:rsidR="008167C2">
        <w:rPr>
          <w:rFonts w:ascii="Calibri" w:hAnsi="Calibri" w:cs="Calibri"/>
          <w:color w:val="131413"/>
          <w:sz w:val="24"/>
          <w:szCs w:val="24"/>
        </w:rPr>
        <w:t xml:space="preserve"> with a recent fracture</w:t>
      </w:r>
      <w:r w:rsidRPr="0071536C">
        <w:rPr>
          <w:rFonts w:ascii="Calibri" w:hAnsi="Calibri" w:cs="Calibri"/>
          <w:color w:val="131413"/>
          <w:sz w:val="24"/>
          <w:szCs w:val="24"/>
        </w:rPr>
        <w:t xml:space="preserve"> </w:t>
      </w:r>
      <w:r w:rsidR="008167C2">
        <w:rPr>
          <w:rFonts w:ascii="Calibri" w:hAnsi="Calibri" w:cs="Calibri"/>
          <w:color w:val="131413"/>
          <w:sz w:val="24"/>
          <w:szCs w:val="24"/>
        </w:rPr>
        <w:t>that could</w:t>
      </w:r>
      <w:r w:rsidRPr="0071536C">
        <w:rPr>
          <w:rFonts w:ascii="Calibri" w:hAnsi="Calibri" w:cs="Calibri"/>
          <w:color w:val="131413"/>
          <w:sz w:val="24"/>
          <w:szCs w:val="24"/>
        </w:rPr>
        <w:t xml:space="preserve"> adjust conventional estimates of FRAX scores</w:t>
      </w:r>
      <w:r w:rsidR="00FC3695" w:rsidRPr="0071536C">
        <w:rPr>
          <w:rFonts w:ascii="Calibri" w:hAnsi="Calibri" w:cs="Calibri"/>
          <w:color w:val="131413"/>
          <w:sz w:val="24"/>
          <w:szCs w:val="24"/>
        </w:rPr>
        <w:t xml:space="preserve"> for the added risk associated </w:t>
      </w:r>
      <w:r w:rsidR="009639A2">
        <w:rPr>
          <w:rFonts w:ascii="Calibri" w:hAnsi="Calibri" w:cs="Calibri"/>
          <w:color w:val="131413"/>
          <w:sz w:val="24"/>
          <w:szCs w:val="24"/>
        </w:rPr>
        <w:t xml:space="preserve">with </w:t>
      </w:r>
      <w:r w:rsidR="008167C2" w:rsidRPr="00AF7D8E">
        <w:rPr>
          <w:rFonts w:ascii="Calibri" w:hAnsi="Calibri" w:cs="Calibri"/>
          <w:color w:val="131413"/>
          <w:sz w:val="24"/>
          <w:szCs w:val="24"/>
        </w:rPr>
        <w:t>recency</w:t>
      </w:r>
      <w:r w:rsidR="00FC3695" w:rsidRPr="00AF7D8E">
        <w:rPr>
          <w:rFonts w:ascii="Calibri" w:hAnsi="Calibri" w:cs="Calibri"/>
          <w:color w:val="131413"/>
          <w:sz w:val="24"/>
          <w:szCs w:val="24"/>
        </w:rPr>
        <w:t xml:space="preserve"> [</w:t>
      </w:r>
      <w:r w:rsidR="00F81E5E" w:rsidRPr="00AF7D8E">
        <w:rPr>
          <w:rFonts w:ascii="Calibri" w:hAnsi="Calibri" w:cs="Calibri"/>
          <w:color w:val="131413"/>
          <w:sz w:val="24"/>
          <w:szCs w:val="24"/>
        </w:rPr>
        <w:t>14</w:t>
      </w:r>
      <w:r w:rsidR="007B7248" w:rsidRPr="00AF7D8E">
        <w:rPr>
          <w:rFonts w:ascii="Calibri" w:hAnsi="Calibri" w:cs="Calibri"/>
          <w:color w:val="131413"/>
          <w:sz w:val="24"/>
          <w:szCs w:val="24"/>
        </w:rPr>
        <w:t>, 15</w:t>
      </w:r>
      <w:r w:rsidR="00F81E5E" w:rsidRPr="00AF7D8E">
        <w:rPr>
          <w:rFonts w:ascii="Calibri" w:hAnsi="Calibri" w:cs="Calibri"/>
          <w:color w:val="131413"/>
          <w:sz w:val="24"/>
          <w:szCs w:val="24"/>
        </w:rPr>
        <w:t>]</w:t>
      </w:r>
      <w:r w:rsidR="00AF7D8E" w:rsidRPr="00AF7D8E">
        <w:rPr>
          <w:rFonts w:ascii="Calibri" w:hAnsi="Calibri" w:cs="Calibri"/>
          <w:color w:val="131413"/>
          <w:sz w:val="24"/>
          <w:szCs w:val="24"/>
        </w:rPr>
        <w:t xml:space="preserve">. </w:t>
      </w:r>
      <w:r w:rsidR="00F81E5E" w:rsidRPr="00AF7D8E">
        <w:rPr>
          <w:rFonts w:ascii="Calibri" w:hAnsi="Calibri" w:cs="Calibri"/>
          <w:color w:val="131413"/>
          <w:sz w:val="24"/>
          <w:szCs w:val="24"/>
        </w:rPr>
        <w:t xml:space="preserve"> </w:t>
      </w:r>
      <w:r w:rsidR="008E372A" w:rsidRPr="00AF7D8E">
        <w:rPr>
          <w:rFonts w:ascii="Calibri" w:hAnsi="Calibri" w:cs="Calibri"/>
          <w:color w:val="131413"/>
          <w:sz w:val="24"/>
          <w:szCs w:val="24"/>
        </w:rPr>
        <w:t>Using</w:t>
      </w:r>
      <w:r w:rsidR="008E372A">
        <w:rPr>
          <w:rFonts w:ascii="Calibri" w:hAnsi="Calibri" w:cs="Calibri"/>
          <w:color w:val="131413"/>
          <w:sz w:val="24"/>
          <w:szCs w:val="24"/>
        </w:rPr>
        <w:t xml:space="preserve"> age</w:t>
      </w:r>
      <w:r w:rsidR="001A1BD7">
        <w:rPr>
          <w:rFonts w:ascii="Calibri" w:hAnsi="Calibri" w:cs="Calibri"/>
          <w:color w:val="131413"/>
          <w:sz w:val="24"/>
          <w:szCs w:val="24"/>
        </w:rPr>
        <w:t>-specific intervention thresholds</w:t>
      </w:r>
      <w:r w:rsidR="005B59C4">
        <w:rPr>
          <w:rFonts w:ascii="Calibri" w:hAnsi="Calibri" w:cs="Calibri"/>
          <w:color w:val="131413"/>
          <w:sz w:val="24"/>
          <w:szCs w:val="24"/>
        </w:rPr>
        <w:t xml:space="preserve">, IOF/ESCEO defined </w:t>
      </w:r>
      <w:r w:rsidR="009639A2">
        <w:rPr>
          <w:rFonts w:ascii="Calibri" w:hAnsi="Calibri" w:cs="Calibri"/>
          <w:color w:val="131413"/>
          <w:sz w:val="24"/>
          <w:szCs w:val="24"/>
        </w:rPr>
        <w:t>v</w:t>
      </w:r>
      <w:r w:rsidR="00FC3695" w:rsidRPr="0071536C">
        <w:rPr>
          <w:rFonts w:ascii="Calibri" w:hAnsi="Calibri" w:cs="Calibri"/>
          <w:color w:val="131413"/>
          <w:sz w:val="24"/>
          <w:szCs w:val="24"/>
        </w:rPr>
        <w:t xml:space="preserve">ery high risk as a fracture probability that </w:t>
      </w:r>
      <w:r w:rsidR="00095C6A" w:rsidRPr="0071536C">
        <w:rPr>
          <w:rFonts w:ascii="Calibri" w:hAnsi="Calibri" w:cs="Calibri"/>
          <w:color w:val="131413"/>
          <w:sz w:val="24"/>
          <w:szCs w:val="24"/>
        </w:rPr>
        <w:t>lay</w:t>
      </w:r>
      <w:r w:rsidR="00FC3695" w:rsidRPr="0071536C">
        <w:rPr>
          <w:rFonts w:ascii="Calibri" w:hAnsi="Calibri" w:cs="Calibri"/>
          <w:color w:val="131413"/>
          <w:sz w:val="24"/>
          <w:szCs w:val="24"/>
        </w:rPr>
        <w:t xml:space="preserve"> </w:t>
      </w:r>
      <w:r w:rsidR="00095C6A" w:rsidRPr="0071536C">
        <w:rPr>
          <w:rFonts w:ascii="Calibri" w:hAnsi="Calibri" w:cs="Calibri"/>
          <w:color w:val="131413"/>
          <w:sz w:val="24"/>
          <w:szCs w:val="24"/>
        </w:rPr>
        <w:t xml:space="preserve">20% </w:t>
      </w:r>
      <w:r w:rsidR="00FC3695" w:rsidRPr="0071536C">
        <w:rPr>
          <w:rFonts w:ascii="Calibri" w:hAnsi="Calibri" w:cs="Calibri"/>
          <w:color w:val="131413"/>
          <w:sz w:val="24"/>
          <w:szCs w:val="24"/>
        </w:rPr>
        <w:t xml:space="preserve">above the </w:t>
      </w:r>
      <w:r w:rsidR="00095C6A" w:rsidRPr="0071536C">
        <w:rPr>
          <w:rFonts w:ascii="Calibri" w:hAnsi="Calibri" w:cs="Calibri"/>
          <w:color w:val="131413"/>
          <w:sz w:val="24"/>
          <w:szCs w:val="24"/>
        </w:rPr>
        <w:t>age-specific intervention</w:t>
      </w:r>
      <w:r w:rsidR="00FC3695" w:rsidRPr="0071536C">
        <w:rPr>
          <w:rFonts w:ascii="Calibri" w:hAnsi="Calibri" w:cs="Calibri"/>
          <w:color w:val="131413"/>
          <w:sz w:val="24"/>
          <w:szCs w:val="24"/>
        </w:rPr>
        <w:t xml:space="preserve"> threshold, with or without the inclusion</w:t>
      </w:r>
      <w:r w:rsidR="00095C6A" w:rsidRPr="0071536C">
        <w:rPr>
          <w:rFonts w:ascii="Calibri" w:hAnsi="Calibri" w:cs="Calibri"/>
          <w:color w:val="131413"/>
          <w:sz w:val="24"/>
          <w:szCs w:val="24"/>
        </w:rPr>
        <w:t xml:space="preserve"> </w:t>
      </w:r>
      <w:r w:rsidR="00FC3695" w:rsidRPr="0071536C">
        <w:rPr>
          <w:rFonts w:ascii="Calibri" w:hAnsi="Calibri" w:cs="Calibri"/>
          <w:color w:val="131413"/>
          <w:sz w:val="24"/>
          <w:szCs w:val="24"/>
        </w:rPr>
        <w:t>of</w:t>
      </w:r>
      <w:r w:rsidR="00095C6A" w:rsidRPr="0071536C">
        <w:rPr>
          <w:rFonts w:ascii="Calibri" w:hAnsi="Calibri" w:cs="Calibri"/>
          <w:color w:val="131413"/>
          <w:sz w:val="24"/>
          <w:szCs w:val="24"/>
        </w:rPr>
        <w:t xml:space="preserve"> </w:t>
      </w:r>
      <w:r w:rsidR="00FC3695" w:rsidRPr="0071536C">
        <w:rPr>
          <w:rFonts w:ascii="Calibri" w:hAnsi="Calibri" w:cs="Calibri"/>
          <w:color w:val="131413"/>
          <w:sz w:val="24"/>
          <w:szCs w:val="24"/>
        </w:rPr>
        <w:t xml:space="preserve">BMD, </w:t>
      </w:r>
      <w:r w:rsidR="00AF7D8E" w:rsidRPr="0071536C">
        <w:rPr>
          <w:rFonts w:ascii="Calibri" w:hAnsi="Calibri" w:cs="Calibri"/>
          <w:color w:val="131413"/>
          <w:sz w:val="24"/>
          <w:szCs w:val="24"/>
        </w:rPr>
        <w:t>i.e.,</w:t>
      </w:r>
      <w:r w:rsidR="00FC3695" w:rsidRPr="0071536C">
        <w:rPr>
          <w:rFonts w:ascii="Calibri" w:hAnsi="Calibri" w:cs="Calibri"/>
          <w:color w:val="131413"/>
          <w:sz w:val="24"/>
          <w:szCs w:val="24"/>
        </w:rPr>
        <w:t xml:space="preserve"> where BMD testing is unavailable, the same</w:t>
      </w:r>
      <w:r w:rsidR="00095C6A" w:rsidRPr="0071536C">
        <w:rPr>
          <w:rFonts w:ascii="Calibri" w:hAnsi="Calibri" w:cs="Calibri"/>
          <w:color w:val="131413"/>
          <w:sz w:val="24"/>
          <w:szCs w:val="24"/>
        </w:rPr>
        <w:t xml:space="preserve"> </w:t>
      </w:r>
      <w:r w:rsidR="00FC3695" w:rsidRPr="0071536C">
        <w:rPr>
          <w:rFonts w:ascii="Calibri" w:hAnsi="Calibri" w:cs="Calibri"/>
          <w:color w:val="131413"/>
          <w:sz w:val="24"/>
          <w:szCs w:val="24"/>
        </w:rPr>
        <w:t xml:space="preserve">probability threshold can be used. </w:t>
      </w:r>
      <w:r w:rsidR="00095C6A" w:rsidRPr="0071536C">
        <w:rPr>
          <w:rFonts w:ascii="Calibri" w:hAnsi="Calibri" w:cs="Calibri"/>
          <w:color w:val="131413"/>
          <w:sz w:val="24"/>
          <w:szCs w:val="24"/>
        </w:rPr>
        <w:t xml:space="preserve"> Using this approach, approximately 36% of postmenopausal women </w:t>
      </w:r>
      <w:r w:rsidR="003121C7" w:rsidRPr="0071536C">
        <w:rPr>
          <w:rFonts w:ascii="Calibri" w:hAnsi="Calibri" w:cs="Calibri"/>
          <w:color w:val="131413"/>
          <w:sz w:val="24"/>
          <w:szCs w:val="24"/>
        </w:rPr>
        <w:t xml:space="preserve">in the UK </w:t>
      </w:r>
      <w:r w:rsidR="00095C6A" w:rsidRPr="0071536C">
        <w:rPr>
          <w:rFonts w:ascii="Calibri" w:hAnsi="Calibri" w:cs="Calibri"/>
          <w:color w:val="131413"/>
          <w:sz w:val="24"/>
          <w:szCs w:val="24"/>
        </w:rPr>
        <w:t>would be eligible for treatment of whom nearly half (44%) would be characterised at very high risk</w:t>
      </w:r>
      <w:r w:rsidR="003121C7" w:rsidRPr="0071536C">
        <w:rPr>
          <w:rFonts w:ascii="Calibri" w:hAnsi="Calibri" w:cs="Calibri"/>
          <w:color w:val="131413"/>
          <w:sz w:val="24"/>
          <w:szCs w:val="24"/>
        </w:rPr>
        <w:t xml:space="preserve"> </w:t>
      </w:r>
      <w:r w:rsidR="000B02D9">
        <w:rPr>
          <w:rFonts w:ascii="Calibri" w:hAnsi="Calibri" w:cs="Calibri"/>
          <w:color w:val="131413"/>
          <w:sz w:val="24"/>
          <w:szCs w:val="24"/>
        </w:rPr>
        <w:t>[9]</w:t>
      </w:r>
      <w:r w:rsidR="00095C6A" w:rsidRPr="0071536C">
        <w:rPr>
          <w:rFonts w:ascii="Calibri" w:hAnsi="Calibri" w:cs="Calibri"/>
          <w:color w:val="131413"/>
          <w:sz w:val="24"/>
          <w:szCs w:val="24"/>
        </w:rPr>
        <w:t>.</w:t>
      </w:r>
    </w:p>
    <w:p w14:paraId="65C907AD" w14:textId="6C386577" w:rsidR="00095C6A" w:rsidRPr="0071536C" w:rsidRDefault="00095C6A" w:rsidP="00AA1754">
      <w:pPr>
        <w:autoSpaceDE w:val="0"/>
        <w:autoSpaceDN w:val="0"/>
        <w:adjustRightInd w:val="0"/>
        <w:spacing w:after="0" w:line="276" w:lineRule="auto"/>
        <w:rPr>
          <w:rFonts w:ascii="Calibri" w:hAnsi="Calibri" w:cs="Calibri"/>
          <w:color w:val="131413"/>
          <w:sz w:val="24"/>
          <w:szCs w:val="24"/>
        </w:rPr>
      </w:pPr>
    </w:p>
    <w:p w14:paraId="4A997C78" w14:textId="191207C7" w:rsidR="00095C6A" w:rsidRPr="0071536C" w:rsidRDefault="00095C6A" w:rsidP="00AA1754">
      <w:pPr>
        <w:autoSpaceDE w:val="0"/>
        <w:autoSpaceDN w:val="0"/>
        <w:adjustRightInd w:val="0"/>
        <w:spacing w:after="0" w:line="276" w:lineRule="auto"/>
        <w:rPr>
          <w:rFonts w:ascii="Calibri" w:hAnsi="Calibri" w:cs="Calibri"/>
          <w:color w:val="131413"/>
          <w:sz w:val="24"/>
          <w:szCs w:val="24"/>
        </w:rPr>
      </w:pPr>
      <w:r w:rsidRPr="0071536C">
        <w:rPr>
          <w:rFonts w:ascii="Calibri" w:hAnsi="Calibri" w:cs="Calibri"/>
          <w:color w:val="131413"/>
          <w:sz w:val="24"/>
          <w:szCs w:val="24"/>
        </w:rPr>
        <w:t>These thresholds for high and very high risk were developed for</w:t>
      </w:r>
      <w:r w:rsidR="0088302D" w:rsidRPr="0071536C">
        <w:rPr>
          <w:sz w:val="24"/>
          <w:szCs w:val="24"/>
        </w:rPr>
        <w:t xml:space="preserve"> </w:t>
      </w:r>
      <w:r w:rsidR="0088302D" w:rsidRPr="0071536C">
        <w:rPr>
          <w:rFonts w:ascii="Calibri" w:hAnsi="Calibri" w:cs="Calibri"/>
          <w:color w:val="131413"/>
          <w:sz w:val="24"/>
          <w:szCs w:val="24"/>
        </w:rPr>
        <w:t xml:space="preserve">age dependent intervention thresholds.  The aim of the present study was to explore the manner in which very high risk might be categorised using the hybrid assessment </w:t>
      </w:r>
      <w:r w:rsidR="004F41A8">
        <w:rPr>
          <w:rFonts w:ascii="Calibri" w:hAnsi="Calibri" w:cs="Calibri"/>
          <w:color w:val="131413"/>
          <w:sz w:val="24"/>
          <w:szCs w:val="24"/>
        </w:rPr>
        <w:t>model</w:t>
      </w:r>
      <w:r w:rsidR="0088302D" w:rsidRPr="0071536C">
        <w:rPr>
          <w:rFonts w:ascii="Calibri" w:hAnsi="Calibri" w:cs="Calibri"/>
          <w:color w:val="131413"/>
          <w:sz w:val="24"/>
          <w:szCs w:val="24"/>
        </w:rPr>
        <w:t xml:space="preserve"> of NOGG.</w:t>
      </w:r>
      <w:r w:rsidRPr="0071536C">
        <w:rPr>
          <w:rFonts w:ascii="Calibri" w:hAnsi="Calibri" w:cs="Calibri"/>
          <w:color w:val="131413"/>
          <w:sz w:val="24"/>
          <w:szCs w:val="24"/>
        </w:rPr>
        <w:t xml:space="preserve"> </w:t>
      </w:r>
    </w:p>
    <w:p w14:paraId="34F810AA" w14:textId="2BA42C97" w:rsidR="00E0088F" w:rsidRDefault="00E0088F" w:rsidP="00AA1754">
      <w:pPr>
        <w:autoSpaceDE w:val="0"/>
        <w:autoSpaceDN w:val="0"/>
        <w:adjustRightInd w:val="0"/>
        <w:spacing w:after="0" w:line="276" w:lineRule="auto"/>
        <w:rPr>
          <w:rFonts w:ascii="Calibri" w:hAnsi="Calibri" w:cs="Calibri"/>
          <w:color w:val="131413"/>
          <w:sz w:val="20"/>
          <w:szCs w:val="20"/>
        </w:rPr>
      </w:pPr>
    </w:p>
    <w:p w14:paraId="28EAFCE7" w14:textId="77777777" w:rsidR="00E0088F" w:rsidRDefault="00E0088F" w:rsidP="00AA1754">
      <w:pPr>
        <w:autoSpaceDE w:val="0"/>
        <w:autoSpaceDN w:val="0"/>
        <w:adjustRightInd w:val="0"/>
        <w:spacing w:after="0" w:line="276" w:lineRule="auto"/>
        <w:rPr>
          <w:rFonts w:ascii="Calibri" w:hAnsi="Calibri" w:cs="Calibri"/>
          <w:b/>
          <w:bCs/>
          <w:color w:val="131413"/>
          <w:sz w:val="20"/>
          <w:szCs w:val="20"/>
        </w:rPr>
      </w:pPr>
    </w:p>
    <w:p w14:paraId="07676AA8" w14:textId="77777777" w:rsidR="00E0088F" w:rsidRPr="006D5A52" w:rsidRDefault="00E0088F" w:rsidP="00AA1754">
      <w:pPr>
        <w:autoSpaceDE w:val="0"/>
        <w:autoSpaceDN w:val="0"/>
        <w:adjustRightInd w:val="0"/>
        <w:spacing w:after="0" w:line="276" w:lineRule="auto"/>
        <w:rPr>
          <w:rFonts w:ascii="Calibri" w:hAnsi="Calibri" w:cs="Calibri"/>
          <w:b/>
          <w:bCs/>
          <w:color w:val="131413"/>
          <w:sz w:val="24"/>
          <w:szCs w:val="24"/>
        </w:rPr>
      </w:pPr>
      <w:r w:rsidRPr="006D5A52">
        <w:rPr>
          <w:rFonts w:ascii="Calibri" w:hAnsi="Calibri" w:cs="Calibri"/>
          <w:b/>
          <w:bCs/>
          <w:color w:val="131413"/>
          <w:sz w:val="24"/>
          <w:szCs w:val="24"/>
        </w:rPr>
        <w:t>Methods</w:t>
      </w:r>
    </w:p>
    <w:p w14:paraId="23FD84EC" w14:textId="709BEBBC" w:rsidR="00E0088F" w:rsidRPr="006D5A52" w:rsidRDefault="00F67B74" w:rsidP="00AA1754">
      <w:pPr>
        <w:autoSpaceDE w:val="0"/>
        <w:autoSpaceDN w:val="0"/>
        <w:adjustRightInd w:val="0"/>
        <w:spacing w:after="0" w:line="276" w:lineRule="auto"/>
        <w:rPr>
          <w:rFonts w:ascii="Calibri" w:hAnsi="Calibri" w:cs="Calibri"/>
          <w:color w:val="131413"/>
          <w:sz w:val="24"/>
          <w:szCs w:val="24"/>
        </w:rPr>
      </w:pPr>
      <w:r w:rsidRPr="006D5A52">
        <w:rPr>
          <w:rFonts w:ascii="Calibri" w:hAnsi="Calibri" w:cs="Calibri"/>
          <w:color w:val="131413"/>
          <w:sz w:val="24"/>
          <w:szCs w:val="24"/>
        </w:rPr>
        <w:t xml:space="preserve">We examined the impact of intervention thresholds in a </w:t>
      </w:r>
      <w:r w:rsidR="00AD36DF">
        <w:rPr>
          <w:rFonts w:ascii="Calibri" w:hAnsi="Calibri" w:cs="Calibri"/>
          <w:color w:val="131413"/>
          <w:sz w:val="24"/>
          <w:szCs w:val="24"/>
        </w:rPr>
        <w:t xml:space="preserve">simulated UK </w:t>
      </w:r>
      <w:r w:rsidRPr="006D5A52">
        <w:rPr>
          <w:rFonts w:ascii="Calibri" w:hAnsi="Calibri" w:cs="Calibri"/>
          <w:color w:val="131413"/>
          <w:sz w:val="24"/>
          <w:szCs w:val="24"/>
        </w:rPr>
        <w:t>cross-sectional cohort of women age 50 years or more</w:t>
      </w:r>
      <w:r w:rsidR="0035585B">
        <w:rPr>
          <w:rFonts w:ascii="Calibri" w:hAnsi="Calibri" w:cs="Calibri"/>
          <w:color w:val="131413"/>
          <w:sz w:val="24"/>
          <w:szCs w:val="24"/>
        </w:rPr>
        <w:t>.</w:t>
      </w:r>
      <w:r w:rsidRPr="006D5A52">
        <w:rPr>
          <w:rFonts w:ascii="Calibri" w:hAnsi="Calibri" w:cs="Calibri"/>
          <w:color w:val="131413"/>
          <w:sz w:val="24"/>
          <w:szCs w:val="24"/>
        </w:rPr>
        <w:t xml:space="preserve">  The cohort</w:t>
      </w:r>
      <w:r w:rsidR="006148AA" w:rsidRPr="006D5A52">
        <w:rPr>
          <w:rFonts w:ascii="Calibri" w:hAnsi="Calibri" w:cs="Calibri"/>
          <w:color w:val="131413"/>
          <w:sz w:val="24"/>
          <w:szCs w:val="24"/>
        </w:rPr>
        <w:t>,</w:t>
      </w:r>
      <w:r w:rsidRPr="006D5A52">
        <w:rPr>
          <w:rFonts w:ascii="Calibri" w:hAnsi="Calibri" w:cs="Calibri"/>
          <w:color w:val="131413"/>
          <w:sz w:val="24"/>
          <w:szCs w:val="24"/>
        </w:rPr>
        <w:t xml:space="preserve"> described previously [</w:t>
      </w:r>
      <w:r w:rsidR="00A07493">
        <w:rPr>
          <w:rFonts w:ascii="Calibri" w:hAnsi="Calibri" w:cs="Calibri"/>
          <w:color w:val="131413"/>
          <w:sz w:val="24"/>
          <w:szCs w:val="24"/>
        </w:rPr>
        <w:t>7]</w:t>
      </w:r>
      <w:r w:rsidR="006148AA" w:rsidRPr="006D5A52">
        <w:rPr>
          <w:rFonts w:ascii="Calibri" w:hAnsi="Calibri" w:cs="Calibri"/>
          <w:color w:val="131413"/>
          <w:sz w:val="24"/>
          <w:szCs w:val="24"/>
        </w:rPr>
        <w:t>, was</w:t>
      </w:r>
      <w:r w:rsidRPr="006D5A52">
        <w:rPr>
          <w:rFonts w:ascii="Calibri" w:hAnsi="Calibri" w:cs="Calibri"/>
          <w:color w:val="131413"/>
          <w:sz w:val="24"/>
          <w:szCs w:val="24"/>
        </w:rPr>
        <w:t xml:space="preserve"> </w:t>
      </w:r>
      <w:r w:rsidR="006148AA" w:rsidRPr="006D5A52">
        <w:rPr>
          <w:rFonts w:ascii="Calibri" w:hAnsi="Calibri" w:cs="Calibri"/>
          <w:color w:val="131413"/>
          <w:sz w:val="24"/>
          <w:szCs w:val="24"/>
        </w:rPr>
        <w:t>constructed to</w:t>
      </w:r>
      <w:r w:rsidRPr="006D5A52">
        <w:rPr>
          <w:rFonts w:ascii="Calibri" w:hAnsi="Calibri" w:cs="Calibri"/>
          <w:color w:val="131413"/>
          <w:sz w:val="24"/>
          <w:szCs w:val="24"/>
        </w:rPr>
        <w:t xml:space="preserve"> reproduce </w:t>
      </w:r>
      <w:r w:rsidR="005813F6" w:rsidRPr="006D5A52">
        <w:rPr>
          <w:rFonts w:ascii="Calibri" w:hAnsi="Calibri" w:cs="Calibri"/>
          <w:color w:val="131413"/>
          <w:sz w:val="24"/>
          <w:szCs w:val="24"/>
        </w:rPr>
        <w:t>the age</w:t>
      </w:r>
      <w:r w:rsidR="00E0088F" w:rsidRPr="006D5A52">
        <w:rPr>
          <w:rFonts w:ascii="Calibri" w:hAnsi="Calibri" w:cs="Calibri"/>
          <w:color w:val="131413"/>
          <w:sz w:val="24"/>
          <w:szCs w:val="24"/>
        </w:rPr>
        <w:t xml:space="preserve"> distribution </w:t>
      </w:r>
      <w:r w:rsidR="0081714A" w:rsidRPr="006D5A52">
        <w:rPr>
          <w:rFonts w:ascii="Calibri" w:hAnsi="Calibri" w:cs="Calibri"/>
          <w:color w:val="131413"/>
          <w:sz w:val="24"/>
          <w:szCs w:val="24"/>
        </w:rPr>
        <w:t xml:space="preserve">of women </w:t>
      </w:r>
      <w:r w:rsidR="003A401E" w:rsidRPr="006D5A52">
        <w:rPr>
          <w:rFonts w:ascii="Calibri" w:hAnsi="Calibri" w:cs="Calibri"/>
          <w:color w:val="131413"/>
          <w:sz w:val="24"/>
          <w:szCs w:val="24"/>
        </w:rPr>
        <w:t xml:space="preserve">in the UK </w:t>
      </w:r>
      <w:r w:rsidR="00E0088F" w:rsidRPr="006D5A52">
        <w:rPr>
          <w:rFonts w:ascii="Calibri" w:hAnsi="Calibri" w:cs="Calibri"/>
          <w:color w:val="131413"/>
          <w:sz w:val="24"/>
          <w:szCs w:val="24"/>
        </w:rPr>
        <w:t xml:space="preserve">and </w:t>
      </w:r>
      <w:r w:rsidR="003A401E" w:rsidRPr="006D5A52">
        <w:rPr>
          <w:rFonts w:ascii="Calibri" w:hAnsi="Calibri" w:cs="Calibri"/>
          <w:color w:val="131413"/>
          <w:sz w:val="24"/>
          <w:szCs w:val="24"/>
        </w:rPr>
        <w:t xml:space="preserve">the </w:t>
      </w:r>
      <w:r w:rsidR="00E0088F" w:rsidRPr="006D5A52">
        <w:rPr>
          <w:rFonts w:ascii="Calibri" w:hAnsi="Calibri" w:cs="Calibri"/>
          <w:color w:val="131413"/>
          <w:sz w:val="24"/>
          <w:szCs w:val="24"/>
        </w:rPr>
        <w:t xml:space="preserve">age-specific prevalence of </w:t>
      </w:r>
      <w:r w:rsidR="00851BA3">
        <w:rPr>
          <w:rFonts w:ascii="Calibri" w:hAnsi="Calibri" w:cs="Calibri"/>
          <w:color w:val="131413"/>
          <w:sz w:val="24"/>
          <w:szCs w:val="24"/>
        </w:rPr>
        <w:t xml:space="preserve">FRAX </w:t>
      </w:r>
      <w:r w:rsidR="00E0088F" w:rsidRPr="00E950C7">
        <w:rPr>
          <w:rFonts w:ascii="Calibri" w:hAnsi="Calibri" w:cs="Calibri"/>
          <w:color w:val="131413"/>
          <w:sz w:val="24"/>
          <w:szCs w:val="24"/>
        </w:rPr>
        <w:t>risk factors</w:t>
      </w:r>
      <w:r w:rsidR="003733E5" w:rsidRPr="00E950C7">
        <w:rPr>
          <w:rFonts w:ascii="Calibri" w:hAnsi="Calibri" w:cs="Calibri"/>
          <w:color w:val="131413"/>
          <w:sz w:val="24"/>
          <w:szCs w:val="24"/>
        </w:rPr>
        <w:t xml:space="preserve"> </w:t>
      </w:r>
      <w:r w:rsidR="00B90560" w:rsidRPr="00E950C7">
        <w:rPr>
          <w:rFonts w:ascii="Calibri" w:hAnsi="Calibri" w:cs="Calibri"/>
          <w:color w:val="131413"/>
          <w:sz w:val="24"/>
          <w:szCs w:val="24"/>
        </w:rPr>
        <w:t>[</w:t>
      </w:r>
      <w:r w:rsidR="00E950C7" w:rsidRPr="00E950C7">
        <w:rPr>
          <w:rFonts w:ascii="Calibri" w:hAnsi="Calibri" w:cs="Calibri"/>
          <w:color w:val="131413"/>
          <w:sz w:val="24"/>
          <w:szCs w:val="24"/>
        </w:rPr>
        <w:t>16</w:t>
      </w:r>
      <w:r w:rsidR="00B90560" w:rsidRPr="00E950C7">
        <w:rPr>
          <w:rFonts w:ascii="Calibri" w:hAnsi="Calibri" w:cs="Calibri"/>
          <w:color w:val="131413"/>
          <w:sz w:val="24"/>
          <w:szCs w:val="24"/>
        </w:rPr>
        <w:t>]</w:t>
      </w:r>
      <w:r w:rsidR="00E0088F" w:rsidRPr="00E950C7">
        <w:rPr>
          <w:rFonts w:ascii="Calibri" w:hAnsi="Calibri" w:cs="Calibri"/>
          <w:color w:val="131413"/>
          <w:sz w:val="24"/>
          <w:szCs w:val="24"/>
        </w:rPr>
        <w:t>. The</w:t>
      </w:r>
      <w:r w:rsidR="00E0088F" w:rsidRPr="006D5A52">
        <w:rPr>
          <w:rFonts w:ascii="Calibri" w:hAnsi="Calibri" w:cs="Calibri"/>
          <w:color w:val="131413"/>
          <w:sz w:val="24"/>
          <w:szCs w:val="24"/>
        </w:rPr>
        <w:t xml:space="preserve"> distribution of the clinical risk factors was estimated by determination of a set of conditional distributions using cohorts of European women used in the development of FRAX. </w:t>
      </w:r>
      <w:r w:rsidR="003634D0">
        <w:rPr>
          <w:rFonts w:ascii="Calibri" w:hAnsi="Calibri" w:cs="Calibri"/>
          <w:color w:val="131413"/>
          <w:sz w:val="24"/>
          <w:szCs w:val="24"/>
        </w:rPr>
        <w:t xml:space="preserve"> </w:t>
      </w:r>
      <w:r w:rsidR="006148AA" w:rsidRPr="006D5A52">
        <w:rPr>
          <w:rFonts w:ascii="Calibri" w:hAnsi="Calibri" w:cs="Calibri"/>
          <w:color w:val="131413"/>
          <w:sz w:val="24"/>
          <w:szCs w:val="24"/>
        </w:rPr>
        <w:t>The</w:t>
      </w:r>
      <w:r w:rsidR="00E0088F" w:rsidRPr="006D5A52">
        <w:rPr>
          <w:rFonts w:ascii="Calibri" w:hAnsi="Calibri" w:cs="Calibri"/>
          <w:color w:val="131413"/>
          <w:sz w:val="24"/>
          <w:szCs w:val="24"/>
        </w:rPr>
        <w:t xml:space="preserve"> simulated population </w:t>
      </w:r>
      <w:r w:rsidR="006148AA" w:rsidRPr="006D5A52">
        <w:rPr>
          <w:rFonts w:ascii="Calibri" w:hAnsi="Calibri" w:cs="Calibri"/>
          <w:color w:val="131413"/>
          <w:sz w:val="24"/>
          <w:szCs w:val="24"/>
        </w:rPr>
        <w:t xml:space="preserve">comprised </w:t>
      </w:r>
      <w:r w:rsidR="00E0088F" w:rsidRPr="006D5A52">
        <w:rPr>
          <w:rFonts w:ascii="Calibri" w:hAnsi="Calibri" w:cs="Calibri"/>
          <w:color w:val="131413"/>
          <w:sz w:val="24"/>
          <w:szCs w:val="24"/>
        </w:rPr>
        <w:t>50,633 women age 50–9</w:t>
      </w:r>
      <w:r w:rsidR="00A86D70">
        <w:rPr>
          <w:rFonts w:ascii="Calibri" w:hAnsi="Calibri" w:cs="Calibri"/>
          <w:color w:val="131413"/>
          <w:sz w:val="24"/>
          <w:szCs w:val="24"/>
        </w:rPr>
        <w:t>9</w:t>
      </w:r>
      <w:r w:rsidR="00E0088F" w:rsidRPr="006D5A52">
        <w:rPr>
          <w:rFonts w:ascii="Calibri" w:hAnsi="Calibri" w:cs="Calibri"/>
          <w:color w:val="131413"/>
          <w:sz w:val="24"/>
          <w:szCs w:val="24"/>
        </w:rPr>
        <w:t xml:space="preserve"> years. </w:t>
      </w:r>
      <w:r w:rsidR="006148AA" w:rsidRPr="006D5A52">
        <w:rPr>
          <w:rFonts w:ascii="Calibri" w:hAnsi="Calibri" w:cs="Calibri"/>
          <w:color w:val="131413"/>
          <w:sz w:val="24"/>
          <w:szCs w:val="24"/>
        </w:rPr>
        <w:t xml:space="preserve"> </w:t>
      </w:r>
      <w:r w:rsidR="00E0088F" w:rsidRPr="006D5A52">
        <w:rPr>
          <w:rFonts w:ascii="Calibri" w:hAnsi="Calibri" w:cs="Calibri"/>
          <w:color w:val="131413"/>
          <w:sz w:val="24"/>
          <w:szCs w:val="24"/>
        </w:rPr>
        <w:t>Simulations of greater numbers of women (up to 100,000)</w:t>
      </w:r>
      <w:r w:rsidR="00E0088F" w:rsidRPr="006D5A52">
        <w:rPr>
          <w:sz w:val="24"/>
          <w:szCs w:val="24"/>
        </w:rPr>
        <w:t xml:space="preserve"> </w:t>
      </w:r>
      <w:r w:rsidR="00E0088F" w:rsidRPr="006D5A52">
        <w:rPr>
          <w:rFonts w:ascii="Calibri" w:hAnsi="Calibri" w:cs="Calibri"/>
          <w:color w:val="131413"/>
          <w:sz w:val="24"/>
          <w:szCs w:val="24"/>
        </w:rPr>
        <w:t xml:space="preserve">indicated that this number provided stability of the estimates </w:t>
      </w:r>
      <w:r w:rsidR="006148AA" w:rsidRPr="006D5A52">
        <w:rPr>
          <w:rFonts w:ascii="Calibri" w:hAnsi="Calibri" w:cs="Calibri"/>
          <w:color w:val="131413"/>
          <w:sz w:val="24"/>
          <w:szCs w:val="24"/>
        </w:rPr>
        <w:t>for the distribution of risk factors</w:t>
      </w:r>
      <w:r w:rsidR="00E0088F" w:rsidRPr="006D5A52">
        <w:rPr>
          <w:rFonts w:ascii="Calibri" w:hAnsi="Calibri" w:cs="Calibri"/>
          <w:color w:val="131413"/>
          <w:sz w:val="24"/>
          <w:szCs w:val="24"/>
        </w:rPr>
        <w:t>.</w:t>
      </w:r>
    </w:p>
    <w:p w14:paraId="2209B734" w14:textId="69C60E45" w:rsidR="006148AA" w:rsidRPr="006D5A52" w:rsidRDefault="006148AA" w:rsidP="00AA1754">
      <w:pPr>
        <w:autoSpaceDE w:val="0"/>
        <w:autoSpaceDN w:val="0"/>
        <w:adjustRightInd w:val="0"/>
        <w:spacing w:after="0" w:line="276" w:lineRule="auto"/>
        <w:rPr>
          <w:rFonts w:ascii="Calibri" w:hAnsi="Calibri" w:cs="Calibri"/>
          <w:color w:val="131413"/>
          <w:sz w:val="24"/>
          <w:szCs w:val="24"/>
        </w:rPr>
      </w:pPr>
    </w:p>
    <w:p w14:paraId="7264216A" w14:textId="177BB6D2" w:rsidR="00F92540" w:rsidRPr="006D5A52" w:rsidRDefault="00F92540" w:rsidP="00AA1754">
      <w:pPr>
        <w:autoSpaceDE w:val="0"/>
        <w:autoSpaceDN w:val="0"/>
        <w:adjustRightInd w:val="0"/>
        <w:spacing w:after="0" w:line="276" w:lineRule="auto"/>
        <w:rPr>
          <w:rFonts w:ascii="Calibri" w:hAnsi="Calibri" w:cs="Calibri"/>
          <w:i/>
          <w:iCs/>
          <w:color w:val="131413"/>
          <w:sz w:val="24"/>
          <w:szCs w:val="24"/>
        </w:rPr>
      </w:pPr>
      <w:r w:rsidRPr="006D5A52">
        <w:rPr>
          <w:rFonts w:ascii="Calibri" w:hAnsi="Calibri" w:cs="Calibri"/>
          <w:i/>
          <w:iCs/>
          <w:color w:val="131413"/>
          <w:sz w:val="24"/>
          <w:szCs w:val="24"/>
        </w:rPr>
        <w:t>The current NOGG strategy</w:t>
      </w:r>
    </w:p>
    <w:p w14:paraId="55944CB2" w14:textId="303B2067" w:rsidR="00677989" w:rsidRPr="006D5A52" w:rsidRDefault="006148AA" w:rsidP="00AA1754">
      <w:pPr>
        <w:autoSpaceDE w:val="0"/>
        <w:autoSpaceDN w:val="0"/>
        <w:adjustRightInd w:val="0"/>
        <w:spacing w:after="0" w:line="276" w:lineRule="auto"/>
        <w:rPr>
          <w:rFonts w:ascii="Calibri" w:hAnsi="Calibri" w:cs="Calibri"/>
          <w:color w:val="131413"/>
          <w:sz w:val="24"/>
          <w:szCs w:val="24"/>
        </w:rPr>
      </w:pPr>
      <w:r w:rsidRPr="006D5A52">
        <w:rPr>
          <w:rFonts w:ascii="Calibri" w:hAnsi="Calibri" w:cs="Calibri"/>
          <w:color w:val="131413"/>
          <w:sz w:val="24"/>
          <w:szCs w:val="24"/>
        </w:rPr>
        <w:t xml:space="preserve">The management pathway followed that </w:t>
      </w:r>
      <w:r w:rsidR="009639A2">
        <w:rPr>
          <w:rFonts w:ascii="Calibri" w:hAnsi="Calibri" w:cs="Calibri"/>
          <w:color w:val="131413"/>
          <w:sz w:val="24"/>
          <w:szCs w:val="24"/>
        </w:rPr>
        <w:t xml:space="preserve">currently </w:t>
      </w:r>
      <w:r w:rsidRPr="006D5A52">
        <w:rPr>
          <w:rFonts w:ascii="Calibri" w:hAnsi="Calibri" w:cs="Calibri"/>
          <w:color w:val="131413"/>
          <w:sz w:val="24"/>
          <w:szCs w:val="24"/>
        </w:rPr>
        <w:t xml:space="preserve">recommended by NOGG.  Under the NOGG strategy, the risk of fracture is </w:t>
      </w:r>
      <w:r w:rsidR="00CC5EC5">
        <w:rPr>
          <w:rFonts w:ascii="Calibri" w:hAnsi="Calibri" w:cs="Calibri"/>
          <w:color w:val="131413"/>
          <w:sz w:val="24"/>
          <w:szCs w:val="24"/>
        </w:rPr>
        <w:t xml:space="preserve">first </w:t>
      </w:r>
      <w:r w:rsidRPr="006D5A52">
        <w:rPr>
          <w:rFonts w:ascii="Calibri" w:hAnsi="Calibri" w:cs="Calibri"/>
          <w:color w:val="131413"/>
          <w:sz w:val="24"/>
          <w:szCs w:val="24"/>
        </w:rPr>
        <w:t xml:space="preserve">assessed on clinical risk factors alone which in turn provides guidance whether a </w:t>
      </w:r>
      <w:r w:rsidR="009639A2">
        <w:rPr>
          <w:rFonts w:ascii="Calibri" w:hAnsi="Calibri" w:cs="Calibri"/>
          <w:color w:val="131413"/>
          <w:sz w:val="24"/>
          <w:szCs w:val="24"/>
        </w:rPr>
        <w:t xml:space="preserve">femoral neck </w:t>
      </w:r>
      <w:r w:rsidRPr="006D5A52">
        <w:rPr>
          <w:rFonts w:ascii="Calibri" w:hAnsi="Calibri" w:cs="Calibri"/>
          <w:color w:val="131413"/>
          <w:sz w:val="24"/>
          <w:szCs w:val="24"/>
        </w:rPr>
        <w:t xml:space="preserve">BMD measurement or treatment is indicated, an approach that has been endorsed by </w:t>
      </w:r>
      <w:r w:rsidR="00677989" w:rsidRPr="006D5A52">
        <w:rPr>
          <w:rFonts w:ascii="Calibri" w:hAnsi="Calibri" w:cs="Calibri"/>
          <w:color w:val="131413"/>
          <w:sz w:val="24"/>
          <w:szCs w:val="24"/>
        </w:rPr>
        <w:t xml:space="preserve">National Institute for Health and Care </w:t>
      </w:r>
      <w:r w:rsidR="00677989" w:rsidRPr="00E950C7">
        <w:rPr>
          <w:rFonts w:ascii="Calibri" w:hAnsi="Calibri" w:cs="Calibri"/>
          <w:color w:val="131413"/>
          <w:sz w:val="24"/>
          <w:szCs w:val="24"/>
        </w:rPr>
        <w:t>Excellence [</w:t>
      </w:r>
      <w:r w:rsidR="00C210F0" w:rsidRPr="00E950C7">
        <w:rPr>
          <w:rFonts w:ascii="Calibri" w:hAnsi="Calibri" w:cs="Calibri"/>
          <w:color w:val="131413"/>
          <w:sz w:val="24"/>
          <w:szCs w:val="24"/>
        </w:rPr>
        <w:t>1</w:t>
      </w:r>
      <w:r w:rsidR="00E950C7" w:rsidRPr="00E950C7">
        <w:rPr>
          <w:rFonts w:ascii="Calibri" w:hAnsi="Calibri" w:cs="Calibri"/>
          <w:color w:val="131413"/>
          <w:sz w:val="24"/>
          <w:szCs w:val="24"/>
        </w:rPr>
        <w:t>7</w:t>
      </w:r>
      <w:r w:rsidR="00C210F0" w:rsidRPr="00E950C7">
        <w:rPr>
          <w:rFonts w:ascii="Calibri" w:hAnsi="Calibri" w:cs="Calibri"/>
          <w:color w:val="131413"/>
          <w:sz w:val="24"/>
          <w:szCs w:val="24"/>
        </w:rPr>
        <w:t>]</w:t>
      </w:r>
      <w:r w:rsidRPr="00E950C7">
        <w:rPr>
          <w:rFonts w:ascii="Calibri" w:hAnsi="Calibri" w:cs="Calibri"/>
          <w:color w:val="131413"/>
          <w:sz w:val="24"/>
          <w:szCs w:val="24"/>
        </w:rPr>
        <w:t xml:space="preserve">. </w:t>
      </w:r>
      <w:r w:rsidR="008014EF" w:rsidRPr="00E950C7">
        <w:rPr>
          <w:rFonts w:ascii="Calibri" w:hAnsi="Calibri" w:cs="Calibri"/>
          <w:color w:val="131413"/>
          <w:sz w:val="24"/>
          <w:szCs w:val="24"/>
        </w:rPr>
        <w:t xml:space="preserve"> </w:t>
      </w:r>
      <w:r w:rsidR="000C76D9" w:rsidRPr="00E950C7">
        <w:rPr>
          <w:rFonts w:ascii="Calibri" w:hAnsi="Calibri" w:cs="Calibri"/>
          <w:color w:val="131413"/>
          <w:sz w:val="24"/>
          <w:szCs w:val="24"/>
        </w:rPr>
        <w:t>An</w:t>
      </w:r>
      <w:r w:rsidR="000C76D9">
        <w:rPr>
          <w:rFonts w:ascii="Calibri" w:hAnsi="Calibri" w:cs="Calibri"/>
          <w:color w:val="131413"/>
          <w:sz w:val="24"/>
          <w:szCs w:val="24"/>
        </w:rPr>
        <w:t xml:space="preserve"> exception</w:t>
      </w:r>
      <w:r w:rsidR="00270F86">
        <w:rPr>
          <w:rFonts w:ascii="Calibri" w:hAnsi="Calibri" w:cs="Calibri"/>
          <w:color w:val="131413"/>
          <w:sz w:val="24"/>
          <w:szCs w:val="24"/>
        </w:rPr>
        <w:t xml:space="preserve"> is in </w:t>
      </w:r>
      <w:r w:rsidRPr="006D5A52">
        <w:rPr>
          <w:rFonts w:ascii="Calibri" w:hAnsi="Calibri" w:cs="Calibri"/>
          <w:color w:val="131413"/>
          <w:sz w:val="24"/>
          <w:szCs w:val="24"/>
        </w:rPr>
        <w:t>the presence of a prior fragility fracture</w:t>
      </w:r>
      <w:r w:rsidR="005A323B">
        <w:rPr>
          <w:rFonts w:ascii="Calibri" w:hAnsi="Calibri" w:cs="Calibri"/>
          <w:color w:val="131413"/>
          <w:sz w:val="24"/>
          <w:szCs w:val="24"/>
        </w:rPr>
        <w:t>,</w:t>
      </w:r>
      <w:r w:rsidRPr="006D5A52">
        <w:rPr>
          <w:rFonts w:ascii="Calibri" w:hAnsi="Calibri" w:cs="Calibri"/>
          <w:color w:val="131413"/>
          <w:sz w:val="24"/>
          <w:szCs w:val="24"/>
        </w:rPr>
        <w:t xml:space="preserve"> </w:t>
      </w:r>
      <w:r w:rsidR="00A11DE2">
        <w:rPr>
          <w:rFonts w:ascii="Calibri" w:hAnsi="Calibri" w:cs="Calibri"/>
          <w:color w:val="131413"/>
          <w:sz w:val="24"/>
          <w:szCs w:val="24"/>
        </w:rPr>
        <w:t xml:space="preserve">in which case </w:t>
      </w:r>
      <w:r w:rsidR="00270F86">
        <w:rPr>
          <w:rFonts w:ascii="Calibri" w:hAnsi="Calibri" w:cs="Calibri"/>
          <w:color w:val="131413"/>
          <w:sz w:val="24"/>
          <w:szCs w:val="24"/>
        </w:rPr>
        <w:t>treatment is</w:t>
      </w:r>
      <w:r w:rsidRPr="006D5A52">
        <w:rPr>
          <w:rFonts w:ascii="Calibri" w:hAnsi="Calibri" w:cs="Calibri"/>
          <w:color w:val="131413"/>
          <w:sz w:val="24"/>
          <w:szCs w:val="24"/>
        </w:rPr>
        <w:t xml:space="preserve"> to be considered in such patients without necessarily undertaking a BMD measurement. </w:t>
      </w:r>
      <w:r w:rsidR="00677989" w:rsidRPr="006D5A52">
        <w:rPr>
          <w:rFonts w:ascii="Calibri" w:hAnsi="Calibri" w:cs="Calibri"/>
          <w:color w:val="131413"/>
          <w:sz w:val="24"/>
          <w:szCs w:val="24"/>
        </w:rPr>
        <w:t xml:space="preserve"> For</w:t>
      </w:r>
      <w:r w:rsidRPr="006D5A52">
        <w:rPr>
          <w:rFonts w:ascii="Calibri" w:hAnsi="Calibri" w:cs="Calibri"/>
          <w:color w:val="131413"/>
          <w:sz w:val="24"/>
          <w:szCs w:val="24"/>
        </w:rPr>
        <w:t xml:space="preserve"> the present report, we assumed that treatment would be considered in all women with prior fracture.</w:t>
      </w:r>
      <w:r w:rsidR="00677989" w:rsidRPr="006D5A52">
        <w:rPr>
          <w:rFonts w:ascii="Calibri" w:hAnsi="Calibri" w:cs="Calibri"/>
          <w:color w:val="131413"/>
          <w:sz w:val="24"/>
          <w:szCs w:val="24"/>
        </w:rPr>
        <w:t xml:space="preserve">  </w:t>
      </w:r>
      <w:r w:rsidR="00DA6375">
        <w:rPr>
          <w:rFonts w:ascii="Calibri" w:hAnsi="Calibri" w:cs="Calibri"/>
          <w:color w:val="131413"/>
          <w:sz w:val="24"/>
          <w:szCs w:val="24"/>
        </w:rPr>
        <w:t>Conversel</w:t>
      </w:r>
      <w:r w:rsidR="001A5539">
        <w:rPr>
          <w:rFonts w:ascii="Calibri" w:hAnsi="Calibri" w:cs="Calibri"/>
          <w:color w:val="131413"/>
          <w:sz w:val="24"/>
          <w:szCs w:val="24"/>
        </w:rPr>
        <w:t>y, women with no clinical risk facto</w:t>
      </w:r>
      <w:r w:rsidR="00EF1ACD">
        <w:rPr>
          <w:rFonts w:ascii="Calibri" w:hAnsi="Calibri" w:cs="Calibri"/>
          <w:color w:val="131413"/>
          <w:sz w:val="24"/>
          <w:szCs w:val="24"/>
        </w:rPr>
        <w:t>r</w:t>
      </w:r>
      <w:r w:rsidR="001A5539">
        <w:rPr>
          <w:rFonts w:ascii="Calibri" w:hAnsi="Calibri" w:cs="Calibri"/>
          <w:color w:val="131413"/>
          <w:sz w:val="24"/>
          <w:szCs w:val="24"/>
        </w:rPr>
        <w:t>s</w:t>
      </w:r>
      <w:r w:rsidR="00EF1ACD">
        <w:rPr>
          <w:rFonts w:ascii="Calibri" w:hAnsi="Calibri" w:cs="Calibri"/>
          <w:color w:val="131413"/>
          <w:sz w:val="24"/>
          <w:szCs w:val="24"/>
        </w:rPr>
        <w:t xml:space="preserve"> are not considered </w:t>
      </w:r>
      <w:r w:rsidR="0089537C">
        <w:rPr>
          <w:rFonts w:ascii="Calibri" w:hAnsi="Calibri" w:cs="Calibri"/>
          <w:color w:val="131413"/>
          <w:sz w:val="24"/>
          <w:szCs w:val="24"/>
        </w:rPr>
        <w:t xml:space="preserve">for treatment.  In those with clinical risk </w:t>
      </w:r>
      <w:r w:rsidR="00D7445B">
        <w:rPr>
          <w:rFonts w:ascii="Calibri" w:hAnsi="Calibri" w:cs="Calibri"/>
          <w:color w:val="131413"/>
          <w:sz w:val="24"/>
          <w:szCs w:val="24"/>
        </w:rPr>
        <w:t>factors (apart from a prior fracture)</w:t>
      </w:r>
      <w:r w:rsidRPr="006D5A52">
        <w:rPr>
          <w:rFonts w:ascii="Calibri" w:hAnsi="Calibri" w:cs="Calibri"/>
          <w:color w:val="131413"/>
          <w:sz w:val="24"/>
          <w:szCs w:val="24"/>
        </w:rPr>
        <w:t>, the decision is based on the 10-year probability of major osteoporotic fracture with some individuals</w:t>
      </w:r>
      <w:r w:rsidR="00677989" w:rsidRPr="006D5A52">
        <w:rPr>
          <w:rFonts w:ascii="Calibri" w:hAnsi="Calibri" w:cs="Calibri"/>
          <w:color w:val="131413"/>
          <w:sz w:val="24"/>
          <w:szCs w:val="24"/>
        </w:rPr>
        <w:t xml:space="preserve"> </w:t>
      </w:r>
      <w:r w:rsidRPr="006D5A52">
        <w:rPr>
          <w:rFonts w:ascii="Calibri" w:hAnsi="Calibri" w:cs="Calibri"/>
          <w:color w:val="131413"/>
          <w:sz w:val="24"/>
          <w:szCs w:val="24"/>
        </w:rPr>
        <w:t>deemed at high risk (treatment without BMD), some</w:t>
      </w:r>
      <w:r w:rsidR="00677989" w:rsidRPr="006D5A52">
        <w:rPr>
          <w:rFonts w:ascii="Calibri" w:hAnsi="Calibri" w:cs="Calibri"/>
          <w:color w:val="131413"/>
          <w:sz w:val="24"/>
          <w:szCs w:val="24"/>
        </w:rPr>
        <w:t xml:space="preserve"> </w:t>
      </w:r>
      <w:r w:rsidRPr="006D5A52">
        <w:rPr>
          <w:rFonts w:ascii="Calibri" w:hAnsi="Calibri" w:cs="Calibri"/>
          <w:color w:val="131413"/>
          <w:sz w:val="24"/>
          <w:szCs w:val="24"/>
        </w:rPr>
        <w:t>at or near the intervention threshold (BMD indicated to finalise</w:t>
      </w:r>
      <w:r w:rsidR="00677989" w:rsidRPr="006D5A52">
        <w:rPr>
          <w:rFonts w:ascii="Calibri" w:hAnsi="Calibri" w:cs="Calibri"/>
          <w:color w:val="131413"/>
          <w:sz w:val="24"/>
          <w:szCs w:val="24"/>
        </w:rPr>
        <w:t xml:space="preserve"> </w:t>
      </w:r>
      <w:r w:rsidRPr="006D5A52">
        <w:rPr>
          <w:rFonts w:ascii="Calibri" w:hAnsi="Calibri" w:cs="Calibri"/>
          <w:color w:val="131413"/>
          <w:sz w:val="24"/>
          <w:szCs w:val="24"/>
        </w:rPr>
        <w:t>risk evaluation and stratification) and some at low risk</w:t>
      </w:r>
      <w:r w:rsidR="00677989" w:rsidRPr="006D5A52">
        <w:rPr>
          <w:rFonts w:ascii="Calibri" w:hAnsi="Calibri" w:cs="Calibri"/>
          <w:color w:val="131413"/>
          <w:sz w:val="24"/>
          <w:szCs w:val="24"/>
        </w:rPr>
        <w:t xml:space="preserve"> </w:t>
      </w:r>
      <w:r w:rsidRPr="006D5A52">
        <w:rPr>
          <w:rFonts w:ascii="Calibri" w:hAnsi="Calibri" w:cs="Calibri"/>
          <w:color w:val="131413"/>
          <w:sz w:val="24"/>
          <w:szCs w:val="24"/>
        </w:rPr>
        <w:t>(lifestyle advice, reassurance and re-evaluation in the future).</w:t>
      </w:r>
      <w:r w:rsidR="00677989" w:rsidRPr="006D5A52">
        <w:rPr>
          <w:rFonts w:ascii="Calibri" w:hAnsi="Calibri" w:cs="Calibri"/>
          <w:color w:val="131413"/>
          <w:sz w:val="24"/>
          <w:szCs w:val="24"/>
        </w:rPr>
        <w:t xml:space="preserve"> </w:t>
      </w:r>
      <w:r w:rsidRPr="006D5A52">
        <w:rPr>
          <w:rFonts w:ascii="Calibri" w:hAnsi="Calibri" w:cs="Calibri"/>
          <w:color w:val="131413"/>
          <w:sz w:val="24"/>
          <w:szCs w:val="24"/>
        </w:rPr>
        <w:t>Once</w:t>
      </w:r>
      <w:r w:rsidR="00677989" w:rsidRPr="006D5A52">
        <w:rPr>
          <w:rFonts w:ascii="Calibri" w:hAnsi="Calibri" w:cs="Calibri"/>
          <w:color w:val="131413"/>
          <w:sz w:val="24"/>
          <w:szCs w:val="24"/>
        </w:rPr>
        <w:t xml:space="preserve"> </w:t>
      </w:r>
      <w:r w:rsidRPr="006D5A52">
        <w:rPr>
          <w:rFonts w:ascii="Calibri" w:hAnsi="Calibri" w:cs="Calibri"/>
          <w:color w:val="131413"/>
          <w:sz w:val="24"/>
          <w:szCs w:val="24"/>
        </w:rPr>
        <w:t>BMD is entered into the calculation, the decision to treat</w:t>
      </w:r>
      <w:r w:rsidR="00677989" w:rsidRPr="006D5A52">
        <w:rPr>
          <w:sz w:val="24"/>
          <w:szCs w:val="24"/>
        </w:rPr>
        <w:t xml:space="preserve"> </w:t>
      </w:r>
      <w:r w:rsidR="00677989" w:rsidRPr="006D5A52">
        <w:rPr>
          <w:rFonts w:ascii="Calibri" w:hAnsi="Calibri" w:cs="Calibri"/>
          <w:color w:val="131413"/>
          <w:sz w:val="24"/>
          <w:szCs w:val="24"/>
        </w:rPr>
        <w:t>or not is based on a comparison to age-specific thresholds for both major osteoporotic and hip fracture probability; a</w:t>
      </w:r>
      <w:r w:rsidR="009023BD">
        <w:rPr>
          <w:rFonts w:ascii="Calibri" w:hAnsi="Calibri" w:cs="Calibri"/>
          <w:color w:val="131413"/>
          <w:sz w:val="24"/>
          <w:szCs w:val="24"/>
        </w:rPr>
        <w:t xml:space="preserve"> </w:t>
      </w:r>
      <w:r w:rsidR="00677989" w:rsidRPr="006D5A52">
        <w:rPr>
          <w:rFonts w:ascii="Calibri" w:hAnsi="Calibri" w:cs="Calibri"/>
          <w:color w:val="131413"/>
          <w:sz w:val="24"/>
          <w:szCs w:val="24"/>
        </w:rPr>
        <w:t>probability at or above either threshold indicates eligibility for treatment</w:t>
      </w:r>
      <w:r w:rsidR="00EC4FC4" w:rsidRPr="006D5A52">
        <w:rPr>
          <w:rFonts w:ascii="Calibri" w:hAnsi="Calibri" w:cs="Calibri"/>
          <w:color w:val="131413"/>
          <w:sz w:val="24"/>
          <w:szCs w:val="24"/>
        </w:rPr>
        <w:t xml:space="preserve"> (Figure 1)</w:t>
      </w:r>
      <w:r w:rsidR="00677989" w:rsidRPr="006D5A52">
        <w:rPr>
          <w:rFonts w:ascii="Calibri" w:hAnsi="Calibri" w:cs="Calibri"/>
          <w:color w:val="131413"/>
          <w:sz w:val="24"/>
          <w:szCs w:val="24"/>
        </w:rPr>
        <w:t xml:space="preserve">. </w:t>
      </w:r>
    </w:p>
    <w:p w14:paraId="1D444E34" w14:textId="77777777" w:rsidR="00677989" w:rsidRPr="006D5A52" w:rsidRDefault="00677989" w:rsidP="00677989">
      <w:pPr>
        <w:autoSpaceDE w:val="0"/>
        <w:autoSpaceDN w:val="0"/>
        <w:adjustRightInd w:val="0"/>
        <w:spacing w:after="0" w:line="276" w:lineRule="auto"/>
        <w:rPr>
          <w:rFonts w:ascii="Calibri" w:hAnsi="Calibri" w:cs="Calibri"/>
          <w:color w:val="131413"/>
          <w:sz w:val="24"/>
          <w:szCs w:val="24"/>
        </w:rPr>
      </w:pPr>
    </w:p>
    <w:p w14:paraId="6E1E58BC" w14:textId="37F114F4" w:rsidR="006148AA" w:rsidRPr="006148AA" w:rsidRDefault="00F04A0D" w:rsidP="002230E5">
      <w:pPr>
        <w:autoSpaceDE w:val="0"/>
        <w:autoSpaceDN w:val="0"/>
        <w:adjustRightInd w:val="0"/>
        <w:spacing w:after="0" w:line="276" w:lineRule="auto"/>
        <w:jc w:val="center"/>
        <w:rPr>
          <w:rFonts w:ascii="Calibri" w:hAnsi="Calibri" w:cs="Calibri"/>
          <w:color w:val="131413"/>
          <w:sz w:val="20"/>
          <w:szCs w:val="20"/>
        </w:rPr>
      </w:pPr>
      <w:r>
        <w:rPr>
          <w:noProof/>
        </w:rPr>
        <w:lastRenderedPageBreak/>
        <mc:AlternateContent>
          <mc:Choice Requires="wps">
            <w:drawing>
              <wp:anchor distT="0" distB="0" distL="114300" distR="114300" simplePos="0" relativeHeight="251653120" behindDoc="0" locked="0" layoutInCell="1" allowOverlap="1" wp14:anchorId="299E4F7B" wp14:editId="3B1D716C">
                <wp:simplePos x="0" y="0"/>
                <wp:positionH relativeFrom="margin">
                  <wp:posOffset>3590607</wp:posOffset>
                </wp:positionH>
                <wp:positionV relativeFrom="paragraph">
                  <wp:posOffset>647382</wp:posOffset>
                </wp:positionV>
                <wp:extent cx="2614612" cy="742950"/>
                <wp:effectExtent l="0" t="0" r="0" b="0"/>
                <wp:wrapNone/>
                <wp:docPr id="17" name="Rectangle 16">
                  <a:extLst xmlns:a="http://schemas.openxmlformats.org/drawingml/2006/main">
                    <a:ext uri="{FF2B5EF4-FFF2-40B4-BE49-F238E27FC236}">
                      <a16:creationId xmlns:a16="http://schemas.microsoft.com/office/drawing/2014/main" id="{5929F39D-C903-4BA9-8A4A-45124085CEC3}"/>
                    </a:ext>
                  </a:extLst>
                </wp:docPr>
                <wp:cNvGraphicFramePr/>
                <a:graphic xmlns:a="http://schemas.openxmlformats.org/drawingml/2006/main">
                  <a:graphicData uri="http://schemas.microsoft.com/office/word/2010/wordprocessingShape">
                    <wps:wsp>
                      <wps:cNvSpPr/>
                      <wps:spPr>
                        <a:xfrm>
                          <a:off x="0" y="0"/>
                          <a:ext cx="2614612" cy="742950"/>
                        </a:xfrm>
                        <a:prstGeom prst="rect">
                          <a:avLst/>
                        </a:prstGeom>
                        <a:noFill/>
                        <a:ln>
                          <a:solidFill>
                            <a:srgbClr val="B2B2B2">
                              <a:alpha val="0"/>
                            </a:srgbClr>
                          </a:solidFill>
                        </a:ln>
                      </wps:spPr>
                      <wps:txbx>
                        <w:txbxContent>
                          <w:p w14:paraId="082ABB17" w14:textId="77777777" w:rsidR="008A27D8" w:rsidRPr="00771D71" w:rsidRDefault="008A27D8" w:rsidP="00F04A0D">
                            <w:pPr>
                              <w:jc w:val="center"/>
                              <w:rPr>
                                <w:sz w:val="36"/>
                                <w:szCs w:val="36"/>
                              </w:rPr>
                            </w:pPr>
                            <w:r w:rsidRPr="00771D71">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Copy - not for publication</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299E4F7B" id="Rectangle 16" o:spid="_x0000_s1026" style="position:absolute;left:0;text-align:left;margin-left:282.7pt;margin-top:50.95pt;width:205.85pt;height:5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" filled="f" strokecolor="#b2b2b2">
                <v:stroke opacity="0"/>
                <v:textbox>
                  <w:txbxContent>
                    <w:p w14:paraId="082ABB17" w14:textId="77777777" w:rsidR="008A27D8" w:rsidRPr="00771D71" w:rsidRDefault="008A27D8" w:rsidP="00F04A0D">
                      <w:pPr>
                        <w:jc w:val="center"/>
                        <w:rPr>
                          <w:sz w:val="36"/>
                          <w:szCs w:val="36"/>
                        </w:rPr>
                      </w:pPr>
                      <w:r w:rsidRPr="00771D71">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Copy - not for publication</w:t>
                      </w:r>
                    </w:p>
                  </w:txbxContent>
                </v:textbox>
                <w10:wrap anchorx="margin"/>
              </v:rect>
            </w:pict>
          </mc:Fallback>
        </mc:AlternateContent>
      </w:r>
      <w:r w:rsidR="00562869">
        <w:rPr>
          <w:noProof/>
        </w:rPr>
        <w:drawing>
          <wp:inline distT="0" distB="0" distL="0" distR="0" wp14:anchorId="439EECEE" wp14:editId="33E656E4">
            <wp:extent cx="2986088" cy="2867005"/>
            <wp:effectExtent l="0" t="0" r="5080" b="0"/>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96DAC541-7B7A-43D3-8B79-37D633B846F1}">
                          <asvg:svgBlip xmlns:asvg="http://schemas.microsoft.com/office/drawing/2016/SVG/main" r:embed="rId9"/>
                        </a:ext>
                      </a:extLst>
                    </a:blip>
                    <a:srcRect t="5466" r="47895" b="5594"/>
                    <a:stretch/>
                  </pic:blipFill>
                  <pic:spPr bwMode="auto">
                    <a:xfrm>
                      <a:off x="0" y="0"/>
                      <a:ext cx="2986419" cy="2867323"/>
                    </a:xfrm>
                    <a:prstGeom prst="rect">
                      <a:avLst/>
                    </a:prstGeom>
                    <a:ln>
                      <a:noFill/>
                    </a:ln>
                    <a:extLst>
                      <a:ext uri="{53640926-AAD7-44D8-BBD7-CCE9431645EC}">
                        <a14:shadowObscured xmlns:a14="http://schemas.microsoft.com/office/drawing/2010/main"/>
                      </a:ext>
                    </a:extLst>
                  </pic:spPr>
                </pic:pic>
              </a:graphicData>
            </a:graphic>
          </wp:inline>
        </w:drawing>
      </w:r>
      <w:r w:rsidRPr="00F04A0D">
        <w:rPr>
          <w:noProof/>
        </w:rPr>
        <w:t xml:space="preserve"> </w:t>
      </w:r>
    </w:p>
    <w:p w14:paraId="0A82ACE6" w14:textId="77777777" w:rsidR="00E0088F" w:rsidRDefault="00E0088F" w:rsidP="00E0088F">
      <w:pPr>
        <w:autoSpaceDE w:val="0"/>
        <w:autoSpaceDN w:val="0"/>
        <w:adjustRightInd w:val="0"/>
        <w:spacing w:after="0" w:line="276" w:lineRule="auto"/>
        <w:rPr>
          <w:rFonts w:ascii="Calibri" w:hAnsi="Calibri" w:cs="Calibri"/>
          <w:b/>
          <w:bCs/>
          <w:color w:val="131413"/>
          <w:sz w:val="20"/>
          <w:szCs w:val="20"/>
        </w:rPr>
      </w:pPr>
    </w:p>
    <w:p w14:paraId="2048BEAD" w14:textId="0619EFB1" w:rsidR="00B6351E" w:rsidRDefault="00B6351E" w:rsidP="00556DBC">
      <w:pPr>
        <w:autoSpaceDE w:val="0"/>
        <w:autoSpaceDN w:val="0"/>
        <w:adjustRightInd w:val="0"/>
        <w:spacing w:after="0" w:line="276" w:lineRule="auto"/>
        <w:jc w:val="center"/>
        <w:rPr>
          <w:rFonts w:ascii="Calibri" w:hAnsi="Calibri" w:cs="Calibri"/>
          <w:b/>
          <w:bCs/>
          <w:color w:val="131413"/>
          <w:sz w:val="20"/>
          <w:szCs w:val="20"/>
        </w:rPr>
      </w:pPr>
    </w:p>
    <w:p w14:paraId="62577B3F" w14:textId="60B08A8B" w:rsidR="00980A9C" w:rsidRPr="000C6794" w:rsidRDefault="00CD7482" w:rsidP="002E296F">
      <w:pPr>
        <w:autoSpaceDE w:val="0"/>
        <w:autoSpaceDN w:val="0"/>
        <w:adjustRightInd w:val="0"/>
        <w:spacing w:after="0" w:line="276" w:lineRule="auto"/>
        <w:ind w:left="1134" w:right="1088"/>
        <w:rPr>
          <w:rFonts w:ascii="Calibri" w:hAnsi="Calibri" w:cs="Calibri"/>
          <w:color w:val="131413"/>
          <w:sz w:val="20"/>
          <w:szCs w:val="20"/>
        </w:rPr>
      </w:pPr>
      <w:r w:rsidRPr="00CD7482">
        <w:rPr>
          <w:rFonts w:ascii="Calibri" w:hAnsi="Calibri" w:cs="Calibri"/>
          <w:b/>
          <w:bCs/>
          <w:color w:val="131413"/>
          <w:sz w:val="20"/>
          <w:szCs w:val="20"/>
        </w:rPr>
        <w:t xml:space="preserve">Fig. 1 </w:t>
      </w:r>
      <w:r w:rsidRPr="00E15879">
        <w:rPr>
          <w:rFonts w:ascii="Calibri" w:hAnsi="Calibri" w:cs="Calibri"/>
          <w:color w:val="131413"/>
          <w:sz w:val="20"/>
          <w:szCs w:val="20"/>
        </w:rPr>
        <w:t>Intervention</w:t>
      </w:r>
      <w:r w:rsidR="00FC0C3C" w:rsidRPr="00E15879">
        <w:rPr>
          <w:rFonts w:ascii="Calibri" w:hAnsi="Calibri" w:cs="Calibri"/>
          <w:color w:val="131413"/>
          <w:sz w:val="20"/>
          <w:szCs w:val="20"/>
        </w:rPr>
        <w:t xml:space="preserve"> </w:t>
      </w:r>
      <w:r w:rsidRPr="00E15879">
        <w:rPr>
          <w:rFonts w:ascii="Calibri" w:hAnsi="Calibri" w:cs="Calibri"/>
          <w:color w:val="131413"/>
          <w:sz w:val="20"/>
          <w:szCs w:val="20"/>
        </w:rPr>
        <w:t>and assessment thresholds</w:t>
      </w:r>
      <w:r w:rsidR="00FC0C3C" w:rsidRPr="00E15879">
        <w:rPr>
          <w:rFonts w:ascii="Calibri" w:hAnsi="Calibri" w:cs="Calibri"/>
          <w:color w:val="131413"/>
          <w:sz w:val="20"/>
          <w:szCs w:val="20"/>
        </w:rPr>
        <w:t xml:space="preserve"> of</w:t>
      </w:r>
      <w:r w:rsidRPr="00E15879">
        <w:rPr>
          <w:rFonts w:ascii="Calibri" w:hAnsi="Calibri" w:cs="Calibri"/>
          <w:color w:val="131413"/>
          <w:sz w:val="20"/>
          <w:szCs w:val="20"/>
        </w:rPr>
        <w:t xml:space="preserve"> the current NOGG</w:t>
      </w:r>
      <w:r w:rsidR="003221D7" w:rsidRPr="00E15879">
        <w:rPr>
          <w:rFonts w:ascii="Calibri" w:hAnsi="Calibri" w:cs="Calibri"/>
          <w:color w:val="131413"/>
          <w:sz w:val="20"/>
          <w:szCs w:val="20"/>
        </w:rPr>
        <w:t xml:space="preserve"> </w:t>
      </w:r>
      <w:r w:rsidRPr="00E15879">
        <w:rPr>
          <w:rFonts w:ascii="Calibri" w:hAnsi="Calibri" w:cs="Calibri"/>
          <w:color w:val="131413"/>
          <w:sz w:val="20"/>
          <w:szCs w:val="20"/>
        </w:rPr>
        <w:t>thresholds in the UK</w:t>
      </w:r>
      <w:r w:rsidR="00980A9C" w:rsidRPr="00E15879">
        <w:rPr>
          <w:rFonts w:ascii="Calibri" w:hAnsi="Calibri" w:cs="Calibri"/>
          <w:color w:val="131413"/>
          <w:sz w:val="20"/>
          <w:szCs w:val="20"/>
        </w:rPr>
        <w:t>.  The green area</w:t>
      </w:r>
      <w:r w:rsidR="00630433" w:rsidRPr="00E15879">
        <w:rPr>
          <w:rFonts w:ascii="Calibri" w:hAnsi="Calibri" w:cs="Calibri"/>
          <w:color w:val="131413"/>
          <w:sz w:val="20"/>
          <w:szCs w:val="20"/>
        </w:rPr>
        <w:t xml:space="preserve"> denotes low ris</w:t>
      </w:r>
      <w:r w:rsidR="003D7EC9" w:rsidRPr="00E15879">
        <w:rPr>
          <w:rFonts w:ascii="Calibri" w:hAnsi="Calibri" w:cs="Calibri"/>
          <w:color w:val="131413"/>
          <w:sz w:val="20"/>
          <w:szCs w:val="20"/>
        </w:rPr>
        <w:t>k</w:t>
      </w:r>
      <w:r w:rsidR="00630433" w:rsidRPr="00E15879">
        <w:rPr>
          <w:rFonts w:ascii="Calibri" w:hAnsi="Calibri" w:cs="Calibri"/>
          <w:color w:val="131413"/>
          <w:sz w:val="20"/>
          <w:szCs w:val="20"/>
        </w:rPr>
        <w:t xml:space="preserve"> (absence of </w:t>
      </w:r>
      <w:r w:rsidR="003D7EC9" w:rsidRPr="00E15879">
        <w:rPr>
          <w:rFonts w:ascii="Calibri" w:hAnsi="Calibri" w:cs="Calibri"/>
          <w:color w:val="131413"/>
          <w:sz w:val="20"/>
          <w:szCs w:val="20"/>
        </w:rPr>
        <w:t>clinical risk factors).  The red area denotes</w:t>
      </w:r>
      <w:r w:rsidR="001B0E62" w:rsidRPr="00E15879">
        <w:rPr>
          <w:rFonts w:ascii="Calibri" w:hAnsi="Calibri" w:cs="Calibri"/>
          <w:color w:val="131413"/>
          <w:sz w:val="20"/>
          <w:szCs w:val="20"/>
        </w:rPr>
        <w:t xml:space="preserve"> eligibility for treatment.  </w:t>
      </w:r>
      <w:r w:rsidR="004C5E45" w:rsidRPr="00E15879">
        <w:rPr>
          <w:rFonts w:ascii="Calibri" w:hAnsi="Calibri" w:cs="Calibri"/>
          <w:color w:val="131413"/>
          <w:sz w:val="20"/>
          <w:szCs w:val="20"/>
        </w:rPr>
        <w:t>The amber area</w:t>
      </w:r>
      <w:r w:rsidR="004C5E45">
        <w:rPr>
          <w:rFonts w:ascii="Calibri" w:hAnsi="Calibri" w:cs="Calibri"/>
          <w:color w:val="131413"/>
          <w:sz w:val="20"/>
          <w:szCs w:val="20"/>
        </w:rPr>
        <w:t>,</w:t>
      </w:r>
      <w:r w:rsidR="00A867CA" w:rsidRPr="00E15879">
        <w:rPr>
          <w:rFonts w:ascii="Calibri" w:hAnsi="Calibri" w:cs="Calibri"/>
          <w:color w:val="131413"/>
          <w:sz w:val="20"/>
          <w:szCs w:val="20"/>
        </w:rPr>
        <w:t xml:space="preserve"> bou</w:t>
      </w:r>
      <w:r w:rsidR="003905B1" w:rsidRPr="00E15879">
        <w:rPr>
          <w:rFonts w:ascii="Calibri" w:hAnsi="Calibri" w:cs="Calibri"/>
          <w:color w:val="131413"/>
          <w:sz w:val="20"/>
          <w:szCs w:val="20"/>
        </w:rPr>
        <w:t>n</w:t>
      </w:r>
      <w:r w:rsidR="00363EA7" w:rsidRPr="00E15879">
        <w:rPr>
          <w:rFonts w:ascii="Calibri" w:hAnsi="Calibri" w:cs="Calibri"/>
          <w:color w:val="131413"/>
          <w:sz w:val="20"/>
          <w:szCs w:val="20"/>
        </w:rPr>
        <w:t>ded b</w:t>
      </w:r>
      <w:r w:rsidR="003905B1" w:rsidRPr="00E15879">
        <w:rPr>
          <w:rFonts w:ascii="Calibri" w:hAnsi="Calibri" w:cs="Calibri"/>
          <w:color w:val="131413"/>
          <w:sz w:val="20"/>
          <w:szCs w:val="20"/>
        </w:rPr>
        <w:t>y</w:t>
      </w:r>
      <w:r w:rsidR="00363EA7" w:rsidRPr="00E15879">
        <w:rPr>
          <w:rFonts w:ascii="Calibri" w:hAnsi="Calibri" w:cs="Calibri"/>
          <w:color w:val="131413"/>
          <w:sz w:val="20"/>
          <w:szCs w:val="20"/>
        </w:rPr>
        <w:t xml:space="preserve"> the lower assessment threshold (LAT) and upper </w:t>
      </w:r>
      <w:r w:rsidR="003905B1" w:rsidRPr="00E15879">
        <w:rPr>
          <w:rFonts w:ascii="Calibri" w:hAnsi="Calibri" w:cs="Calibri"/>
          <w:color w:val="131413"/>
          <w:sz w:val="20"/>
          <w:szCs w:val="20"/>
        </w:rPr>
        <w:t>assessment</w:t>
      </w:r>
      <w:r w:rsidR="00363EA7" w:rsidRPr="00E15879">
        <w:rPr>
          <w:rFonts w:ascii="Calibri" w:hAnsi="Calibri" w:cs="Calibri"/>
          <w:color w:val="131413"/>
          <w:sz w:val="20"/>
          <w:szCs w:val="20"/>
        </w:rPr>
        <w:t xml:space="preserve"> threshold</w:t>
      </w:r>
      <w:r w:rsidR="003905B1" w:rsidRPr="00E15879">
        <w:rPr>
          <w:rFonts w:ascii="Calibri" w:hAnsi="Calibri" w:cs="Calibri"/>
          <w:color w:val="131413"/>
          <w:sz w:val="20"/>
          <w:szCs w:val="20"/>
        </w:rPr>
        <w:t xml:space="preserve"> (UAT)</w:t>
      </w:r>
      <w:r w:rsidR="004C5E45">
        <w:rPr>
          <w:rFonts w:ascii="Calibri" w:hAnsi="Calibri" w:cs="Calibri"/>
          <w:color w:val="131413"/>
          <w:sz w:val="20"/>
          <w:szCs w:val="20"/>
        </w:rPr>
        <w:t>,</w:t>
      </w:r>
      <w:r w:rsidR="003905B1" w:rsidRPr="00E15879">
        <w:rPr>
          <w:rFonts w:ascii="Calibri" w:hAnsi="Calibri" w:cs="Calibri"/>
          <w:color w:val="131413"/>
          <w:sz w:val="20"/>
          <w:szCs w:val="20"/>
        </w:rPr>
        <w:t xml:space="preserve"> </w:t>
      </w:r>
      <w:r w:rsidR="00CC7DE5" w:rsidRPr="00E15879">
        <w:rPr>
          <w:rFonts w:ascii="Calibri" w:hAnsi="Calibri" w:cs="Calibri"/>
          <w:color w:val="131413"/>
          <w:sz w:val="20"/>
          <w:szCs w:val="20"/>
        </w:rPr>
        <w:t xml:space="preserve">denotes probabilities where a BMD is </w:t>
      </w:r>
      <w:r w:rsidR="00CC7DE5" w:rsidRPr="000C6794">
        <w:rPr>
          <w:rFonts w:ascii="Calibri" w:hAnsi="Calibri" w:cs="Calibri"/>
          <w:color w:val="131413"/>
          <w:sz w:val="20"/>
          <w:szCs w:val="20"/>
        </w:rPr>
        <w:t xml:space="preserve">recommended. </w:t>
      </w:r>
      <w:r w:rsidR="00E15879" w:rsidRPr="000C6794">
        <w:rPr>
          <w:rFonts w:ascii="Calibri" w:hAnsi="Calibri" w:cs="Calibri"/>
          <w:color w:val="131413"/>
          <w:sz w:val="20"/>
          <w:szCs w:val="20"/>
        </w:rPr>
        <w:t xml:space="preserve"> </w:t>
      </w:r>
      <w:r w:rsidR="009F43B8" w:rsidRPr="000C6794">
        <w:rPr>
          <w:rFonts w:ascii="Calibri" w:hAnsi="Calibri" w:cs="Calibri"/>
          <w:color w:val="131413"/>
          <w:sz w:val="20"/>
          <w:szCs w:val="20"/>
        </w:rPr>
        <w:t>Following a BMD assessment, intervention is recommended in those</w:t>
      </w:r>
      <w:r w:rsidR="000C6794" w:rsidRPr="000C6794">
        <w:rPr>
          <w:rFonts w:ascii="Calibri" w:hAnsi="Calibri" w:cs="Calibri"/>
          <w:color w:val="131413"/>
          <w:sz w:val="20"/>
          <w:szCs w:val="20"/>
        </w:rPr>
        <w:t xml:space="preserve"> in whom fracture probability lies above the</w:t>
      </w:r>
      <w:r w:rsidR="0096595C" w:rsidRPr="000C6794">
        <w:rPr>
          <w:rFonts w:ascii="Calibri" w:hAnsi="Calibri" w:cs="Calibri"/>
          <w:color w:val="131413"/>
          <w:sz w:val="20"/>
          <w:szCs w:val="20"/>
        </w:rPr>
        <w:t xml:space="preserve"> </w:t>
      </w:r>
      <w:r w:rsidR="009A7F45">
        <w:rPr>
          <w:rFonts w:ascii="Calibri" w:hAnsi="Calibri" w:cs="Calibri"/>
          <w:color w:val="131413"/>
          <w:sz w:val="20"/>
          <w:szCs w:val="20"/>
        </w:rPr>
        <w:t>lower</w:t>
      </w:r>
      <w:r w:rsidR="00A615EA">
        <w:rPr>
          <w:rFonts w:ascii="Calibri" w:hAnsi="Calibri" w:cs="Calibri"/>
          <w:color w:val="131413"/>
          <w:sz w:val="20"/>
          <w:szCs w:val="20"/>
        </w:rPr>
        <w:t xml:space="preserve"> </w:t>
      </w:r>
      <w:r w:rsidR="0096595C" w:rsidRPr="000C6794">
        <w:rPr>
          <w:rFonts w:ascii="Calibri" w:hAnsi="Calibri" w:cs="Calibri"/>
          <w:color w:val="131413"/>
          <w:sz w:val="20"/>
          <w:szCs w:val="20"/>
        </w:rPr>
        <w:t>intervention threshold (</w:t>
      </w:r>
      <w:r w:rsidR="00837D15">
        <w:rPr>
          <w:rFonts w:ascii="Calibri" w:hAnsi="Calibri" w:cs="Calibri"/>
          <w:color w:val="131413"/>
          <w:sz w:val="20"/>
          <w:szCs w:val="20"/>
        </w:rPr>
        <w:t>L</w:t>
      </w:r>
      <w:r w:rsidR="0096595C" w:rsidRPr="000C6794">
        <w:rPr>
          <w:rFonts w:ascii="Calibri" w:hAnsi="Calibri" w:cs="Calibri"/>
          <w:color w:val="131413"/>
          <w:sz w:val="20"/>
          <w:szCs w:val="20"/>
        </w:rPr>
        <w:t>IT)</w:t>
      </w:r>
      <w:r w:rsidR="000C6794">
        <w:rPr>
          <w:rFonts w:ascii="Calibri" w:hAnsi="Calibri" w:cs="Calibri"/>
          <w:color w:val="131413"/>
          <w:sz w:val="20"/>
          <w:szCs w:val="20"/>
        </w:rPr>
        <w:t>.</w:t>
      </w:r>
      <w:r w:rsidR="00556DBC">
        <w:rPr>
          <w:rFonts w:ascii="Calibri" w:hAnsi="Calibri" w:cs="Calibri"/>
          <w:color w:val="131413"/>
          <w:sz w:val="20"/>
          <w:szCs w:val="20"/>
        </w:rPr>
        <w:t xml:space="preserve">  </w:t>
      </w:r>
      <w:r w:rsidR="003B059B">
        <w:rPr>
          <w:rFonts w:ascii="Calibri" w:hAnsi="Calibri" w:cs="Calibri"/>
          <w:color w:val="131413"/>
          <w:sz w:val="20"/>
          <w:szCs w:val="20"/>
        </w:rPr>
        <w:t>Thresholds</w:t>
      </w:r>
      <w:r w:rsidR="001B192E">
        <w:rPr>
          <w:rFonts w:ascii="Calibri" w:hAnsi="Calibri" w:cs="Calibri"/>
          <w:color w:val="131413"/>
          <w:sz w:val="20"/>
          <w:szCs w:val="20"/>
        </w:rPr>
        <w:t xml:space="preserve"> for categorising very hi</w:t>
      </w:r>
      <w:r w:rsidR="003B059B">
        <w:rPr>
          <w:rFonts w:ascii="Calibri" w:hAnsi="Calibri" w:cs="Calibri"/>
          <w:color w:val="131413"/>
          <w:sz w:val="20"/>
          <w:szCs w:val="20"/>
        </w:rPr>
        <w:t xml:space="preserve">gh risk are set at </w:t>
      </w:r>
      <w:r w:rsidR="00DF2B90">
        <w:rPr>
          <w:rFonts w:ascii="Calibri" w:hAnsi="Calibri" w:cs="Calibri"/>
          <w:color w:val="131413"/>
          <w:sz w:val="20"/>
          <w:szCs w:val="20"/>
        </w:rPr>
        <w:t xml:space="preserve">1.2, 1.6 and 2 times the </w:t>
      </w:r>
      <w:r w:rsidR="00446F97">
        <w:rPr>
          <w:rFonts w:ascii="Calibri" w:hAnsi="Calibri" w:cs="Calibri"/>
          <w:color w:val="131413"/>
          <w:sz w:val="20"/>
          <w:szCs w:val="20"/>
        </w:rPr>
        <w:t xml:space="preserve">lower </w:t>
      </w:r>
      <w:r w:rsidR="00DF2B90">
        <w:rPr>
          <w:rFonts w:ascii="Calibri" w:hAnsi="Calibri" w:cs="Calibri"/>
          <w:color w:val="131413"/>
          <w:sz w:val="20"/>
          <w:szCs w:val="20"/>
        </w:rPr>
        <w:t>intervention threshold</w:t>
      </w:r>
      <w:r w:rsidR="002E296F">
        <w:rPr>
          <w:rFonts w:ascii="Calibri" w:hAnsi="Calibri" w:cs="Calibri"/>
          <w:color w:val="131413"/>
          <w:sz w:val="20"/>
          <w:szCs w:val="20"/>
        </w:rPr>
        <w:t>.</w:t>
      </w:r>
      <w:r w:rsidR="003B059B">
        <w:rPr>
          <w:rFonts w:ascii="Calibri" w:hAnsi="Calibri" w:cs="Calibri"/>
          <w:color w:val="131413"/>
          <w:sz w:val="20"/>
          <w:szCs w:val="20"/>
        </w:rPr>
        <w:t xml:space="preserve"> </w:t>
      </w:r>
    </w:p>
    <w:p w14:paraId="551AAAF4" w14:textId="77777777" w:rsidR="00980A9C" w:rsidRDefault="00980A9C" w:rsidP="00CD7482">
      <w:pPr>
        <w:autoSpaceDE w:val="0"/>
        <w:autoSpaceDN w:val="0"/>
        <w:adjustRightInd w:val="0"/>
        <w:spacing w:after="0" w:line="276" w:lineRule="auto"/>
        <w:rPr>
          <w:rFonts w:ascii="Calibri" w:hAnsi="Calibri" w:cs="Calibri"/>
          <w:b/>
          <w:bCs/>
          <w:color w:val="131413"/>
          <w:sz w:val="20"/>
          <w:szCs w:val="20"/>
        </w:rPr>
      </w:pPr>
    </w:p>
    <w:p w14:paraId="6A0C2408" w14:textId="77777777" w:rsidR="00F92540" w:rsidRDefault="00F92540" w:rsidP="00E0088F">
      <w:pPr>
        <w:autoSpaceDE w:val="0"/>
        <w:autoSpaceDN w:val="0"/>
        <w:adjustRightInd w:val="0"/>
        <w:spacing w:after="0" w:line="276" w:lineRule="auto"/>
        <w:rPr>
          <w:rFonts w:ascii="Calibri" w:hAnsi="Calibri" w:cs="Calibri"/>
          <w:b/>
          <w:bCs/>
          <w:color w:val="131413"/>
          <w:sz w:val="20"/>
          <w:szCs w:val="20"/>
        </w:rPr>
      </w:pPr>
    </w:p>
    <w:p w14:paraId="0B59C173" w14:textId="18353963" w:rsidR="00F92540" w:rsidRPr="00516C63" w:rsidRDefault="000E3A00" w:rsidP="00AA1754">
      <w:pPr>
        <w:autoSpaceDE w:val="0"/>
        <w:autoSpaceDN w:val="0"/>
        <w:adjustRightInd w:val="0"/>
        <w:spacing w:after="0" w:line="276" w:lineRule="auto"/>
        <w:rPr>
          <w:rFonts w:ascii="Calibri" w:hAnsi="Calibri" w:cs="Calibri"/>
          <w:i/>
          <w:iCs/>
          <w:color w:val="131413"/>
          <w:sz w:val="24"/>
          <w:szCs w:val="24"/>
        </w:rPr>
      </w:pPr>
      <w:r w:rsidRPr="00516C63">
        <w:rPr>
          <w:rFonts w:ascii="Calibri" w:hAnsi="Calibri" w:cs="Calibri"/>
          <w:i/>
          <w:iCs/>
          <w:color w:val="131413"/>
          <w:sz w:val="24"/>
          <w:szCs w:val="24"/>
        </w:rPr>
        <w:t>High and very high risk</w:t>
      </w:r>
    </w:p>
    <w:p w14:paraId="13EBC78D" w14:textId="1DAC4FCE" w:rsidR="00CF4459" w:rsidRDefault="007A5A01" w:rsidP="00AA1754">
      <w:pPr>
        <w:autoSpaceDE w:val="0"/>
        <w:autoSpaceDN w:val="0"/>
        <w:adjustRightInd w:val="0"/>
        <w:spacing w:after="0" w:line="276" w:lineRule="auto"/>
        <w:rPr>
          <w:rFonts w:ascii="Calibri" w:hAnsi="Calibri" w:cs="Calibri"/>
          <w:color w:val="131413"/>
          <w:sz w:val="24"/>
          <w:szCs w:val="24"/>
        </w:rPr>
      </w:pPr>
      <w:r w:rsidRPr="00516C63">
        <w:rPr>
          <w:rFonts w:ascii="Calibri" w:hAnsi="Calibri" w:cs="Calibri"/>
          <w:color w:val="131413"/>
          <w:sz w:val="24"/>
          <w:szCs w:val="24"/>
        </w:rPr>
        <w:t>The</w:t>
      </w:r>
      <w:r w:rsidR="003A575D" w:rsidRPr="00516C63">
        <w:rPr>
          <w:rFonts w:ascii="Calibri" w:hAnsi="Calibri" w:cs="Calibri"/>
          <w:color w:val="131413"/>
          <w:sz w:val="24"/>
          <w:szCs w:val="24"/>
        </w:rPr>
        <w:t xml:space="preserve"> NOGG</w:t>
      </w:r>
      <w:r w:rsidR="00CF4459" w:rsidRPr="00516C63">
        <w:rPr>
          <w:rFonts w:ascii="Calibri" w:hAnsi="Calibri" w:cs="Calibri"/>
          <w:color w:val="131413"/>
          <w:sz w:val="24"/>
          <w:szCs w:val="24"/>
        </w:rPr>
        <w:t xml:space="preserve"> intervention threshold up to age 70 years </w:t>
      </w:r>
      <w:r w:rsidR="000506C6">
        <w:rPr>
          <w:rFonts w:ascii="Calibri" w:hAnsi="Calibri" w:cs="Calibri"/>
          <w:color w:val="131413"/>
          <w:sz w:val="24"/>
          <w:szCs w:val="24"/>
        </w:rPr>
        <w:t>was</w:t>
      </w:r>
      <w:r w:rsidR="00CF4459" w:rsidRPr="00516C63">
        <w:rPr>
          <w:rFonts w:ascii="Calibri" w:hAnsi="Calibri" w:cs="Calibri"/>
          <w:color w:val="131413"/>
          <w:sz w:val="24"/>
          <w:szCs w:val="24"/>
        </w:rPr>
        <w:t xml:space="preserve"> set at a risk equivalent to that</w:t>
      </w:r>
      <w:r w:rsidR="009A5B6B">
        <w:rPr>
          <w:rFonts w:ascii="Calibri" w:hAnsi="Calibri" w:cs="Calibri"/>
          <w:color w:val="131413"/>
          <w:sz w:val="24"/>
          <w:szCs w:val="24"/>
        </w:rPr>
        <w:t xml:space="preserve"> of a woman</w:t>
      </w:r>
      <w:r w:rsidR="00CF4459" w:rsidRPr="00516C63">
        <w:rPr>
          <w:rFonts w:ascii="Calibri" w:hAnsi="Calibri" w:cs="Calibri"/>
          <w:color w:val="131413"/>
          <w:sz w:val="24"/>
          <w:szCs w:val="24"/>
        </w:rPr>
        <w:t xml:space="preserve"> with a prior </w:t>
      </w:r>
      <w:r w:rsidR="009A5B6B">
        <w:rPr>
          <w:rFonts w:ascii="Calibri" w:hAnsi="Calibri" w:cs="Calibri"/>
          <w:color w:val="131413"/>
          <w:sz w:val="24"/>
          <w:szCs w:val="24"/>
        </w:rPr>
        <w:t xml:space="preserve">fragility </w:t>
      </w:r>
      <w:r w:rsidR="00CF4459" w:rsidRPr="00516C63">
        <w:rPr>
          <w:rFonts w:ascii="Calibri" w:hAnsi="Calibri" w:cs="Calibri"/>
          <w:color w:val="131413"/>
          <w:sz w:val="24"/>
          <w:szCs w:val="24"/>
        </w:rPr>
        <w:t xml:space="preserve">fracture, in line with current clinical practice, and therefore rises with age.  At age 70 years and above, fixed thresholds </w:t>
      </w:r>
      <w:r w:rsidR="000506C6">
        <w:rPr>
          <w:rFonts w:ascii="Calibri" w:hAnsi="Calibri" w:cs="Calibri"/>
          <w:color w:val="131413"/>
          <w:sz w:val="24"/>
          <w:szCs w:val="24"/>
        </w:rPr>
        <w:t>were</w:t>
      </w:r>
      <w:r w:rsidR="00CF4459" w:rsidRPr="00516C63">
        <w:rPr>
          <w:rFonts w:ascii="Calibri" w:hAnsi="Calibri" w:cs="Calibri"/>
          <w:color w:val="131413"/>
          <w:sz w:val="24"/>
          <w:szCs w:val="24"/>
        </w:rPr>
        <w:t xml:space="preserve"> applied [</w:t>
      </w:r>
      <w:r w:rsidR="00AF2B08">
        <w:rPr>
          <w:rFonts w:ascii="Calibri" w:hAnsi="Calibri" w:cs="Calibri"/>
          <w:color w:val="131413"/>
          <w:sz w:val="24"/>
          <w:szCs w:val="24"/>
        </w:rPr>
        <w:t>7, 8]</w:t>
      </w:r>
      <w:r w:rsidR="00CF4459" w:rsidRPr="00516C63">
        <w:rPr>
          <w:rFonts w:ascii="Calibri" w:hAnsi="Calibri" w:cs="Calibri"/>
          <w:color w:val="131413"/>
          <w:sz w:val="24"/>
          <w:szCs w:val="24"/>
        </w:rPr>
        <w:t xml:space="preserve"> (</w:t>
      </w:r>
      <w:r w:rsidR="004923D9" w:rsidRPr="00516C63">
        <w:rPr>
          <w:rFonts w:ascii="Calibri" w:hAnsi="Calibri" w:cs="Calibri"/>
          <w:color w:val="131413"/>
          <w:sz w:val="24"/>
          <w:szCs w:val="24"/>
        </w:rPr>
        <w:t>see Figure 1</w:t>
      </w:r>
      <w:r w:rsidR="00CF4459" w:rsidRPr="00516C63">
        <w:rPr>
          <w:rFonts w:ascii="Calibri" w:hAnsi="Calibri" w:cs="Calibri"/>
          <w:color w:val="131413"/>
          <w:sz w:val="24"/>
          <w:szCs w:val="24"/>
        </w:rPr>
        <w:t>)</w:t>
      </w:r>
      <w:r w:rsidR="00C111C7" w:rsidRPr="00516C63">
        <w:rPr>
          <w:rFonts w:ascii="Calibri" w:hAnsi="Calibri" w:cs="Calibri"/>
          <w:color w:val="131413"/>
          <w:sz w:val="24"/>
          <w:szCs w:val="24"/>
        </w:rPr>
        <w:t>.</w:t>
      </w:r>
      <w:r w:rsidR="0079297B" w:rsidRPr="00516C63">
        <w:rPr>
          <w:rFonts w:ascii="Calibri" w:hAnsi="Calibri" w:cs="Calibri"/>
          <w:color w:val="131413"/>
          <w:sz w:val="24"/>
          <w:szCs w:val="24"/>
        </w:rPr>
        <w:t xml:space="preserve"> </w:t>
      </w:r>
      <w:r w:rsidR="00C111C7" w:rsidRPr="00516C63">
        <w:rPr>
          <w:rFonts w:ascii="Calibri" w:hAnsi="Calibri" w:cs="Calibri"/>
          <w:color w:val="131413"/>
          <w:sz w:val="24"/>
          <w:szCs w:val="24"/>
        </w:rPr>
        <w:t xml:space="preserve"> For the present report</w:t>
      </w:r>
      <w:r w:rsidR="00393551" w:rsidRPr="00516C63">
        <w:rPr>
          <w:rFonts w:ascii="Calibri" w:hAnsi="Calibri" w:cs="Calibri"/>
          <w:color w:val="131413"/>
          <w:sz w:val="24"/>
          <w:szCs w:val="24"/>
        </w:rPr>
        <w:t xml:space="preserve"> t</w:t>
      </w:r>
      <w:r w:rsidR="0079297B" w:rsidRPr="00516C63">
        <w:rPr>
          <w:rFonts w:ascii="Calibri" w:hAnsi="Calibri" w:cs="Calibri"/>
          <w:color w:val="131413"/>
          <w:sz w:val="24"/>
          <w:szCs w:val="24"/>
        </w:rPr>
        <w:t>his threshol</w:t>
      </w:r>
      <w:r w:rsidR="00C111C7" w:rsidRPr="00516C63">
        <w:rPr>
          <w:rFonts w:ascii="Calibri" w:hAnsi="Calibri" w:cs="Calibri"/>
          <w:color w:val="131413"/>
          <w:sz w:val="24"/>
          <w:szCs w:val="24"/>
        </w:rPr>
        <w:t>d</w:t>
      </w:r>
      <w:r w:rsidR="00393551" w:rsidRPr="00516C63">
        <w:rPr>
          <w:rFonts w:ascii="Calibri" w:hAnsi="Calibri" w:cs="Calibri"/>
          <w:color w:val="131413"/>
          <w:sz w:val="24"/>
          <w:szCs w:val="24"/>
        </w:rPr>
        <w:t xml:space="preserve"> is termed the lower intervention thr</w:t>
      </w:r>
      <w:r w:rsidR="003524A2" w:rsidRPr="00516C63">
        <w:rPr>
          <w:rFonts w:ascii="Calibri" w:hAnsi="Calibri" w:cs="Calibri"/>
          <w:color w:val="131413"/>
          <w:sz w:val="24"/>
          <w:szCs w:val="24"/>
        </w:rPr>
        <w:t>e</w:t>
      </w:r>
      <w:r w:rsidR="00393551" w:rsidRPr="00516C63">
        <w:rPr>
          <w:rFonts w:ascii="Calibri" w:hAnsi="Calibri" w:cs="Calibri"/>
          <w:color w:val="131413"/>
          <w:sz w:val="24"/>
          <w:szCs w:val="24"/>
        </w:rPr>
        <w:t>shold</w:t>
      </w:r>
      <w:r w:rsidR="003524A2" w:rsidRPr="00516C63">
        <w:rPr>
          <w:rFonts w:ascii="Calibri" w:hAnsi="Calibri" w:cs="Calibri"/>
          <w:color w:val="131413"/>
          <w:sz w:val="24"/>
          <w:szCs w:val="24"/>
        </w:rPr>
        <w:t xml:space="preserve"> (LIT)</w:t>
      </w:r>
      <w:r w:rsidR="00CF4459" w:rsidRPr="00516C63">
        <w:rPr>
          <w:rFonts w:ascii="Calibri" w:hAnsi="Calibri" w:cs="Calibri"/>
          <w:color w:val="131413"/>
          <w:sz w:val="24"/>
          <w:szCs w:val="24"/>
        </w:rPr>
        <w:t xml:space="preserve">. </w:t>
      </w:r>
      <w:r w:rsidR="00E04B3D" w:rsidRPr="00516C63">
        <w:rPr>
          <w:rFonts w:ascii="Calibri" w:hAnsi="Calibri" w:cs="Calibri"/>
          <w:color w:val="131413"/>
          <w:sz w:val="24"/>
          <w:szCs w:val="24"/>
        </w:rPr>
        <w:t xml:space="preserve"> </w:t>
      </w:r>
      <w:r w:rsidR="000E2791" w:rsidRPr="000E2791">
        <w:rPr>
          <w:rFonts w:ascii="Calibri" w:hAnsi="Calibri" w:cs="Calibri"/>
          <w:color w:val="131413"/>
          <w:sz w:val="24"/>
          <w:szCs w:val="24"/>
        </w:rPr>
        <w:t>The threshold that designates high from very high risk is termed the upper intervention threshold (</w:t>
      </w:r>
      <w:r w:rsidR="000E2791" w:rsidRPr="00287692">
        <w:rPr>
          <w:rFonts w:ascii="Calibri" w:hAnsi="Calibri" w:cs="Calibri"/>
          <w:color w:val="131413"/>
          <w:sz w:val="24"/>
          <w:szCs w:val="24"/>
        </w:rPr>
        <w:t xml:space="preserve">UIT).  </w:t>
      </w:r>
      <w:r w:rsidR="000D0A6B" w:rsidRPr="00287692">
        <w:rPr>
          <w:rFonts w:ascii="Calibri" w:hAnsi="Calibri" w:cs="Calibri"/>
          <w:color w:val="131413"/>
          <w:sz w:val="24"/>
          <w:szCs w:val="24"/>
        </w:rPr>
        <w:t xml:space="preserve">For the age-specific </w:t>
      </w:r>
      <w:r w:rsidR="00A12A4D" w:rsidRPr="00287692">
        <w:rPr>
          <w:rFonts w:ascii="Calibri" w:hAnsi="Calibri" w:cs="Calibri"/>
          <w:color w:val="131413"/>
          <w:sz w:val="24"/>
          <w:szCs w:val="24"/>
        </w:rPr>
        <w:t xml:space="preserve">European </w:t>
      </w:r>
      <w:r w:rsidR="00462427" w:rsidRPr="00287692">
        <w:rPr>
          <w:rFonts w:ascii="Calibri" w:hAnsi="Calibri" w:cs="Calibri"/>
          <w:color w:val="131413"/>
          <w:sz w:val="24"/>
          <w:szCs w:val="24"/>
        </w:rPr>
        <w:t>guidelines</w:t>
      </w:r>
      <w:r w:rsidR="000D0A6B" w:rsidRPr="00287692">
        <w:rPr>
          <w:rFonts w:ascii="Calibri" w:hAnsi="Calibri" w:cs="Calibri"/>
          <w:color w:val="131413"/>
          <w:sz w:val="24"/>
          <w:szCs w:val="24"/>
        </w:rPr>
        <w:t xml:space="preserve"> </w:t>
      </w:r>
      <w:r w:rsidR="00462427" w:rsidRPr="00287692">
        <w:rPr>
          <w:rFonts w:ascii="Calibri" w:hAnsi="Calibri" w:cs="Calibri"/>
          <w:color w:val="131413"/>
          <w:sz w:val="24"/>
          <w:szCs w:val="24"/>
        </w:rPr>
        <w:t xml:space="preserve">a </w:t>
      </w:r>
      <w:r w:rsidR="00C34275" w:rsidRPr="00287692">
        <w:rPr>
          <w:rFonts w:ascii="Calibri" w:hAnsi="Calibri" w:cs="Calibri"/>
          <w:color w:val="131413"/>
          <w:sz w:val="24"/>
          <w:szCs w:val="24"/>
        </w:rPr>
        <w:t>UIT</w:t>
      </w:r>
      <w:r w:rsidR="00462427" w:rsidRPr="00287692">
        <w:rPr>
          <w:rFonts w:ascii="Calibri" w:hAnsi="Calibri" w:cs="Calibri"/>
          <w:color w:val="131413"/>
          <w:sz w:val="24"/>
          <w:szCs w:val="24"/>
        </w:rPr>
        <w:t xml:space="preserve"> o</w:t>
      </w:r>
      <w:r w:rsidR="001433F4" w:rsidRPr="00287692">
        <w:rPr>
          <w:rFonts w:ascii="Calibri" w:hAnsi="Calibri" w:cs="Calibri"/>
          <w:color w:val="131413"/>
          <w:sz w:val="24"/>
          <w:szCs w:val="24"/>
        </w:rPr>
        <w:t xml:space="preserve">f 1.2 times the intervention threshold was proposed </w:t>
      </w:r>
      <w:r w:rsidR="00AB54D9" w:rsidRPr="00287692">
        <w:rPr>
          <w:rFonts w:ascii="Calibri" w:hAnsi="Calibri" w:cs="Calibri"/>
          <w:color w:val="131413"/>
          <w:sz w:val="24"/>
          <w:szCs w:val="24"/>
        </w:rPr>
        <w:t xml:space="preserve">to distinguish </w:t>
      </w:r>
      <w:r w:rsidR="00C32F9F" w:rsidRPr="00287692">
        <w:rPr>
          <w:rFonts w:ascii="Calibri" w:hAnsi="Calibri" w:cs="Calibri"/>
          <w:color w:val="131413"/>
          <w:sz w:val="24"/>
          <w:szCs w:val="24"/>
        </w:rPr>
        <w:t>very high from high risk</w:t>
      </w:r>
      <w:r w:rsidR="001E34C1" w:rsidRPr="00287692">
        <w:rPr>
          <w:rFonts w:ascii="Calibri" w:hAnsi="Calibri" w:cs="Calibri"/>
          <w:color w:val="131413"/>
          <w:sz w:val="24"/>
          <w:szCs w:val="24"/>
        </w:rPr>
        <w:t xml:space="preserve">.  </w:t>
      </w:r>
      <w:r w:rsidR="00281DF4" w:rsidRPr="00287692">
        <w:rPr>
          <w:rFonts w:ascii="Calibri" w:hAnsi="Calibri" w:cs="Calibri"/>
          <w:color w:val="131413"/>
          <w:sz w:val="24"/>
          <w:szCs w:val="24"/>
        </w:rPr>
        <w:t>The algorithm identified</w:t>
      </w:r>
      <w:r w:rsidR="00A348D7" w:rsidRPr="00287692">
        <w:rPr>
          <w:rFonts w:ascii="Calibri" w:hAnsi="Calibri" w:cs="Calibri"/>
          <w:color w:val="131413"/>
          <w:sz w:val="24"/>
          <w:szCs w:val="24"/>
        </w:rPr>
        <w:t xml:space="preserve"> </w:t>
      </w:r>
      <w:r w:rsidR="00767B9F" w:rsidRPr="00287692">
        <w:rPr>
          <w:rFonts w:ascii="Calibri" w:hAnsi="Calibri" w:cs="Calibri"/>
          <w:color w:val="131413"/>
          <w:sz w:val="24"/>
          <w:szCs w:val="24"/>
        </w:rPr>
        <w:t xml:space="preserve">16% of women </w:t>
      </w:r>
      <w:r w:rsidR="00F80A9F" w:rsidRPr="00287692">
        <w:rPr>
          <w:rFonts w:ascii="Calibri" w:hAnsi="Calibri" w:cs="Calibri"/>
          <w:color w:val="131413"/>
          <w:sz w:val="24"/>
          <w:szCs w:val="24"/>
        </w:rPr>
        <w:t>of</w:t>
      </w:r>
      <w:r w:rsidR="00767B9F" w:rsidRPr="00287692">
        <w:rPr>
          <w:rFonts w:ascii="Calibri" w:hAnsi="Calibri" w:cs="Calibri"/>
          <w:color w:val="131413"/>
          <w:sz w:val="24"/>
          <w:szCs w:val="24"/>
        </w:rPr>
        <w:t xml:space="preserve"> the total population at very high risk </w:t>
      </w:r>
      <w:r w:rsidR="00161F67" w:rsidRPr="00287692">
        <w:rPr>
          <w:rFonts w:ascii="Calibri" w:hAnsi="Calibri" w:cs="Calibri"/>
          <w:color w:val="131413"/>
          <w:sz w:val="24"/>
          <w:szCs w:val="24"/>
        </w:rPr>
        <w:t>representing</w:t>
      </w:r>
      <w:r w:rsidR="00767B9F" w:rsidRPr="00287692">
        <w:rPr>
          <w:rFonts w:ascii="Calibri" w:hAnsi="Calibri" w:cs="Calibri"/>
          <w:color w:val="131413"/>
          <w:sz w:val="24"/>
          <w:szCs w:val="24"/>
        </w:rPr>
        <w:t xml:space="preserve"> 44% of</w:t>
      </w:r>
      <w:r w:rsidR="00767B9F" w:rsidRPr="00767B9F">
        <w:rPr>
          <w:rFonts w:ascii="Calibri" w:hAnsi="Calibri" w:cs="Calibri"/>
          <w:color w:val="131413"/>
          <w:sz w:val="24"/>
          <w:szCs w:val="24"/>
        </w:rPr>
        <w:t xml:space="preserve"> women eligible for treatment </w:t>
      </w:r>
      <w:r w:rsidR="000D5E6A">
        <w:rPr>
          <w:rFonts w:ascii="Calibri" w:hAnsi="Calibri" w:cs="Calibri"/>
          <w:color w:val="131413"/>
          <w:sz w:val="24"/>
          <w:szCs w:val="24"/>
        </w:rPr>
        <w:t xml:space="preserve">[9]. </w:t>
      </w:r>
      <w:r w:rsidR="00767B9F" w:rsidRPr="00767B9F">
        <w:rPr>
          <w:rFonts w:ascii="Calibri" w:hAnsi="Calibri" w:cs="Calibri"/>
          <w:color w:val="131413"/>
          <w:sz w:val="24"/>
          <w:szCs w:val="24"/>
        </w:rPr>
        <w:t xml:space="preserve"> </w:t>
      </w:r>
      <w:r w:rsidR="00F447FE" w:rsidRPr="00516C63">
        <w:rPr>
          <w:rFonts w:ascii="Calibri" w:hAnsi="Calibri" w:cs="Calibri"/>
          <w:color w:val="131413"/>
          <w:sz w:val="24"/>
          <w:szCs w:val="24"/>
        </w:rPr>
        <w:t>For the NOGG hybrid guideline, w</w:t>
      </w:r>
      <w:r w:rsidR="001E34C1" w:rsidRPr="00516C63">
        <w:rPr>
          <w:rFonts w:ascii="Calibri" w:hAnsi="Calibri" w:cs="Calibri"/>
          <w:color w:val="131413"/>
          <w:sz w:val="24"/>
          <w:szCs w:val="24"/>
        </w:rPr>
        <w:t>e examine</w:t>
      </w:r>
      <w:r w:rsidR="00EB03A6" w:rsidRPr="00516C63">
        <w:rPr>
          <w:rFonts w:ascii="Calibri" w:hAnsi="Calibri" w:cs="Calibri"/>
          <w:color w:val="131413"/>
          <w:sz w:val="24"/>
          <w:szCs w:val="24"/>
        </w:rPr>
        <w:t>d</w:t>
      </w:r>
      <w:r w:rsidR="001E34C1" w:rsidRPr="00516C63">
        <w:rPr>
          <w:rFonts w:ascii="Calibri" w:hAnsi="Calibri" w:cs="Calibri"/>
          <w:color w:val="131413"/>
          <w:sz w:val="24"/>
          <w:szCs w:val="24"/>
        </w:rPr>
        <w:t xml:space="preserve"> </w:t>
      </w:r>
      <w:r w:rsidR="006828C2">
        <w:rPr>
          <w:rFonts w:ascii="Calibri" w:hAnsi="Calibri" w:cs="Calibri"/>
          <w:color w:val="131413"/>
          <w:sz w:val="24"/>
          <w:szCs w:val="24"/>
        </w:rPr>
        <w:t xml:space="preserve">the </w:t>
      </w:r>
      <w:r w:rsidR="00EB03A6" w:rsidRPr="00516C63">
        <w:rPr>
          <w:rFonts w:ascii="Calibri" w:hAnsi="Calibri" w:cs="Calibri"/>
          <w:color w:val="131413"/>
          <w:sz w:val="24"/>
          <w:szCs w:val="24"/>
        </w:rPr>
        <w:t xml:space="preserve">effect of </w:t>
      </w:r>
      <w:r w:rsidR="00BD390F" w:rsidRPr="00516C63">
        <w:rPr>
          <w:rFonts w:ascii="Calibri" w:hAnsi="Calibri" w:cs="Calibri"/>
          <w:color w:val="131413"/>
          <w:sz w:val="24"/>
          <w:szCs w:val="24"/>
        </w:rPr>
        <w:t>a similar threshold set at the</w:t>
      </w:r>
      <w:r w:rsidR="00E04B3D" w:rsidRPr="00516C63">
        <w:rPr>
          <w:rFonts w:ascii="Calibri" w:hAnsi="Calibri" w:cs="Calibri"/>
          <w:color w:val="131413"/>
          <w:sz w:val="24"/>
          <w:szCs w:val="24"/>
        </w:rPr>
        <w:t xml:space="preserve"> upper assessment threshold</w:t>
      </w:r>
      <w:r w:rsidR="00922A87" w:rsidRPr="00516C63">
        <w:rPr>
          <w:rFonts w:ascii="Calibri" w:hAnsi="Calibri" w:cs="Calibri"/>
          <w:color w:val="131413"/>
          <w:sz w:val="24"/>
          <w:szCs w:val="24"/>
        </w:rPr>
        <w:t xml:space="preserve"> (UAT, Figure</w:t>
      </w:r>
      <w:r w:rsidR="006828C2">
        <w:rPr>
          <w:rFonts w:ascii="Calibri" w:hAnsi="Calibri" w:cs="Calibri"/>
          <w:color w:val="131413"/>
          <w:sz w:val="24"/>
          <w:szCs w:val="24"/>
        </w:rPr>
        <w:t xml:space="preserve"> </w:t>
      </w:r>
      <w:r w:rsidR="00922A87" w:rsidRPr="00516C63">
        <w:rPr>
          <w:rFonts w:ascii="Calibri" w:hAnsi="Calibri" w:cs="Calibri"/>
          <w:color w:val="131413"/>
          <w:sz w:val="24"/>
          <w:szCs w:val="24"/>
        </w:rPr>
        <w:t>1)</w:t>
      </w:r>
      <w:r w:rsidR="00BD390F" w:rsidRPr="00516C63">
        <w:rPr>
          <w:rFonts w:ascii="Calibri" w:hAnsi="Calibri" w:cs="Calibri"/>
          <w:color w:val="131413"/>
          <w:sz w:val="24"/>
          <w:szCs w:val="24"/>
        </w:rPr>
        <w:t xml:space="preserve">.  We additionally examined the </w:t>
      </w:r>
      <w:r w:rsidR="00870509" w:rsidRPr="00516C63">
        <w:rPr>
          <w:rFonts w:ascii="Calibri" w:hAnsi="Calibri" w:cs="Calibri"/>
          <w:color w:val="131413"/>
          <w:sz w:val="24"/>
          <w:szCs w:val="24"/>
        </w:rPr>
        <w:t xml:space="preserve">impact of setting the </w:t>
      </w:r>
      <w:r w:rsidR="00847D32" w:rsidRPr="00516C63">
        <w:rPr>
          <w:rFonts w:ascii="Calibri" w:hAnsi="Calibri" w:cs="Calibri"/>
          <w:color w:val="131413"/>
          <w:sz w:val="24"/>
          <w:szCs w:val="24"/>
        </w:rPr>
        <w:t>UIT</w:t>
      </w:r>
      <w:r w:rsidR="00870509" w:rsidRPr="00516C63">
        <w:rPr>
          <w:rFonts w:ascii="Calibri" w:hAnsi="Calibri" w:cs="Calibri"/>
          <w:color w:val="131413"/>
          <w:sz w:val="24"/>
          <w:szCs w:val="24"/>
        </w:rPr>
        <w:t xml:space="preserve"> at 1.6 a</w:t>
      </w:r>
      <w:r w:rsidR="00463558" w:rsidRPr="00516C63">
        <w:rPr>
          <w:rFonts w:ascii="Calibri" w:hAnsi="Calibri" w:cs="Calibri"/>
          <w:color w:val="131413"/>
          <w:sz w:val="24"/>
          <w:szCs w:val="24"/>
        </w:rPr>
        <w:t xml:space="preserve">nd 2.0 times the </w:t>
      </w:r>
      <w:r w:rsidR="0001567A" w:rsidRPr="00516C63">
        <w:rPr>
          <w:rFonts w:ascii="Calibri" w:hAnsi="Calibri" w:cs="Calibri"/>
          <w:color w:val="131413"/>
          <w:sz w:val="24"/>
          <w:szCs w:val="24"/>
        </w:rPr>
        <w:t>LIT</w:t>
      </w:r>
      <w:r w:rsidR="00D32F5C" w:rsidRPr="00516C63">
        <w:rPr>
          <w:rFonts w:ascii="Calibri" w:hAnsi="Calibri" w:cs="Calibri"/>
          <w:color w:val="131413"/>
          <w:sz w:val="24"/>
          <w:szCs w:val="24"/>
        </w:rPr>
        <w:t>.</w:t>
      </w:r>
      <w:r w:rsidR="00EE1632">
        <w:rPr>
          <w:rFonts w:ascii="Calibri" w:hAnsi="Calibri" w:cs="Calibri"/>
          <w:color w:val="131413"/>
          <w:sz w:val="24"/>
          <w:szCs w:val="24"/>
        </w:rPr>
        <w:t xml:space="preserve">  </w:t>
      </w:r>
    </w:p>
    <w:p w14:paraId="610EAF93" w14:textId="0B7286FA" w:rsidR="00A52723" w:rsidRDefault="00A52723" w:rsidP="00AA1754">
      <w:pPr>
        <w:autoSpaceDE w:val="0"/>
        <w:autoSpaceDN w:val="0"/>
        <w:adjustRightInd w:val="0"/>
        <w:spacing w:after="0" w:line="276" w:lineRule="auto"/>
        <w:rPr>
          <w:rFonts w:ascii="Calibri" w:hAnsi="Calibri" w:cs="Calibri"/>
          <w:color w:val="131413"/>
          <w:sz w:val="24"/>
          <w:szCs w:val="24"/>
        </w:rPr>
      </w:pPr>
    </w:p>
    <w:p w14:paraId="43B0DFDD" w14:textId="1172CE8A" w:rsidR="00A52723" w:rsidRPr="00516C63" w:rsidRDefault="00563CDF" w:rsidP="00AA1754">
      <w:pPr>
        <w:autoSpaceDE w:val="0"/>
        <w:autoSpaceDN w:val="0"/>
        <w:adjustRightInd w:val="0"/>
        <w:spacing w:after="0" w:line="276" w:lineRule="auto"/>
        <w:rPr>
          <w:rFonts w:ascii="Calibri" w:hAnsi="Calibri" w:cs="Calibri"/>
          <w:color w:val="131413"/>
          <w:sz w:val="24"/>
          <w:szCs w:val="24"/>
        </w:rPr>
      </w:pPr>
      <w:r>
        <w:rPr>
          <w:rFonts w:ascii="Calibri" w:hAnsi="Calibri" w:cs="Calibri"/>
          <w:color w:val="131413"/>
          <w:sz w:val="24"/>
          <w:szCs w:val="24"/>
        </w:rPr>
        <w:t xml:space="preserve">Factors to influence the </w:t>
      </w:r>
      <w:r w:rsidR="00100EA8">
        <w:rPr>
          <w:rFonts w:ascii="Calibri" w:hAnsi="Calibri" w:cs="Calibri"/>
          <w:color w:val="131413"/>
          <w:sz w:val="24"/>
          <w:szCs w:val="24"/>
        </w:rPr>
        <w:t xml:space="preserve">setting of the UIT were </w:t>
      </w:r>
      <w:r w:rsidR="00E26352">
        <w:rPr>
          <w:rFonts w:ascii="Calibri" w:hAnsi="Calibri" w:cs="Calibri"/>
          <w:color w:val="131413"/>
          <w:sz w:val="24"/>
          <w:szCs w:val="24"/>
        </w:rPr>
        <w:t xml:space="preserve">1) </w:t>
      </w:r>
      <w:r w:rsidR="00100EA8">
        <w:rPr>
          <w:rFonts w:ascii="Calibri" w:hAnsi="Calibri" w:cs="Calibri"/>
          <w:color w:val="131413"/>
          <w:sz w:val="24"/>
          <w:szCs w:val="24"/>
        </w:rPr>
        <w:t xml:space="preserve">the prevalence of very high risk </w:t>
      </w:r>
      <w:r w:rsidR="00E26352">
        <w:rPr>
          <w:rFonts w:ascii="Calibri" w:hAnsi="Calibri" w:cs="Calibri"/>
          <w:color w:val="131413"/>
          <w:sz w:val="24"/>
          <w:szCs w:val="24"/>
        </w:rPr>
        <w:t xml:space="preserve">in the simulated UK cohort </w:t>
      </w:r>
      <w:r w:rsidR="00100EA8">
        <w:rPr>
          <w:rFonts w:ascii="Calibri" w:hAnsi="Calibri" w:cs="Calibri"/>
          <w:color w:val="131413"/>
          <w:sz w:val="24"/>
          <w:szCs w:val="24"/>
        </w:rPr>
        <w:t>compared with the IOF</w:t>
      </w:r>
      <w:r w:rsidR="00875C5C">
        <w:rPr>
          <w:rFonts w:ascii="Calibri" w:hAnsi="Calibri" w:cs="Calibri"/>
          <w:color w:val="131413"/>
          <w:sz w:val="24"/>
          <w:szCs w:val="24"/>
        </w:rPr>
        <w:t xml:space="preserve">/ESCEO recommendation and </w:t>
      </w:r>
      <w:r w:rsidR="00E26352">
        <w:rPr>
          <w:rFonts w:ascii="Calibri" w:hAnsi="Calibri" w:cs="Calibri"/>
          <w:color w:val="131413"/>
          <w:sz w:val="24"/>
          <w:szCs w:val="24"/>
        </w:rPr>
        <w:t xml:space="preserve">2) </w:t>
      </w:r>
      <w:r w:rsidR="00875C5C">
        <w:rPr>
          <w:rFonts w:ascii="Calibri" w:hAnsi="Calibri" w:cs="Calibri"/>
          <w:color w:val="131413"/>
          <w:sz w:val="24"/>
          <w:szCs w:val="24"/>
        </w:rPr>
        <w:t xml:space="preserve">the appropriateness of the </w:t>
      </w:r>
      <w:r w:rsidR="002E1BEB">
        <w:rPr>
          <w:rFonts w:ascii="Calibri" w:hAnsi="Calibri" w:cs="Calibri"/>
          <w:color w:val="131413"/>
          <w:sz w:val="24"/>
          <w:szCs w:val="24"/>
        </w:rPr>
        <w:t>probability threshold w</w:t>
      </w:r>
      <w:r w:rsidR="00BF14D6">
        <w:rPr>
          <w:rFonts w:ascii="Calibri" w:hAnsi="Calibri" w:cs="Calibri"/>
          <w:color w:val="131413"/>
          <w:sz w:val="24"/>
          <w:szCs w:val="24"/>
        </w:rPr>
        <w:t>i</w:t>
      </w:r>
      <w:r w:rsidR="002E1BEB">
        <w:rPr>
          <w:rFonts w:ascii="Calibri" w:hAnsi="Calibri" w:cs="Calibri"/>
          <w:color w:val="131413"/>
          <w:sz w:val="24"/>
          <w:szCs w:val="24"/>
        </w:rPr>
        <w:t>th regard to the use of anabolic agents</w:t>
      </w:r>
      <w:r w:rsidR="00BF14D6">
        <w:rPr>
          <w:rFonts w:ascii="Calibri" w:hAnsi="Calibri" w:cs="Calibri"/>
          <w:color w:val="131413"/>
          <w:sz w:val="24"/>
          <w:szCs w:val="24"/>
        </w:rPr>
        <w:t>.  For the latter</w:t>
      </w:r>
      <w:r w:rsidR="00680094">
        <w:rPr>
          <w:rFonts w:ascii="Calibri" w:hAnsi="Calibri" w:cs="Calibri"/>
          <w:color w:val="131413"/>
          <w:sz w:val="24"/>
          <w:szCs w:val="24"/>
        </w:rPr>
        <w:t xml:space="preserve"> </w:t>
      </w:r>
      <w:r w:rsidR="00BF14D6">
        <w:rPr>
          <w:rFonts w:ascii="Calibri" w:hAnsi="Calibri" w:cs="Calibri"/>
          <w:color w:val="131413"/>
          <w:sz w:val="24"/>
          <w:szCs w:val="24"/>
        </w:rPr>
        <w:t>consideration</w:t>
      </w:r>
      <w:r w:rsidR="0056154D">
        <w:rPr>
          <w:rFonts w:ascii="Calibri" w:hAnsi="Calibri" w:cs="Calibri"/>
          <w:color w:val="131413"/>
          <w:sz w:val="24"/>
          <w:szCs w:val="24"/>
        </w:rPr>
        <w:t xml:space="preserve">, we examined the baseline fracture probabilities in the </w:t>
      </w:r>
      <w:r w:rsidR="0059644D">
        <w:rPr>
          <w:rFonts w:ascii="Calibri" w:hAnsi="Calibri" w:cs="Calibri"/>
          <w:color w:val="131413"/>
          <w:sz w:val="24"/>
          <w:szCs w:val="24"/>
        </w:rPr>
        <w:t xml:space="preserve">phase 3 </w:t>
      </w:r>
      <w:r w:rsidR="0056154D">
        <w:rPr>
          <w:rFonts w:ascii="Calibri" w:hAnsi="Calibri" w:cs="Calibri"/>
          <w:color w:val="131413"/>
          <w:sz w:val="24"/>
          <w:szCs w:val="24"/>
        </w:rPr>
        <w:t>ARCH stu</w:t>
      </w:r>
      <w:r w:rsidR="0059644D">
        <w:rPr>
          <w:rFonts w:ascii="Calibri" w:hAnsi="Calibri" w:cs="Calibri"/>
          <w:color w:val="131413"/>
          <w:sz w:val="24"/>
          <w:szCs w:val="24"/>
        </w:rPr>
        <w:t xml:space="preserve">dy of </w:t>
      </w:r>
      <w:r w:rsidR="0059644D" w:rsidRPr="00E05E08">
        <w:rPr>
          <w:rFonts w:ascii="Calibri" w:hAnsi="Calibri" w:cs="Calibri"/>
          <w:color w:val="131413"/>
          <w:sz w:val="24"/>
          <w:szCs w:val="24"/>
        </w:rPr>
        <w:t>romosozumab</w:t>
      </w:r>
      <w:r w:rsidR="008B6E67" w:rsidRPr="00E05E08">
        <w:rPr>
          <w:rFonts w:ascii="Calibri" w:hAnsi="Calibri" w:cs="Calibri"/>
          <w:color w:val="131413"/>
          <w:sz w:val="24"/>
          <w:szCs w:val="24"/>
        </w:rPr>
        <w:t xml:space="preserve"> [</w:t>
      </w:r>
      <w:r w:rsidR="00B5111A" w:rsidRPr="00E05E08">
        <w:rPr>
          <w:rFonts w:ascii="Calibri" w:hAnsi="Calibri" w:cs="Calibri"/>
          <w:color w:val="131413"/>
          <w:sz w:val="24"/>
          <w:szCs w:val="24"/>
        </w:rPr>
        <w:t>11]</w:t>
      </w:r>
      <w:r w:rsidR="00DA7FCF" w:rsidRPr="00E05E08">
        <w:rPr>
          <w:rFonts w:ascii="Calibri" w:hAnsi="Calibri" w:cs="Calibri"/>
          <w:color w:val="131413"/>
          <w:sz w:val="24"/>
          <w:szCs w:val="24"/>
        </w:rPr>
        <w:t>.</w:t>
      </w:r>
      <w:r w:rsidR="0059644D" w:rsidRPr="00E05E08">
        <w:rPr>
          <w:rFonts w:ascii="Calibri" w:hAnsi="Calibri" w:cs="Calibri"/>
          <w:color w:val="131413"/>
          <w:sz w:val="24"/>
          <w:szCs w:val="24"/>
        </w:rPr>
        <w:t xml:space="preserve"> </w:t>
      </w:r>
      <w:r w:rsidR="00343F7B" w:rsidRPr="00E05E08">
        <w:rPr>
          <w:rFonts w:ascii="Calibri" w:hAnsi="Calibri" w:cs="Calibri"/>
          <w:color w:val="131413"/>
          <w:sz w:val="24"/>
          <w:szCs w:val="24"/>
        </w:rPr>
        <w:t xml:space="preserve"> In this</w:t>
      </w:r>
      <w:r w:rsidR="00343F7B">
        <w:rPr>
          <w:rFonts w:ascii="Calibri" w:hAnsi="Calibri" w:cs="Calibri"/>
          <w:color w:val="131413"/>
          <w:sz w:val="24"/>
          <w:szCs w:val="24"/>
        </w:rPr>
        <w:t xml:space="preserve"> study, </w:t>
      </w:r>
      <w:r w:rsidR="00D21A37" w:rsidRPr="00D21A37">
        <w:rPr>
          <w:rFonts w:ascii="Calibri" w:hAnsi="Calibri" w:cs="Calibri"/>
          <w:color w:val="131413"/>
          <w:sz w:val="24"/>
          <w:szCs w:val="24"/>
        </w:rPr>
        <w:t xml:space="preserve">postmenopausal women with osteoporosis </w:t>
      </w:r>
      <w:r w:rsidR="00D21A37" w:rsidRPr="00D21A37">
        <w:rPr>
          <w:rFonts w:ascii="Calibri" w:hAnsi="Calibri" w:cs="Calibri"/>
          <w:color w:val="131413"/>
          <w:sz w:val="24"/>
          <w:szCs w:val="24"/>
        </w:rPr>
        <w:lastRenderedPageBreak/>
        <w:t xml:space="preserve">and a fragility fracture </w:t>
      </w:r>
      <w:r w:rsidR="00343F7B">
        <w:rPr>
          <w:rFonts w:ascii="Calibri" w:hAnsi="Calibri" w:cs="Calibri"/>
          <w:color w:val="131413"/>
          <w:sz w:val="24"/>
          <w:szCs w:val="24"/>
        </w:rPr>
        <w:t>were</w:t>
      </w:r>
      <w:r w:rsidR="00D21A37" w:rsidRPr="00D21A37">
        <w:rPr>
          <w:rFonts w:ascii="Calibri" w:hAnsi="Calibri" w:cs="Calibri"/>
          <w:color w:val="131413"/>
          <w:sz w:val="24"/>
          <w:szCs w:val="24"/>
        </w:rPr>
        <w:t xml:space="preserve"> randomly assigned to receive monthly subcutaneous romosozumab (210 mg) or weekly oral alendronate (70 mg) in a blinded fashion for 12 months, followed by open-label alendronate in both groups.</w:t>
      </w:r>
      <w:r w:rsidR="005E1457">
        <w:rPr>
          <w:rFonts w:ascii="Calibri" w:hAnsi="Calibri" w:cs="Calibri"/>
          <w:color w:val="131413"/>
          <w:sz w:val="24"/>
          <w:szCs w:val="24"/>
        </w:rPr>
        <w:t xml:space="preserve">  The stu</w:t>
      </w:r>
      <w:r w:rsidR="003C16CF">
        <w:rPr>
          <w:rFonts w:ascii="Calibri" w:hAnsi="Calibri" w:cs="Calibri"/>
          <w:color w:val="131413"/>
          <w:sz w:val="24"/>
          <w:szCs w:val="24"/>
        </w:rPr>
        <w:t xml:space="preserve">dy was a multinational trial and </w:t>
      </w:r>
      <w:r w:rsidR="006B180D">
        <w:rPr>
          <w:rFonts w:ascii="Calibri" w:hAnsi="Calibri" w:cs="Calibri"/>
          <w:color w:val="131413"/>
          <w:sz w:val="24"/>
          <w:szCs w:val="24"/>
        </w:rPr>
        <w:t>calculations of FRAX</w:t>
      </w:r>
      <w:r w:rsidR="00EE2F2E">
        <w:rPr>
          <w:rFonts w:ascii="Calibri" w:hAnsi="Calibri" w:cs="Calibri"/>
          <w:color w:val="131413"/>
          <w:sz w:val="24"/>
          <w:szCs w:val="24"/>
        </w:rPr>
        <w:t xml:space="preserve"> required the use of 36</w:t>
      </w:r>
      <w:r w:rsidR="006B180D">
        <w:rPr>
          <w:rFonts w:ascii="Calibri" w:hAnsi="Calibri" w:cs="Calibri"/>
          <w:color w:val="131413"/>
          <w:sz w:val="24"/>
          <w:szCs w:val="24"/>
        </w:rPr>
        <w:t xml:space="preserve"> FRAX</w:t>
      </w:r>
      <w:r w:rsidR="00EE2F2E">
        <w:rPr>
          <w:rFonts w:ascii="Calibri" w:hAnsi="Calibri" w:cs="Calibri"/>
          <w:color w:val="131413"/>
          <w:sz w:val="24"/>
          <w:szCs w:val="24"/>
        </w:rPr>
        <w:t xml:space="preserve"> models</w:t>
      </w:r>
      <w:r w:rsidR="009C5C53">
        <w:rPr>
          <w:rFonts w:ascii="Calibri" w:hAnsi="Calibri" w:cs="Calibri"/>
          <w:color w:val="131413"/>
          <w:sz w:val="24"/>
          <w:szCs w:val="24"/>
        </w:rPr>
        <w:t>.  For ea</w:t>
      </w:r>
      <w:r w:rsidR="007312C6">
        <w:rPr>
          <w:rFonts w:ascii="Calibri" w:hAnsi="Calibri" w:cs="Calibri"/>
          <w:color w:val="131413"/>
          <w:sz w:val="24"/>
          <w:szCs w:val="24"/>
        </w:rPr>
        <w:t>c</w:t>
      </w:r>
      <w:r w:rsidR="009C5C53">
        <w:rPr>
          <w:rFonts w:ascii="Calibri" w:hAnsi="Calibri" w:cs="Calibri"/>
          <w:color w:val="131413"/>
          <w:sz w:val="24"/>
          <w:szCs w:val="24"/>
        </w:rPr>
        <w:t xml:space="preserve">h </w:t>
      </w:r>
      <w:r w:rsidR="007312C6">
        <w:rPr>
          <w:rFonts w:ascii="Calibri" w:hAnsi="Calibri" w:cs="Calibri"/>
          <w:color w:val="131413"/>
          <w:sz w:val="24"/>
          <w:szCs w:val="24"/>
        </w:rPr>
        <w:t>FRAX model</w:t>
      </w:r>
      <w:r w:rsidR="00381B04">
        <w:rPr>
          <w:rFonts w:ascii="Calibri" w:hAnsi="Calibri" w:cs="Calibri"/>
          <w:color w:val="131413"/>
          <w:sz w:val="24"/>
          <w:szCs w:val="24"/>
        </w:rPr>
        <w:t xml:space="preserve"> an intervention threshold (LIT) was calculated</w:t>
      </w:r>
      <w:r w:rsidR="00CE7230">
        <w:rPr>
          <w:rFonts w:ascii="Calibri" w:hAnsi="Calibri" w:cs="Calibri"/>
          <w:color w:val="131413"/>
          <w:sz w:val="24"/>
          <w:szCs w:val="24"/>
        </w:rPr>
        <w:t xml:space="preserve"> using the same hybrid approach that was used for NOGG</w:t>
      </w:r>
      <w:r w:rsidR="003B2E1D">
        <w:rPr>
          <w:rFonts w:ascii="Calibri" w:hAnsi="Calibri" w:cs="Calibri"/>
          <w:color w:val="131413"/>
          <w:sz w:val="24"/>
          <w:szCs w:val="24"/>
        </w:rPr>
        <w:t>.  For each patient</w:t>
      </w:r>
      <w:r w:rsidR="00257074">
        <w:rPr>
          <w:rFonts w:ascii="Calibri" w:hAnsi="Calibri" w:cs="Calibri"/>
          <w:color w:val="131413"/>
          <w:sz w:val="24"/>
          <w:szCs w:val="24"/>
        </w:rPr>
        <w:t>, the</w:t>
      </w:r>
      <w:r w:rsidR="00D70EF7">
        <w:rPr>
          <w:rFonts w:ascii="Calibri" w:hAnsi="Calibri" w:cs="Calibri"/>
          <w:color w:val="131413"/>
          <w:sz w:val="24"/>
          <w:szCs w:val="24"/>
        </w:rPr>
        <w:t xml:space="preserve"> </w:t>
      </w:r>
      <w:r w:rsidR="00257074">
        <w:rPr>
          <w:rFonts w:ascii="Calibri" w:hAnsi="Calibri" w:cs="Calibri"/>
          <w:color w:val="131413"/>
          <w:sz w:val="24"/>
          <w:szCs w:val="24"/>
        </w:rPr>
        <w:t xml:space="preserve">10-year probability of a major osteoporotic fracture (MOF) or hip fracture </w:t>
      </w:r>
      <w:r w:rsidR="00D70EF7">
        <w:rPr>
          <w:rFonts w:ascii="Calibri" w:hAnsi="Calibri" w:cs="Calibri"/>
          <w:color w:val="131413"/>
          <w:sz w:val="24"/>
          <w:szCs w:val="24"/>
        </w:rPr>
        <w:t xml:space="preserve">FRAX was calculated using </w:t>
      </w:r>
      <w:r w:rsidR="00A23DDD">
        <w:rPr>
          <w:rFonts w:ascii="Calibri" w:hAnsi="Calibri" w:cs="Calibri"/>
          <w:color w:val="131413"/>
          <w:sz w:val="24"/>
          <w:szCs w:val="24"/>
        </w:rPr>
        <w:t xml:space="preserve">their </w:t>
      </w:r>
      <w:r w:rsidR="002E4905">
        <w:rPr>
          <w:rFonts w:ascii="Calibri" w:hAnsi="Calibri" w:cs="Calibri"/>
          <w:color w:val="131413"/>
          <w:sz w:val="24"/>
          <w:szCs w:val="24"/>
        </w:rPr>
        <w:t>country-specific model</w:t>
      </w:r>
      <w:r w:rsidR="00257074">
        <w:rPr>
          <w:rFonts w:ascii="Calibri" w:hAnsi="Calibri" w:cs="Calibri"/>
          <w:color w:val="131413"/>
          <w:sz w:val="24"/>
          <w:szCs w:val="24"/>
        </w:rPr>
        <w:t xml:space="preserve"> and </w:t>
      </w:r>
      <w:r w:rsidR="004041D5">
        <w:rPr>
          <w:rFonts w:ascii="Calibri" w:hAnsi="Calibri" w:cs="Calibri"/>
          <w:color w:val="131413"/>
          <w:sz w:val="24"/>
          <w:szCs w:val="24"/>
        </w:rPr>
        <w:t xml:space="preserve">expressed </w:t>
      </w:r>
      <w:r w:rsidR="006266E7">
        <w:rPr>
          <w:rFonts w:ascii="Calibri" w:hAnsi="Calibri" w:cs="Calibri"/>
          <w:color w:val="131413"/>
          <w:sz w:val="24"/>
          <w:szCs w:val="24"/>
        </w:rPr>
        <w:t>as a ratio to the LIT.  For e</w:t>
      </w:r>
      <w:r w:rsidR="00343DCB">
        <w:rPr>
          <w:rFonts w:ascii="Calibri" w:hAnsi="Calibri" w:cs="Calibri"/>
          <w:color w:val="131413"/>
          <w:sz w:val="24"/>
          <w:szCs w:val="24"/>
        </w:rPr>
        <w:t>xample, if the fracture probability</w:t>
      </w:r>
      <w:r w:rsidR="00684B9A">
        <w:rPr>
          <w:rFonts w:ascii="Calibri" w:hAnsi="Calibri" w:cs="Calibri"/>
          <w:color w:val="131413"/>
          <w:sz w:val="24"/>
          <w:szCs w:val="24"/>
        </w:rPr>
        <w:t xml:space="preserve"> </w:t>
      </w:r>
      <w:r w:rsidR="00D317A1">
        <w:rPr>
          <w:rFonts w:ascii="Calibri" w:hAnsi="Calibri" w:cs="Calibri"/>
          <w:color w:val="131413"/>
          <w:sz w:val="24"/>
          <w:szCs w:val="24"/>
        </w:rPr>
        <w:t xml:space="preserve">of a woman age 65 </w:t>
      </w:r>
      <w:r w:rsidR="00684B9A">
        <w:rPr>
          <w:rFonts w:ascii="Calibri" w:hAnsi="Calibri" w:cs="Calibri"/>
          <w:color w:val="131413"/>
          <w:sz w:val="24"/>
          <w:szCs w:val="24"/>
        </w:rPr>
        <w:t>was 18</w:t>
      </w:r>
      <w:r w:rsidR="00417A62">
        <w:rPr>
          <w:rFonts w:ascii="Calibri" w:hAnsi="Calibri" w:cs="Calibri"/>
          <w:color w:val="131413"/>
          <w:sz w:val="24"/>
          <w:szCs w:val="24"/>
        </w:rPr>
        <w:t xml:space="preserve">% and the age and country- </w:t>
      </w:r>
      <w:r w:rsidR="005158CE">
        <w:rPr>
          <w:rFonts w:ascii="Calibri" w:hAnsi="Calibri" w:cs="Calibri"/>
          <w:color w:val="131413"/>
          <w:sz w:val="24"/>
          <w:szCs w:val="24"/>
        </w:rPr>
        <w:t>specific LIT was 10</w:t>
      </w:r>
      <w:r w:rsidR="007B3723">
        <w:rPr>
          <w:rFonts w:ascii="Calibri" w:hAnsi="Calibri" w:cs="Calibri"/>
          <w:color w:val="131413"/>
          <w:sz w:val="24"/>
          <w:szCs w:val="24"/>
        </w:rPr>
        <w:t>%, then the ratio</w:t>
      </w:r>
      <w:r w:rsidR="00653B43">
        <w:rPr>
          <w:rFonts w:ascii="Calibri" w:hAnsi="Calibri" w:cs="Calibri"/>
          <w:color w:val="131413"/>
          <w:sz w:val="24"/>
          <w:szCs w:val="24"/>
        </w:rPr>
        <w:t xml:space="preserve"> </w:t>
      </w:r>
      <w:r w:rsidR="000C37A5">
        <w:rPr>
          <w:rFonts w:ascii="Calibri" w:hAnsi="Calibri" w:cs="Calibri"/>
          <w:color w:val="131413"/>
          <w:sz w:val="24"/>
          <w:szCs w:val="24"/>
        </w:rPr>
        <w:t>18</w:t>
      </w:r>
      <w:r w:rsidR="00916956">
        <w:rPr>
          <w:rFonts w:ascii="Calibri" w:hAnsi="Calibri" w:cs="Calibri"/>
          <w:color w:val="131413"/>
          <w:sz w:val="24"/>
          <w:szCs w:val="24"/>
        </w:rPr>
        <w:t>/10</w:t>
      </w:r>
      <w:r w:rsidR="00653B43">
        <w:rPr>
          <w:rFonts w:ascii="Calibri" w:hAnsi="Calibri" w:cs="Calibri"/>
          <w:color w:val="131413"/>
          <w:sz w:val="24"/>
          <w:szCs w:val="24"/>
        </w:rPr>
        <w:t xml:space="preserve"> </w:t>
      </w:r>
      <w:r w:rsidR="00627D57">
        <w:rPr>
          <w:rFonts w:ascii="Calibri" w:hAnsi="Calibri" w:cs="Calibri"/>
          <w:color w:val="131413"/>
          <w:sz w:val="24"/>
          <w:szCs w:val="24"/>
        </w:rPr>
        <w:t>indicated that the patient h</w:t>
      </w:r>
      <w:r w:rsidR="00916956">
        <w:rPr>
          <w:rFonts w:ascii="Calibri" w:hAnsi="Calibri" w:cs="Calibri"/>
          <w:color w:val="131413"/>
          <w:sz w:val="24"/>
          <w:szCs w:val="24"/>
        </w:rPr>
        <w:t>a</w:t>
      </w:r>
      <w:r w:rsidR="00627D57">
        <w:rPr>
          <w:rFonts w:ascii="Calibri" w:hAnsi="Calibri" w:cs="Calibri"/>
          <w:color w:val="131413"/>
          <w:sz w:val="24"/>
          <w:szCs w:val="24"/>
        </w:rPr>
        <w:t xml:space="preserve">d a </w:t>
      </w:r>
      <w:r w:rsidR="00916956">
        <w:rPr>
          <w:rFonts w:ascii="Calibri" w:hAnsi="Calibri" w:cs="Calibri"/>
          <w:color w:val="131413"/>
          <w:sz w:val="24"/>
          <w:szCs w:val="24"/>
        </w:rPr>
        <w:t xml:space="preserve">baseline </w:t>
      </w:r>
      <w:r w:rsidR="00627D57">
        <w:rPr>
          <w:rFonts w:ascii="Calibri" w:hAnsi="Calibri" w:cs="Calibri"/>
          <w:color w:val="131413"/>
          <w:sz w:val="24"/>
          <w:szCs w:val="24"/>
        </w:rPr>
        <w:t>risk that was</w:t>
      </w:r>
      <w:r w:rsidR="00030B18">
        <w:rPr>
          <w:rFonts w:ascii="Calibri" w:hAnsi="Calibri" w:cs="Calibri"/>
          <w:color w:val="131413"/>
          <w:sz w:val="24"/>
          <w:szCs w:val="24"/>
        </w:rPr>
        <w:t xml:space="preserve"> 1.8 times higher than the</w:t>
      </w:r>
      <w:r w:rsidR="000C37A5">
        <w:rPr>
          <w:rFonts w:ascii="Calibri" w:hAnsi="Calibri" w:cs="Calibri"/>
          <w:color w:val="131413"/>
          <w:sz w:val="24"/>
          <w:szCs w:val="24"/>
        </w:rPr>
        <w:t xml:space="preserve"> LIT</w:t>
      </w:r>
      <w:r w:rsidR="00916956">
        <w:rPr>
          <w:rFonts w:ascii="Calibri" w:hAnsi="Calibri" w:cs="Calibri"/>
          <w:color w:val="131413"/>
          <w:sz w:val="24"/>
          <w:szCs w:val="24"/>
        </w:rPr>
        <w:t>.</w:t>
      </w:r>
      <w:r w:rsidR="005326CF">
        <w:rPr>
          <w:rFonts w:ascii="Calibri" w:hAnsi="Calibri" w:cs="Calibri"/>
          <w:color w:val="131413"/>
          <w:sz w:val="24"/>
          <w:szCs w:val="24"/>
        </w:rPr>
        <w:t xml:space="preserve"> </w:t>
      </w:r>
      <w:r w:rsidR="00D50FAD">
        <w:rPr>
          <w:rFonts w:ascii="Calibri" w:hAnsi="Calibri" w:cs="Calibri"/>
          <w:color w:val="131413"/>
          <w:sz w:val="24"/>
          <w:szCs w:val="24"/>
        </w:rPr>
        <w:t xml:space="preserve"> </w:t>
      </w:r>
      <w:r w:rsidR="005326CF">
        <w:rPr>
          <w:rFonts w:ascii="Calibri" w:hAnsi="Calibri" w:cs="Calibri"/>
          <w:color w:val="131413"/>
          <w:sz w:val="24"/>
          <w:szCs w:val="24"/>
        </w:rPr>
        <w:t xml:space="preserve">Hip fracture probability </w:t>
      </w:r>
      <w:r w:rsidR="001743DC">
        <w:rPr>
          <w:rFonts w:ascii="Calibri" w:hAnsi="Calibri" w:cs="Calibri"/>
          <w:color w:val="131413"/>
          <w:sz w:val="24"/>
          <w:szCs w:val="24"/>
        </w:rPr>
        <w:t>rat</w:t>
      </w:r>
      <w:r w:rsidR="00334637">
        <w:rPr>
          <w:rFonts w:ascii="Calibri" w:hAnsi="Calibri" w:cs="Calibri"/>
          <w:color w:val="131413"/>
          <w:sz w:val="24"/>
          <w:szCs w:val="24"/>
        </w:rPr>
        <w:t>i</w:t>
      </w:r>
      <w:r w:rsidR="001743DC">
        <w:rPr>
          <w:rFonts w:ascii="Calibri" w:hAnsi="Calibri" w:cs="Calibri"/>
          <w:color w:val="131413"/>
          <w:sz w:val="24"/>
          <w:szCs w:val="24"/>
        </w:rPr>
        <w:t>os</w:t>
      </w:r>
      <w:r w:rsidR="0088349F">
        <w:rPr>
          <w:rFonts w:ascii="Calibri" w:hAnsi="Calibri" w:cs="Calibri"/>
          <w:color w:val="131413"/>
          <w:sz w:val="24"/>
          <w:szCs w:val="24"/>
        </w:rPr>
        <w:t xml:space="preserve"> and MOF probability </w:t>
      </w:r>
      <w:r w:rsidR="00334637">
        <w:rPr>
          <w:rFonts w:ascii="Calibri" w:hAnsi="Calibri" w:cs="Calibri"/>
          <w:color w:val="131413"/>
          <w:sz w:val="24"/>
          <w:szCs w:val="24"/>
        </w:rPr>
        <w:t xml:space="preserve">ratios were examined because </w:t>
      </w:r>
      <w:r w:rsidR="0017318F">
        <w:rPr>
          <w:rFonts w:ascii="Calibri" w:hAnsi="Calibri" w:cs="Calibri"/>
          <w:color w:val="131413"/>
          <w:sz w:val="24"/>
          <w:szCs w:val="24"/>
        </w:rPr>
        <w:t xml:space="preserve">the NOGG guidelines </w:t>
      </w:r>
      <w:r w:rsidR="0009289F">
        <w:rPr>
          <w:rFonts w:ascii="Calibri" w:hAnsi="Calibri" w:cs="Calibri"/>
          <w:color w:val="131413"/>
          <w:sz w:val="24"/>
          <w:szCs w:val="24"/>
        </w:rPr>
        <w:t xml:space="preserve">recommend that treatment decisions be predicated on the </w:t>
      </w:r>
      <w:r w:rsidR="00421A0D">
        <w:rPr>
          <w:rFonts w:ascii="Calibri" w:hAnsi="Calibri" w:cs="Calibri"/>
          <w:color w:val="131413"/>
          <w:sz w:val="24"/>
          <w:szCs w:val="24"/>
        </w:rPr>
        <w:t>basis of both metrics</w:t>
      </w:r>
      <w:r w:rsidR="00334637">
        <w:rPr>
          <w:rFonts w:ascii="Calibri" w:hAnsi="Calibri" w:cs="Calibri"/>
          <w:color w:val="131413"/>
          <w:sz w:val="24"/>
          <w:szCs w:val="24"/>
        </w:rPr>
        <w:t xml:space="preserve"> </w:t>
      </w:r>
      <w:r w:rsidR="004E0656">
        <w:rPr>
          <w:rFonts w:ascii="Calibri" w:hAnsi="Calibri" w:cs="Calibri"/>
          <w:color w:val="131413"/>
          <w:sz w:val="24"/>
          <w:szCs w:val="24"/>
        </w:rPr>
        <w:t>[8]</w:t>
      </w:r>
      <w:r w:rsidR="00EF4B40">
        <w:rPr>
          <w:rFonts w:ascii="Calibri" w:hAnsi="Calibri" w:cs="Calibri"/>
          <w:color w:val="131413"/>
          <w:sz w:val="24"/>
          <w:szCs w:val="24"/>
        </w:rPr>
        <w:t>.</w:t>
      </w:r>
    </w:p>
    <w:p w14:paraId="57532637" w14:textId="77777777" w:rsidR="00CF4459" w:rsidRPr="00516C63" w:rsidRDefault="00CF4459" w:rsidP="00AA1754">
      <w:pPr>
        <w:autoSpaceDE w:val="0"/>
        <w:autoSpaceDN w:val="0"/>
        <w:adjustRightInd w:val="0"/>
        <w:spacing w:after="0" w:line="276" w:lineRule="auto"/>
        <w:rPr>
          <w:rFonts w:ascii="Calibri" w:hAnsi="Calibri" w:cs="Calibri"/>
          <w:color w:val="131413"/>
          <w:sz w:val="24"/>
          <w:szCs w:val="24"/>
        </w:rPr>
      </w:pPr>
    </w:p>
    <w:p w14:paraId="69CB37D0" w14:textId="64C4A2F2" w:rsidR="005A609C" w:rsidRPr="005A609C" w:rsidRDefault="001A3006" w:rsidP="00AA1754">
      <w:pPr>
        <w:autoSpaceDE w:val="0"/>
        <w:autoSpaceDN w:val="0"/>
        <w:adjustRightInd w:val="0"/>
        <w:spacing w:after="0" w:line="276" w:lineRule="auto"/>
        <w:rPr>
          <w:rFonts w:ascii="Calibri" w:hAnsi="Calibri" w:cs="Calibri"/>
          <w:color w:val="131413"/>
          <w:sz w:val="24"/>
          <w:szCs w:val="24"/>
        </w:rPr>
      </w:pPr>
      <w:r>
        <w:rPr>
          <w:rFonts w:ascii="Calibri" w:hAnsi="Calibri" w:cs="Calibri"/>
          <w:color w:val="131413"/>
          <w:sz w:val="24"/>
          <w:szCs w:val="24"/>
        </w:rPr>
        <w:t>We additionally examined</w:t>
      </w:r>
      <w:r w:rsidR="00726632">
        <w:rPr>
          <w:rFonts w:ascii="Calibri" w:hAnsi="Calibri" w:cs="Calibri"/>
          <w:color w:val="131413"/>
          <w:sz w:val="24"/>
          <w:szCs w:val="24"/>
        </w:rPr>
        <w:t xml:space="preserve"> the multiple o</w:t>
      </w:r>
      <w:r w:rsidR="004C624A">
        <w:rPr>
          <w:rFonts w:ascii="Calibri" w:hAnsi="Calibri" w:cs="Calibri"/>
          <w:color w:val="131413"/>
          <w:sz w:val="24"/>
          <w:szCs w:val="24"/>
        </w:rPr>
        <w:t>f LIT in two p</w:t>
      </w:r>
      <w:r w:rsidR="00271DC1">
        <w:rPr>
          <w:rFonts w:ascii="Calibri" w:hAnsi="Calibri" w:cs="Calibri"/>
          <w:color w:val="131413"/>
          <w:sz w:val="24"/>
          <w:szCs w:val="24"/>
        </w:rPr>
        <w:t>h</w:t>
      </w:r>
      <w:r w:rsidR="004C624A">
        <w:rPr>
          <w:rFonts w:ascii="Calibri" w:hAnsi="Calibri" w:cs="Calibri"/>
          <w:color w:val="131413"/>
          <w:sz w:val="24"/>
          <w:szCs w:val="24"/>
        </w:rPr>
        <w:t>ase 3 studies</w:t>
      </w:r>
      <w:r w:rsidR="00271DC1">
        <w:rPr>
          <w:rFonts w:ascii="Calibri" w:hAnsi="Calibri" w:cs="Calibri"/>
          <w:color w:val="131413"/>
          <w:sz w:val="24"/>
          <w:szCs w:val="24"/>
        </w:rPr>
        <w:t xml:space="preserve"> of teriparatide.  </w:t>
      </w:r>
      <w:r w:rsidR="004B7108">
        <w:rPr>
          <w:rFonts w:ascii="Calibri" w:hAnsi="Calibri" w:cs="Calibri"/>
          <w:color w:val="131413"/>
          <w:sz w:val="24"/>
          <w:szCs w:val="24"/>
        </w:rPr>
        <w:t xml:space="preserve">The first was the </w:t>
      </w:r>
      <w:r w:rsidR="00B27D1F">
        <w:rPr>
          <w:rFonts w:ascii="Calibri" w:hAnsi="Calibri" w:cs="Calibri"/>
          <w:color w:val="131413"/>
          <w:sz w:val="24"/>
          <w:szCs w:val="24"/>
        </w:rPr>
        <w:t>assessment of FRAX</w:t>
      </w:r>
      <w:r w:rsidR="00D51C84">
        <w:rPr>
          <w:rFonts w:ascii="Calibri" w:hAnsi="Calibri" w:cs="Calibri"/>
          <w:color w:val="131413"/>
          <w:sz w:val="24"/>
          <w:szCs w:val="24"/>
        </w:rPr>
        <w:t xml:space="preserve"> in</w:t>
      </w:r>
      <w:r w:rsidR="009348B3" w:rsidRPr="009348B3">
        <w:rPr>
          <w:rFonts w:ascii="Calibri" w:hAnsi="Calibri" w:cs="Calibri"/>
          <w:color w:val="131413"/>
          <w:sz w:val="24"/>
          <w:szCs w:val="24"/>
        </w:rPr>
        <w:t xml:space="preserve"> participants from the pivotal</w:t>
      </w:r>
      <w:r w:rsidR="00D51C84">
        <w:rPr>
          <w:rFonts w:ascii="Calibri" w:hAnsi="Calibri" w:cs="Calibri"/>
          <w:color w:val="131413"/>
          <w:sz w:val="24"/>
          <w:szCs w:val="24"/>
        </w:rPr>
        <w:t xml:space="preserve"> </w:t>
      </w:r>
      <w:r w:rsidR="009348B3" w:rsidRPr="009348B3">
        <w:rPr>
          <w:rFonts w:ascii="Calibri" w:hAnsi="Calibri" w:cs="Calibri"/>
          <w:color w:val="131413"/>
          <w:sz w:val="24"/>
          <w:szCs w:val="24"/>
        </w:rPr>
        <w:t>global, phase 3, multicentre, double-blind, calcium- and vitamin</w:t>
      </w:r>
      <w:r w:rsidR="00D51C84">
        <w:rPr>
          <w:rFonts w:ascii="Calibri" w:hAnsi="Calibri" w:cs="Calibri"/>
          <w:color w:val="131413"/>
          <w:sz w:val="24"/>
          <w:szCs w:val="24"/>
        </w:rPr>
        <w:t xml:space="preserve"> </w:t>
      </w:r>
      <w:r w:rsidR="009348B3" w:rsidRPr="009348B3">
        <w:rPr>
          <w:rFonts w:ascii="Calibri" w:hAnsi="Calibri" w:cs="Calibri"/>
          <w:color w:val="131413"/>
          <w:sz w:val="24"/>
          <w:szCs w:val="24"/>
        </w:rPr>
        <w:t>D-controlled, randomised study of teriparatide</w:t>
      </w:r>
      <w:r w:rsidR="00901500">
        <w:rPr>
          <w:rFonts w:ascii="Calibri" w:hAnsi="Calibri" w:cs="Calibri"/>
          <w:color w:val="131413"/>
          <w:sz w:val="24"/>
          <w:szCs w:val="24"/>
        </w:rPr>
        <w:t xml:space="preserve"> [</w:t>
      </w:r>
      <w:r w:rsidR="00E950C7">
        <w:rPr>
          <w:rFonts w:ascii="Calibri" w:hAnsi="Calibri" w:cs="Calibri"/>
          <w:color w:val="131413"/>
          <w:sz w:val="24"/>
          <w:szCs w:val="24"/>
        </w:rPr>
        <w:t>18</w:t>
      </w:r>
      <w:r w:rsidR="005A3986">
        <w:rPr>
          <w:rFonts w:ascii="Calibri" w:hAnsi="Calibri" w:cs="Calibri"/>
          <w:color w:val="131413"/>
          <w:sz w:val="24"/>
          <w:szCs w:val="24"/>
        </w:rPr>
        <w:t>]</w:t>
      </w:r>
      <w:r w:rsidR="009348B3" w:rsidRPr="009348B3">
        <w:rPr>
          <w:rFonts w:ascii="Calibri" w:hAnsi="Calibri" w:cs="Calibri"/>
          <w:color w:val="131413"/>
          <w:sz w:val="24"/>
          <w:szCs w:val="24"/>
        </w:rPr>
        <w:t xml:space="preserve">, the methods </w:t>
      </w:r>
      <w:r w:rsidR="00873B7C">
        <w:rPr>
          <w:rFonts w:ascii="Calibri" w:hAnsi="Calibri" w:cs="Calibri"/>
          <w:color w:val="131413"/>
          <w:sz w:val="24"/>
          <w:szCs w:val="24"/>
        </w:rPr>
        <w:t xml:space="preserve">and results </w:t>
      </w:r>
      <w:r w:rsidR="009348B3" w:rsidRPr="009348B3">
        <w:rPr>
          <w:rFonts w:ascii="Calibri" w:hAnsi="Calibri" w:cs="Calibri"/>
          <w:color w:val="131413"/>
          <w:sz w:val="24"/>
          <w:szCs w:val="24"/>
        </w:rPr>
        <w:t>of</w:t>
      </w:r>
      <w:r w:rsidR="00D51C84">
        <w:rPr>
          <w:rFonts w:ascii="Calibri" w:hAnsi="Calibri" w:cs="Calibri"/>
          <w:color w:val="131413"/>
          <w:sz w:val="24"/>
          <w:szCs w:val="24"/>
        </w:rPr>
        <w:t xml:space="preserve"> </w:t>
      </w:r>
      <w:r w:rsidR="009348B3" w:rsidRPr="009348B3">
        <w:rPr>
          <w:rFonts w:ascii="Calibri" w:hAnsi="Calibri" w:cs="Calibri"/>
          <w:color w:val="131413"/>
          <w:sz w:val="24"/>
          <w:szCs w:val="24"/>
        </w:rPr>
        <w:t xml:space="preserve">which have been published </w:t>
      </w:r>
      <w:r w:rsidR="009348B3" w:rsidRPr="00957C59">
        <w:rPr>
          <w:rFonts w:ascii="Calibri" w:hAnsi="Calibri" w:cs="Calibri"/>
          <w:color w:val="131413"/>
          <w:sz w:val="24"/>
          <w:szCs w:val="24"/>
        </w:rPr>
        <w:t>previously</w:t>
      </w:r>
      <w:r w:rsidR="00901500" w:rsidRPr="00957C59">
        <w:rPr>
          <w:rFonts w:ascii="Calibri" w:hAnsi="Calibri" w:cs="Calibri"/>
          <w:color w:val="131413"/>
          <w:sz w:val="24"/>
          <w:szCs w:val="24"/>
        </w:rPr>
        <w:t xml:space="preserve"> </w:t>
      </w:r>
      <w:r w:rsidR="00C353CB" w:rsidRPr="00957C59">
        <w:rPr>
          <w:rFonts w:ascii="Calibri" w:hAnsi="Calibri" w:cs="Calibri"/>
          <w:color w:val="131413"/>
          <w:sz w:val="24"/>
          <w:szCs w:val="24"/>
        </w:rPr>
        <w:t>[</w:t>
      </w:r>
      <w:r w:rsidR="00E950C7" w:rsidRPr="00957C59">
        <w:rPr>
          <w:rFonts w:ascii="Calibri" w:hAnsi="Calibri" w:cs="Calibri"/>
          <w:color w:val="131413"/>
          <w:sz w:val="24"/>
          <w:szCs w:val="24"/>
        </w:rPr>
        <w:t>19</w:t>
      </w:r>
      <w:r w:rsidR="000172E0" w:rsidRPr="00957C59">
        <w:rPr>
          <w:rFonts w:ascii="Calibri" w:hAnsi="Calibri" w:cs="Calibri"/>
          <w:color w:val="131413"/>
          <w:sz w:val="24"/>
          <w:szCs w:val="24"/>
        </w:rPr>
        <w:t>]</w:t>
      </w:r>
      <w:r w:rsidR="005A609C" w:rsidRPr="00957C59">
        <w:rPr>
          <w:rFonts w:ascii="Calibri" w:hAnsi="Calibri" w:cs="Calibri"/>
          <w:color w:val="131413"/>
          <w:sz w:val="24"/>
          <w:szCs w:val="24"/>
        </w:rPr>
        <w:t>.</w:t>
      </w:r>
      <w:r w:rsidR="005A609C">
        <w:rPr>
          <w:rFonts w:ascii="Calibri" w:hAnsi="Calibri" w:cs="Calibri"/>
          <w:color w:val="131413"/>
          <w:sz w:val="24"/>
          <w:szCs w:val="24"/>
        </w:rPr>
        <w:t xml:space="preserve">  The second was</w:t>
      </w:r>
      <w:r w:rsidR="005A609C" w:rsidRPr="005A609C">
        <w:t xml:space="preserve"> </w:t>
      </w:r>
      <w:r w:rsidR="005A609C">
        <w:rPr>
          <w:rFonts w:ascii="Calibri" w:hAnsi="Calibri" w:cs="Calibri"/>
          <w:color w:val="131413"/>
          <w:sz w:val="24"/>
          <w:szCs w:val="24"/>
        </w:rPr>
        <w:t>t</w:t>
      </w:r>
      <w:r w:rsidR="005A609C" w:rsidRPr="005A609C">
        <w:rPr>
          <w:rFonts w:ascii="Calibri" w:hAnsi="Calibri" w:cs="Calibri"/>
          <w:color w:val="131413"/>
          <w:sz w:val="24"/>
          <w:szCs w:val="24"/>
        </w:rPr>
        <w:t>he Teriparatide Once-Weekly Efficacy Research (TOWER)</w:t>
      </w:r>
    </w:p>
    <w:p w14:paraId="28369EC0" w14:textId="5701D8CE" w:rsidR="001A3006" w:rsidRDefault="0081560A" w:rsidP="00AA1754">
      <w:pPr>
        <w:autoSpaceDE w:val="0"/>
        <w:autoSpaceDN w:val="0"/>
        <w:adjustRightInd w:val="0"/>
        <w:spacing w:after="0" w:line="276" w:lineRule="auto"/>
        <w:rPr>
          <w:rFonts w:ascii="Calibri" w:hAnsi="Calibri" w:cs="Calibri"/>
          <w:color w:val="131413"/>
          <w:sz w:val="24"/>
          <w:szCs w:val="24"/>
        </w:rPr>
      </w:pPr>
      <w:r w:rsidRPr="005A609C">
        <w:rPr>
          <w:rFonts w:ascii="Calibri" w:hAnsi="Calibri" w:cs="Calibri"/>
          <w:color w:val="131413"/>
          <w:sz w:val="24"/>
          <w:szCs w:val="24"/>
        </w:rPr>
        <w:t>trial</w:t>
      </w:r>
      <w:r w:rsidR="005A609C" w:rsidRPr="005A609C">
        <w:rPr>
          <w:rFonts w:ascii="Calibri" w:hAnsi="Calibri" w:cs="Calibri"/>
          <w:color w:val="131413"/>
          <w:sz w:val="24"/>
          <w:szCs w:val="24"/>
        </w:rPr>
        <w:t xml:space="preserve"> conducted in </w:t>
      </w:r>
      <w:r w:rsidR="005A609C" w:rsidRPr="00957C59">
        <w:rPr>
          <w:rFonts w:ascii="Calibri" w:hAnsi="Calibri" w:cs="Calibri"/>
          <w:color w:val="131413"/>
          <w:sz w:val="24"/>
          <w:szCs w:val="24"/>
        </w:rPr>
        <w:t>Japan</w:t>
      </w:r>
      <w:r w:rsidR="00461D12" w:rsidRPr="00957C59">
        <w:rPr>
          <w:rFonts w:ascii="Calibri" w:hAnsi="Calibri" w:cs="Calibri"/>
          <w:color w:val="131413"/>
          <w:sz w:val="24"/>
          <w:szCs w:val="24"/>
        </w:rPr>
        <w:t xml:space="preserve"> [</w:t>
      </w:r>
      <w:r w:rsidR="00957C59" w:rsidRPr="00957C59">
        <w:rPr>
          <w:rFonts w:ascii="Calibri" w:hAnsi="Calibri" w:cs="Calibri"/>
          <w:color w:val="131413"/>
          <w:sz w:val="24"/>
          <w:szCs w:val="24"/>
        </w:rPr>
        <w:t>20</w:t>
      </w:r>
      <w:r w:rsidR="006A0A8B" w:rsidRPr="00957C59">
        <w:rPr>
          <w:rFonts w:ascii="Calibri" w:hAnsi="Calibri" w:cs="Calibri"/>
          <w:color w:val="131413"/>
          <w:sz w:val="24"/>
          <w:szCs w:val="24"/>
        </w:rPr>
        <w:t>]</w:t>
      </w:r>
      <w:r w:rsidR="00003E5F" w:rsidRPr="00957C59">
        <w:rPr>
          <w:rFonts w:ascii="Calibri" w:hAnsi="Calibri" w:cs="Calibri"/>
          <w:color w:val="131413"/>
          <w:sz w:val="24"/>
          <w:szCs w:val="24"/>
        </w:rPr>
        <w:t>.</w:t>
      </w:r>
      <w:r w:rsidR="00461D12" w:rsidRPr="00957C59">
        <w:rPr>
          <w:rFonts w:ascii="Calibri" w:hAnsi="Calibri" w:cs="Calibri"/>
          <w:color w:val="131413"/>
          <w:sz w:val="24"/>
          <w:szCs w:val="24"/>
        </w:rPr>
        <w:t xml:space="preserve"> </w:t>
      </w:r>
      <w:r w:rsidR="00003E5F" w:rsidRPr="00957C59">
        <w:rPr>
          <w:rFonts w:ascii="Calibri" w:hAnsi="Calibri" w:cs="Calibri"/>
          <w:color w:val="131413"/>
          <w:sz w:val="24"/>
          <w:szCs w:val="24"/>
        </w:rPr>
        <w:t xml:space="preserve"> T</w:t>
      </w:r>
      <w:r w:rsidR="00786E39" w:rsidRPr="00957C59">
        <w:rPr>
          <w:rFonts w:ascii="Calibri" w:hAnsi="Calibri" w:cs="Calibri"/>
          <w:color w:val="131413"/>
          <w:sz w:val="24"/>
          <w:szCs w:val="24"/>
        </w:rPr>
        <w:t xml:space="preserve">OWER </w:t>
      </w:r>
      <w:r w:rsidR="005A609C" w:rsidRPr="00957C59">
        <w:rPr>
          <w:rFonts w:ascii="Calibri" w:hAnsi="Calibri" w:cs="Calibri"/>
          <w:color w:val="131413"/>
          <w:sz w:val="24"/>
          <w:szCs w:val="24"/>
        </w:rPr>
        <w:t>was a randomized phase 3 double blind</w:t>
      </w:r>
      <w:r w:rsidR="00817F36" w:rsidRPr="00957C59">
        <w:rPr>
          <w:rFonts w:ascii="Calibri" w:hAnsi="Calibri" w:cs="Calibri"/>
          <w:color w:val="131413"/>
          <w:sz w:val="24"/>
          <w:szCs w:val="24"/>
        </w:rPr>
        <w:t xml:space="preserve"> </w:t>
      </w:r>
      <w:r w:rsidR="005A609C" w:rsidRPr="00957C59">
        <w:rPr>
          <w:rFonts w:ascii="Calibri" w:hAnsi="Calibri" w:cs="Calibri"/>
          <w:color w:val="131413"/>
          <w:sz w:val="24"/>
          <w:szCs w:val="24"/>
        </w:rPr>
        <w:t>placebo-controlled study of the effects of once-weekly</w:t>
      </w:r>
      <w:r w:rsidR="00866390" w:rsidRPr="00957C59">
        <w:rPr>
          <w:rFonts w:ascii="Calibri" w:hAnsi="Calibri" w:cs="Calibri"/>
          <w:color w:val="131413"/>
          <w:sz w:val="24"/>
          <w:szCs w:val="24"/>
        </w:rPr>
        <w:t xml:space="preserve"> </w:t>
      </w:r>
      <w:r w:rsidR="005A609C" w:rsidRPr="00957C59">
        <w:rPr>
          <w:rFonts w:ascii="Calibri" w:hAnsi="Calibri" w:cs="Calibri"/>
          <w:color w:val="131413"/>
          <w:sz w:val="24"/>
          <w:szCs w:val="24"/>
        </w:rPr>
        <w:t>teriparatide on the risk of vertebral fracture. The details have</w:t>
      </w:r>
      <w:r w:rsidR="00866390" w:rsidRPr="00957C59">
        <w:rPr>
          <w:rFonts w:ascii="Calibri" w:hAnsi="Calibri" w:cs="Calibri"/>
          <w:color w:val="131413"/>
          <w:sz w:val="24"/>
          <w:szCs w:val="24"/>
        </w:rPr>
        <w:t xml:space="preserve"> </w:t>
      </w:r>
      <w:r w:rsidR="005A609C" w:rsidRPr="00957C59">
        <w:rPr>
          <w:rFonts w:ascii="Calibri" w:hAnsi="Calibri" w:cs="Calibri"/>
          <w:color w:val="131413"/>
          <w:sz w:val="24"/>
          <w:szCs w:val="24"/>
        </w:rPr>
        <w:t>been previously published [</w:t>
      </w:r>
      <w:r w:rsidR="00870807" w:rsidRPr="00957C59">
        <w:rPr>
          <w:rFonts w:ascii="Calibri" w:hAnsi="Calibri" w:cs="Calibri"/>
          <w:color w:val="131413"/>
          <w:sz w:val="24"/>
          <w:szCs w:val="24"/>
        </w:rPr>
        <w:t>2</w:t>
      </w:r>
      <w:r w:rsidR="00957C59" w:rsidRPr="00957C59">
        <w:rPr>
          <w:rFonts w:ascii="Calibri" w:hAnsi="Calibri" w:cs="Calibri"/>
          <w:color w:val="131413"/>
          <w:sz w:val="24"/>
          <w:szCs w:val="24"/>
        </w:rPr>
        <w:t>1</w:t>
      </w:r>
      <w:r w:rsidR="00870807" w:rsidRPr="00957C59">
        <w:rPr>
          <w:rFonts w:ascii="Calibri" w:hAnsi="Calibri" w:cs="Calibri"/>
          <w:color w:val="131413"/>
          <w:sz w:val="24"/>
          <w:szCs w:val="24"/>
        </w:rPr>
        <w:t>]</w:t>
      </w:r>
      <w:r w:rsidR="005A609C" w:rsidRPr="00957C59">
        <w:rPr>
          <w:rFonts w:ascii="Calibri" w:hAnsi="Calibri" w:cs="Calibri"/>
          <w:color w:val="131413"/>
          <w:sz w:val="24"/>
          <w:szCs w:val="24"/>
        </w:rPr>
        <w:t>.</w:t>
      </w:r>
    </w:p>
    <w:p w14:paraId="4E9FC3B6" w14:textId="4E5D181A" w:rsidR="00901500" w:rsidRDefault="00901500" w:rsidP="00AA1754">
      <w:pPr>
        <w:autoSpaceDE w:val="0"/>
        <w:autoSpaceDN w:val="0"/>
        <w:adjustRightInd w:val="0"/>
        <w:spacing w:after="0" w:line="276" w:lineRule="auto"/>
        <w:rPr>
          <w:rFonts w:ascii="Calibri" w:hAnsi="Calibri" w:cs="Calibri"/>
          <w:color w:val="131413"/>
          <w:sz w:val="24"/>
          <w:szCs w:val="24"/>
        </w:rPr>
      </w:pPr>
    </w:p>
    <w:p w14:paraId="64728A77" w14:textId="5E1DF770" w:rsidR="009A763A" w:rsidRDefault="009A763A" w:rsidP="00AA1754">
      <w:pPr>
        <w:autoSpaceDE w:val="0"/>
        <w:autoSpaceDN w:val="0"/>
        <w:adjustRightInd w:val="0"/>
        <w:spacing w:after="0" w:line="276" w:lineRule="auto"/>
        <w:rPr>
          <w:rFonts w:ascii="Calibri" w:hAnsi="Calibri" w:cs="Calibri"/>
          <w:color w:val="131413"/>
          <w:sz w:val="24"/>
          <w:szCs w:val="24"/>
        </w:rPr>
      </w:pPr>
      <w:r>
        <w:rPr>
          <w:rFonts w:ascii="Calibri" w:hAnsi="Calibri" w:cs="Calibri"/>
          <w:color w:val="131413"/>
          <w:sz w:val="24"/>
          <w:szCs w:val="24"/>
        </w:rPr>
        <w:t>Finall</w:t>
      </w:r>
      <w:r w:rsidR="00D86B32">
        <w:rPr>
          <w:rFonts w:ascii="Calibri" w:hAnsi="Calibri" w:cs="Calibri"/>
          <w:color w:val="131413"/>
          <w:sz w:val="24"/>
          <w:szCs w:val="24"/>
        </w:rPr>
        <w:t xml:space="preserve">y, examples of risk categorisation are </w:t>
      </w:r>
      <w:r w:rsidR="008753E4">
        <w:rPr>
          <w:rFonts w:ascii="Calibri" w:hAnsi="Calibri" w:cs="Calibri"/>
          <w:color w:val="131413"/>
          <w:sz w:val="24"/>
          <w:szCs w:val="24"/>
        </w:rPr>
        <w:t>provided</w:t>
      </w:r>
      <w:r w:rsidR="00AA2164">
        <w:rPr>
          <w:rFonts w:ascii="Calibri" w:hAnsi="Calibri" w:cs="Calibri"/>
          <w:color w:val="131413"/>
          <w:sz w:val="24"/>
          <w:szCs w:val="24"/>
        </w:rPr>
        <w:t xml:space="preserve"> with the use of </w:t>
      </w:r>
      <w:r w:rsidR="00B30A96">
        <w:rPr>
          <w:rFonts w:ascii="Calibri" w:hAnsi="Calibri" w:cs="Calibri"/>
          <w:color w:val="131413"/>
          <w:sz w:val="24"/>
          <w:szCs w:val="24"/>
        </w:rPr>
        <w:t>FRAX clinical risk factors alone and in combination</w:t>
      </w:r>
      <w:r w:rsidR="001214DE">
        <w:rPr>
          <w:rFonts w:ascii="Calibri" w:hAnsi="Calibri" w:cs="Calibri"/>
          <w:color w:val="131413"/>
          <w:sz w:val="24"/>
          <w:szCs w:val="24"/>
        </w:rPr>
        <w:t>.</w:t>
      </w:r>
      <w:r w:rsidR="002B1384" w:rsidRPr="002B1384">
        <w:t xml:space="preserve"> </w:t>
      </w:r>
      <w:r w:rsidR="002B1384" w:rsidRPr="002B1384">
        <w:rPr>
          <w:rFonts w:ascii="Calibri" w:hAnsi="Calibri" w:cs="Calibri"/>
          <w:color w:val="131413"/>
          <w:sz w:val="24"/>
          <w:szCs w:val="24"/>
        </w:rPr>
        <w:t>Examples are for women with a BMI of 25kg/m</w:t>
      </w:r>
      <w:r w:rsidR="002B1384" w:rsidRPr="005647E1">
        <w:rPr>
          <w:rFonts w:ascii="Calibri" w:hAnsi="Calibri" w:cs="Calibri"/>
          <w:color w:val="131413"/>
          <w:sz w:val="24"/>
          <w:szCs w:val="24"/>
          <w:vertAlign w:val="superscript"/>
        </w:rPr>
        <w:t>2</w:t>
      </w:r>
      <w:r w:rsidR="005647E1">
        <w:rPr>
          <w:rFonts w:ascii="Calibri" w:hAnsi="Calibri" w:cs="Calibri"/>
          <w:color w:val="131413"/>
          <w:sz w:val="24"/>
          <w:szCs w:val="24"/>
        </w:rPr>
        <w:t>.</w:t>
      </w:r>
      <w:r w:rsidR="002B1384" w:rsidRPr="002B1384">
        <w:rPr>
          <w:rFonts w:ascii="Calibri" w:hAnsi="Calibri" w:cs="Calibri"/>
          <w:color w:val="131413"/>
          <w:sz w:val="24"/>
          <w:szCs w:val="24"/>
        </w:rPr>
        <w:t xml:space="preserve"> </w:t>
      </w:r>
      <w:r w:rsidR="006E4E0D" w:rsidRPr="006E4E0D">
        <w:rPr>
          <w:rFonts w:ascii="Calibri" w:hAnsi="Calibri" w:cs="Calibri"/>
          <w:color w:val="131413"/>
          <w:sz w:val="24"/>
          <w:szCs w:val="24"/>
        </w:rPr>
        <w:t xml:space="preserve">Each table gives the 10-year probabilities of a major osteoporotic fracture calculated using the UK FRAX model.  Cells highlighted in green and orange denote low and high risk, respectively, according to current NOGG guidance.  Red highlights denote very high risk using a threshold 1.6 times the current intervention threshold.  </w:t>
      </w:r>
    </w:p>
    <w:p w14:paraId="178F74A5" w14:textId="77777777" w:rsidR="00901500" w:rsidRDefault="00901500" w:rsidP="00AA1754">
      <w:pPr>
        <w:autoSpaceDE w:val="0"/>
        <w:autoSpaceDN w:val="0"/>
        <w:adjustRightInd w:val="0"/>
        <w:spacing w:after="0" w:line="276" w:lineRule="auto"/>
        <w:rPr>
          <w:rFonts w:ascii="Calibri" w:hAnsi="Calibri" w:cs="Calibri"/>
          <w:color w:val="131413"/>
          <w:sz w:val="24"/>
          <w:szCs w:val="24"/>
        </w:rPr>
      </w:pPr>
    </w:p>
    <w:p w14:paraId="2A8EFF04" w14:textId="6223EEDD" w:rsidR="00730503" w:rsidRPr="00516C63" w:rsidRDefault="00730503" w:rsidP="00AA1754">
      <w:pPr>
        <w:autoSpaceDE w:val="0"/>
        <w:autoSpaceDN w:val="0"/>
        <w:adjustRightInd w:val="0"/>
        <w:spacing w:after="0" w:line="276" w:lineRule="auto"/>
        <w:rPr>
          <w:rFonts w:ascii="Calibri" w:hAnsi="Calibri" w:cs="Calibri"/>
          <w:b/>
          <w:bCs/>
          <w:color w:val="131413"/>
          <w:sz w:val="24"/>
          <w:szCs w:val="24"/>
        </w:rPr>
      </w:pPr>
      <w:r w:rsidRPr="00516C63">
        <w:rPr>
          <w:rFonts w:ascii="Calibri" w:hAnsi="Calibri" w:cs="Calibri"/>
          <w:color w:val="131413"/>
          <w:sz w:val="24"/>
          <w:szCs w:val="24"/>
        </w:rPr>
        <w:t>A formal statistical analysis was not conducted as the study represents a simple comparison of the three thresholds using an identical ‘population’</w:t>
      </w:r>
      <w:r w:rsidRPr="00516C63">
        <w:rPr>
          <w:rFonts w:ascii="Calibri" w:hAnsi="Calibri" w:cs="Calibri"/>
          <w:b/>
          <w:bCs/>
          <w:color w:val="131413"/>
          <w:sz w:val="24"/>
          <w:szCs w:val="24"/>
        </w:rPr>
        <w:t xml:space="preserve">. </w:t>
      </w:r>
    </w:p>
    <w:p w14:paraId="5782DA6B" w14:textId="77777777" w:rsidR="00012ACB" w:rsidRDefault="00012ACB" w:rsidP="00AA1754">
      <w:pPr>
        <w:autoSpaceDE w:val="0"/>
        <w:autoSpaceDN w:val="0"/>
        <w:adjustRightInd w:val="0"/>
        <w:spacing w:after="0" w:line="276" w:lineRule="auto"/>
        <w:rPr>
          <w:rFonts w:ascii="Calibri" w:hAnsi="Calibri" w:cs="Calibri"/>
          <w:b/>
          <w:bCs/>
          <w:color w:val="131413"/>
          <w:sz w:val="20"/>
          <w:szCs w:val="20"/>
        </w:rPr>
      </w:pPr>
    </w:p>
    <w:p w14:paraId="4E61E257" w14:textId="77777777" w:rsidR="00F86A78" w:rsidRDefault="00F86A78" w:rsidP="00AA1754">
      <w:pPr>
        <w:autoSpaceDE w:val="0"/>
        <w:autoSpaceDN w:val="0"/>
        <w:adjustRightInd w:val="0"/>
        <w:spacing w:after="0" w:line="276" w:lineRule="auto"/>
        <w:rPr>
          <w:rFonts w:ascii="Calibri" w:hAnsi="Calibri" w:cs="Calibri"/>
          <w:b/>
          <w:bCs/>
          <w:color w:val="131413"/>
          <w:sz w:val="24"/>
          <w:szCs w:val="24"/>
        </w:rPr>
      </w:pPr>
    </w:p>
    <w:p w14:paraId="10CAF4C7" w14:textId="510881A1" w:rsidR="00F92540" w:rsidRPr="00F86A78" w:rsidRDefault="00730503" w:rsidP="00AA1754">
      <w:pPr>
        <w:autoSpaceDE w:val="0"/>
        <w:autoSpaceDN w:val="0"/>
        <w:adjustRightInd w:val="0"/>
        <w:spacing w:after="0" w:line="276" w:lineRule="auto"/>
        <w:rPr>
          <w:rFonts w:ascii="Calibri" w:hAnsi="Calibri" w:cs="Calibri"/>
          <w:b/>
          <w:bCs/>
          <w:color w:val="131413"/>
          <w:sz w:val="24"/>
          <w:szCs w:val="24"/>
        </w:rPr>
      </w:pPr>
      <w:r w:rsidRPr="00F86A78">
        <w:rPr>
          <w:rFonts w:ascii="Calibri" w:hAnsi="Calibri" w:cs="Calibri"/>
          <w:b/>
          <w:bCs/>
          <w:color w:val="131413"/>
          <w:sz w:val="24"/>
          <w:szCs w:val="24"/>
        </w:rPr>
        <w:t>Results</w:t>
      </w:r>
    </w:p>
    <w:p w14:paraId="4DE3A627" w14:textId="097D8689" w:rsidR="005D3EB3" w:rsidRDefault="0026113D" w:rsidP="00AA1754">
      <w:pPr>
        <w:autoSpaceDE w:val="0"/>
        <w:autoSpaceDN w:val="0"/>
        <w:adjustRightInd w:val="0"/>
        <w:spacing w:after="0" w:line="276" w:lineRule="auto"/>
        <w:rPr>
          <w:rFonts w:ascii="Calibri" w:hAnsi="Calibri" w:cs="Calibri"/>
          <w:color w:val="131413"/>
          <w:sz w:val="24"/>
          <w:szCs w:val="24"/>
        </w:rPr>
      </w:pPr>
      <w:r w:rsidRPr="00F86A78">
        <w:rPr>
          <w:rFonts w:ascii="Calibri" w:hAnsi="Calibri" w:cs="Calibri"/>
          <w:color w:val="131413"/>
          <w:sz w:val="24"/>
          <w:szCs w:val="24"/>
        </w:rPr>
        <w:t xml:space="preserve">The application </w:t>
      </w:r>
      <w:r w:rsidR="004846F2" w:rsidRPr="00F86A78">
        <w:rPr>
          <w:rFonts w:ascii="Calibri" w:hAnsi="Calibri" w:cs="Calibri"/>
          <w:color w:val="131413"/>
          <w:sz w:val="24"/>
          <w:szCs w:val="24"/>
        </w:rPr>
        <w:t xml:space="preserve">of the three </w:t>
      </w:r>
      <w:r w:rsidR="0001567A" w:rsidRPr="00F86A78">
        <w:rPr>
          <w:rFonts w:ascii="Calibri" w:hAnsi="Calibri" w:cs="Calibri"/>
          <w:color w:val="131413"/>
          <w:sz w:val="24"/>
          <w:szCs w:val="24"/>
        </w:rPr>
        <w:t>UITs</w:t>
      </w:r>
      <w:r w:rsidR="004846F2" w:rsidRPr="00F86A78">
        <w:rPr>
          <w:rFonts w:ascii="Calibri" w:hAnsi="Calibri" w:cs="Calibri"/>
          <w:color w:val="131413"/>
          <w:sz w:val="24"/>
          <w:szCs w:val="24"/>
        </w:rPr>
        <w:t xml:space="preserve"> to define very high risk </w:t>
      </w:r>
      <w:r w:rsidR="00257074">
        <w:rPr>
          <w:rFonts w:ascii="Calibri" w:hAnsi="Calibri" w:cs="Calibri"/>
          <w:color w:val="131413"/>
          <w:sz w:val="24"/>
          <w:szCs w:val="24"/>
        </w:rPr>
        <w:t>in the simulated UK population of women aged 50-9</w:t>
      </w:r>
      <w:r w:rsidR="002D3996">
        <w:rPr>
          <w:rFonts w:ascii="Calibri" w:hAnsi="Calibri" w:cs="Calibri"/>
          <w:color w:val="131413"/>
          <w:sz w:val="24"/>
          <w:szCs w:val="24"/>
        </w:rPr>
        <w:t>9</w:t>
      </w:r>
      <w:r w:rsidR="00257074">
        <w:rPr>
          <w:rFonts w:ascii="Calibri" w:hAnsi="Calibri" w:cs="Calibri"/>
          <w:color w:val="131413"/>
          <w:sz w:val="24"/>
          <w:szCs w:val="24"/>
        </w:rPr>
        <w:t xml:space="preserve"> years </w:t>
      </w:r>
      <w:r w:rsidR="007B646E" w:rsidRPr="00F86A78">
        <w:rPr>
          <w:rFonts w:ascii="Calibri" w:hAnsi="Calibri" w:cs="Calibri"/>
          <w:color w:val="131413"/>
          <w:sz w:val="24"/>
          <w:szCs w:val="24"/>
        </w:rPr>
        <w:t xml:space="preserve">is illustrated </w:t>
      </w:r>
      <w:r w:rsidR="00A73E9C" w:rsidRPr="00F86A78">
        <w:rPr>
          <w:rFonts w:ascii="Calibri" w:hAnsi="Calibri" w:cs="Calibri"/>
          <w:color w:val="131413"/>
          <w:sz w:val="24"/>
          <w:szCs w:val="24"/>
        </w:rPr>
        <w:t>i</w:t>
      </w:r>
      <w:r w:rsidR="007B646E" w:rsidRPr="00F86A78">
        <w:rPr>
          <w:rFonts w:ascii="Calibri" w:hAnsi="Calibri" w:cs="Calibri"/>
          <w:color w:val="131413"/>
          <w:sz w:val="24"/>
          <w:szCs w:val="24"/>
        </w:rPr>
        <w:t xml:space="preserve">n Figure 2.  </w:t>
      </w:r>
      <w:r w:rsidR="00C8704B" w:rsidRPr="00F86A78">
        <w:rPr>
          <w:rFonts w:ascii="Calibri" w:hAnsi="Calibri" w:cs="Calibri"/>
          <w:color w:val="131413"/>
          <w:sz w:val="24"/>
          <w:szCs w:val="24"/>
        </w:rPr>
        <w:t>Given that the</w:t>
      </w:r>
      <w:r w:rsidR="008C1019" w:rsidRPr="00F86A78">
        <w:rPr>
          <w:rFonts w:ascii="Calibri" w:hAnsi="Calibri" w:cs="Calibri"/>
          <w:color w:val="131413"/>
          <w:sz w:val="24"/>
          <w:szCs w:val="24"/>
        </w:rPr>
        <w:t xml:space="preserve"> </w:t>
      </w:r>
      <w:r w:rsidR="006F3D8F" w:rsidRPr="00F86A78">
        <w:rPr>
          <w:rFonts w:ascii="Calibri" w:hAnsi="Calibri" w:cs="Calibri"/>
          <w:color w:val="131413"/>
          <w:sz w:val="24"/>
          <w:szCs w:val="24"/>
        </w:rPr>
        <w:t>LIT</w:t>
      </w:r>
      <w:r w:rsidR="008C1019" w:rsidRPr="00F86A78">
        <w:rPr>
          <w:rFonts w:ascii="Calibri" w:hAnsi="Calibri" w:cs="Calibri"/>
          <w:color w:val="131413"/>
          <w:sz w:val="24"/>
          <w:szCs w:val="24"/>
        </w:rPr>
        <w:t xml:space="preserve"> </w:t>
      </w:r>
      <w:r w:rsidR="004B3729" w:rsidRPr="00F86A78">
        <w:rPr>
          <w:rFonts w:ascii="Calibri" w:hAnsi="Calibri" w:cs="Calibri"/>
          <w:color w:val="131413"/>
          <w:sz w:val="24"/>
          <w:szCs w:val="24"/>
        </w:rPr>
        <w:t>remained constant, the proportion of the population</w:t>
      </w:r>
      <w:r w:rsidR="00513237" w:rsidRPr="00F86A78">
        <w:rPr>
          <w:rFonts w:ascii="Calibri" w:hAnsi="Calibri" w:cs="Calibri"/>
          <w:color w:val="131413"/>
          <w:sz w:val="24"/>
          <w:szCs w:val="24"/>
        </w:rPr>
        <w:t xml:space="preserve"> </w:t>
      </w:r>
      <w:r w:rsidR="00390629" w:rsidRPr="00F86A78">
        <w:rPr>
          <w:rFonts w:ascii="Calibri" w:hAnsi="Calibri" w:cs="Calibri"/>
          <w:color w:val="131413"/>
          <w:sz w:val="24"/>
          <w:szCs w:val="24"/>
        </w:rPr>
        <w:t xml:space="preserve">designated </w:t>
      </w:r>
      <w:r w:rsidR="00513237" w:rsidRPr="00F86A78">
        <w:rPr>
          <w:rFonts w:ascii="Calibri" w:hAnsi="Calibri" w:cs="Calibri"/>
          <w:color w:val="131413"/>
          <w:sz w:val="24"/>
          <w:szCs w:val="24"/>
        </w:rPr>
        <w:t xml:space="preserve">at low risk was </w:t>
      </w:r>
      <w:r w:rsidR="00390629" w:rsidRPr="00F86A78">
        <w:rPr>
          <w:rFonts w:ascii="Calibri" w:hAnsi="Calibri" w:cs="Calibri"/>
          <w:color w:val="131413"/>
          <w:sz w:val="24"/>
          <w:szCs w:val="24"/>
        </w:rPr>
        <w:t xml:space="preserve">also </w:t>
      </w:r>
      <w:r w:rsidR="00513237" w:rsidRPr="00F86A78">
        <w:rPr>
          <w:rFonts w:ascii="Calibri" w:hAnsi="Calibri" w:cs="Calibri"/>
          <w:color w:val="131413"/>
          <w:sz w:val="24"/>
          <w:szCs w:val="24"/>
        </w:rPr>
        <w:t>constant, irrespecti</w:t>
      </w:r>
      <w:r w:rsidR="00BC22CA" w:rsidRPr="00F86A78">
        <w:rPr>
          <w:rFonts w:ascii="Calibri" w:hAnsi="Calibri" w:cs="Calibri"/>
          <w:color w:val="131413"/>
          <w:sz w:val="24"/>
          <w:szCs w:val="24"/>
        </w:rPr>
        <w:t xml:space="preserve">ve of the upper intervention threshold. </w:t>
      </w:r>
      <w:r w:rsidR="00B07190" w:rsidRPr="00F86A78">
        <w:rPr>
          <w:rFonts w:ascii="Calibri" w:hAnsi="Calibri" w:cs="Calibri"/>
          <w:color w:val="131413"/>
          <w:sz w:val="24"/>
          <w:szCs w:val="24"/>
        </w:rPr>
        <w:t xml:space="preserve"> Thus, the different</w:t>
      </w:r>
      <w:r w:rsidR="00535144" w:rsidRPr="00F86A78">
        <w:rPr>
          <w:rFonts w:ascii="Calibri" w:hAnsi="Calibri" w:cs="Calibri"/>
          <w:color w:val="131413"/>
          <w:sz w:val="24"/>
          <w:szCs w:val="24"/>
        </w:rPr>
        <w:t xml:space="preserve"> </w:t>
      </w:r>
      <w:r w:rsidR="006F3D8F" w:rsidRPr="00F86A78">
        <w:rPr>
          <w:rFonts w:ascii="Calibri" w:hAnsi="Calibri" w:cs="Calibri"/>
          <w:color w:val="131413"/>
          <w:sz w:val="24"/>
          <w:szCs w:val="24"/>
        </w:rPr>
        <w:t>UIT</w:t>
      </w:r>
      <w:r w:rsidR="00B4054B" w:rsidRPr="00F86A78">
        <w:rPr>
          <w:rFonts w:ascii="Calibri" w:hAnsi="Calibri" w:cs="Calibri"/>
          <w:color w:val="131413"/>
          <w:sz w:val="24"/>
          <w:szCs w:val="24"/>
        </w:rPr>
        <w:t>s</w:t>
      </w:r>
      <w:r w:rsidR="00535144" w:rsidRPr="00F86A78">
        <w:rPr>
          <w:rFonts w:ascii="Calibri" w:hAnsi="Calibri" w:cs="Calibri"/>
          <w:color w:val="131413"/>
          <w:sz w:val="24"/>
          <w:szCs w:val="24"/>
        </w:rPr>
        <w:t xml:space="preserve"> </w:t>
      </w:r>
      <w:r w:rsidR="00774B19" w:rsidRPr="00F86A78">
        <w:rPr>
          <w:rFonts w:ascii="Calibri" w:hAnsi="Calibri" w:cs="Calibri"/>
          <w:color w:val="131413"/>
          <w:sz w:val="24"/>
          <w:szCs w:val="24"/>
        </w:rPr>
        <w:t xml:space="preserve">changed only the proportions of those eligible for treatment that </w:t>
      </w:r>
      <w:r w:rsidR="00CF3A2E" w:rsidRPr="00F86A78">
        <w:rPr>
          <w:rFonts w:ascii="Calibri" w:hAnsi="Calibri" w:cs="Calibri"/>
          <w:color w:val="131413"/>
          <w:sz w:val="24"/>
          <w:szCs w:val="24"/>
        </w:rPr>
        <w:t xml:space="preserve">would be </w:t>
      </w:r>
      <w:r w:rsidR="00956177" w:rsidRPr="00F86A78">
        <w:rPr>
          <w:rFonts w:ascii="Calibri" w:hAnsi="Calibri" w:cs="Calibri"/>
          <w:color w:val="131413"/>
          <w:sz w:val="24"/>
          <w:szCs w:val="24"/>
        </w:rPr>
        <w:t>characterised</w:t>
      </w:r>
      <w:r w:rsidR="00CF3A2E" w:rsidRPr="00F86A78">
        <w:rPr>
          <w:rFonts w:ascii="Calibri" w:hAnsi="Calibri" w:cs="Calibri"/>
          <w:color w:val="131413"/>
          <w:sz w:val="24"/>
          <w:szCs w:val="24"/>
        </w:rPr>
        <w:t xml:space="preserve"> at</w:t>
      </w:r>
      <w:r w:rsidR="00A42F64">
        <w:rPr>
          <w:rFonts w:ascii="Calibri" w:hAnsi="Calibri" w:cs="Calibri"/>
          <w:color w:val="131413"/>
          <w:sz w:val="24"/>
          <w:szCs w:val="24"/>
        </w:rPr>
        <w:t xml:space="preserve"> high or</w:t>
      </w:r>
      <w:r w:rsidR="00CF3A2E" w:rsidRPr="00F86A78">
        <w:rPr>
          <w:rFonts w:ascii="Calibri" w:hAnsi="Calibri" w:cs="Calibri"/>
          <w:color w:val="131413"/>
          <w:sz w:val="24"/>
          <w:szCs w:val="24"/>
        </w:rPr>
        <w:t xml:space="preserve"> very high risk. </w:t>
      </w:r>
      <w:r w:rsidR="00B07190" w:rsidRPr="00F86A78">
        <w:rPr>
          <w:rFonts w:ascii="Calibri" w:hAnsi="Calibri" w:cs="Calibri"/>
          <w:color w:val="131413"/>
          <w:sz w:val="24"/>
          <w:szCs w:val="24"/>
        </w:rPr>
        <w:t xml:space="preserve"> </w:t>
      </w:r>
    </w:p>
    <w:p w14:paraId="4CCE0488" w14:textId="77777777" w:rsidR="005D3EB3" w:rsidRDefault="005D3EB3" w:rsidP="00AA1754">
      <w:pPr>
        <w:autoSpaceDE w:val="0"/>
        <w:autoSpaceDN w:val="0"/>
        <w:adjustRightInd w:val="0"/>
        <w:spacing w:after="0" w:line="276" w:lineRule="auto"/>
        <w:rPr>
          <w:rFonts w:ascii="Calibri" w:hAnsi="Calibri" w:cs="Calibri"/>
          <w:color w:val="131413"/>
          <w:sz w:val="24"/>
          <w:szCs w:val="24"/>
        </w:rPr>
      </w:pPr>
    </w:p>
    <w:p w14:paraId="27C68A76" w14:textId="156BB22C" w:rsidR="00BD5745" w:rsidRPr="00F86A78" w:rsidRDefault="007B646E" w:rsidP="00AA1754">
      <w:pPr>
        <w:autoSpaceDE w:val="0"/>
        <w:autoSpaceDN w:val="0"/>
        <w:adjustRightInd w:val="0"/>
        <w:spacing w:after="0" w:line="276" w:lineRule="auto"/>
        <w:rPr>
          <w:rFonts w:ascii="Calibri" w:hAnsi="Calibri" w:cs="Calibri"/>
          <w:color w:val="131413"/>
          <w:sz w:val="24"/>
          <w:szCs w:val="24"/>
        </w:rPr>
      </w:pPr>
      <w:r w:rsidRPr="00F86A78">
        <w:rPr>
          <w:rFonts w:ascii="Calibri" w:hAnsi="Calibri" w:cs="Calibri"/>
          <w:color w:val="131413"/>
          <w:sz w:val="24"/>
          <w:szCs w:val="24"/>
        </w:rPr>
        <w:lastRenderedPageBreak/>
        <w:t>For all scenarios there</w:t>
      </w:r>
      <w:r w:rsidR="003966F1" w:rsidRPr="00F86A78">
        <w:rPr>
          <w:rFonts w:ascii="Calibri" w:hAnsi="Calibri" w:cs="Calibri"/>
          <w:color w:val="131413"/>
          <w:sz w:val="24"/>
          <w:szCs w:val="24"/>
        </w:rPr>
        <w:t xml:space="preserve"> was an age-dependent increase in the prevalence o</w:t>
      </w:r>
      <w:r w:rsidR="00BD603E" w:rsidRPr="00F86A78">
        <w:rPr>
          <w:rFonts w:ascii="Calibri" w:hAnsi="Calibri" w:cs="Calibri"/>
          <w:color w:val="131413"/>
          <w:sz w:val="24"/>
          <w:szCs w:val="24"/>
        </w:rPr>
        <w:t>f very high risk</w:t>
      </w:r>
      <w:r w:rsidR="00377B51" w:rsidRPr="00F86A78">
        <w:rPr>
          <w:rFonts w:ascii="Calibri" w:hAnsi="Calibri" w:cs="Calibri"/>
          <w:color w:val="131413"/>
          <w:sz w:val="24"/>
          <w:szCs w:val="24"/>
        </w:rPr>
        <w:t>.  As expected</w:t>
      </w:r>
      <w:r w:rsidR="00DC7469" w:rsidRPr="00F86A78">
        <w:rPr>
          <w:rFonts w:ascii="Calibri" w:hAnsi="Calibri" w:cs="Calibri"/>
          <w:color w:val="131413"/>
          <w:sz w:val="24"/>
          <w:szCs w:val="24"/>
        </w:rPr>
        <w:t>,</w:t>
      </w:r>
      <w:r w:rsidR="00377B51" w:rsidRPr="00F86A78">
        <w:rPr>
          <w:rFonts w:ascii="Calibri" w:hAnsi="Calibri" w:cs="Calibri"/>
          <w:color w:val="131413"/>
          <w:sz w:val="24"/>
          <w:szCs w:val="24"/>
        </w:rPr>
        <w:t xml:space="preserve"> the higher the </w:t>
      </w:r>
      <w:r w:rsidR="00B4054B" w:rsidRPr="00F86A78">
        <w:rPr>
          <w:rFonts w:ascii="Calibri" w:hAnsi="Calibri" w:cs="Calibri"/>
          <w:color w:val="131413"/>
          <w:sz w:val="24"/>
          <w:szCs w:val="24"/>
        </w:rPr>
        <w:t>UIT</w:t>
      </w:r>
      <w:r w:rsidR="00C607BF">
        <w:rPr>
          <w:rFonts w:ascii="Calibri" w:hAnsi="Calibri" w:cs="Calibri"/>
          <w:color w:val="131413"/>
          <w:sz w:val="24"/>
          <w:szCs w:val="24"/>
        </w:rPr>
        <w:t>,</w:t>
      </w:r>
      <w:r w:rsidR="00377B51" w:rsidRPr="00F86A78">
        <w:rPr>
          <w:rFonts w:ascii="Calibri" w:hAnsi="Calibri" w:cs="Calibri"/>
          <w:color w:val="131413"/>
          <w:sz w:val="24"/>
          <w:szCs w:val="24"/>
        </w:rPr>
        <w:t xml:space="preserve"> the lower </w:t>
      </w:r>
      <w:r w:rsidR="00DC7469" w:rsidRPr="00F86A78">
        <w:rPr>
          <w:rFonts w:ascii="Calibri" w:hAnsi="Calibri" w:cs="Calibri"/>
          <w:color w:val="131413"/>
          <w:sz w:val="24"/>
          <w:szCs w:val="24"/>
        </w:rPr>
        <w:t xml:space="preserve">was </w:t>
      </w:r>
      <w:r w:rsidR="00377B51" w:rsidRPr="00F86A78">
        <w:rPr>
          <w:rFonts w:ascii="Calibri" w:hAnsi="Calibri" w:cs="Calibri"/>
          <w:color w:val="131413"/>
          <w:sz w:val="24"/>
          <w:szCs w:val="24"/>
        </w:rPr>
        <w:t>the prevalence o</w:t>
      </w:r>
      <w:r w:rsidR="001E5C15" w:rsidRPr="00F86A78">
        <w:rPr>
          <w:rFonts w:ascii="Calibri" w:hAnsi="Calibri" w:cs="Calibri"/>
          <w:color w:val="131413"/>
          <w:sz w:val="24"/>
          <w:szCs w:val="24"/>
        </w:rPr>
        <w:t xml:space="preserve">f very high risk.  </w:t>
      </w:r>
      <w:r w:rsidR="00DC7469" w:rsidRPr="00F86A78">
        <w:rPr>
          <w:rFonts w:ascii="Calibri" w:hAnsi="Calibri" w:cs="Calibri"/>
          <w:color w:val="131413"/>
          <w:sz w:val="24"/>
          <w:szCs w:val="24"/>
        </w:rPr>
        <w:t xml:space="preserve">At </w:t>
      </w:r>
      <w:r w:rsidR="00917830" w:rsidRPr="00F86A78">
        <w:rPr>
          <w:rFonts w:ascii="Calibri" w:hAnsi="Calibri" w:cs="Calibri"/>
          <w:color w:val="131413"/>
          <w:sz w:val="24"/>
          <w:szCs w:val="24"/>
        </w:rPr>
        <w:t xml:space="preserve">the </w:t>
      </w:r>
      <w:r w:rsidR="008D5763" w:rsidRPr="00F86A78">
        <w:rPr>
          <w:rFonts w:ascii="Calibri" w:hAnsi="Calibri" w:cs="Calibri"/>
          <w:color w:val="131413"/>
          <w:sz w:val="24"/>
          <w:szCs w:val="24"/>
        </w:rPr>
        <w:t>UIT</w:t>
      </w:r>
      <w:r w:rsidR="00C75BAD">
        <w:rPr>
          <w:rFonts w:ascii="Calibri" w:hAnsi="Calibri" w:cs="Calibri"/>
          <w:color w:val="131413"/>
          <w:sz w:val="24"/>
          <w:szCs w:val="24"/>
        </w:rPr>
        <w:t xml:space="preserve"> of 1.2 times the LIT</w:t>
      </w:r>
      <w:r w:rsidR="00723362" w:rsidRPr="00F86A78">
        <w:rPr>
          <w:rFonts w:ascii="Calibri" w:hAnsi="Calibri" w:cs="Calibri"/>
          <w:color w:val="131413"/>
          <w:sz w:val="24"/>
          <w:szCs w:val="24"/>
        </w:rPr>
        <w:t xml:space="preserve">, </w:t>
      </w:r>
      <w:r w:rsidR="006B71C4">
        <w:rPr>
          <w:rFonts w:ascii="Calibri" w:hAnsi="Calibri" w:cs="Calibri"/>
          <w:color w:val="131413"/>
          <w:sz w:val="24"/>
          <w:szCs w:val="24"/>
        </w:rPr>
        <w:t>a</w:t>
      </w:r>
      <w:r w:rsidR="00E41520" w:rsidRPr="00F86A78">
        <w:rPr>
          <w:rFonts w:ascii="Calibri" w:hAnsi="Calibri" w:cs="Calibri"/>
          <w:color w:val="131413"/>
          <w:sz w:val="24"/>
          <w:szCs w:val="24"/>
        </w:rPr>
        <w:t xml:space="preserve"> </w:t>
      </w:r>
      <w:r w:rsidR="00723362" w:rsidRPr="00F86A78">
        <w:rPr>
          <w:rFonts w:ascii="Calibri" w:hAnsi="Calibri" w:cs="Calibri"/>
          <w:color w:val="131413"/>
          <w:sz w:val="24"/>
          <w:szCs w:val="24"/>
        </w:rPr>
        <w:t>large</w:t>
      </w:r>
      <w:r w:rsidR="00987B63" w:rsidRPr="00F86A78">
        <w:rPr>
          <w:rFonts w:ascii="Calibri" w:hAnsi="Calibri" w:cs="Calibri"/>
          <w:color w:val="131413"/>
          <w:sz w:val="24"/>
          <w:szCs w:val="24"/>
        </w:rPr>
        <w:t xml:space="preserve"> pro</w:t>
      </w:r>
      <w:r w:rsidR="00107897" w:rsidRPr="00F86A78">
        <w:rPr>
          <w:rFonts w:ascii="Calibri" w:hAnsi="Calibri" w:cs="Calibri"/>
          <w:color w:val="131413"/>
          <w:sz w:val="24"/>
          <w:szCs w:val="24"/>
        </w:rPr>
        <w:t xml:space="preserve">portion of </w:t>
      </w:r>
      <w:r w:rsidR="007D77B6" w:rsidRPr="007D77B6">
        <w:rPr>
          <w:rFonts w:ascii="Calibri" w:hAnsi="Calibri" w:cs="Calibri"/>
          <w:color w:val="131413"/>
          <w:sz w:val="24"/>
          <w:szCs w:val="24"/>
        </w:rPr>
        <w:t>postmenopausal</w:t>
      </w:r>
      <w:r w:rsidR="00107897" w:rsidRPr="00F86A78">
        <w:rPr>
          <w:rFonts w:ascii="Calibri" w:hAnsi="Calibri" w:cs="Calibri"/>
          <w:color w:val="131413"/>
          <w:sz w:val="24"/>
          <w:szCs w:val="24"/>
        </w:rPr>
        <w:t xml:space="preserve"> women</w:t>
      </w:r>
      <w:r w:rsidR="00D02438" w:rsidRPr="00F86A78">
        <w:rPr>
          <w:rFonts w:ascii="Calibri" w:hAnsi="Calibri" w:cs="Calibri"/>
          <w:color w:val="131413"/>
          <w:sz w:val="24"/>
          <w:szCs w:val="24"/>
        </w:rPr>
        <w:t xml:space="preserve"> would be characterised a</w:t>
      </w:r>
      <w:r w:rsidR="00520D20" w:rsidRPr="00F86A78">
        <w:rPr>
          <w:rFonts w:ascii="Calibri" w:hAnsi="Calibri" w:cs="Calibri"/>
          <w:color w:val="131413"/>
          <w:sz w:val="24"/>
          <w:szCs w:val="24"/>
        </w:rPr>
        <w:t>t</w:t>
      </w:r>
      <w:r w:rsidR="00D02438" w:rsidRPr="00F86A78">
        <w:rPr>
          <w:rFonts w:ascii="Calibri" w:hAnsi="Calibri" w:cs="Calibri"/>
          <w:color w:val="131413"/>
          <w:sz w:val="24"/>
          <w:szCs w:val="24"/>
        </w:rPr>
        <w:t xml:space="preserve"> </w:t>
      </w:r>
      <w:r w:rsidR="00084A46" w:rsidRPr="00F86A78">
        <w:rPr>
          <w:rFonts w:ascii="Calibri" w:hAnsi="Calibri" w:cs="Calibri"/>
          <w:color w:val="131413"/>
          <w:sz w:val="24"/>
          <w:szCs w:val="24"/>
        </w:rPr>
        <w:t>very high ri</w:t>
      </w:r>
      <w:r w:rsidR="00204698" w:rsidRPr="00F86A78">
        <w:rPr>
          <w:rFonts w:ascii="Calibri" w:hAnsi="Calibri" w:cs="Calibri"/>
          <w:color w:val="131413"/>
          <w:sz w:val="24"/>
          <w:szCs w:val="24"/>
        </w:rPr>
        <w:t>s</w:t>
      </w:r>
      <w:r w:rsidR="00084A46" w:rsidRPr="00F86A78">
        <w:rPr>
          <w:rFonts w:ascii="Calibri" w:hAnsi="Calibri" w:cs="Calibri"/>
          <w:color w:val="131413"/>
          <w:sz w:val="24"/>
          <w:szCs w:val="24"/>
        </w:rPr>
        <w:t>k</w:t>
      </w:r>
      <w:r w:rsidR="00CD504F">
        <w:rPr>
          <w:rFonts w:ascii="Calibri" w:hAnsi="Calibri" w:cs="Calibri"/>
          <w:color w:val="131413"/>
          <w:sz w:val="24"/>
          <w:szCs w:val="24"/>
        </w:rPr>
        <w:t xml:space="preserve"> </w:t>
      </w:r>
      <w:r w:rsidR="00417C3F">
        <w:rPr>
          <w:rFonts w:ascii="Calibri" w:hAnsi="Calibri" w:cs="Calibri"/>
          <w:color w:val="131413"/>
          <w:sz w:val="24"/>
          <w:szCs w:val="24"/>
        </w:rPr>
        <w:t>(23%)</w:t>
      </w:r>
      <w:r w:rsidR="00084A46" w:rsidRPr="00F86A78">
        <w:rPr>
          <w:rFonts w:ascii="Calibri" w:hAnsi="Calibri" w:cs="Calibri"/>
          <w:color w:val="131413"/>
          <w:sz w:val="24"/>
          <w:szCs w:val="24"/>
        </w:rPr>
        <w:t xml:space="preserve"> and, indeed, </w:t>
      </w:r>
      <w:r w:rsidR="00D538F8">
        <w:rPr>
          <w:rFonts w:ascii="Calibri" w:hAnsi="Calibri" w:cs="Calibri"/>
          <w:color w:val="131413"/>
          <w:sz w:val="24"/>
          <w:szCs w:val="24"/>
        </w:rPr>
        <w:t>just over half</w:t>
      </w:r>
      <w:r w:rsidR="00204698" w:rsidRPr="00F86A78">
        <w:rPr>
          <w:rFonts w:ascii="Calibri" w:hAnsi="Calibri" w:cs="Calibri"/>
          <w:color w:val="131413"/>
          <w:sz w:val="24"/>
          <w:szCs w:val="24"/>
        </w:rPr>
        <w:t xml:space="preserve"> of all postmenopausal women </w:t>
      </w:r>
      <w:r w:rsidR="006076FA" w:rsidRPr="00F86A78">
        <w:rPr>
          <w:rFonts w:ascii="Calibri" w:hAnsi="Calibri" w:cs="Calibri"/>
          <w:color w:val="131413"/>
          <w:sz w:val="24"/>
          <w:szCs w:val="24"/>
        </w:rPr>
        <w:t>that were eligible</w:t>
      </w:r>
      <w:r w:rsidR="002B0EE8" w:rsidRPr="00F86A78">
        <w:rPr>
          <w:rFonts w:ascii="Calibri" w:hAnsi="Calibri" w:cs="Calibri"/>
          <w:color w:val="131413"/>
          <w:sz w:val="24"/>
          <w:szCs w:val="24"/>
        </w:rPr>
        <w:t xml:space="preserve"> for treatment </w:t>
      </w:r>
      <w:r w:rsidR="00204698" w:rsidRPr="00F86A78">
        <w:rPr>
          <w:rFonts w:ascii="Calibri" w:hAnsi="Calibri" w:cs="Calibri"/>
          <w:color w:val="131413"/>
          <w:sz w:val="24"/>
          <w:szCs w:val="24"/>
        </w:rPr>
        <w:t xml:space="preserve">would be so </w:t>
      </w:r>
      <w:r w:rsidR="00956177" w:rsidRPr="00F86A78">
        <w:rPr>
          <w:rFonts w:ascii="Calibri" w:hAnsi="Calibri" w:cs="Calibri"/>
          <w:color w:val="131413"/>
          <w:sz w:val="24"/>
          <w:szCs w:val="24"/>
        </w:rPr>
        <w:t>characterised (</w:t>
      </w:r>
      <w:r w:rsidR="002B0EE8" w:rsidRPr="00F86A78">
        <w:rPr>
          <w:rFonts w:ascii="Calibri" w:hAnsi="Calibri" w:cs="Calibri"/>
          <w:color w:val="131413"/>
          <w:sz w:val="24"/>
          <w:szCs w:val="24"/>
        </w:rPr>
        <w:t>56%).</w:t>
      </w:r>
      <w:r w:rsidR="000D542D" w:rsidRPr="00F86A78">
        <w:rPr>
          <w:rFonts w:ascii="Calibri" w:hAnsi="Calibri" w:cs="Calibri"/>
          <w:color w:val="131413"/>
          <w:sz w:val="24"/>
          <w:szCs w:val="24"/>
        </w:rPr>
        <w:t xml:space="preserve">  In contrast, the application of the </w:t>
      </w:r>
      <w:r w:rsidR="0086690E" w:rsidRPr="00F86A78">
        <w:rPr>
          <w:rFonts w:ascii="Calibri" w:hAnsi="Calibri" w:cs="Calibri"/>
          <w:color w:val="131413"/>
          <w:sz w:val="24"/>
          <w:szCs w:val="24"/>
        </w:rPr>
        <w:t xml:space="preserve">most stringent </w:t>
      </w:r>
      <w:r w:rsidR="00242610" w:rsidRPr="00F86A78">
        <w:rPr>
          <w:rFonts w:ascii="Calibri" w:hAnsi="Calibri" w:cs="Calibri"/>
          <w:color w:val="131413"/>
          <w:sz w:val="24"/>
          <w:szCs w:val="24"/>
        </w:rPr>
        <w:t>thresho</w:t>
      </w:r>
      <w:r w:rsidR="004B5443" w:rsidRPr="00F86A78">
        <w:rPr>
          <w:rFonts w:ascii="Calibri" w:hAnsi="Calibri" w:cs="Calibri"/>
          <w:color w:val="131413"/>
          <w:sz w:val="24"/>
          <w:szCs w:val="24"/>
        </w:rPr>
        <w:t>l</w:t>
      </w:r>
      <w:r w:rsidR="00242610" w:rsidRPr="00F86A78">
        <w:rPr>
          <w:rFonts w:ascii="Calibri" w:hAnsi="Calibri" w:cs="Calibri"/>
          <w:color w:val="131413"/>
          <w:sz w:val="24"/>
          <w:szCs w:val="24"/>
        </w:rPr>
        <w:t>d</w:t>
      </w:r>
      <w:r w:rsidR="004B5443" w:rsidRPr="00F86A78">
        <w:rPr>
          <w:rFonts w:ascii="Calibri" w:hAnsi="Calibri" w:cs="Calibri"/>
          <w:color w:val="131413"/>
          <w:sz w:val="24"/>
          <w:szCs w:val="24"/>
        </w:rPr>
        <w:t xml:space="preserve"> </w:t>
      </w:r>
      <w:r w:rsidR="00D47243" w:rsidRPr="00F86A78">
        <w:rPr>
          <w:rFonts w:ascii="Calibri" w:hAnsi="Calibri" w:cs="Calibri"/>
          <w:color w:val="131413"/>
          <w:sz w:val="24"/>
          <w:szCs w:val="24"/>
        </w:rPr>
        <w:t>w</w:t>
      </w:r>
      <w:r w:rsidR="004B5443" w:rsidRPr="00F86A78">
        <w:rPr>
          <w:rFonts w:ascii="Calibri" w:hAnsi="Calibri" w:cs="Calibri"/>
          <w:color w:val="131413"/>
          <w:sz w:val="24"/>
          <w:szCs w:val="24"/>
        </w:rPr>
        <w:t>as associated with a very low prevalence o</w:t>
      </w:r>
      <w:r w:rsidR="00AD6FBB" w:rsidRPr="00F86A78">
        <w:rPr>
          <w:rFonts w:ascii="Calibri" w:hAnsi="Calibri" w:cs="Calibri"/>
          <w:color w:val="131413"/>
          <w:sz w:val="24"/>
          <w:szCs w:val="24"/>
        </w:rPr>
        <w:t>f</w:t>
      </w:r>
      <w:r w:rsidR="004B5443" w:rsidRPr="00F86A78">
        <w:rPr>
          <w:rFonts w:ascii="Calibri" w:hAnsi="Calibri" w:cs="Calibri"/>
          <w:color w:val="131413"/>
          <w:sz w:val="24"/>
          <w:szCs w:val="24"/>
        </w:rPr>
        <w:t xml:space="preserve"> </w:t>
      </w:r>
      <w:r w:rsidR="007A3435" w:rsidRPr="00F86A78">
        <w:rPr>
          <w:rFonts w:ascii="Calibri" w:hAnsi="Calibri" w:cs="Calibri"/>
          <w:color w:val="131413"/>
          <w:sz w:val="24"/>
          <w:szCs w:val="24"/>
        </w:rPr>
        <w:t>those at very high risk</w:t>
      </w:r>
      <w:r w:rsidR="00AD6FBB" w:rsidRPr="00F86A78">
        <w:rPr>
          <w:rFonts w:ascii="Calibri" w:hAnsi="Calibri" w:cs="Calibri"/>
          <w:color w:val="131413"/>
          <w:sz w:val="24"/>
          <w:szCs w:val="24"/>
        </w:rPr>
        <w:t xml:space="preserve"> (</w:t>
      </w:r>
      <w:r w:rsidR="005D6260">
        <w:rPr>
          <w:rFonts w:ascii="Calibri" w:hAnsi="Calibri" w:cs="Calibri"/>
          <w:color w:val="131413"/>
          <w:sz w:val="24"/>
          <w:szCs w:val="24"/>
        </w:rPr>
        <w:t>5</w:t>
      </w:r>
      <w:r w:rsidR="002163EC" w:rsidRPr="00F86A78">
        <w:rPr>
          <w:rFonts w:ascii="Calibri" w:hAnsi="Calibri" w:cs="Calibri"/>
          <w:color w:val="131413"/>
          <w:sz w:val="24"/>
          <w:szCs w:val="24"/>
        </w:rPr>
        <w:t xml:space="preserve">%).  The upper intervention </w:t>
      </w:r>
      <w:r w:rsidR="00DC1163" w:rsidRPr="00F86A78">
        <w:rPr>
          <w:rFonts w:ascii="Calibri" w:hAnsi="Calibri" w:cs="Calibri"/>
          <w:color w:val="131413"/>
          <w:sz w:val="24"/>
          <w:szCs w:val="24"/>
        </w:rPr>
        <w:t>threshold</w:t>
      </w:r>
      <w:r w:rsidR="002163EC" w:rsidRPr="00F86A78">
        <w:rPr>
          <w:rFonts w:ascii="Calibri" w:hAnsi="Calibri" w:cs="Calibri"/>
          <w:color w:val="131413"/>
          <w:sz w:val="24"/>
          <w:szCs w:val="24"/>
        </w:rPr>
        <w:t xml:space="preserve"> of 1</w:t>
      </w:r>
      <w:r w:rsidR="00DC1163" w:rsidRPr="00F86A78">
        <w:rPr>
          <w:rFonts w:ascii="Calibri" w:hAnsi="Calibri" w:cs="Calibri"/>
          <w:color w:val="131413"/>
          <w:sz w:val="24"/>
          <w:szCs w:val="24"/>
        </w:rPr>
        <w:t>.6 times the lower intervention threshold avoid</w:t>
      </w:r>
      <w:r w:rsidR="00B57BE9" w:rsidRPr="00F86A78">
        <w:rPr>
          <w:rFonts w:ascii="Calibri" w:hAnsi="Calibri" w:cs="Calibri"/>
          <w:color w:val="131413"/>
          <w:sz w:val="24"/>
          <w:szCs w:val="24"/>
        </w:rPr>
        <w:t>ed</w:t>
      </w:r>
      <w:r w:rsidR="00DC1163" w:rsidRPr="00F86A78">
        <w:rPr>
          <w:rFonts w:ascii="Calibri" w:hAnsi="Calibri" w:cs="Calibri"/>
          <w:color w:val="131413"/>
          <w:sz w:val="24"/>
          <w:szCs w:val="24"/>
        </w:rPr>
        <w:t xml:space="preserve"> these extremes.</w:t>
      </w:r>
      <w:r w:rsidR="00FB5BEC" w:rsidRPr="00FB5BEC">
        <w:t xml:space="preserve"> </w:t>
      </w:r>
      <w:r w:rsidR="00FB5BEC" w:rsidRPr="00FB5BEC">
        <w:rPr>
          <w:rFonts w:ascii="Calibri" w:hAnsi="Calibri" w:cs="Calibri"/>
          <w:color w:val="131413"/>
          <w:sz w:val="24"/>
          <w:szCs w:val="24"/>
        </w:rPr>
        <w:t>For all UIT scenarios, the number of women eligible for treatment was constant (20</w:t>
      </w:r>
      <w:r w:rsidR="00257074">
        <w:rPr>
          <w:rFonts w:ascii="Calibri" w:hAnsi="Calibri" w:cs="Calibri"/>
          <w:color w:val="131413"/>
          <w:sz w:val="24"/>
          <w:szCs w:val="24"/>
        </w:rPr>
        <w:t>,</w:t>
      </w:r>
      <w:r w:rsidR="00FB5BEC" w:rsidRPr="00FB5BEC">
        <w:rPr>
          <w:rFonts w:ascii="Calibri" w:hAnsi="Calibri" w:cs="Calibri"/>
          <w:color w:val="131413"/>
          <w:sz w:val="24"/>
          <w:szCs w:val="24"/>
        </w:rPr>
        <w:t xml:space="preserve">451) representing 40% of postmenopausal women.  </w:t>
      </w:r>
      <w:r w:rsidR="00C1039A">
        <w:rPr>
          <w:rFonts w:ascii="Calibri" w:hAnsi="Calibri" w:cs="Calibri"/>
          <w:color w:val="131413"/>
          <w:sz w:val="24"/>
          <w:szCs w:val="24"/>
        </w:rPr>
        <w:t>UIT</w:t>
      </w:r>
      <w:r w:rsidR="00410E0B">
        <w:rPr>
          <w:rFonts w:ascii="Calibri" w:hAnsi="Calibri" w:cs="Calibri"/>
          <w:color w:val="131413"/>
          <w:sz w:val="24"/>
          <w:szCs w:val="24"/>
        </w:rPr>
        <w:t>s</w:t>
      </w:r>
      <w:r w:rsidR="00C1039A">
        <w:rPr>
          <w:rFonts w:ascii="Calibri" w:hAnsi="Calibri" w:cs="Calibri"/>
          <w:color w:val="131413"/>
          <w:sz w:val="24"/>
          <w:szCs w:val="24"/>
        </w:rPr>
        <w:t xml:space="preserve"> of 1.2, 1.6 and 2.0 yielded 23%, 10% and 5% prevalence, respectively, of very high fracture risk categorisation amongst the entire population.</w:t>
      </w:r>
      <w:r w:rsidR="00C1039A" w:rsidRPr="00FB5BEC">
        <w:rPr>
          <w:rFonts w:ascii="Calibri" w:hAnsi="Calibri" w:cs="Calibri"/>
          <w:color w:val="131413"/>
          <w:sz w:val="24"/>
          <w:szCs w:val="24"/>
        </w:rPr>
        <w:t xml:space="preserve"> </w:t>
      </w:r>
      <w:r w:rsidR="00C1039A">
        <w:rPr>
          <w:rFonts w:ascii="Calibri" w:hAnsi="Calibri" w:cs="Calibri"/>
          <w:color w:val="131413"/>
          <w:sz w:val="24"/>
          <w:szCs w:val="24"/>
        </w:rPr>
        <w:t>Amongst those women eligible for treatment,</w:t>
      </w:r>
      <w:r w:rsidR="00C01BB8">
        <w:rPr>
          <w:rFonts w:ascii="Calibri" w:hAnsi="Calibri" w:cs="Calibri"/>
          <w:color w:val="131413"/>
          <w:sz w:val="24"/>
          <w:szCs w:val="24"/>
        </w:rPr>
        <w:t xml:space="preserve"> t</w:t>
      </w:r>
      <w:r w:rsidR="00FB5BEC" w:rsidRPr="00FB5BEC">
        <w:rPr>
          <w:rFonts w:ascii="Calibri" w:hAnsi="Calibri" w:cs="Calibri"/>
          <w:color w:val="131413"/>
          <w:sz w:val="24"/>
          <w:szCs w:val="24"/>
        </w:rPr>
        <w:t xml:space="preserve">he proportion of women at </w:t>
      </w:r>
      <w:r w:rsidR="00FC3EBE">
        <w:rPr>
          <w:rFonts w:ascii="Calibri" w:hAnsi="Calibri" w:cs="Calibri"/>
          <w:color w:val="131413"/>
          <w:sz w:val="24"/>
          <w:szCs w:val="24"/>
        </w:rPr>
        <w:t xml:space="preserve">very </w:t>
      </w:r>
      <w:r w:rsidR="00FB5BEC" w:rsidRPr="00FB5BEC">
        <w:rPr>
          <w:rFonts w:ascii="Calibri" w:hAnsi="Calibri" w:cs="Calibri"/>
          <w:color w:val="131413"/>
          <w:sz w:val="24"/>
          <w:szCs w:val="24"/>
        </w:rPr>
        <w:t>high risk was 55.7</w:t>
      </w:r>
      <w:r w:rsidR="00187AD1" w:rsidRPr="00FB5BEC">
        <w:rPr>
          <w:rFonts w:ascii="Calibri" w:hAnsi="Calibri" w:cs="Calibri"/>
          <w:color w:val="131413"/>
          <w:sz w:val="24"/>
          <w:szCs w:val="24"/>
        </w:rPr>
        <w:t xml:space="preserve">%, </w:t>
      </w:r>
      <w:bookmarkStart w:id="4" w:name="_Hlk56247754"/>
      <w:r w:rsidR="00187AD1" w:rsidRPr="00FB5BEC">
        <w:rPr>
          <w:rFonts w:ascii="Calibri" w:hAnsi="Calibri" w:cs="Calibri"/>
          <w:color w:val="131413"/>
          <w:sz w:val="24"/>
          <w:szCs w:val="24"/>
        </w:rPr>
        <w:t>25.1</w:t>
      </w:r>
      <w:r w:rsidR="00FB5BEC" w:rsidRPr="00FB5BEC">
        <w:rPr>
          <w:rFonts w:ascii="Calibri" w:hAnsi="Calibri" w:cs="Calibri"/>
          <w:color w:val="131413"/>
          <w:sz w:val="24"/>
          <w:szCs w:val="24"/>
        </w:rPr>
        <w:t xml:space="preserve">% </w:t>
      </w:r>
      <w:bookmarkEnd w:id="4"/>
      <w:r w:rsidR="00FB5BEC" w:rsidRPr="000559D3">
        <w:rPr>
          <w:rFonts w:ascii="Calibri" w:hAnsi="Calibri" w:cs="Calibri"/>
          <w:color w:val="131413"/>
          <w:sz w:val="24"/>
          <w:szCs w:val="24"/>
        </w:rPr>
        <w:t>and 12.1% using</w:t>
      </w:r>
      <w:r w:rsidR="00FB5BEC" w:rsidRPr="00FB5BEC">
        <w:rPr>
          <w:rFonts w:ascii="Calibri" w:hAnsi="Calibri" w:cs="Calibri"/>
          <w:color w:val="131413"/>
          <w:sz w:val="24"/>
          <w:szCs w:val="24"/>
        </w:rPr>
        <w:t xml:space="preserve"> the UIT of 1.2, 1.6 and 2.0, respectively.</w:t>
      </w:r>
      <w:r w:rsidR="00445698">
        <w:rPr>
          <w:rFonts w:ascii="Calibri" w:hAnsi="Calibri" w:cs="Calibri"/>
          <w:color w:val="131413"/>
          <w:sz w:val="24"/>
          <w:szCs w:val="24"/>
        </w:rPr>
        <w:t xml:space="preserve">  </w:t>
      </w:r>
      <w:r w:rsidR="00DD7E25" w:rsidRPr="00DD7E25">
        <w:rPr>
          <w:rFonts w:ascii="Calibri" w:hAnsi="Calibri" w:cs="Calibri"/>
          <w:color w:val="131413"/>
          <w:sz w:val="24"/>
          <w:szCs w:val="24"/>
        </w:rPr>
        <w:t xml:space="preserve">This compares with </w:t>
      </w:r>
      <w:r w:rsidR="00B84A8E">
        <w:rPr>
          <w:rFonts w:ascii="Calibri" w:hAnsi="Calibri" w:cs="Calibri"/>
          <w:color w:val="131413"/>
          <w:sz w:val="24"/>
          <w:szCs w:val="24"/>
        </w:rPr>
        <w:t>44</w:t>
      </w:r>
      <w:r w:rsidR="00DD7E25" w:rsidRPr="00DD7E25">
        <w:rPr>
          <w:rFonts w:ascii="Calibri" w:hAnsi="Calibri" w:cs="Calibri"/>
          <w:color w:val="131413"/>
          <w:sz w:val="24"/>
          <w:szCs w:val="24"/>
        </w:rPr>
        <w:t xml:space="preserve">% using the 1.2 UIT of IOF/ESCEO and </w:t>
      </w:r>
      <w:bookmarkStart w:id="5" w:name="_Hlk56203242"/>
      <w:r w:rsidR="00DD7E25" w:rsidRPr="00DD7E25">
        <w:rPr>
          <w:rFonts w:ascii="Calibri" w:hAnsi="Calibri" w:cs="Calibri"/>
          <w:color w:val="131413"/>
          <w:sz w:val="24"/>
          <w:szCs w:val="24"/>
        </w:rPr>
        <w:t xml:space="preserve">an age-specific intervention threshold </w:t>
      </w:r>
      <w:bookmarkEnd w:id="5"/>
      <w:r w:rsidR="00DD7E25" w:rsidRPr="00DD7E25">
        <w:rPr>
          <w:rFonts w:ascii="Calibri" w:hAnsi="Calibri" w:cs="Calibri"/>
          <w:color w:val="131413"/>
          <w:sz w:val="24"/>
          <w:szCs w:val="24"/>
        </w:rPr>
        <w:t>over all ages.</w:t>
      </w:r>
      <w:r w:rsidR="005A46D8">
        <w:rPr>
          <w:rFonts w:ascii="Calibri" w:hAnsi="Calibri" w:cs="Calibri"/>
          <w:color w:val="131413"/>
          <w:sz w:val="24"/>
          <w:szCs w:val="24"/>
        </w:rPr>
        <w:t xml:space="preserve">  Thus, </w:t>
      </w:r>
      <w:r w:rsidR="00414985">
        <w:rPr>
          <w:rFonts w:ascii="Calibri" w:hAnsi="Calibri" w:cs="Calibri"/>
          <w:color w:val="131413"/>
          <w:sz w:val="24"/>
          <w:szCs w:val="24"/>
        </w:rPr>
        <w:t xml:space="preserve">the use of a UIT </w:t>
      </w:r>
      <w:r w:rsidR="00534635">
        <w:rPr>
          <w:rFonts w:ascii="Calibri" w:hAnsi="Calibri" w:cs="Calibri"/>
          <w:color w:val="131413"/>
          <w:sz w:val="24"/>
          <w:szCs w:val="24"/>
        </w:rPr>
        <w:t xml:space="preserve">of 1.2 has </w:t>
      </w:r>
      <w:r w:rsidR="00C378E1">
        <w:rPr>
          <w:rFonts w:ascii="Calibri" w:hAnsi="Calibri" w:cs="Calibri"/>
          <w:color w:val="131413"/>
          <w:sz w:val="24"/>
          <w:szCs w:val="24"/>
        </w:rPr>
        <w:t>a</w:t>
      </w:r>
      <w:r w:rsidR="00534635">
        <w:rPr>
          <w:rFonts w:ascii="Calibri" w:hAnsi="Calibri" w:cs="Calibri"/>
          <w:color w:val="131413"/>
          <w:sz w:val="24"/>
          <w:szCs w:val="24"/>
        </w:rPr>
        <w:t xml:space="preserve"> different </w:t>
      </w:r>
      <w:r w:rsidR="00420250">
        <w:rPr>
          <w:rFonts w:ascii="Calibri" w:hAnsi="Calibri" w:cs="Calibri"/>
          <w:color w:val="131413"/>
          <w:sz w:val="24"/>
          <w:szCs w:val="24"/>
        </w:rPr>
        <w:t xml:space="preserve">significance when variously applied to </w:t>
      </w:r>
      <w:r w:rsidR="0077459C" w:rsidRPr="0077459C">
        <w:rPr>
          <w:rFonts w:ascii="Calibri" w:hAnsi="Calibri" w:cs="Calibri"/>
          <w:color w:val="131413"/>
          <w:sz w:val="24"/>
          <w:szCs w:val="24"/>
        </w:rPr>
        <w:t>an age-specific</w:t>
      </w:r>
      <w:r w:rsidR="0077459C">
        <w:rPr>
          <w:rFonts w:ascii="Calibri" w:hAnsi="Calibri" w:cs="Calibri"/>
          <w:color w:val="131413"/>
          <w:sz w:val="24"/>
          <w:szCs w:val="24"/>
        </w:rPr>
        <w:t xml:space="preserve"> or hybrid</w:t>
      </w:r>
      <w:r w:rsidR="0077459C" w:rsidRPr="0077459C">
        <w:rPr>
          <w:rFonts w:ascii="Calibri" w:hAnsi="Calibri" w:cs="Calibri"/>
          <w:color w:val="131413"/>
          <w:sz w:val="24"/>
          <w:szCs w:val="24"/>
        </w:rPr>
        <w:t xml:space="preserve"> intervention threshold</w:t>
      </w:r>
      <w:r w:rsidR="00BF7C09" w:rsidRPr="00BF7C09">
        <w:t xml:space="preserve"> </w:t>
      </w:r>
      <w:r w:rsidR="00BF7C09" w:rsidRPr="00BF7C09">
        <w:rPr>
          <w:rFonts w:ascii="Calibri" w:hAnsi="Calibri" w:cs="Calibri"/>
          <w:color w:val="131413"/>
          <w:sz w:val="24"/>
          <w:szCs w:val="24"/>
        </w:rPr>
        <w:t>and was one of the reasons, we discarded the use of the 1.2 UIT for the hybrid model’</w:t>
      </w:r>
      <w:r w:rsidR="00EE02E3">
        <w:rPr>
          <w:rFonts w:ascii="Calibri" w:hAnsi="Calibri" w:cs="Calibri"/>
          <w:color w:val="131413"/>
          <w:sz w:val="24"/>
          <w:szCs w:val="24"/>
        </w:rPr>
        <w:t xml:space="preserve">.  </w:t>
      </w:r>
      <w:r w:rsidR="006A7A22">
        <w:rPr>
          <w:rFonts w:ascii="Calibri" w:hAnsi="Calibri" w:cs="Calibri"/>
          <w:color w:val="131413"/>
          <w:sz w:val="24"/>
          <w:szCs w:val="24"/>
        </w:rPr>
        <w:t>We also di</w:t>
      </w:r>
      <w:r w:rsidR="00C34EF8">
        <w:rPr>
          <w:rFonts w:ascii="Calibri" w:hAnsi="Calibri" w:cs="Calibri"/>
          <w:color w:val="131413"/>
          <w:sz w:val="24"/>
          <w:szCs w:val="24"/>
        </w:rPr>
        <w:t>s</w:t>
      </w:r>
      <w:r w:rsidR="006A7A22">
        <w:rPr>
          <w:rFonts w:ascii="Calibri" w:hAnsi="Calibri" w:cs="Calibri"/>
          <w:color w:val="131413"/>
          <w:sz w:val="24"/>
          <w:szCs w:val="24"/>
        </w:rPr>
        <w:t>carded the</w:t>
      </w:r>
      <w:r w:rsidR="00C34EF8">
        <w:rPr>
          <w:rFonts w:ascii="Calibri" w:hAnsi="Calibri" w:cs="Calibri"/>
          <w:color w:val="131413"/>
          <w:sz w:val="24"/>
          <w:szCs w:val="24"/>
        </w:rPr>
        <w:t xml:space="preserve"> 2.0 </w:t>
      </w:r>
      <w:r w:rsidR="00B16715">
        <w:rPr>
          <w:rFonts w:ascii="Calibri" w:hAnsi="Calibri" w:cs="Calibri"/>
          <w:color w:val="131413"/>
          <w:sz w:val="24"/>
          <w:szCs w:val="24"/>
        </w:rPr>
        <w:t>UIT because</w:t>
      </w:r>
      <w:r w:rsidR="00C34EF8">
        <w:rPr>
          <w:rFonts w:ascii="Calibri" w:hAnsi="Calibri" w:cs="Calibri"/>
          <w:color w:val="131413"/>
          <w:sz w:val="24"/>
          <w:szCs w:val="24"/>
        </w:rPr>
        <w:t xml:space="preserve"> </w:t>
      </w:r>
      <w:r w:rsidR="00CB3466">
        <w:rPr>
          <w:rFonts w:ascii="Calibri" w:hAnsi="Calibri" w:cs="Calibri"/>
          <w:color w:val="131413"/>
          <w:sz w:val="24"/>
          <w:szCs w:val="24"/>
        </w:rPr>
        <w:t>of</w:t>
      </w:r>
      <w:r w:rsidR="00257074">
        <w:rPr>
          <w:rFonts w:ascii="Calibri" w:hAnsi="Calibri" w:cs="Calibri"/>
          <w:color w:val="131413"/>
          <w:sz w:val="24"/>
          <w:szCs w:val="24"/>
        </w:rPr>
        <w:t xml:space="preserve"> the</w:t>
      </w:r>
      <w:r w:rsidR="00C34EF8" w:rsidRPr="00C34EF8">
        <w:rPr>
          <w:rFonts w:ascii="Calibri" w:hAnsi="Calibri" w:cs="Calibri"/>
          <w:color w:val="131413"/>
          <w:sz w:val="24"/>
          <w:szCs w:val="24"/>
        </w:rPr>
        <w:t xml:space="preserve"> very low prevalence of those at very high risk</w:t>
      </w:r>
      <w:r w:rsidR="00CB3466">
        <w:rPr>
          <w:rFonts w:ascii="Calibri" w:hAnsi="Calibri" w:cs="Calibri"/>
          <w:color w:val="131413"/>
          <w:sz w:val="24"/>
          <w:szCs w:val="24"/>
        </w:rPr>
        <w:t>.</w:t>
      </w:r>
    </w:p>
    <w:p w14:paraId="7FF0B741" w14:textId="50B328DB" w:rsidR="00941FF9" w:rsidRDefault="00941FF9" w:rsidP="00730503">
      <w:pPr>
        <w:autoSpaceDE w:val="0"/>
        <w:autoSpaceDN w:val="0"/>
        <w:adjustRightInd w:val="0"/>
        <w:spacing w:after="0" w:line="276" w:lineRule="auto"/>
        <w:rPr>
          <w:rFonts w:ascii="Calibri" w:hAnsi="Calibri" w:cs="Calibri"/>
          <w:color w:val="131413"/>
          <w:sz w:val="20"/>
          <w:szCs w:val="20"/>
        </w:rPr>
      </w:pPr>
    </w:p>
    <w:p w14:paraId="66648737" w14:textId="41452D17" w:rsidR="00BD5745" w:rsidRDefault="00BD5745" w:rsidP="00730503">
      <w:pPr>
        <w:autoSpaceDE w:val="0"/>
        <w:autoSpaceDN w:val="0"/>
        <w:adjustRightInd w:val="0"/>
        <w:spacing w:after="0" w:line="276" w:lineRule="auto"/>
        <w:rPr>
          <w:rFonts w:ascii="Calibri" w:hAnsi="Calibri" w:cs="Calibri"/>
          <w:b/>
          <w:bCs/>
          <w:color w:val="131413"/>
          <w:sz w:val="20"/>
          <w:szCs w:val="20"/>
        </w:rPr>
      </w:pPr>
    </w:p>
    <w:p w14:paraId="54C855F9" w14:textId="15DFB382" w:rsidR="007D0DCB" w:rsidRDefault="00977FA0" w:rsidP="00730503">
      <w:pPr>
        <w:autoSpaceDE w:val="0"/>
        <w:autoSpaceDN w:val="0"/>
        <w:adjustRightInd w:val="0"/>
        <w:spacing w:after="0" w:line="276" w:lineRule="auto"/>
        <w:rPr>
          <w:rFonts w:ascii="Calibri" w:hAnsi="Calibri" w:cs="Calibri"/>
          <w:b/>
          <w:bCs/>
          <w:color w:val="131413"/>
          <w:sz w:val="20"/>
          <w:szCs w:val="20"/>
        </w:rPr>
      </w:pPr>
      <w:r>
        <w:rPr>
          <w:noProof/>
        </w:rPr>
        <mc:AlternateContent>
          <mc:Choice Requires="wps">
            <w:drawing>
              <wp:anchor distT="0" distB="0" distL="114300" distR="114300" simplePos="0" relativeHeight="251655168" behindDoc="0" locked="0" layoutInCell="1" allowOverlap="1" wp14:anchorId="15E29F24" wp14:editId="2979094A">
                <wp:simplePos x="0" y="0"/>
                <wp:positionH relativeFrom="margin">
                  <wp:posOffset>4138613</wp:posOffset>
                </wp:positionH>
                <wp:positionV relativeFrom="paragraph">
                  <wp:posOffset>381000</wp:posOffset>
                </wp:positionV>
                <wp:extent cx="2614612" cy="742950"/>
                <wp:effectExtent l="0" t="0" r="0" b="0"/>
                <wp:wrapNone/>
                <wp:docPr id="13" name="Rectangle 16"/>
                <wp:cNvGraphicFramePr/>
                <a:graphic xmlns:a="http://schemas.openxmlformats.org/drawingml/2006/main">
                  <a:graphicData uri="http://schemas.microsoft.com/office/word/2010/wordprocessingShape">
                    <wps:wsp>
                      <wps:cNvSpPr/>
                      <wps:spPr>
                        <a:xfrm>
                          <a:off x="0" y="0"/>
                          <a:ext cx="2614612" cy="742950"/>
                        </a:xfrm>
                        <a:prstGeom prst="rect">
                          <a:avLst/>
                        </a:prstGeom>
                        <a:noFill/>
                        <a:ln>
                          <a:solidFill>
                            <a:srgbClr val="B2B2B2">
                              <a:alpha val="0"/>
                            </a:srgbClr>
                          </a:solidFill>
                        </a:ln>
                      </wps:spPr>
                      <wps:txbx>
                        <w:txbxContent>
                          <w:p w14:paraId="3A38E10C" w14:textId="785A6011" w:rsidR="008A27D8" w:rsidRPr="00771D71" w:rsidRDefault="008A27D8" w:rsidP="00977FA0">
                            <w:pPr>
                              <w:jc w:val="center"/>
                              <w:rPr>
                                <w:sz w:val="36"/>
                                <w:szCs w:val="36"/>
                              </w:rPr>
                            </w:pPr>
                            <w:r w:rsidRPr="00771D71">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 xml:space="preserve">Copy </w:t>
                            </w:r>
                            <w:r w:rsidR="004B42E9">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w:t>
                            </w:r>
                            <w:r w:rsidRPr="00771D71">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 xml:space="preserve"> </w:t>
                            </w:r>
                            <w:r w:rsidR="004B42E9">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for review</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15E29F24" id="_x0000_s1027" style="position:absolute;margin-left:325.9pt;margin-top:30pt;width:205.85pt;height:5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" filled="f" strokecolor="#b2b2b2">
                <v:stroke opacity="0"/>
                <v:textbox>
                  <w:txbxContent>
                    <w:p w14:paraId="3A38E10C" w14:textId="785A6011" w:rsidR="008A27D8" w:rsidRPr="00771D71" w:rsidRDefault="008A27D8" w:rsidP="00977FA0">
                      <w:pPr>
                        <w:jc w:val="center"/>
                        <w:rPr>
                          <w:sz w:val="36"/>
                          <w:szCs w:val="36"/>
                        </w:rPr>
                      </w:pPr>
                      <w:r w:rsidRPr="00771D71">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 xml:space="preserve">Copy </w:t>
                      </w:r>
                      <w:r w:rsidR="004B42E9">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w:t>
                      </w:r>
                      <w:r w:rsidRPr="00771D71">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 xml:space="preserve"> </w:t>
                      </w:r>
                      <w:r w:rsidR="004B42E9">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for review</w:t>
                      </w:r>
                    </w:p>
                  </w:txbxContent>
                </v:textbox>
                <w10:wrap anchorx="margin"/>
              </v:rect>
            </w:pict>
          </mc:Fallback>
        </mc:AlternateContent>
      </w:r>
      <w:r w:rsidR="005F0BF4" w:rsidRPr="005F0BF4">
        <w:rPr>
          <w:rFonts w:ascii="Calibri" w:hAnsi="Calibri" w:cs="Calibri"/>
          <w:b/>
          <w:bCs/>
          <w:noProof/>
          <w:color w:val="131413"/>
          <w:sz w:val="20"/>
          <w:szCs w:val="20"/>
          <w:lang w:eastAsia="en-GB"/>
        </w:rPr>
        <w:drawing>
          <wp:inline distT="0" distB="0" distL="0" distR="0" wp14:anchorId="0F5D215F" wp14:editId="26B1B221">
            <wp:extent cx="5730817" cy="230981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8466" b="9879"/>
                    <a:stretch/>
                  </pic:blipFill>
                  <pic:spPr bwMode="auto">
                    <a:xfrm>
                      <a:off x="0" y="0"/>
                      <a:ext cx="5731510" cy="2310091"/>
                    </a:xfrm>
                    <a:prstGeom prst="rect">
                      <a:avLst/>
                    </a:prstGeom>
                    <a:ln>
                      <a:noFill/>
                    </a:ln>
                    <a:extLst>
                      <a:ext uri="{53640926-AAD7-44D8-BBD7-CCE9431645EC}">
                        <a14:shadowObscured xmlns:a14="http://schemas.microsoft.com/office/drawing/2010/main"/>
                      </a:ext>
                    </a:extLst>
                  </pic:spPr>
                </pic:pic>
              </a:graphicData>
            </a:graphic>
          </wp:inline>
        </w:drawing>
      </w:r>
    </w:p>
    <w:p w14:paraId="5165769C" w14:textId="42756AF6" w:rsidR="007D0DCB" w:rsidRDefault="00DF291C" w:rsidP="00730503">
      <w:pPr>
        <w:autoSpaceDE w:val="0"/>
        <w:autoSpaceDN w:val="0"/>
        <w:adjustRightInd w:val="0"/>
        <w:spacing w:after="0" w:line="276" w:lineRule="auto"/>
        <w:rPr>
          <w:rFonts w:ascii="Calibri" w:hAnsi="Calibri" w:cs="Calibri"/>
          <w:b/>
          <w:bCs/>
          <w:color w:val="131413"/>
          <w:sz w:val="20"/>
          <w:szCs w:val="20"/>
        </w:rPr>
      </w:pPr>
      <w:r w:rsidRPr="00DF291C">
        <w:rPr>
          <w:rFonts w:ascii="Calibri" w:hAnsi="Calibri" w:cs="Calibri"/>
          <w:b/>
          <w:bCs/>
          <w:noProof/>
          <w:color w:val="131413"/>
          <w:sz w:val="20"/>
          <w:szCs w:val="20"/>
          <w:lang w:eastAsia="en-GB"/>
        </w:rPr>
        <w:drawing>
          <wp:inline distT="0" distB="0" distL="0" distR="0" wp14:anchorId="2D953683" wp14:editId="7A029296">
            <wp:extent cx="5731510" cy="2347912"/>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8022" b="9149"/>
                    <a:stretch/>
                  </pic:blipFill>
                  <pic:spPr bwMode="auto">
                    <a:xfrm>
                      <a:off x="0" y="0"/>
                      <a:ext cx="5731510" cy="2347912"/>
                    </a:xfrm>
                    <a:prstGeom prst="rect">
                      <a:avLst/>
                    </a:prstGeom>
                    <a:ln>
                      <a:noFill/>
                    </a:ln>
                    <a:extLst>
                      <a:ext uri="{53640926-AAD7-44D8-BBD7-CCE9431645EC}">
                        <a14:shadowObscured xmlns:a14="http://schemas.microsoft.com/office/drawing/2010/main"/>
                      </a:ext>
                    </a:extLst>
                  </pic:spPr>
                </pic:pic>
              </a:graphicData>
            </a:graphic>
          </wp:inline>
        </w:drawing>
      </w:r>
    </w:p>
    <w:p w14:paraId="6CD9DB86" w14:textId="51FD0DE9" w:rsidR="00BD5745" w:rsidRDefault="00ED692D" w:rsidP="00C46524">
      <w:pPr>
        <w:autoSpaceDE w:val="0"/>
        <w:autoSpaceDN w:val="0"/>
        <w:adjustRightInd w:val="0"/>
        <w:spacing w:after="0" w:line="276" w:lineRule="auto"/>
        <w:rPr>
          <w:rFonts w:ascii="Calibri" w:hAnsi="Calibri" w:cs="Calibri"/>
          <w:color w:val="131413"/>
          <w:sz w:val="20"/>
          <w:szCs w:val="20"/>
        </w:rPr>
      </w:pPr>
      <w:r w:rsidRPr="00ED692D">
        <w:rPr>
          <w:rFonts w:ascii="Calibri" w:hAnsi="Calibri" w:cs="Calibri"/>
          <w:noProof/>
          <w:color w:val="131413"/>
          <w:sz w:val="20"/>
          <w:szCs w:val="20"/>
          <w:lang w:eastAsia="en-GB"/>
        </w:rPr>
        <w:lastRenderedPageBreak/>
        <w:drawing>
          <wp:inline distT="0" distB="0" distL="0" distR="0" wp14:anchorId="740B96F5" wp14:editId="502613D1">
            <wp:extent cx="5731510" cy="2666683"/>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7284"/>
                    <a:stretch/>
                  </pic:blipFill>
                  <pic:spPr bwMode="auto">
                    <a:xfrm>
                      <a:off x="0" y="0"/>
                      <a:ext cx="5731510" cy="2666683"/>
                    </a:xfrm>
                    <a:prstGeom prst="rect">
                      <a:avLst/>
                    </a:prstGeom>
                    <a:ln>
                      <a:noFill/>
                    </a:ln>
                    <a:extLst>
                      <a:ext uri="{53640926-AAD7-44D8-BBD7-CCE9431645EC}">
                        <a14:shadowObscured xmlns:a14="http://schemas.microsoft.com/office/drawing/2010/main"/>
                      </a:ext>
                    </a:extLst>
                  </pic:spPr>
                </pic:pic>
              </a:graphicData>
            </a:graphic>
          </wp:inline>
        </w:drawing>
      </w:r>
    </w:p>
    <w:p w14:paraId="0CEAA046" w14:textId="14A088E1" w:rsidR="00BD5745" w:rsidRDefault="006079DE" w:rsidP="007E2445">
      <w:pPr>
        <w:autoSpaceDE w:val="0"/>
        <w:autoSpaceDN w:val="0"/>
        <w:adjustRightInd w:val="0"/>
        <w:spacing w:after="0" w:line="276" w:lineRule="auto"/>
        <w:ind w:left="1276" w:right="1513"/>
        <w:rPr>
          <w:rFonts w:ascii="Calibri" w:hAnsi="Calibri" w:cs="Calibri"/>
          <w:color w:val="131413"/>
          <w:sz w:val="20"/>
          <w:szCs w:val="20"/>
        </w:rPr>
      </w:pPr>
      <w:r w:rsidRPr="002C7420">
        <w:rPr>
          <w:rFonts w:ascii="Calibri" w:hAnsi="Calibri" w:cs="Calibri"/>
          <w:b/>
          <w:bCs/>
          <w:color w:val="131413"/>
          <w:sz w:val="20"/>
          <w:szCs w:val="20"/>
        </w:rPr>
        <w:t>Fig</w:t>
      </w:r>
      <w:r w:rsidR="002C7420" w:rsidRPr="002C7420">
        <w:rPr>
          <w:rFonts w:ascii="Calibri" w:hAnsi="Calibri" w:cs="Calibri"/>
          <w:b/>
          <w:bCs/>
          <w:color w:val="131413"/>
          <w:sz w:val="20"/>
          <w:szCs w:val="20"/>
        </w:rPr>
        <w:t>.</w:t>
      </w:r>
      <w:r w:rsidRPr="002C7420">
        <w:rPr>
          <w:rFonts w:ascii="Calibri" w:hAnsi="Calibri" w:cs="Calibri"/>
          <w:b/>
          <w:bCs/>
          <w:color w:val="131413"/>
          <w:sz w:val="20"/>
          <w:szCs w:val="20"/>
        </w:rPr>
        <w:t xml:space="preserve"> 2</w:t>
      </w:r>
      <w:r w:rsidR="002C7420">
        <w:rPr>
          <w:rFonts w:ascii="Calibri" w:hAnsi="Calibri" w:cs="Calibri"/>
          <w:color w:val="131413"/>
          <w:sz w:val="20"/>
          <w:szCs w:val="20"/>
        </w:rPr>
        <w:t xml:space="preserve"> The proportion (%) o</w:t>
      </w:r>
      <w:r w:rsidR="00C7736D">
        <w:rPr>
          <w:rFonts w:ascii="Calibri" w:hAnsi="Calibri" w:cs="Calibri"/>
          <w:color w:val="131413"/>
          <w:sz w:val="20"/>
          <w:szCs w:val="20"/>
        </w:rPr>
        <w:t>f</w:t>
      </w:r>
      <w:r w:rsidR="00241C65">
        <w:rPr>
          <w:rFonts w:ascii="Calibri" w:hAnsi="Calibri" w:cs="Calibri"/>
          <w:color w:val="131413"/>
          <w:sz w:val="20"/>
          <w:szCs w:val="20"/>
        </w:rPr>
        <w:t xml:space="preserve"> women characterised a</w:t>
      </w:r>
      <w:r w:rsidR="00257074">
        <w:rPr>
          <w:rFonts w:ascii="Calibri" w:hAnsi="Calibri" w:cs="Calibri"/>
          <w:color w:val="131413"/>
          <w:sz w:val="20"/>
          <w:szCs w:val="20"/>
        </w:rPr>
        <w:t>t</w:t>
      </w:r>
      <w:r w:rsidR="00241C65">
        <w:rPr>
          <w:rFonts w:ascii="Calibri" w:hAnsi="Calibri" w:cs="Calibri"/>
          <w:color w:val="131413"/>
          <w:sz w:val="20"/>
          <w:szCs w:val="20"/>
        </w:rPr>
        <w:t xml:space="preserve"> low, high, and ve</w:t>
      </w:r>
      <w:r w:rsidR="007E2445">
        <w:rPr>
          <w:rFonts w:ascii="Calibri" w:hAnsi="Calibri" w:cs="Calibri"/>
          <w:color w:val="131413"/>
          <w:sz w:val="20"/>
          <w:szCs w:val="20"/>
        </w:rPr>
        <w:t>r</w:t>
      </w:r>
      <w:r w:rsidR="00241C65">
        <w:rPr>
          <w:rFonts w:ascii="Calibri" w:hAnsi="Calibri" w:cs="Calibri"/>
          <w:color w:val="131413"/>
          <w:sz w:val="20"/>
          <w:szCs w:val="20"/>
        </w:rPr>
        <w:t>y high risk</w:t>
      </w:r>
      <w:r w:rsidR="003A3B1F">
        <w:rPr>
          <w:rFonts w:ascii="Calibri" w:hAnsi="Calibri" w:cs="Calibri"/>
          <w:color w:val="131413"/>
          <w:sz w:val="20"/>
          <w:szCs w:val="20"/>
        </w:rPr>
        <w:t xml:space="preserve"> by age.  </w:t>
      </w:r>
      <w:r w:rsidR="004C6AC9">
        <w:rPr>
          <w:rFonts w:ascii="Calibri" w:hAnsi="Calibri" w:cs="Calibri"/>
          <w:color w:val="131413"/>
          <w:sz w:val="20"/>
          <w:szCs w:val="20"/>
        </w:rPr>
        <w:t>The three panels</w:t>
      </w:r>
      <w:r w:rsidR="00D44198">
        <w:rPr>
          <w:rFonts w:ascii="Calibri" w:hAnsi="Calibri" w:cs="Calibri"/>
          <w:color w:val="131413"/>
          <w:sz w:val="20"/>
          <w:szCs w:val="20"/>
        </w:rPr>
        <w:t xml:space="preserve"> use an upper intervention threshold o</w:t>
      </w:r>
      <w:r w:rsidR="00BF1DEE">
        <w:rPr>
          <w:rFonts w:ascii="Calibri" w:hAnsi="Calibri" w:cs="Calibri"/>
          <w:color w:val="131413"/>
          <w:sz w:val="20"/>
          <w:szCs w:val="20"/>
        </w:rPr>
        <w:t>f 1.2</w:t>
      </w:r>
      <w:r w:rsidR="007E2445">
        <w:rPr>
          <w:rFonts w:ascii="Calibri" w:hAnsi="Calibri" w:cs="Calibri"/>
          <w:color w:val="131413"/>
          <w:sz w:val="20"/>
          <w:szCs w:val="20"/>
        </w:rPr>
        <w:t>,</w:t>
      </w:r>
      <w:r w:rsidR="00BF1DEE">
        <w:rPr>
          <w:rFonts w:ascii="Calibri" w:hAnsi="Calibri" w:cs="Calibri"/>
          <w:color w:val="131413"/>
          <w:sz w:val="20"/>
          <w:szCs w:val="20"/>
        </w:rPr>
        <w:t xml:space="preserve"> 1.6 and 2.0 times the lower intervention threshold</w:t>
      </w:r>
      <w:r w:rsidR="00C7736D">
        <w:rPr>
          <w:rFonts w:ascii="Calibri" w:hAnsi="Calibri" w:cs="Calibri"/>
          <w:color w:val="131413"/>
          <w:sz w:val="20"/>
          <w:szCs w:val="20"/>
        </w:rPr>
        <w:t xml:space="preserve">. </w:t>
      </w:r>
      <w:r w:rsidR="002B20AA">
        <w:rPr>
          <w:rFonts w:ascii="Calibri" w:hAnsi="Calibri" w:cs="Calibri"/>
          <w:color w:val="131413"/>
          <w:sz w:val="20"/>
          <w:szCs w:val="20"/>
        </w:rPr>
        <w:t xml:space="preserve">In </w:t>
      </w:r>
      <w:r w:rsidR="00BC2407">
        <w:rPr>
          <w:rFonts w:ascii="Calibri" w:hAnsi="Calibri" w:cs="Calibri"/>
          <w:color w:val="131413"/>
          <w:sz w:val="20"/>
          <w:szCs w:val="20"/>
        </w:rPr>
        <w:t xml:space="preserve">some </w:t>
      </w:r>
      <w:r w:rsidR="00BC3B83">
        <w:rPr>
          <w:rFonts w:ascii="Calibri" w:hAnsi="Calibri" w:cs="Calibri"/>
          <w:color w:val="131413"/>
          <w:sz w:val="20"/>
          <w:szCs w:val="20"/>
        </w:rPr>
        <w:t>instances,</w:t>
      </w:r>
      <w:r w:rsidR="00BC2407">
        <w:rPr>
          <w:rFonts w:ascii="Calibri" w:hAnsi="Calibri" w:cs="Calibri"/>
          <w:color w:val="131413"/>
          <w:sz w:val="20"/>
          <w:szCs w:val="20"/>
        </w:rPr>
        <w:t xml:space="preserve"> errors incurred by </w:t>
      </w:r>
      <w:r w:rsidR="00F25A37">
        <w:rPr>
          <w:rFonts w:ascii="Calibri" w:hAnsi="Calibri" w:cs="Calibri"/>
          <w:color w:val="131413"/>
          <w:sz w:val="20"/>
          <w:szCs w:val="20"/>
        </w:rPr>
        <w:t xml:space="preserve">rounding give totals that differ </w:t>
      </w:r>
      <w:r w:rsidR="00AA2495">
        <w:rPr>
          <w:rFonts w:ascii="Calibri" w:hAnsi="Calibri" w:cs="Calibri"/>
          <w:color w:val="131413"/>
          <w:sz w:val="20"/>
          <w:szCs w:val="20"/>
        </w:rPr>
        <w:t xml:space="preserve">slightly </w:t>
      </w:r>
      <w:r w:rsidR="00F25A37">
        <w:rPr>
          <w:rFonts w:ascii="Calibri" w:hAnsi="Calibri" w:cs="Calibri"/>
          <w:color w:val="131413"/>
          <w:sz w:val="20"/>
          <w:szCs w:val="20"/>
        </w:rPr>
        <w:t xml:space="preserve">from </w:t>
      </w:r>
      <w:r w:rsidR="000A42EA">
        <w:rPr>
          <w:rFonts w:ascii="Calibri" w:hAnsi="Calibri" w:cs="Calibri"/>
          <w:color w:val="131413"/>
          <w:sz w:val="20"/>
          <w:szCs w:val="20"/>
        </w:rPr>
        <w:t>100%</w:t>
      </w:r>
      <w:r w:rsidR="003A3B1F">
        <w:rPr>
          <w:rFonts w:ascii="Calibri" w:hAnsi="Calibri" w:cs="Calibri"/>
          <w:color w:val="131413"/>
          <w:sz w:val="20"/>
          <w:szCs w:val="20"/>
        </w:rPr>
        <w:t xml:space="preserve"> </w:t>
      </w:r>
    </w:p>
    <w:p w14:paraId="1F502EC0" w14:textId="77777777" w:rsidR="00BD5745" w:rsidRDefault="00BD5745" w:rsidP="00C46524">
      <w:pPr>
        <w:autoSpaceDE w:val="0"/>
        <w:autoSpaceDN w:val="0"/>
        <w:adjustRightInd w:val="0"/>
        <w:spacing w:after="0" w:line="276" w:lineRule="auto"/>
        <w:rPr>
          <w:rFonts w:ascii="Calibri" w:hAnsi="Calibri" w:cs="Calibri"/>
          <w:color w:val="131413"/>
          <w:sz w:val="20"/>
          <w:szCs w:val="20"/>
        </w:rPr>
      </w:pPr>
    </w:p>
    <w:p w14:paraId="7BB86DC7" w14:textId="77777777" w:rsidR="00F808C5" w:rsidRDefault="00F808C5" w:rsidP="00C46524">
      <w:pPr>
        <w:autoSpaceDE w:val="0"/>
        <w:autoSpaceDN w:val="0"/>
        <w:adjustRightInd w:val="0"/>
        <w:spacing w:after="0" w:line="276" w:lineRule="auto"/>
        <w:rPr>
          <w:rFonts w:ascii="Calibri" w:hAnsi="Calibri" w:cs="Calibri"/>
          <w:color w:val="131413"/>
          <w:sz w:val="20"/>
          <w:szCs w:val="20"/>
        </w:rPr>
      </w:pPr>
    </w:p>
    <w:p w14:paraId="74CBAD43" w14:textId="1C317BC3" w:rsidR="00E579F2" w:rsidRPr="00B16715" w:rsidRDefault="00632CE1" w:rsidP="00C46524">
      <w:pPr>
        <w:autoSpaceDE w:val="0"/>
        <w:autoSpaceDN w:val="0"/>
        <w:adjustRightInd w:val="0"/>
        <w:spacing w:after="0" w:line="276" w:lineRule="auto"/>
        <w:rPr>
          <w:rFonts w:ascii="Calibri" w:hAnsi="Calibri" w:cs="Calibri"/>
          <w:color w:val="131413"/>
          <w:sz w:val="24"/>
          <w:szCs w:val="24"/>
        </w:rPr>
      </w:pPr>
      <w:r w:rsidRPr="00B16715">
        <w:rPr>
          <w:rFonts w:ascii="Calibri" w:hAnsi="Calibri" w:cs="Calibri"/>
          <w:color w:val="131413"/>
          <w:sz w:val="24"/>
          <w:szCs w:val="24"/>
        </w:rPr>
        <w:t xml:space="preserve">The characteristics of women allocated to </w:t>
      </w:r>
      <w:r w:rsidR="002079FB" w:rsidRPr="00B16715">
        <w:rPr>
          <w:rFonts w:ascii="Calibri" w:hAnsi="Calibri" w:cs="Calibri"/>
          <w:color w:val="131413"/>
          <w:sz w:val="24"/>
          <w:szCs w:val="24"/>
        </w:rPr>
        <w:t>l</w:t>
      </w:r>
      <w:r w:rsidRPr="00B16715">
        <w:rPr>
          <w:rFonts w:ascii="Calibri" w:hAnsi="Calibri" w:cs="Calibri"/>
          <w:color w:val="131413"/>
          <w:sz w:val="24"/>
          <w:szCs w:val="24"/>
        </w:rPr>
        <w:t>o</w:t>
      </w:r>
      <w:r w:rsidR="00BE31DC" w:rsidRPr="00B16715">
        <w:rPr>
          <w:rFonts w:ascii="Calibri" w:hAnsi="Calibri" w:cs="Calibri"/>
          <w:color w:val="131413"/>
          <w:sz w:val="24"/>
          <w:szCs w:val="24"/>
        </w:rPr>
        <w:t>w, high and v</w:t>
      </w:r>
      <w:r w:rsidR="003A00CC" w:rsidRPr="00B16715">
        <w:rPr>
          <w:rFonts w:ascii="Calibri" w:hAnsi="Calibri" w:cs="Calibri"/>
          <w:color w:val="131413"/>
          <w:sz w:val="24"/>
          <w:szCs w:val="24"/>
        </w:rPr>
        <w:t>e</w:t>
      </w:r>
      <w:r w:rsidR="00BE31DC" w:rsidRPr="00B16715">
        <w:rPr>
          <w:rFonts w:ascii="Calibri" w:hAnsi="Calibri" w:cs="Calibri"/>
          <w:color w:val="131413"/>
          <w:sz w:val="24"/>
          <w:szCs w:val="24"/>
        </w:rPr>
        <w:t xml:space="preserve">ry high risk </w:t>
      </w:r>
      <w:r w:rsidR="00522B16">
        <w:rPr>
          <w:rFonts w:ascii="Calibri" w:hAnsi="Calibri" w:cs="Calibri"/>
          <w:color w:val="131413"/>
          <w:sz w:val="24"/>
          <w:szCs w:val="24"/>
        </w:rPr>
        <w:t>are</w:t>
      </w:r>
      <w:r w:rsidR="00BE31DC" w:rsidRPr="00B16715">
        <w:rPr>
          <w:rFonts w:ascii="Calibri" w:hAnsi="Calibri" w:cs="Calibri"/>
          <w:color w:val="131413"/>
          <w:sz w:val="24"/>
          <w:szCs w:val="24"/>
        </w:rPr>
        <w:t xml:space="preserve"> </w:t>
      </w:r>
      <w:r w:rsidR="003A00CC" w:rsidRPr="00B16715">
        <w:rPr>
          <w:rFonts w:ascii="Calibri" w:hAnsi="Calibri" w:cs="Calibri"/>
          <w:color w:val="131413"/>
          <w:sz w:val="24"/>
          <w:szCs w:val="24"/>
        </w:rPr>
        <w:t xml:space="preserve">shown in </w:t>
      </w:r>
      <w:r w:rsidR="00257074">
        <w:rPr>
          <w:rFonts w:ascii="Calibri" w:hAnsi="Calibri" w:cs="Calibri"/>
          <w:color w:val="131413"/>
          <w:sz w:val="24"/>
          <w:szCs w:val="24"/>
        </w:rPr>
        <w:t>T</w:t>
      </w:r>
      <w:r w:rsidR="003A00CC" w:rsidRPr="00B16715">
        <w:rPr>
          <w:rFonts w:ascii="Calibri" w:hAnsi="Calibri" w:cs="Calibri"/>
          <w:color w:val="131413"/>
          <w:sz w:val="24"/>
          <w:szCs w:val="24"/>
        </w:rPr>
        <w:t>able 1</w:t>
      </w:r>
      <w:r w:rsidR="00CD7D17" w:rsidRPr="00B16715">
        <w:rPr>
          <w:rFonts w:ascii="Calibri" w:hAnsi="Calibri" w:cs="Calibri"/>
          <w:color w:val="131413"/>
          <w:sz w:val="24"/>
          <w:szCs w:val="24"/>
        </w:rPr>
        <w:t xml:space="preserve"> with an UIT </w:t>
      </w:r>
      <w:r w:rsidR="00E33B81">
        <w:rPr>
          <w:rFonts w:ascii="Calibri" w:hAnsi="Calibri" w:cs="Calibri"/>
          <w:color w:val="131413"/>
          <w:sz w:val="24"/>
          <w:szCs w:val="24"/>
        </w:rPr>
        <w:t xml:space="preserve">ratio </w:t>
      </w:r>
      <w:r w:rsidR="00CD7D17" w:rsidRPr="00B16715">
        <w:rPr>
          <w:rFonts w:ascii="Calibri" w:hAnsi="Calibri" w:cs="Calibri"/>
          <w:color w:val="131413"/>
          <w:sz w:val="24"/>
          <w:szCs w:val="24"/>
        </w:rPr>
        <w:t>of 1.6</w:t>
      </w:r>
      <w:r w:rsidR="003A00CC" w:rsidRPr="00B16715">
        <w:rPr>
          <w:rFonts w:ascii="Calibri" w:hAnsi="Calibri" w:cs="Calibri"/>
          <w:color w:val="131413"/>
          <w:sz w:val="24"/>
          <w:szCs w:val="24"/>
        </w:rPr>
        <w:t>.</w:t>
      </w:r>
      <w:r w:rsidR="00544231" w:rsidRPr="00B16715">
        <w:rPr>
          <w:rFonts w:ascii="Calibri" w:hAnsi="Calibri" w:cs="Calibri"/>
          <w:color w:val="131413"/>
          <w:sz w:val="24"/>
          <w:szCs w:val="24"/>
        </w:rPr>
        <w:t xml:space="preserve"> </w:t>
      </w:r>
    </w:p>
    <w:p w14:paraId="0183B58F" w14:textId="77777777" w:rsidR="00E579F2" w:rsidRDefault="00E579F2" w:rsidP="00C46524">
      <w:pPr>
        <w:autoSpaceDE w:val="0"/>
        <w:autoSpaceDN w:val="0"/>
        <w:adjustRightInd w:val="0"/>
        <w:spacing w:after="0" w:line="276" w:lineRule="auto"/>
        <w:rPr>
          <w:rFonts w:ascii="Calibri" w:hAnsi="Calibri" w:cs="Calibri"/>
          <w:color w:val="131413"/>
          <w:sz w:val="20"/>
          <w:szCs w:val="20"/>
        </w:rPr>
      </w:pPr>
    </w:p>
    <w:p w14:paraId="06C85C0B" w14:textId="34D8F070" w:rsidR="00DD4D25" w:rsidRDefault="003A00CC" w:rsidP="00C46524">
      <w:pPr>
        <w:autoSpaceDE w:val="0"/>
        <w:autoSpaceDN w:val="0"/>
        <w:adjustRightInd w:val="0"/>
        <w:spacing w:after="0" w:line="276" w:lineRule="auto"/>
        <w:rPr>
          <w:rFonts w:ascii="Calibri" w:hAnsi="Calibri" w:cs="Calibri"/>
          <w:color w:val="131413"/>
          <w:sz w:val="20"/>
          <w:szCs w:val="20"/>
        </w:rPr>
      </w:pPr>
      <w:r>
        <w:rPr>
          <w:rFonts w:ascii="Calibri" w:hAnsi="Calibri" w:cs="Calibri"/>
          <w:color w:val="131413"/>
          <w:sz w:val="20"/>
          <w:szCs w:val="20"/>
        </w:rPr>
        <w:t xml:space="preserve">  </w:t>
      </w:r>
    </w:p>
    <w:p w14:paraId="3AB2E5D2" w14:textId="79A87CF6" w:rsidR="00DD4D25" w:rsidRDefault="00DD4D25" w:rsidP="00DD4D25">
      <w:pPr>
        <w:autoSpaceDE w:val="0"/>
        <w:autoSpaceDN w:val="0"/>
        <w:adjustRightInd w:val="0"/>
        <w:spacing w:after="0" w:line="276" w:lineRule="auto"/>
        <w:rPr>
          <w:rFonts w:ascii="Calibri" w:hAnsi="Calibri" w:cs="Calibri"/>
          <w:color w:val="131413"/>
          <w:sz w:val="20"/>
          <w:szCs w:val="20"/>
        </w:rPr>
      </w:pPr>
      <w:r w:rsidRPr="00941FF9">
        <w:rPr>
          <w:rFonts w:ascii="Calibri" w:hAnsi="Calibri" w:cs="Calibri"/>
          <w:b/>
          <w:bCs/>
          <w:color w:val="131413"/>
          <w:sz w:val="20"/>
          <w:szCs w:val="20"/>
        </w:rPr>
        <w:t xml:space="preserve">Table </w:t>
      </w:r>
      <w:r w:rsidR="00B16715" w:rsidRPr="00941FF9">
        <w:rPr>
          <w:rFonts w:ascii="Calibri" w:hAnsi="Calibri" w:cs="Calibri"/>
          <w:b/>
          <w:bCs/>
          <w:color w:val="131413"/>
          <w:sz w:val="20"/>
          <w:szCs w:val="20"/>
        </w:rPr>
        <w:t>1</w:t>
      </w:r>
      <w:r w:rsidR="00B16715">
        <w:rPr>
          <w:rFonts w:ascii="Calibri" w:hAnsi="Calibri" w:cs="Calibri"/>
          <w:b/>
          <w:bCs/>
          <w:color w:val="131413"/>
          <w:sz w:val="20"/>
          <w:szCs w:val="20"/>
        </w:rPr>
        <w:t xml:space="preserve"> </w:t>
      </w:r>
      <w:r w:rsidR="00B16715" w:rsidRPr="00B16715">
        <w:rPr>
          <w:rFonts w:ascii="Calibri" w:hAnsi="Calibri" w:cs="Calibri"/>
          <w:color w:val="131413"/>
          <w:sz w:val="20"/>
          <w:szCs w:val="20"/>
        </w:rPr>
        <w:t>The</w:t>
      </w:r>
      <w:r w:rsidRPr="00BE3348">
        <w:rPr>
          <w:rFonts w:ascii="Calibri" w:hAnsi="Calibri" w:cs="Calibri"/>
          <w:color w:val="131413"/>
          <w:sz w:val="20"/>
          <w:szCs w:val="20"/>
        </w:rPr>
        <w:t xml:space="preserve"> number of women according to risk category and qualifying characteristics by age using a</w:t>
      </w:r>
      <w:r>
        <w:rPr>
          <w:rFonts w:ascii="Calibri" w:hAnsi="Calibri" w:cs="Calibri"/>
          <w:color w:val="131413"/>
          <w:sz w:val="20"/>
          <w:szCs w:val="20"/>
        </w:rPr>
        <w:t xml:space="preserve">n </w:t>
      </w:r>
      <w:r w:rsidRPr="00BE3348">
        <w:rPr>
          <w:rFonts w:ascii="Calibri" w:hAnsi="Calibri" w:cs="Calibri"/>
          <w:color w:val="131413"/>
          <w:sz w:val="20"/>
          <w:szCs w:val="20"/>
        </w:rPr>
        <w:t>upper intervention threshold 1.6 times the lower intervention threshold</w:t>
      </w:r>
      <w:r>
        <w:rPr>
          <w:rFonts w:ascii="Calibri" w:hAnsi="Calibri" w:cs="Calibri"/>
          <w:color w:val="131413"/>
          <w:sz w:val="20"/>
          <w:szCs w:val="20"/>
        </w:rPr>
        <w:t>.</w:t>
      </w:r>
    </w:p>
    <w:tbl>
      <w:tblPr>
        <w:tblStyle w:val="TableGrid"/>
        <w:tblW w:w="0" w:type="auto"/>
        <w:tblLayout w:type="fixed"/>
        <w:tblLook w:val="04A0" w:firstRow="1" w:lastRow="0" w:firstColumn="1" w:lastColumn="0" w:noHBand="0" w:noVBand="1"/>
      </w:tblPr>
      <w:tblGrid>
        <w:gridCol w:w="1413"/>
        <w:gridCol w:w="842"/>
        <w:gridCol w:w="842"/>
        <w:gridCol w:w="843"/>
        <w:gridCol w:w="842"/>
        <w:gridCol w:w="842"/>
        <w:gridCol w:w="843"/>
        <w:gridCol w:w="842"/>
        <w:gridCol w:w="842"/>
        <w:gridCol w:w="843"/>
      </w:tblGrid>
      <w:tr w:rsidR="00283F6F" w:rsidRPr="0055030A" w14:paraId="505680EF" w14:textId="77777777" w:rsidTr="008A27D8">
        <w:trPr>
          <w:trHeight w:val="285"/>
        </w:trPr>
        <w:tc>
          <w:tcPr>
            <w:tcW w:w="1413" w:type="dxa"/>
          </w:tcPr>
          <w:p w14:paraId="31344191"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p>
        </w:tc>
        <w:tc>
          <w:tcPr>
            <w:tcW w:w="6738" w:type="dxa"/>
            <w:gridSpan w:val="8"/>
            <w:noWrap/>
          </w:tcPr>
          <w:p w14:paraId="3CC4308B"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Risk category</w:t>
            </w:r>
            <w:r>
              <w:rPr>
                <w:rFonts w:ascii="Calibri" w:hAnsi="Calibri" w:cs="Calibri"/>
                <w:color w:val="131413"/>
                <w:sz w:val="20"/>
                <w:szCs w:val="20"/>
              </w:rPr>
              <w:t>*</w:t>
            </w:r>
          </w:p>
        </w:tc>
        <w:tc>
          <w:tcPr>
            <w:tcW w:w="843" w:type="dxa"/>
            <w:noWrap/>
          </w:tcPr>
          <w:p w14:paraId="4D87084E"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p>
        </w:tc>
      </w:tr>
      <w:tr w:rsidR="00283F6F" w:rsidRPr="0055030A" w14:paraId="745C5D17" w14:textId="77777777" w:rsidTr="008A27D8">
        <w:trPr>
          <w:trHeight w:val="285"/>
        </w:trPr>
        <w:tc>
          <w:tcPr>
            <w:tcW w:w="1413" w:type="dxa"/>
          </w:tcPr>
          <w:p w14:paraId="219D408B"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Age (years)</w:t>
            </w:r>
          </w:p>
        </w:tc>
        <w:tc>
          <w:tcPr>
            <w:tcW w:w="842" w:type="dxa"/>
            <w:noWrap/>
            <w:hideMark/>
          </w:tcPr>
          <w:p w14:paraId="28C1E7AB"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A</w:t>
            </w:r>
          </w:p>
        </w:tc>
        <w:tc>
          <w:tcPr>
            <w:tcW w:w="842" w:type="dxa"/>
            <w:noWrap/>
            <w:hideMark/>
          </w:tcPr>
          <w:p w14:paraId="31E1566D"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B</w:t>
            </w:r>
          </w:p>
        </w:tc>
        <w:tc>
          <w:tcPr>
            <w:tcW w:w="843" w:type="dxa"/>
            <w:noWrap/>
            <w:hideMark/>
          </w:tcPr>
          <w:p w14:paraId="2CBD5C21"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C</w:t>
            </w:r>
          </w:p>
        </w:tc>
        <w:tc>
          <w:tcPr>
            <w:tcW w:w="842" w:type="dxa"/>
            <w:noWrap/>
            <w:hideMark/>
          </w:tcPr>
          <w:p w14:paraId="7784313B"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D</w:t>
            </w:r>
          </w:p>
        </w:tc>
        <w:tc>
          <w:tcPr>
            <w:tcW w:w="842" w:type="dxa"/>
            <w:noWrap/>
            <w:hideMark/>
          </w:tcPr>
          <w:p w14:paraId="25619D12"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E</w:t>
            </w:r>
          </w:p>
        </w:tc>
        <w:tc>
          <w:tcPr>
            <w:tcW w:w="843" w:type="dxa"/>
            <w:noWrap/>
            <w:hideMark/>
          </w:tcPr>
          <w:p w14:paraId="2CD3801A"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F</w:t>
            </w:r>
          </w:p>
        </w:tc>
        <w:tc>
          <w:tcPr>
            <w:tcW w:w="842" w:type="dxa"/>
            <w:noWrap/>
            <w:hideMark/>
          </w:tcPr>
          <w:p w14:paraId="48E620A3"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G</w:t>
            </w:r>
          </w:p>
        </w:tc>
        <w:tc>
          <w:tcPr>
            <w:tcW w:w="842" w:type="dxa"/>
            <w:noWrap/>
            <w:hideMark/>
          </w:tcPr>
          <w:p w14:paraId="3F7EFA16"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H</w:t>
            </w:r>
          </w:p>
        </w:tc>
        <w:tc>
          <w:tcPr>
            <w:tcW w:w="843" w:type="dxa"/>
            <w:noWrap/>
            <w:hideMark/>
          </w:tcPr>
          <w:p w14:paraId="054CF4EA"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Total</w:t>
            </w:r>
          </w:p>
        </w:tc>
      </w:tr>
      <w:tr w:rsidR="00283F6F" w:rsidRPr="0055030A" w14:paraId="228401AB" w14:textId="77777777" w:rsidTr="008A27D8">
        <w:trPr>
          <w:trHeight w:val="285"/>
        </w:trPr>
        <w:tc>
          <w:tcPr>
            <w:tcW w:w="1413" w:type="dxa"/>
            <w:tcBorders>
              <w:top w:val="single" w:sz="4" w:space="0" w:color="auto"/>
              <w:left w:val="single" w:sz="4" w:space="0" w:color="auto"/>
              <w:bottom w:val="single" w:sz="4" w:space="0" w:color="auto"/>
              <w:right w:val="nil"/>
            </w:tcBorders>
            <w:shd w:val="clear" w:color="auto" w:fill="auto"/>
            <w:vAlign w:val="bottom"/>
          </w:tcPr>
          <w:p w14:paraId="166C4261"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000000"/>
              </w:rPr>
              <w:t>50-54</w:t>
            </w:r>
          </w:p>
        </w:tc>
        <w:tc>
          <w:tcPr>
            <w:tcW w:w="842" w:type="dxa"/>
            <w:tcBorders>
              <w:top w:val="single" w:sz="4" w:space="0" w:color="auto"/>
              <w:bottom w:val="single" w:sz="4" w:space="0" w:color="auto"/>
            </w:tcBorders>
            <w:noWrap/>
            <w:hideMark/>
          </w:tcPr>
          <w:p w14:paraId="523B4300"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3</w:t>
            </w:r>
            <w:r>
              <w:rPr>
                <w:rFonts w:ascii="Calibri" w:hAnsi="Calibri" w:cs="Calibri"/>
                <w:color w:val="131413"/>
                <w:sz w:val="20"/>
                <w:szCs w:val="20"/>
              </w:rPr>
              <w:t>847</w:t>
            </w:r>
          </w:p>
        </w:tc>
        <w:tc>
          <w:tcPr>
            <w:tcW w:w="842" w:type="dxa"/>
            <w:tcBorders>
              <w:top w:val="single" w:sz="4" w:space="0" w:color="auto"/>
              <w:bottom w:val="single" w:sz="4" w:space="0" w:color="auto"/>
            </w:tcBorders>
            <w:noWrap/>
            <w:hideMark/>
          </w:tcPr>
          <w:p w14:paraId="468646F1"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2</w:t>
            </w:r>
            <w:r>
              <w:rPr>
                <w:rFonts w:ascii="Calibri" w:hAnsi="Calibri" w:cs="Calibri"/>
                <w:color w:val="131413"/>
                <w:sz w:val="20"/>
                <w:szCs w:val="20"/>
              </w:rPr>
              <w:t>299</w:t>
            </w:r>
          </w:p>
        </w:tc>
        <w:tc>
          <w:tcPr>
            <w:tcW w:w="843" w:type="dxa"/>
            <w:tcBorders>
              <w:top w:val="single" w:sz="4" w:space="0" w:color="auto"/>
              <w:bottom w:val="single" w:sz="4" w:space="0" w:color="auto"/>
            </w:tcBorders>
            <w:noWrap/>
            <w:hideMark/>
          </w:tcPr>
          <w:p w14:paraId="285C73A1"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3</w:t>
            </w:r>
            <w:r>
              <w:rPr>
                <w:rFonts w:ascii="Calibri" w:hAnsi="Calibri" w:cs="Calibri"/>
                <w:color w:val="131413"/>
                <w:sz w:val="20"/>
                <w:szCs w:val="20"/>
              </w:rPr>
              <w:t>14</w:t>
            </w:r>
          </w:p>
        </w:tc>
        <w:tc>
          <w:tcPr>
            <w:tcW w:w="842" w:type="dxa"/>
            <w:tcBorders>
              <w:top w:val="single" w:sz="4" w:space="0" w:color="auto"/>
              <w:bottom w:val="single" w:sz="4" w:space="0" w:color="auto"/>
            </w:tcBorders>
            <w:noWrap/>
            <w:hideMark/>
          </w:tcPr>
          <w:p w14:paraId="7DCCA66D"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296</w:t>
            </w:r>
          </w:p>
        </w:tc>
        <w:tc>
          <w:tcPr>
            <w:tcW w:w="842" w:type="dxa"/>
            <w:tcBorders>
              <w:top w:val="single" w:sz="4" w:space="0" w:color="auto"/>
              <w:bottom w:val="single" w:sz="4" w:space="0" w:color="auto"/>
            </w:tcBorders>
            <w:noWrap/>
            <w:hideMark/>
          </w:tcPr>
          <w:p w14:paraId="2F19939E"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68</w:t>
            </w:r>
          </w:p>
        </w:tc>
        <w:tc>
          <w:tcPr>
            <w:tcW w:w="843" w:type="dxa"/>
            <w:tcBorders>
              <w:top w:val="single" w:sz="4" w:space="0" w:color="auto"/>
              <w:bottom w:val="single" w:sz="4" w:space="0" w:color="auto"/>
            </w:tcBorders>
            <w:noWrap/>
            <w:hideMark/>
          </w:tcPr>
          <w:p w14:paraId="0340DD28"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1</w:t>
            </w:r>
            <w:r>
              <w:rPr>
                <w:rFonts w:ascii="Calibri" w:hAnsi="Calibri" w:cs="Calibri"/>
                <w:color w:val="131413"/>
                <w:sz w:val="20"/>
                <w:szCs w:val="20"/>
              </w:rPr>
              <w:t>0</w:t>
            </w:r>
          </w:p>
        </w:tc>
        <w:tc>
          <w:tcPr>
            <w:tcW w:w="842" w:type="dxa"/>
            <w:tcBorders>
              <w:top w:val="single" w:sz="4" w:space="0" w:color="auto"/>
              <w:bottom w:val="single" w:sz="4" w:space="0" w:color="auto"/>
            </w:tcBorders>
            <w:noWrap/>
            <w:hideMark/>
          </w:tcPr>
          <w:p w14:paraId="6A710951"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17</w:t>
            </w:r>
            <w:r>
              <w:rPr>
                <w:rFonts w:ascii="Calibri" w:hAnsi="Calibri" w:cs="Calibri"/>
                <w:color w:val="131413"/>
                <w:sz w:val="20"/>
                <w:szCs w:val="20"/>
              </w:rPr>
              <w:t>46</w:t>
            </w:r>
          </w:p>
        </w:tc>
        <w:tc>
          <w:tcPr>
            <w:tcW w:w="842" w:type="dxa"/>
            <w:tcBorders>
              <w:top w:val="single" w:sz="4" w:space="0" w:color="auto"/>
              <w:bottom w:val="single" w:sz="4" w:space="0" w:color="auto"/>
            </w:tcBorders>
            <w:noWrap/>
            <w:hideMark/>
          </w:tcPr>
          <w:p w14:paraId="0D7F54B4"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2</w:t>
            </w:r>
            <w:r>
              <w:rPr>
                <w:rFonts w:ascii="Calibri" w:hAnsi="Calibri" w:cs="Calibri"/>
                <w:color w:val="131413"/>
                <w:sz w:val="20"/>
                <w:szCs w:val="20"/>
              </w:rPr>
              <w:t>19</w:t>
            </w:r>
          </w:p>
        </w:tc>
        <w:tc>
          <w:tcPr>
            <w:tcW w:w="843" w:type="dxa"/>
            <w:tcBorders>
              <w:top w:val="single" w:sz="4" w:space="0" w:color="auto"/>
              <w:bottom w:val="single" w:sz="4" w:space="0" w:color="auto"/>
            </w:tcBorders>
            <w:noWrap/>
            <w:hideMark/>
          </w:tcPr>
          <w:p w14:paraId="68E13390"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8799</w:t>
            </w:r>
          </w:p>
        </w:tc>
      </w:tr>
      <w:tr w:rsidR="00283F6F" w:rsidRPr="0055030A" w14:paraId="71115777" w14:textId="77777777" w:rsidTr="008A27D8">
        <w:trPr>
          <w:trHeight w:val="285"/>
        </w:trPr>
        <w:tc>
          <w:tcPr>
            <w:tcW w:w="1413" w:type="dxa"/>
            <w:tcBorders>
              <w:top w:val="single" w:sz="4" w:space="0" w:color="auto"/>
              <w:left w:val="single" w:sz="4" w:space="0" w:color="auto"/>
              <w:bottom w:val="single" w:sz="4" w:space="0" w:color="auto"/>
              <w:right w:val="nil"/>
            </w:tcBorders>
            <w:shd w:val="clear" w:color="auto" w:fill="auto"/>
            <w:vAlign w:val="bottom"/>
          </w:tcPr>
          <w:p w14:paraId="3D40B53E"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000000"/>
              </w:rPr>
              <w:t>55-59</w:t>
            </w:r>
          </w:p>
        </w:tc>
        <w:tc>
          <w:tcPr>
            <w:tcW w:w="842" w:type="dxa"/>
            <w:tcBorders>
              <w:top w:val="single" w:sz="4" w:space="0" w:color="auto"/>
              <w:bottom w:val="single" w:sz="4" w:space="0" w:color="auto"/>
            </w:tcBorders>
            <w:noWrap/>
            <w:hideMark/>
          </w:tcPr>
          <w:p w14:paraId="7675E73C"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37</w:t>
            </w:r>
            <w:r>
              <w:rPr>
                <w:rFonts w:ascii="Calibri" w:hAnsi="Calibri" w:cs="Calibri"/>
                <w:color w:val="131413"/>
                <w:sz w:val="20"/>
                <w:szCs w:val="20"/>
              </w:rPr>
              <w:t>87</w:t>
            </w:r>
          </w:p>
        </w:tc>
        <w:tc>
          <w:tcPr>
            <w:tcW w:w="842" w:type="dxa"/>
            <w:tcBorders>
              <w:top w:val="single" w:sz="4" w:space="0" w:color="auto"/>
              <w:bottom w:val="single" w:sz="4" w:space="0" w:color="auto"/>
            </w:tcBorders>
            <w:noWrap/>
            <w:hideMark/>
          </w:tcPr>
          <w:p w14:paraId="2434CF3A"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1</w:t>
            </w:r>
            <w:r>
              <w:rPr>
                <w:rFonts w:ascii="Calibri" w:hAnsi="Calibri" w:cs="Calibri"/>
                <w:color w:val="131413"/>
                <w:sz w:val="20"/>
                <w:szCs w:val="20"/>
              </w:rPr>
              <w:t>861</w:t>
            </w:r>
          </w:p>
        </w:tc>
        <w:tc>
          <w:tcPr>
            <w:tcW w:w="843" w:type="dxa"/>
            <w:tcBorders>
              <w:top w:val="single" w:sz="4" w:space="0" w:color="auto"/>
              <w:bottom w:val="single" w:sz="4" w:space="0" w:color="auto"/>
            </w:tcBorders>
            <w:noWrap/>
            <w:hideMark/>
          </w:tcPr>
          <w:p w14:paraId="18FEA33D"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3</w:t>
            </w:r>
            <w:r>
              <w:rPr>
                <w:rFonts w:ascii="Calibri" w:hAnsi="Calibri" w:cs="Calibri"/>
                <w:color w:val="131413"/>
                <w:sz w:val="20"/>
                <w:szCs w:val="20"/>
              </w:rPr>
              <w:t>07</w:t>
            </w:r>
          </w:p>
        </w:tc>
        <w:tc>
          <w:tcPr>
            <w:tcW w:w="842" w:type="dxa"/>
            <w:tcBorders>
              <w:top w:val="single" w:sz="4" w:space="0" w:color="auto"/>
              <w:bottom w:val="single" w:sz="4" w:space="0" w:color="auto"/>
            </w:tcBorders>
            <w:noWrap/>
            <w:hideMark/>
          </w:tcPr>
          <w:p w14:paraId="7BC9135A"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2</w:t>
            </w:r>
            <w:r>
              <w:rPr>
                <w:rFonts w:ascii="Calibri" w:hAnsi="Calibri" w:cs="Calibri"/>
                <w:color w:val="131413"/>
                <w:sz w:val="20"/>
                <w:szCs w:val="20"/>
              </w:rPr>
              <w:t>73</w:t>
            </w:r>
          </w:p>
        </w:tc>
        <w:tc>
          <w:tcPr>
            <w:tcW w:w="842" w:type="dxa"/>
            <w:tcBorders>
              <w:top w:val="single" w:sz="4" w:space="0" w:color="auto"/>
              <w:bottom w:val="single" w:sz="4" w:space="0" w:color="auto"/>
            </w:tcBorders>
            <w:noWrap/>
            <w:hideMark/>
          </w:tcPr>
          <w:p w14:paraId="6BF86CBD"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68</w:t>
            </w:r>
          </w:p>
        </w:tc>
        <w:tc>
          <w:tcPr>
            <w:tcW w:w="843" w:type="dxa"/>
            <w:tcBorders>
              <w:top w:val="single" w:sz="4" w:space="0" w:color="auto"/>
              <w:bottom w:val="single" w:sz="4" w:space="0" w:color="auto"/>
            </w:tcBorders>
            <w:noWrap/>
            <w:hideMark/>
          </w:tcPr>
          <w:p w14:paraId="3470710B"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4</w:t>
            </w:r>
          </w:p>
        </w:tc>
        <w:tc>
          <w:tcPr>
            <w:tcW w:w="842" w:type="dxa"/>
            <w:tcBorders>
              <w:top w:val="single" w:sz="4" w:space="0" w:color="auto"/>
              <w:bottom w:val="single" w:sz="4" w:space="0" w:color="auto"/>
            </w:tcBorders>
            <w:noWrap/>
            <w:hideMark/>
          </w:tcPr>
          <w:p w14:paraId="58AD7981"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18</w:t>
            </w:r>
            <w:r>
              <w:rPr>
                <w:rFonts w:ascii="Calibri" w:hAnsi="Calibri" w:cs="Calibri"/>
                <w:color w:val="131413"/>
                <w:sz w:val="20"/>
                <w:szCs w:val="20"/>
              </w:rPr>
              <w:t>95</w:t>
            </w:r>
          </w:p>
        </w:tc>
        <w:tc>
          <w:tcPr>
            <w:tcW w:w="842" w:type="dxa"/>
            <w:tcBorders>
              <w:top w:val="single" w:sz="4" w:space="0" w:color="auto"/>
              <w:bottom w:val="single" w:sz="4" w:space="0" w:color="auto"/>
            </w:tcBorders>
            <w:noWrap/>
            <w:hideMark/>
          </w:tcPr>
          <w:p w14:paraId="121B20C9"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189</w:t>
            </w:r>
          </w:p>
        </w:tc>
        <w:tc>
          <w:tcPr>
            <w:tcW w:w="843" w:type="dxa"/>
            <w:tcBorders>
              <w:top w:val="single" w:sz="4" w:space="0" w:color="auto"/>
              <w:bottom w:val="single" w:sz="4" w:space="0" w:color="auto"/>
            </w:tcBorders>
            <w:noWrap/>
            <w:hideMark/>
          </w:tcPr>
          <w:p w14:paraId="35C5671B"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8384</w:t>
            </w:r>
          </w:p>
        </w:tc>
      </w:tr>
      <w:tr w:rsidR="00283F6F" w:rsidRPr="0055030A" w14:paraId="02DA511D" w14:textId="77777777" w:rsidTr="008A27D8">
        <w:trPr>
          <w:trHeight w:val="285"/>
        </w:trPr>
        <w:tc>
          <w:tcPr>
            <w:tcW w:w="1413" w:type="dxa"/>
            <w:tcBorders>
              <w:top w:val="single" w:sz="4" w:space="0" w:color="auto"/>
              <w:left w:val="single" w:sz="4" w:space="0" w:color="auto"/>
              <w:bottom w:val="single" w:sz="4" w:space="0" w:color="auto"/>
              <w:right w:val="nil"/>
            </w:tcBorders>
            <w:shd w:val="clear" w:color="auto" w:fill="auto"/>
            <w:vAlign w:val="bottom"/>
          </w:tcPr>
          <w:p w14:paraId="41555635"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000000"/>
              </w:rPr>
              <w:t>60-64</w:t>
            </w:r>
          </w:p>
        </w:tc>
        <w:tc>
          <w:tcPr>
            <w:tcW w:w="842" w:type="dxa"/>
            <w:tcBorders>
              <w:top w:val="single" w:sz="4" w:space="0" w:color="auto"/>
              <w:bottom w:val="single" w:sz="4" w:space="0" w:color="auto"/>
            </w:tcBorders>
            <w:noWrap/>
            <w:hideMark/>
          </w:tcPr>
          <w:p w14:paraId="01D91157"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361</w:t>
            </w:r>
            <w:r>
              <w:rPr>
                <w:rFonts w:ascii="Calibri" w:hAnsi="Calibri" w:cs="Calibri"/>
                <w:color w:val="131413"/>
                <w:sz w:val="20"/>
                <w:szCs w:val="20"/>
              </w:rPr>
              <w:t>2</w:t>
            </w:r>
          </w:p>
        </w:tc>
        <w:tc>
          <w:tcPr>
            <w:tcW w:w="842" w:type="dxa"/>
            <w:tcBorders>
              <w:top w:val="single" w:sz="4" w:space="0" w:color="auto"/>
              <w:bottom w:val="single" w:sz="4" w:space="0" w:color="auto"/>
            </w:tcBorders>
            <w:noWrap/>
            <w:hideMark/>
          </w:tcPr>
          <w:p w14:paraId="7F7AE129"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18</w:t>
            </w:r>
            <w:r>
              <w:rPr>
                <w:rFonts w:ascii="Calibri" w:hAnsi="Calibri" w:cs="Calibri"/>
                <w:color w:val="131413"/>
                <w:sz w:val="20"/>
                <w:szCs w:val="20"/>
              </w:rPr>
              <w:t>68</w:t>
            </w:r>
          </w:p>
        </w:tc>
        <w:tc>
          <w:tcPr>
            <w:tcW w:w="843" w:type="dxa"/>
            <w:tcBorders>
              <w:top w:val="single" w:sz="4" w:space="0" w:color="auto"/>
              <w:bottom w:val="single" w:sz="4" w:space="0" w:color="auto"/>
            </w:tcBorders>
            <w:noWrap/>
            <w:hideMark/>
          </w:tcPr>
          <w:p w14:paraId="281CE8B2"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283</w:t>
            </w:r>
          </w:p>
        </w:tc>
        <w:tc>
          <w:tcPr>
            <w:tcW w:w="842" w:type="dxa"/>
            <w:tcBorders>
              <w:top w:val="single" w:sz="4" w:space="0" w:color="auto"/>
              <w:bottom w:val="single" w:sz="4" w:space="0" w:color="auto"/>
            </w:tcBorders>
            <w:noWrap/>
            <w:hideMark/>
          </w:tcPr>
          <w:p w14:paraId="7817B660"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2</w:t>
            </w:r>
            <w:r>
              <w:rPr>
                <w:rFonts w:ascii="Calibri" w:hAnsi="Calibri" w:cs="Calibri"/>
                <w:color w:val="131413"/>
                <w:sz w:val="20"/>
                <w:szCs w:val="20"/>
              </w:rPr>
              <w:t>46</w:t>
            </w:r>
          </w:p>
        </w:tc>
        <w:tc>
          <w:tcPr>
            <w:tcW w:w="842" w:type="dxa"/>
            <w:tcBorders>
              <w:top w:val="single" w:sz="4" w:space="0" w:color="auto"/>
              <w:bottom w:val="single" w:sz="4" w:space="0" w:color="auto"/>
            </w:tcBorders>
            <w:noWrap/>
            <w:hideMark/>
          </w:tcPr>
          <w:p w14:paraId="40BC662E"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62</w:t>
            </w:r>
          </w:p>
        </w:tc>
        <w:tc>
          <w:tcPr>
            <w:tcW w:w="843" w:type="dxa"/>
            <w:tcBorders>
              <w:top w:val="single" w:sz="4" w:space="0" w:color="auto"/>
              <w:bottom w:val="single" w:sz="4" w:space="0" w:color="auto"/>
            </w:tcBorders>
            <w:noWrap/>
            <w:hideMark/>
          </w:tcPr>
          <w:p w14:paraId="16A8BC5E"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4</w:t>
            </w:r>
          </w:p>
        </w:tc>
        <w:tc>
          <w:tcPr>
            <w:tcW w:w="842" w:type="dxa"/>
            <w:tcBorders>
              <w:top w:val="single" w:sz="4" w:space="0" w:color="auto"/>
              <w:bottom w:val="single" w:sz="4" w:space="0" w:color="auto"/>
            </w:tcBorders>
            <w:noWrap/>
            <w:hideMark/>
          </w:tcPr>
          <w:p w14:paraId="624F2AD4"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21</w:t>
            </w:r>
            <w:r>
              <w:rPr>
                <w:rFonts w:ascii="Calibri" w:hAnsi="Calibri" w:cs="Calibri"/>
                <w:color w:val="131413"/>
                <w:sz w:val="20"/>
                <w:szCs w:val="20"/>
              </w:rPr>
              <w:t>36</w:t>
            </w:r>
          </w:p>
        </w:tc>
        <w:tc>
          <w:tcPr>
            <w:tcW w:w="842" w:type="dxa"/>
            <w:tcBorders>
              <w:top w:val="single" w:sz="4" w:space="0" w:color="auto"/>
              <w:bottom w:val="single" w:sz="4" w:space="0" w:color="auto"/>
            </w:tcBorders>
            <w:noWrap/>
            <w:hideMark/>
          </w:tcPr>
          <w:p w14:paraId="122AE833"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2</w:t>
            </w:r>
            <w:r>
              <w:rPr>
                <w:rFonts w:ascii="Calibri" w:hAnsi="Calibri" w:cs="Calibri"/>
                <w:color w:val="131413"/>
                <w:sz w:val="20"/>
                <w:szCs w:val="20"/>
              </w:rPr>
              <w:t>41</w:t>
            </w:r>
          </w:p>
        </w:tc>
        <w:tc>
          <w:tcPr>
            <w:tcW w:w="843" w:type="dxa"/>
            <w:tcBorders>
              <w:top w:val="single" w:sz="4" w:space="0" w:color="auto"/>
              <w:bottom w:val="single" w:sz="4" w:space="0" w:color="auto"/>
            </w:tcBorders>
            <w:noWrap/>
            <w:hideMark/>
          </w:tcPr>
          <w:p w14:paraId="131AB68F"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8552</w:t>
            </w:r>
          </w:p>
        </w:tc>
      </w:tr>
      <w:tr w:rsidR="00283F6F" w:rsidRPr="0055030A" w14:paraId="20932620" w14:textId="77777777" w:rsidTr="008A27D8">
        <w:trPr>
          <w:trHeight w:val="285"/>
        </w:trPr>
        <w:tc>
          <w:tcPr>
            <w:tcW w:w="1413" w:type="dxa"/>
            <w:tcBorders>
              <w:top w:val="single" w:sz="4" w:space="0" w:color="auto"/>
              <w:left w:val="single" w:sz="4" w:space="0" w:color="auto"/>
              <w:bottom w:val="single" w:sz="4" w:space="0" w:color="auto"/>
              <w:right w:val="nil"/>
            </w:tcBorders>
            <w:shd w:val="clear" w:color="auto" w:fill="auto"/>
            <w:vAlign w:val="bottom"/>
          </w:tcPr>
          <w:p w14:paraId="0C666BC1"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000000"/>
              </w:rPr>
              <w:t>65-69</w:t>
            </w:r>
          </w:p>
        </w:tc>
        <w:tc>
          <w:tcPr>
            <w:tcW w:w="842" w:type="dxa"/>
            <w:tcBorders>
              <w:top w:val="single" w:sz="4" w:space="0" w:color="auto"/>
              <w:bottom w:val="single" w:sz="4" w:space="0" w:color="auto"/>
            </w:tcBorders>
            <w:noWrap/>
            <w:hideMark/>
          </w:tcPr>
          <w:p w14:paraId="504070A7"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2</w:t>
            </w:r>
            <w:r>
              <w:rPr>
                <w:rFonts w:ascii="Calibri" w:hAnsi="Calibri" w:cs="Calibri"/>
                <w:color w:val="131413"/>
                <w:sz w:val="20"/>
                <w:szCs w:val="20"/>
              </w:rPr>
              <w:t>910</w:t>
            </w:r>
          </w:p>
        </w:tc>
        <w:tc>
          <w:tcPr>
            <w:tcW w:w="842" w:type="dxa"/>
            <w:tcBorders>
              <w:top w:val="single" w:sz="4" w:space="0" w:color="auto"/>
              <w:bottom w:val="single" w:sz="4" w:space="0" w:color="auto"/>
            </w:tcBorders>
            <w:noWrap/>
            <w:hideMark/>
          </w:tcPr>
          <w:p w14:paraId="532EA793"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13</w:t>
            </w:r>
            <w:r>
              <w:rPr>
                <w:rFonts w:ascii="Calibri" w:hAnsi="Calibri" w:cs="Calibri"/>
                <w:color w:val="131413"/>
                <w:sz w:val="20"/>
                <w:szCs w:val="20"/>
              </w:rPr>
              <w:t>08</w:t>
            </w:r>
          </w:p>
        </w:tc>
        <w:tc>
          <w:tcPr>
            <w:tcW w:w="843" w:type="dxa"/>
            <w:tcBorders>
              <w:top w:val="single" w:sz="4" w:space="0" w:color="auto"/>
              <w:bottom w:val="single" w:sz="4" w:space="0" w:color="auto"/>
            </w:tcBorders>
            <w:noWrap/>
            <w:hideMark/>
          </w:tcPr>
          <w:p w14:paraId="3FDF990E"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2</w:t>
            </w:r>
            <w:r>
              <w:rPr>
                <w:rFonts w:ascii="Calibri" w:hAnsi="Calibri" w:cs="Calibri"/>
                <w:color w:val="131413"/>
                <w:sz w:val="20"/>
                <w:szCs w:val="20"/>
              </w:rPr>
              <w:t>05</w:t>
            </w:r>
          </w:p>
        </w:tc>
        <w:tc>
          <w:tcPr>
            <w:tcW w:w="842" w:type="dxa"/>
            <w:tcBorders>
              <w:top w:val="single" w:sz="4" w:space="0" w:color="auto"/>
              <w:bottom w:val="single" w:sz="4" w:space="0" w:color="auto"/>
            </w:tcBorders>
            <w:noWrap/>
            <w:hideMark/>
          </w:tcPr>
          <w:p w14:paraId="7FFF8214"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199</w:t>
            </w:r>
          </w:p>
        </w:tc>
        <w:tc>
          <w:tcPr>
            <w:tcW w:w="842" w:type="dxa"/>
            <w:tcBorders>
              <w:top w:val="single" w:sz="4" w:space="0" w:color="auto"/>
              <w:bottom w:val="single" w:sz="4" w:space="0" w:color="auto"/>
            </w:tcBorders>
            <w:noWrap/>
            <w:hideMark/>
          </w:tcPr>
          <w:p w14:paraId="082E2ADC"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52</w:t>
            </w:r>
          </w:p>
        </w:tc>
        <w:tc>
          <w:tcPr>
            <w:tcW w:w="843" w:type="dxa"/>
            <w:tcBorders>
              <w:top w:val="single" w:sz="4" w:space="0" w:color="auto"/>
              <w:bottom w:val="single" w:sz="4" w:space="0" w:color="auto"/>
            </w:tcBorders>
            <w:noWrap/>
            <w:hideMark/>
          </w:tcPr>
          <w:p w14:paraId="6E2EFB7B"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9</w:t>
            </w:r>
          </w:p>
        </w:tc>
        <w:tc>
          <w:tcPr>
            <w:tcW w:w="842" w:type="dxa"/>
            <w:tcBorders>
              <w:top w:val="single" w:sz="4" w:space="0" w:color="auto"/>
              <w:bottom w:val="single" w:sz="4" w:space="0" w:color="auto"/>
            </w:tcBorders>
            <w:noWrap/>
            <w:hideMark/>
          </w:tcPr>
          <w:p w14:paraId="1B729B6A"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18</w:t>
            </w:r>
            <w:r>
              <w:rPr>
                <w:rFonts w:ascii="Calibri" w:hAnsi="Calibri" w:cs="Calibri"/>
                <w:color w:val="131413"/>
                <w:sz w:val="20"/>
                <w:szCs w:val="20"/>
              </w:rPr>
              <w:t>36</w:t>
            </w:r>
          </w:p>
        </w:tc>
        <w:tc>
          <w:tcPr>
            <w:tcW w:w="842" w:type="dxa"/>
            <w:tcBorders>
              <w:top w:val="single" w:sz="4" w:space="0" w:color="auto"/>
              <w:bottom w:val="single" w:sz="4" w:space="0" w:color="auto"/>
            </w:tcBorders>
            <w:noWrap/>
            <w:hideMark/>
          </w:tcPr>
          <w:p w14:paraId="16C1038F"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1</w:t>
            </w:r>
            <w:r>
              <w:rPr>
                <w:rFonts w:ascii="Calibri" w:hAnsi="Calibri" w:cs="Calibri"/>
                <w:color w:val="131413"/>
                <w:sz w:val="20"/>
                <w:szCs w:val="20"/>
              </w:rPr>
              <w:t>52</w:t>
            </w:r>
          </w:p>
        </w:tc>
        <w:tc>
          <w:tcPr>
            <w:tcW w:w="843" w:type="dxa"/>
            <w:tcBorders>
              <w:top w:val="single" w:sz="4" w:space="0" w:color="auto"/>
              <w:bottom w:val="single" w:sz="4" w:space="0" w:color="auto"/>
            </w:tcBorders>
            <w:noWrap/>
            <w:hideMark/>
          </w:tcPr>
          <w:p w14:paraId="05B23475"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6671</w:t>
            </w:r>
          </w:p>
        </w:tc>
      </w:tr>
      <w:tr w:rsidR="00283F6F" w:rsidRPr="0055030A" w14:paraId="7235900C" w14:textId="77777777" w:rsidTr="008A27D8">
        <w:trPr>
          <w:trHeight w:val="285"/>
        </w:trPr>
        <w:tc>
          <w:tcPr>
            <w:tcW w:w="1413" w:type="dxa"/>
            <w:tcBorders>
              <w:top w:val="single" w:sz="4" w:space="0" w:color="auto"/>
              <w:left w:val="single" w:sz="4" w:space="0" w:color="auto"/>
              <w:bottom w:val="single" w:sz="4" w:space="0" w:color="auto"/>
              <w:right w:val="nil"/>
            </w:tcBorders>
            <w:shd w:val="clear" w:color="auto" w:fill="auto"/>
            <w:vAlign w:val="bottom"/>
          </w:tcPr>
          <w:p w14:paraId="482A6740"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000000"/>
              </w:rPr>
              <w:t>70-74</w:t>
            </w:r>
          </w:p>
        </w:tc>
        <w:tc>
          <w:tcPr>
            <w:tcW w:w="842" w:type="dxa"/>
            <w:tcBorders>
              <w:top w:val="single" w:sz="4" w:space="0" w:color="auto"/>
              <w:bottom w:val="single" w:sz="4" w:space="0" w:color="auto"/>
            </w:tcBorders>
            <w:noWrap/>
            <w:hideMark/>
          </w:tcPr>
          <w:p w14:paraId="1DC7E2FC"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2404</w:t>
            </w:r>
          </w:p>
        </w:tc>
        <w:tc>
          <w:tcPr>
            <w:tcW w:w="842" w:type="dxa"/>
            <w:tcBorders>
              <w:top w:val="single" w:sz="4" w:space="0" w:color="auto"/>
              <w:bottom w:val="single" w:sz="4" w:space="0" w:color="auto"/>
            </w:tcBorders>
            <w:noWrap/>
            <w:hideMark/>
          </w:tcPr>
          <w:p w14:paraId="185BA422"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921</w:t>
            </w:r>
          </w:p>
        </w:tc>
        <w:tc>
          <w:tcPr>
            <w:tcW w:w="843" w:type="dxa"/>
            <w:tcBorders>
              <w:top w:val="single" w:sz="4" w:space="0" w:color="auto"/>
              <w:bottom w:val="single" w:sz="4" w:space="0" w:color="auto"/>
            </w:tcBorders>
            <w:noWrap/>
            <w:hideMark/>
          </w:tcPr>
          <w:p w14:paraId="0EB463E0"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176</w:t>
            </w:r>
          </w:p>
        </w:tc>
        <w:tc>
          <w:tcPr>
            <w:tcW w:w="842" w:type="dxa"/>
            <w:tcBorders>
              <w:top w:val="single" w:sz="4" w:space="0" w:color="auto"/>
              <w:bottom w:val="single" w:sz="4" w:space="0" w:color="auto"/>
            </w:tcBorders>
            <w:noWrap/>
            <w:hideMark/>
          </w:tcPr>
          <w:p w14:paraId="396852B4"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214</w:t>
            </w:r>
          </w:p>
        </w:tc>
        <w:tc>
          <w:tcPr>
            <w:tcW w:w="842" w:type="dxa"/>
            <w:tcBorders>
              <w:top w:val="single" w:sz="4" w:space="0" w:color="auto"/>
              <w:bottom w:val="single" w:sz="4" w:space="0" w:color="auto"/>
            </w:tcBorders>
            <w:noWrap/>
            <w:hideMark/>
          </w:tcPr>
          <w:p w14:paraId="7239A46C"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95</w:t>
            </w:r>
          </w:p>
        </w:tc>
        <w:tc>
          <w:tcPr>
            <w:tcW w:w="843" w:type="dxa"/>
            <w:tcBorders>
              <w:top w:val="single" w:sz="4" w:space="0" w:color="auto"/>
              <w:bottom w:val="single" w:sz="4" w:space="0" w:color="auto"/>
            </w:tcBorders>
            <w:noWrap/>
            <w:hideMark/>
          </w:tcPr>
          <w:p w14:paraId="2865A5B1"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22</w:t>
            </w:r>
          </w:p>
        </w:tc>
        <w:tc>
          <w:tcPr>
            <w:tcW w:w="842" w:type="dxa"/>
            <w:tcBorders>
              <w:top w:val="single" w:sz="4" w:space="0" w:color="auto"/>
              <w:bottom w:val="single" w:sz="4" w:space="0" w:color="auto"/>
            </w:tcBorders>
            <w:noWrap/>
            <w:hideMark/>
          </w:tcPr>
          <w:p w14:paraId="5E9244DA"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1768</w:t>
            </w:r>
          </w:p>
        </w:tc>
        <w:tc>
          <w:tcPr>
            <w:tcW w:w="842" w:type="dxa"/>
            <w:tcBorders>
              <w:top w:val="single" w:sz="4" w:space="0" w:color="auto"/>
              <w:bottom w:val="single" w:sz="4" w:space="0" w:color="auto"/>
            </w:tcBorders>
            <w:noWrap/>
            <w:hideMark/>
          </w:tcPr>
          <w:p w14:paraId="2C6838F6"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192</w:t>
            </w:r>
          </w:p>
        </w:tc>
        <w:tc>
          <w:tcPr>
            <w:tcW w:w="843" w:type="dxa"/>
            <w:tcBorders>
              <w:top w:val="single" w:sz="4" w:space="0" w:color="auto"/>
              <w:bottom w:val="single" w:sz="4" w:space="0" w:color="auto"/>
            </w:tcBorders>
            <w:noWrap/>
            <w:hideMark/>
          </w:tcPr>
          <w:p w14:paraId="355E0012"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5792</w:t>
            </w:r>
          </w:p>
        </w:tc>
      </w:tr>
      <w:tr w:rsidR="00283F6F" w:rsidRPr="0055030A" w14:paraId="4D93DD64" w14:textId="77777777" w:rsidTr="008A27D8">
        <w:trPr>
          <w:trHeight w:val="285"/>
        </w:trPr>
        <w:tc>
          <w:tcPr>
            <w:tcW w:w="1413" w:type="dxa"/>
            <w:tcBorders>
              <w:top w:val="single" w:sz="4" w:space="0" w:color="auto"/>
              <w:left w:val="single" w:sz="4" w:space="0" w:color="auto"/>
              <w:bottom w:val="single" w:sz="4" w:space="0" w:color="auto"/>
              <w:right w:val="nil"/>
            </w:tcBorders>
            <w:shd w:val="clear" w:color="auto" w:fill="auto"/>
            <w:vAlign w:val="bottom"/>
          </w:tcPr>
          <w:p w14:paraId="0BE41094"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000000"/>
              </w:rPr>
              <w:t>75-79</w:t>
            </w:r>
          </w:p>
        </w:tc>
        <w:tc>
          <w:tcPr>
            <w:tcW w:w="842" w:type="dxa"/>
            <w:tcBorders>
              <w:top w:val="single" w:sz="4" w:space="0" w:color="auto"/>
              <w:bottom w:val="single" w:sz="4" w:space="0" w:color="auto"/>
            </w:tcBorders>
            <w:noWrap/>
            <w:hideMark/>
          </w:tcPr>
          <w:p w14:paraId="475CA6C0"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1833</w:t>
            </w:r>
          </w:p>
        </w:tc>
        <w:tc>
          <w:tcPr>
            <w:tcW w:w="842" w:type="dxa"/>
            <w:tcBorders>
              <w:top w:val="single" w:sz="4" w:space="0" w:color="auto"/>
              <w:bottom w:val="single" w:sz="4" w:space="0" w:color="auto"/>
            </w:tcBorders>
            <w:noWrap/>
            <w:hideMark/>
          </w:tcPr>
          <w:p w14:paraId="4875FB4D"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484</w:t>
            </w:r>
          </w:p>
        </w:tc>
        <w:tc>
          <w:tcPr>
            <w:tcW w:w="843" w:type="dxa"/>
            <w:tcBorders>
              <w:top w:val="single" w:sz="4" w:space="0" w:color="auto"/>
              <w:bottom w:val="single" w:sz="4" w:space="0" w:color="auto"/>
            </w:tcBorders>
            <w:noWrap/>
            <w:hideMark/>
          </w:tcPr>
          <w:p w14:paraId="713693DC"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201</w:t>
            </w:r>
          </w:p>
        </w:tc>
        <w:tc>
          <w:tcPr>
            <w:tcW w:w="842" w:type="dxa"/>
            <w:tcBorders>
              <w:top w:val="single" w:sz="4" w:space="0" w:color="auto"/>
              <w:bottom w:val="single" w:sz="4" w:space="0" w:color="auto"/>
            </w:tcBorders>
            <w:noWrap/>
            <w:hideMark/>
          </w:tcPr>
          <w:p w14:paraId="55D3456C"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274</w:t>
            </w:r>
          </w:p>
        </w:tc>
        <w:tc>
          <w:tcPr>
            <w:tcW w:w="842" w:type="dxa"/>
            <w:tcBorders>
              <w:top w:val="single" w:sz="4" w:space="0" w:color="auto"/>
              <w:bottom w:val="single" w:sz="4" w:space="0" w:color="auto"/>
            </w:tcBorders>
            <w:noWrap/>
            <w:hideMark/>
          </w:tcPr>
          <w:p w14:paraId="251B2CA8"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187</w:t>
            </w:r>
          </w:p>
        </w:tc>
        <w:tc>
          <w:tcPr>
            <w:tcW w:w="843" w:type="dxa"/>
            <w:tcBorders>
              <w:top w:val="single" w:sz="4" w:space="0" w:color="auto"/>
              <w:bottom w:val="single" w:sz="4" w:space="0" w:color="auto"/>
            </w:tcBorders>
            <w:noWrap/>
            <w:hideMark/>
          </w:tcPr>
          <w:p w14:paraId="1E8CFC81"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66</w:t>
            </w:r>
          </w:p>
        </w:tc>
        <w:tc>
          <w:tcPr>
            <w:tcW w:w="842" w:type="dxa"/>
            <w:tcBorders>
              <w:top w:val="single" w:sz="4" w:space="0" w:color="auto"/>
              <w:bottom w:val="single" w:sz="4" w:space="0" w:color="auto"/>
            </w:tcBorders>
            <w:noWrap/>
            <w:hideMark/>
          </w:tcPr>
          <w:p w14:paraId="21BFA1AE"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137</w:t>
            </w:r>
            <w:r>
              <w:rPr>
                <w:rFonts w:ascii="Calibri" w:hAnsi="Calibri" w:cs="Calibri"/>
                <w:color w:val="131413"/>
                <w:sz w:val="20"/>
                <w:szCs w:val="20"/>
              </w:rPr>
              <w:t>0</w:t>
            </w:r>
          </w:p>
        </w:tc>
        <w:tc>
          <w:tcPr>
            <w:tcW w:w="842" w:type="dxa"/>
            <w:tcBorders>
              <w:top w:val="single" w:sz="4" w:space="0" w:color="auto"/>
              <w:bottom w:val="single" w:sz="4" w:space="0" w:color="auto"/>
            </w:tcBorders>
            <w:noWrap/>
            <w:hideMark/>
          </w:tcPr>
          <w:p w14:paraId="4FAA4842"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36</w:t>
            </w:r>
            <w:r>
              <w:rPr>
                <w:rFonts w:ascii="Calibri" w:hAnsi="Calibri" w:cs="Calibri"/>
                <w:color w:val="131413"/>
                <w:sz w:val="20"/>
                <w:szCs w:val="20"/>
              </w:rPr>
              <w:t>9</w:t>
            </w:r>
          </w:p>
        </w:tc>
        <w:tc>
          <w:tcPr>
            <w:tcW w:w="843" w:type="dxa"/>
            <w:tcBorders>
              <w:top w:val="single" w:sz="4" w:space="0" w:color="auto"/>
              <w:bottom w:val="single" w:sz="4" w:space="0" w:color="auto"/>
            </w:tcBorders>
            <w:noWrap/>
            <w:hideMark/>
          </w:tcPr>
          <w:p w14:paraId="52A2E0B8"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4784</w:t>
            </w:r>
          </w:p>
        </w:tc>
      </w:tr>
      <w:tr w:rsidR="00283F6F" w:rsidRPr="0055030A" w14:paraId="61EFEB43" w14:textId="77777777" w:rsidTr="008A27D8">
        <w:trPr>
          <w:trHeight w:val="285"/>
        </w:trPr>
        <w:tc>
          <w:tcPr>
            <w:tcW w:w="1413" w:type="dxa"/>
            <w:tcBorders>
              <w:top w:val="single" w:sz="4" w:space="0" w:color="auto"/>
              <w:left w:val="single" w:sz="4" w:space="0" w:color="auto"/>
              <w:bottom w:val="single" w:sz="4" w:space="0" w:color="auto"/>
              <w:right w:val="nil"/>
            </w:tcBorders>
            <w:shd w:val="clear" w:color="auto" w:fill="auto"/>
            <w:vAlign w:val="bottom"/>
          </w:tcPr>
          <w:p w14:paraId="3CA12A68"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000000"/>
              </w:rPr>
              <w:t>80-85</w:t>
            </w:r>
          </w:p>
        </w:tc>
        <w:tc>
          <w:tcPr>
            <w:tcW w:w="842" w:type="dxa"/>
            <w:tcBorders>
              <w:top w:val="single" w:sz="4" w:space="0" w:color="auto"/>
              <w:bottom w:val="single" w:sz="4" w:space="0" w:color="auto"/>
            </w:tcBorders>
            <w:noWrap/>
            <w:hideMark/>
          </w:tcPr>
          <w:p w14:paraId="0DE4B2E6"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1404</w:t>
            </w:r>
          </w:p>
        </w:tc>
        <w:tc>
          <w:tcPr>
            <w:tcW w:w="842" w:type="dxa"/>
            <w:tcBorders>
              <w:top w:val="single" w:sz="4" w:space="0" w:color="auto"/>
              <w:bottom w:val="single" w:sz="4" w:space="0" w:color="auto"/>
            </w:tcBorders>
            <w:noWrap/>
            <w:hideMark/>
          </w:tcPr>
          <w:p w14:paraId="19AFD03D"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148</w:t>
            </w:r>
          </w:p>
        </w:tc>
        <w:tc>
          <w:tcPr>
            <w:tcW w:w="843" w:type="dxa"/>
            <w:tcBorders>
              <w:top w:val="single" w:sz="4" w:space="0" w:color="auto"/>
              <w:bottom w:val="single" w:sz="4" w:space="0" w:color="auto"/>
            </w:tcBorders>
            <w:noWrap/>
            <w:hideMark/>
          </w:tcPr>
          <w:p w14:paraId="08D46DDC"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11</w:t>
            </w:r>
            <w:r>
              <w:rPr>
                <w:rFonts w:ascii="Calibri" w:hAnsi="Calibri" w:cs="Calibri"/>
                <w:color w:val="131413"/>
                <w:sz w:val="20"/>
                <w:szCs w:val="20"/>
              </w:rPr>
              <w:t>7</w:t>
            </w:r>
          </w:p>
        </w:tc>
        <w:tc>
          <w:tcPr>
            <w:tcW w:w="842" w:type="dxa"/>
            <w:tcBorders>
              <w:top w:val="single" w:sz="4" w:space="0" w:color="auto"/>
              <w:bottom w:val="single" w:sz="4" w:space="0" w:color="auto"/>
            </w:tcBorders>
            <w:noWrap/>
            <w:hideMark/>
          </w:tcPr>
          <w:p w14:paraId="58873F27"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13</w:t>
            </w:r>
            <w:r>
              <w:rPr>
                <w:rFonts w:ascii="Calibri" w:hAnsi="Calibri" w:cs="Calibri"/>
                <w:color w:val="131413"/>
                <w:sz w:val="20"/>
                <w:szCs w:val="20"/>
              </w:rPr>
              <w:t>6</w:t>
            </w:r>
          </w:p>
        </w:tc>
        <w:tc>
          <w:tcPr>
            <w:tcW w:w="842" w:type="dxa"/>
            <w:tcBorders>
              <w:top w:val="single" w:sz="4" w:space="0" w:color="auto"/>
              <w:bottom w:val="single" w:sz="4" w:space="0" w:color="auto"/>
            </w:tcBorders>
            <w:noWrap/>
            <w:hideMark/>
          </w:tcPr>
          <w:p w14:paraId="578E97C7"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366</w:t>
            </w:r>
          </w:p>
        </w:tc>
        <w:tc>
          <w:tcPr>
            <w:tcW w:w="843" w:type="dxa"/>
            <w:tcBorders>
              <w:top w:val="single" w:sz="4" w:space="0" w:color="auto"/>
              <w:bottom w:val="single" w:sz="4" w:space="0" w:color="auto"/>
            </w:tcBorders>
            <w:noWrap/>
            <w:hideMark/>
          </w:tcPr>
          <w:p w14:paraId="14619A9E"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155</w:t>
            </w:r>
          </w:p>
        </w:tc>
        <w:tc>
          <w:tcPr>
            <w:tcW w:w="842" w:type="dxa"/>
            <w:tcBorders>
              <w:top w:val="single" w:sz="4" w:space="0" w:color="auto"/>
              <w:bottom w:val="single" w:sz="4" w:space="0" w:color="auto"/>
            </w:tcBorders>
            <w:noWrap/>
            <w:hideMark/>
          </w:tcPr>
          <w:p w14:paraId="7F755365"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99</w:t>
            </w:r>
            <w:r>
              <w:rPr>
                <w:rFonts w:ascii="Calibri" w:hAnsi="Calibri" w:cs="Calibri"/>
                <w:color w:val="131413"/>
                <w:sz w:val="20"/>
                <w:szCs w:val="20"/>
              </w:rPr>
              <w:t>0</w:t>
            </w:r>
          </w:p>
        </w:tc>
        <w:tc>
          <w:tcPr>
            <w:tcW w:w="842" w:type="dxa"/>
            <w:tcBorders>
              <w:top w:val="single" w:sz="4" w:space="0" w:color="auto"/>
              <w:bottom w:val="single" w:sz="4" w:space="0" w:color="auto"/>
            </w:tcBorders>
            <w:noWrap/>
            <w:hideMark/>
          </w:tcPr>
          <w:p w14:paraId="530D4C24"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4</w:t>
            </w:r>
            <w:r>
              <w:rPr>
                <w:rFonts w:ascii="Calibri" w:hAnsi="Calibri" w:cs="Calibri"/>
                <w:color w:val="131413"/>
                <w:sz w:val="20"/>
                <w:szCs w:val="20"/>
              </w:rPr>
              <w:t>91</w:t>
            </w:r>
          </w:p>
        </w:tc>
        <w:tc>
          <w:tcPr>
            <w:tcW w:w="843" w:type="dxa"/>
            <w:tcBorders>
              <w:top w:val="single" w:sz="4" w:space="0" w:color="auto"/>
              <w:bottom w:val="single" w:sz="4" w:space="0" w:color="auto"/>
            </w:tcBorders>
            <w:noWrap/>
            <w:hideMark/>
          </w:tcPr>
          <w:p w14:paraId="402EE40F"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3807</w:t>
            </w:r>
          </w:p>
        </w:tc>
      </w:tr>
      <w:tr w:rsidR="00283F6F" w:rsidRPr="0055030A" w14:paraId="2A09C5E6" w14:textId="77777777" w:rsidTr="008A27D8">
        <w:trPr>
          <w:trHeight w:val="285"/>
        </w:trPr>
        <w:tc>
          <w:tcPr>
            <w:tcW w:w="1413" w:type="dxa"/>
            <w:tcBorders>
              <w:top w:val="single" w:sz="4" w:space="0" w:color="auto"/>
              <w:left w:val="single" w:sz="4" w:space="0" w:color="auto"/>
              <w:bottom w:val="single" w:sz="4" w:space="0" w:color="auto"/>
              <w:right w:val="nil"/>
            </w:tcBorders>
            <w:shd w:val="clear" w:color="auto" w:fill="auto"/>
            <w:vAlign w:val="bottom"/>
          </w:tcPr>
          <w:p w14:paraId="4C21650C"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000000"/>
              </w:rPr>
              <w:t>85</w:t>
            </w:r>
            <w:r>
              <w:rPr>
                <w:rFonts w:ascii="Calibri" w:hAnsi="Calibri" w:cs="Calibri"/>
                <w:color w:val="000000"/>
              </w:rPr>
              <w:t>-89</w:t>
            </w:r>
          </w:p>
        </w:tc>
        <w:tc>
          <w:tcPr>
            <w:tcW w:w="842" w:type="dxa"/>
            <w:tcBorders>
              <w:top w:val="single" w:sz="4" w:space="0" w:color="auto"/>
              <w:bottom w:val="single" w:sz="4" w:space="0" w:color="auto"/>
            </w:tcBorders>
            <w:noWrap/>
            <w:hideMark/>
          </w:tcPr>
          <w:p w14:paraId="382E52EE"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868</w:t>
            </w:r>
          </w:p>
        </w:tc>
        <w:tc>
          <w:tcPr>
            <w:tcW w:w="842" w:type="dxa"/>
            <w:tcBorders>
              <w:top w:val="single" w:sz="4" w:space="0" w:color="auto"/>
              <w:bottom w:val="single" w:sz="4" w:space="0" w:color="auto"/>
            </w:tcBorders>
            <w:noWrap/>
            <w:hideMark/>
          </w:tcPr>
          <w:p w14:paraId="64303892"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3</w:t>
            </w:r>
            <w:r>
              <w:rPr>
                <w:rFonts w:ascii="Calibri" w:hAnsi="Calibri" w:cs="Calibri"/>
                <w:color w:val="131413"/>
                <w:sz w:val="20"/>
                <w:szCs w:val="20"/>
              </w:rPr>
              <w:t>6</w:t>
            </w:r>
          </w:p>
        </w:tc>
        <w:tc>
          <w:tcPr>
            <w:tcW w:w="843" w:type="dxa"/>
            <w:tcBorders>
              <w:top w:val="single" w:sz="4" w:space="0" w:color="auto"/>
              <w:bottom w:val="single" w:sz="4" w:space="0" w:color="auto"/>
            </w:tcBorders>
            <w:noWrap/>
            <w:hideMark/>
          </w:tcPr>
          <w:p w14:paraId="28F71727"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52</w:t>
            </w:r>
          </w:p>
        </w:tc>
        <w:tc>
          <w:tcPr>
            <w:tcW w:w="842" w:type="dxa"/>
            <w:tcBorders>
              <w:top w:val="single" w:sz="4" w:space="0" w:color="auto"/>
              <w:bottom w:val="single" w:sz="4" w:space="0" w:color="auto"/>
            </w:tcBorders>
            <w:noWrap/>
            <w:hideMark/>
          </w:tcPr>
          <w:p w14:paraId="2A3FEC0A"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71</w:t>
            </w:r>
          </w:p>
        </w:tc>
        <w:tc>
          <w:tcPr>
            <w:tcW w:w="842" w:type="dxa"/>
            <w:tcBorders>
              <w:top w:val="single" w:sz="4" w:space="0" w:color="auto"/>
              <w:bottom w:val="single" w:sz="4" w:space="0" w:color="auto"/>
            </w:tcBorders>
            <w:noWrap/>
            <w:hideMark/>
          </w:tcPr>
          <w:p w14:paraId="714F104D"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246</w:t>
            </w:r>
          </w:p>
        </w:tc>
        <w:tc>
          <w:tcPr>
            <w:tcW w:w="843" w:type="dxa"/>
            <w:tcBorders>
              <w:top w:val="single" w:sz="4" w:space="0" w:color="auto"/>
              <w:bottom w:val="single" w:sz="4" w:space="0" w:color="auto"/>
            </w:tcBorders>
            <w:noWrap/>
            <w:hideMark/>
          </w:tcPr>
          <w:p w14:paraId="01313D8E"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153</w:t>
            </w:r>
          </w:p>
        </w:tc>
        <w:tc>
          <w:tcPr>
            <w:tcW w:w="842" w:type="dxa"/>
            <w:tcBorders>
              <w:top w:val="single" w:sz="4" w:space="0" w:color="auto"/>
              <w:bottom w:val="single" w:sz="4" w:space="0" w:color="auto"/>
            </w:tcBorders>
            <w:noWrap/>
            <w:hideMark/>
          </w:tcPr>
          <w:p w14:paraId="5913337F"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428</w:t>
            </w:r>
          </w:p>
        </w:tc>
        <w:tc>
          <w:tcPr>
            <w:tcW w:w="842" w:type="dxa"/>
            <w:tcBorders>
              <w:top w:val="single" w:sz="4" w:space="0" w:color="auto"/>
              <w:bottom w:val="single" w:sz="4" w:space="0" w:color="auto"/>
            </w:tcBorders>
            <w:noWrap/>
            <w:hideMark/>
          </w:tcPr>
          <w:p w14:paraId="50AB70D8"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599</w:t>
            </w:r>
          </w:p>
        </w:tc>
        <w:tc>
          <w:tcPr>
            <w:tcW w:w="843" w:type="dxa"/>
            <w:tcBorders>
              <w:top w:val="single" w:sz="4" w:space="0" w:color="auto"/>
              <w:bottom w:val="single" w:sz="4" w:space="0" w:color="auto"/>
            </w:tcBorders>
            <w:noWrap/>
            <w:hideMark/>
          </w:tcPr>
          <w:p w14:paraId="5C14EE60"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2453</w:t>
            </w:r>
          </w:p>
        </w:tc>
      </w:tr>
      <w:tr w:rsidR="00283F6F" w:rsidRPr="0055030A" w14:paraId="3AC91E05" w14:textId="77777777" w:rsidTr="008A27D8">
        <w:trPr>
          <w:trHeight w:val="285"/>
        </w:trPr>
        <w:tc>
          <w:tcPr>
            <w:tcW w:w="1413" w:type="dxa"/>
            <w:tcBorders>
              <w:top w:val="single" w:sz="4" w:space="0" w:color="auto"/>
              <w:left w:val="single" w:sz="4" w:space="0" w:color="auto"/>
              <w:bottom w:val="single" w:sz="4" w:space="0" w:color="auto"/>
              <w:right w:val="nil"/>
            </w:tcBorders>
            <w:shd w:val="clear" w:color="auto" w:fill="auto"/>
            <w:vAlign w:val="bottom"/>
          </w:tcPr>
          <w:p w14:paraId="53F9C70B" w14:textId="77777777" w:rsidR="00283F6F" w:rsidRPr="0055030A" w:rsidRDefault="00283F6F" w:rsidP="008A27D8">
            <w:pPr>
              <w:autoSpaceDE w:val="0"/>
              <w:autoSpaceDN w:val="0"/>
              <w:adjustRightInd w:val="0"/>
              <w:spacing w:line="276" w:lineRule="auto"/>
              <w:rPr>
                <w:rFonts w:ascii="Calibri" w:hAnsi="Calibri" w:cs="Calibri"/>
                <w:color w:val="000000"/>
              </w:rPr>
            </w:pPr>
            <w:r>
              <w:rPr>
                <w:rFonts w:ascii="Calibri" w:hAnsi="Calibri" w:cs="Calibri"/>
                <w:color w:val="000000"/>
              </w:rPr>
              <w:t>90+</w:t>
            </w:r>
          </w:p>
        </w:tc>
        <w:tc>
          <w:tcPr>
            <w:tcW w:w="842" w:type="dxa"/>
            <w:tcBorders>
              <w:top w:val="single" w:sz="4" w:space="0" w:color="auto"/>
              <w:bottom w:val="single" w:sz="4" w:space="0" w:color="auto"/>
            </w:tcBorders>
            <w:noWrap/>
          </w:tcPr>
          <w:p w14:paraId="3055DD92"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490</w:t>
            </w:r>
          </w:p>
        </w:tc>
        <w:tc>
          <w:tcPr>
            <w:tcW w:w="842" w:type="dxa"/>
            <w:tcBorders>
              <w:top w:val="single" w:sz="4" w:space="0" w:color="auto"/>
              <w:bottom w:val="single" w:sz="4" w:space="0" w:color="auto"/>
            </w:tcBorders>
            <w:noWrap/>
          </w:tcPr>
          <w:p w14:paraId="6921E515"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2</w:t>
            </w:r>
          </w:p>
        </w:tc>
        <w:tc>
          <w:tcPr>
            <w:tcW w:w="843" w:type="dxa"/>
            <w:tcBorders>
              <w:top w:val="single" w:sz="4" w:space="0" w:color="auto"/>
              <w:bottom w:val="single" w:sz="4" w:space="0" w:color="auto"/>
            </w:tcBorders>
            <w:noWrap/>
          </w:tcPr>
          <w:p w14:paraId="545E3590"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11</w:t>
            </w:r>
          </w:p>
        </w:tc>
        <w:tc>
          <w:tcPr>
            <w:tcW w:w="842" w:type="dxa"/>
            <w:tcBorders>
              <w:top w:val="single" w:sz="4" w:space="0" w:color="auto"/>
              <w:bottom w:val="single" w:sz="4" w:space="0" w:color="auto"/>
            </w:tcBorders>
            <w:noWrap/>
          </w:tcPr>
          <w:p w14:paraId="3D39B479"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17</w:t>
            </w:r>
          </w:p>
        </w:tc>
        <w:tc>
          <w:tcPr>
            <w:tcW w:w="842" w:type="dxa"/>
            <w:tcBorders>
              <w:top w:val="single" w:sz="4" w:space="0" w:color="auto"/>
              <w:bottom w:val="single" w:sz="4" w:space="0" w:color="auto"/>
            </w:tcBorders>
            <w:noWrap/>
          </w:tcPr>
          <w:p w14:paraId="69CD53A8"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148</w:t>
            </w:r>
          </w:p>
        </w:tc>
        <w:tc>
          <w:tcPr>
            <w:tcW w:w="843" w:type="dxa"/>
            <w:tcBorders>
              <w:top w:val="single" w:sz="4" w:space="0" w:color="auto"/>
              <w:bottom w:val="single" w:sz="4" w:space="0" w:color="auto"/>
            </w:tcBorders>
            <w:noWrap/>
          </w:tcPr>
          <w:p w14:paraId="050F3BBC"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101</w:t>
            </w:r>
          </w:p>
        </w:tc>
        <w:tc>
          <w:tcPr>
            <w:tcW w:w="842" w:type="dxa"/>
            <w:tcBorders>
              <w:top w:val="single" w:sz="4" w:space="0" w:color="auto"/>
              <w:bottom w:val="single" w:sz="4" w:space="0" w:color="auto"/>
            </w:tcBorders>
            <w:noWrap/>
          </w:tcPr>
          <w:p w14:paraId="34735DC2"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194</w:t>
            </w:r>
          </w:p>
        </w:tc>
        <w:tc>
          <w:tcPr>
            <w:tcW w:w="842" w:type="dxa"/>
            <w:tcBorders>
              <w:top w:val="single" w:sz="4" w:space="0" w:color="auto"/>
              <w:bottom w:val="single" w:sz="4" w:space="0" w:color="auto"/>
            </w:tcBorders>
            <w:noWrap/>
          </w:tcPr>
          <w:p w14:paraId="48E0B9BC"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428</w:t>
            </w:r>
          </w:p>
        </w:tc>
        <w:tc>
          <w:tcPr>
            <w:tcW w:w="843" w:type="dxa"/>
            <w:tcBorders>
              <w:top w:val="single" w:sz="4" w:space="0" w:color="auto"/>
              <w:bottom w:val="single" w:sz="4" w:space="0" w:color="auto"/>
            </w:tcBorders>
            <w:noWrap/>
          </w:tcPr>
          <w:p w14:paraId="70424E77"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1391</w:t>
            </w:r>
          </w:p>
        </w:tc>
      </w:tr>
      <w:tr w:rsidR="00283F6F" w:rsidRPr="0055030A" w14:paraId="23617887" w14:textId="77777777" w:rsidTr="008A27D8">
        <w:trPr>
          <w:trHeight w:val="285"/>
        </w:trPr>
        <w:tc>
          <w:tcPr>
            <w:tcW w:w="1413" w:type="dxa"/>
          </w:tcPr>
          <w:p w14:paraId="50918A25"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All ages</w:t>
            </w:r>
          </w:p>
        </w:tc>
        <w:tc>
          <w:tcPr>
            <w:tcW w:w="842" w:type="dxa"/>
            <w:noWrap/>
            <w:hideMark/>
          </w:tcPr>
          <w:p w14:paraId="7A6D8F98"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2</w:t>
            </w:r>
            <w:r>
              <w:rPr>
                <w:rFonts w:ascii="Calibri" w:hAnsi="Calibri" w:cs="Calibri"/>
                <w:color w:val="131413"/>
                <w:sz w:val="20"/>
                <w:szCs w:val="20"/>
              </w:rPr>
              <w:t>1255</w:t>
            </w:r>
          </w:p>
        </w:tc>
        <w:tc>
          <w:tcPr>
            <w:tcW w:w="842" w:type="dxa"/>
            <w:noWrap/>
            <w:hideMark/>
          </w:tcPr>
          <w:p w14:paraId="582AB879"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8927</w:t>
            </w:r>
          </w:p>
        </w:tc>
        <w:tc>
          <w:tcPr>
            <w:tcW w:w="843" w:type="dxa"/>
            <w:noWrap/>
            <w:hideMark/>
          </w:tcPr>
          <w:p w14:paraId="79F3D657"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1</w:t>
            </w:r>
            <w:r>
              <w:rPr>
                <w:rFonts w:ascii="Calibri" w:hAnsi="Calibri" w:cs="Calibri"/>
                <w:color w:val="131413"/>
                <w:sz w:val="20"/>
                <w:szCs w:val="20"/>
              </w:rPr>
              <w:t>666</w:t>
            </w:r>
          </w:p>
        </w:tc>
        <w:tc>
          <w:tcPr>
            <w:tcW w:w="842" w:type="dxa"/>
            <w:noWrap/>
            <w:hideMark/>
          </w:tcPr>
          <w:p w14:paraId="1A72C663"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Pr>
                <w:rFonts w:ascii="Calibri" w:hAnsi="Calibri" w:cs="Calibri"/>
                <w:color w:val="131413"/>
                <w:sz w:val="20"/>
                <w:szCs w:val="20"/>
              </w:rPr>
              <w:t>1726</w:t>
            </w:r>
          </w:p>
        </w:tc>
        <w:tc>
          <w:tcPr>
            <w:tcW w:w="842" w:type="dxa"/>
            <w:noWrap/>
            <w:hideMark/>
          </w:tcPr>
          <w:p w14:paraId="40318454"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1</w:t>
            </w:r>
            <w:r>
              <w:rPr>
                <w:rFonts w:ascii="Calibri" w:hAnsi="Calibri" w:cs="Calibri"/>
                <w:color w:val="131413"/>
                <w:sz w:val="20"/>
                <w:szCs w:val="20"/>
              </w:rPr>
              <w:t>292</w:t>
            </w:r>
          </w:p>
        </w:tc>
        <w:tc>
          <w:tcPr>
            <w:tcW w:w="843" w:type="dxa"/>
            <w:noWrap/>
            <w:hideMark/>
          </w:tcPr>
          <w:p w14:paraId="46AE657A"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5</w:t>
            </w:r>
            <w:r>
              <w:rPr>
                <w:rFonts w:ascii="Calibri" w:hAnsi="Calibri" w:cs="Calibri"/>
                <w:color w:val="131413"/>
                <w:sz w:val="20"/>
                <w:szCs w:val="20"/>
              </w:rPr>
              <w:t>24</w:t>
            </w:r>
          </w:p>
        </w:tc>
        <w:tc>
          <w:tcPr>
            <w:tcW w:w="842" w:type="dxa"/>
            <w:noWrap/>
            <w:hideMark/>
          </w:tcPr>
          <w:p w14:paraId="2B77E6CB"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12</w:t>
            </w:r>
            <w:r>
              <w:rPr>
                <w:rFonts w:ascii="Calibri" w:hAnsi="Calibri" w:cs="Calibri"/>
                <w:color w:val="131413"/>
                <w:sz w:val="20"/>
                <w:szCs w:val="20"/>
              </w:rPr>
              <w:t>363</w:t>
            </w:r>
          </w:p>
        </w:tc>
        <w:tc>
          <w:tcPr>
            <w:tcW w:w="842" w:type="dxa"/>
            <w:noWrap/>
            <w:hideMark/>
          </w:tcPr>
          <w:p w14:paraId="31DDBBAF"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2</w:t>
            </w:r>
            <w:r>
              <w:rPr>
                <w:rFonts w:ascii="Calibri" w:hAnsi="Calibri" w:cs="Calibri"/>
                <w:color w:val="131413"/>
                <w:sz w:val="20"/>
                <w:szCs w:val="20"/>
              </w:rPr>
              <w:t>880</w:t>
            </w:r>
          </w:p>
        </w:tc>
        <w:tc>
          <w:tcPr>
            <w:tcW w:w="843" w:type="dxa"/>
            <w:noWrap/>
            <w:hideMark/>
          </w:tcPr>
          <w:p w14:paraId="2275FC6C"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r w:rsidRPr="0055030A">
              <w:rPr>
                <w:rFonts w:ascii="Calibri" w:hAnsi="Calibri" w:cs="Calibri"/>
                <w:color w:val="131413"/>
                <w:sz w:val="20"/>
                <w:szCs w:val="20"/>
              </w:rPr>
              <w:t>50633</w:t>
            </w:r>
          </w:p>
        </w:tc>
      </w:tr>
      <w:tr w:rsidR="00283F6F" w:rsidRPr="0055030A" w14:paraId="2DC72BE7" w14:textId="77777777" w:rsidTr="008A27D8">
        <w:trPr>
          <w:trHeight w:val="285"/>
        </w:trPr>
        <w:tc>
          <w:tcPr>
            <w:tcW w:w="8994" w:type="dxa"/>
            <w:gridSpan w:val="10"/>
          </w:tcPr>
          <w:p w14:paraId="6D599CD8" w14:textId="77777777" w:rsidR="00283F6F" w:rsidRDefault="00283F6F" w:rsidP="008A27D8">
            <w:r>
              <w:t>* Risk categories</w:t>
            </w:r>
          </w:p>
          <w:tbl>
            <w:tblPr>
              <w:tblW w:w="7825" w:type="dxa"/>
              <w:tblLayout w:type="fixed"/>
              <w:tblLook w:val="04A0" w:firstRow="1" w:lastRow="0" w:firstColumn="1" w:lastColumn="0" w:noHBand="0" w:noVBand="1"/>
            </w:tblPr>
            <w:tblGrid>
              <w:gridCol w:w="506"/>
              <w:gridCol w:w="4550"/>
              <w:gridCol w:w="236"/>
              <w:gridCol w:w="236"/>
              <w:gridCol w:w="236"/>
              <w:gridCol w:w="2061"/>
            </w:tblGrid>
            <w:tr w:rsidR="00283F6F" w:rsidRPr="00F36703" w14:paraId="5C79209F" w14:textId="77777777" w:rsidTr="008A27D8">
              <w:trPr>
                <w:trHeight w:val="285"/>
              </w:trPr>
              <w:tc>
                <w:tcPr>
                  <w:tcW w:w="506" w:type="dxa"/>
                  <w:tcBorders>
                    <w:top w:val="nil"/>
                    <w:left w:val="nil"/>
                    <w:bottom w:val="nil"/>
                    <w:right w:val="nil"/>
                  </w:tcBorders>
                  <w:shd w:val="clear" w:color="auto" w:fill="auto"/>
                  <w:noWrap/>
                  <w:vAlign w:val="bottom"/>
                  <w:hideMark/>
                </w:tcPr>
                <w:p w14:paraId="21E30774" w14:textId="77777777" w:rsidR="00283F6F" w:rsidRPr="00F36703" w:rsidRDefault="00283F6F" w:rsidP="008A27D8">
                  <w:pPr>
                    <w:spacing w:after="0" w:line="240" w:lineRule="auto"/>
                    <w:jc w:val="right"/>
                    <w:rPr>
                      <w:rFonts w:ascii="Calibri" w:eastAsia="Times New Roman" w:hAnsi="Calibri" w:cs="Calibri"/>
                      <w:color w:val="000000"/>
                      <w:lang w:eastAsia="en-GB"/>
                    </w:rPr>
                  </w:pPr>
                  <w:r w:rsidRPr="0055030A">
                    <w:rPr>
                      <w:rFonts w:ascii="Calibri" w:eastAsia="Times New Roman" w:hAnsi="Calibri" w:cs="Calibri"/>
                      <w:color w:val="000000"/>
                      <w:lang w:eastAsia="en-GB"/>
                    </w:rPr>
                    <w:t>A</w:t>
                  </w:r>
                </w:p>
              </w:tc>
              <w:tc>
                <w:tcPr>
                  <w:tcW w:w="7319" w:type="dxa"/>
                  <w:gridSpan w:val="5"/>
                  <w:tcBorders>
                    <w:top w:val="nil"/>
                    <w:left w:val="nil"/>
                    <w:bottom w:val="nil"/>
                    <w:right w:val="nil"/>
                  </w:tcBorders>
                  <w:shd w:val="clear" w:color="auto" w:fill="auto"/>
                  <w:noWrap/>
                  <w:vAlign w:val="bottom"/>
                  <w:hideMark/>
                </w:tcPr>
                <w:p w14:paraId="1DA19FB8" w14:textId="77777777" w:rsidR="00283F6F" w:rsidRPr="00F36703" w:rsidRDefault="00283F6F" w:rsidP="008A27D8">
                  <w:pPr>
                    <w:spacing w:after="0" w:line="240" w:lineRule="auto"/>
                    <w:ind w:right="-2072"/>
                    <w:rPr>
                      <w:rFonts w:ascii="Calibri" w:eastAsia="Times New Roman" w:hAnsi="Calibri" w:cs="Calibri"/>
                      <w:color w:val="000000"/>
                      <w:lang w:eastAsia="en-GB"/>
                    </w:rPr>
                  </w:pPr>
                  <w:r w:rsidRPr="00F36703">
                    <w:rPr>
                      <w:rFonts w:ascii="Calibri" w:eastAsia="Times New Roman" w:hAnsi="Calibri" w:cs="Calibri"/>
                      <w:color w:val="000000"/>
                      <w:lang w:eastAsia="en-GB"/>
                    </w:rPr>
                    <w:t xml:space="preserve">Low risk (no risk factors or risk factor but below </w:t>
                  </w:r>
                  <w:r>
                    <w:rPr>
                      <w:rFonts w:ascii="Calibri" w:eastAsia="Times New Roman" w:hAnsi="Calibri" w:cs="Calibri"/>
                      <w:color w:val="000000"/>
                      <w:lang w:eastAsia="en-GB"/>
                    </w:rPr>
                    <w:t>BMD assessment threshold)</w:t>
                  </w:r>
                </w:p>
              </w:tc>
            </w:tr>
            <w:tr w:rsidR="00283F6F" w:rsidRPr="00F36703" w14:paraId="4107014A" w14:textId="77777777" w:rsidTr="008A27D8">
              <w:trPr>
                <w:trHeight w:val="285"/>
              </w:trPr>
              <w:tc>
                <w:tcPr>
                  <w:tcW w:w="506" w:type="dxa"/>
                  <w:tcBorders>
                    <w:top w:val="nil"/>
                    <w:left w:val="nil"/>
                    <w:bottom w:val="nil"/>
                    <w:right w:val="nil"/>
                  </w:tcBorders>
                  <w:shd w:val="clear" w:color="auto" w:fill="auto"/>
                  <w:noWrap/>
                  <w:vAlign w:val="bottom"/>
                  <w:hideMark/>
                </w:tcPr>
                <w:p w14:paraId="2DE5583E" w14:textId="77777777" w:rsidR="00283F6F" w:rsidRPr="00F36703" w:rsidRDefault="00283F6F" w:rsidP="008A27D8">
                  <w:pPr>
                    <w:spacing w:after="0" w:line="240" w:lineRule="auto"/>
                    <w:jc w:val="right"/>
                    <w:rPr>
                      <w:rFonts w:ascii="Calibri" w:eastAsia="Times New Roman" w:hAnsi="Calibri" w:cs="Calibri"/>
                      <w:color w:val="000000"/>
                      <w:lang w:eastAsia="en-GB"/>
                    </w:rPr>
                  </w:pPr>
                  <w:r w:rsidRPr="0055030A">
                    <w:rPr>
                      <w:rFonts w:ascii="Calibri" w:eastAsia="Times New Roman" w:hAnsi="Calibri" w:cs="Calibri"/>
                      <w:color w:val="000000"/>
                      <w:lang w:eastAsia="en-GB"/>
                    </w:rPr>
                    <w:t>B</w:t>
                  </w:r>
                </w:p>
              </w:tc>
              <w:tc>
                <w:tcPr>
                  <w:tcW w:w="4786" w:type="dxa"/>
                  <w:gridSpan w:val="2"/>
                  <w:tcBorders>
                    <w:top w:val="nil"/>
                    <w:left w:val="nil"/>
                    <w:bottom w:val="nil"/>
                    <w:right w:val="nil"/>
                  </w:tcBorders>
                  <w:shd w:val="clear" w:color="auto" w:fill="auto"/>
                  <w:noWrap/>
                  <w:vAlign w:val="bottom"/>
                  <w:hideMark/>
                </w:tcPr>
                <w:p w14:paraId="52770C41" w14:textId="77777777" w:rsidR="00283F6F" w:rsidRPr="00F36703" w:rsidRDefault="00283F6F" w:rsidP="008A27D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BMD scan</w:t>
                  </w:r>
                  <w:r w:rsidRPr="00F36703">
                    <w:rPr>
                      <w:rFonts w:ascii="Calibri" w:eastAsia="Times New Roman" w:hAnsi="Calibri" w:cs="Calibri"/>
                      <w:color w:val="000000"/>
                      <w:lang w:eastAsia="en-GB"/>
                    </w:rPr>
                    <w:t xml:space="preserve"> but untreated</w:t>
                  </w:r>
                </w:p>
              </w:tc>
              <w:tc>
                <w:tcPr>
                  <w:tcW w:w="236" w:type="dxa"/>
                  <w:tcBorders>
                    <w:top w:val="nil"/>
                    <w:left w:val="nil"/>
                    <w:bottom w:val="nil"/>
                    <w:right w:val="nil"/>
                  </w:tcBorders>
                  <w:shd w:val="clear" w:color="auto" w:fill="auto"/>
                  <w:noWrap/>
                  <w:vAlign w:val="bottom"/>
                  <w:hideMark/>
                </w:tcPr>
                <w:p w14:paraId="3C1DE943" w14:textId="77777777" w:rsidR="00283F6F" w:rsidRPr="00F36703" w:rsidRDefault="00283F6F" w:rsidP="008A27D8">
                  <w:pPr>
                    <w:spacing w:after="0" w:line="240" w:lineRule="auto"/>
                    <w:rPr>
                      <w:rFonts w:ascii="Calibri" w:eastAsia="Times New Roman" w:hAnsi="Calibri" w:cs="Calibri"/>
                      <w:color w:val="000000"/>
                      <w:lang w:eastAsia="en-GB"/>
                    </w:rPr>
                  </w:pPr>
                </w:p>
              </w:tc>
              <w:tc>
                <w:tcPr>
                  <w:tcW w:w="236" w:type="dxa"/>
                  <w:tcBorders>
                    <w:top w:val="nil"/>
                    <w:left w:val="nil"/>
                    <w:bottom w:val="nil"/>
                    <w:right w:val="nil"/>
                  </w:tcBorders>
                  <w:shd w:val="clear" w:color="auto" w:fill="auto"/>
                  <w:noWrap/>
                  <w:vAlign w:val="bottom"/>
                  <w:hideMark/>
                </w:tcPr>
                <w:p w14:paraId="628A8C66" w14:textId="77777777" w:rsidR="00283F6F" w:rsidRPr="00F36703" w:rsidRDefault="00283F6F" w:rsidP="008A27D8">
                  <w:pPr>
                    <w:spacing w:after="0" w:line="240" w:lineRule="auto"/>
                    <w:rPr>
                      <w:rFonts w:ascii="Times New Roman" w:eastAsia="Times New Roman" w:hAnsi="Times New Roman" w:cs="Times New Roman"/>
                      <w:sz w:val="20"/>
                      <w:szCs w:val="20"/>
                      <w:lang w:eastAsia="en-GB"/>
                    </w:rPr>
                  </w:pPr>
                </w:p>
              </w:tc>
              <w:tc>
                <w:tcPr>
                  <w:tcW w:w="2061" w:type="dxa"/>
                  <w:tcBorders>
                    <w:top w:val="nil"/>
                    <w:left w:val="nil"/>
                    <w:bottom w:val="nil"/>
                    <w:right w:val="nil"/>
                  </w:tcBorders>
                  <w:shd w:val="clear" w:color="auto" w:fill="auto"/>
                  <w:noWrap/>
                  <w:vAlign w:val="bottom"/>
                  <w:hideMark/>
                </w:tcPr>
                <w:p w14:paraId="783915D2" w14:textId="77777777" w:rsidR="00283F6F" w:rsidRPr="00F36703" w:rsidRDefault="00283F6F" w:rsidP="008A27D8">
                  <w:pPr>
                    <w:spacing w:after="0" w:line="240" w:lineRule="auto"/>
                    <w:rPr>
                      <w:rFonts w:ascii="Times New Roman" w:eastAsia="Times New Roman" w:hAnsi="Times New Roman" w:cs="Times New Roman"/>
                      <w:sz w:val="20"/>
                      <w:szCs w:val="20"/>
                      <w:lang w:eastAsia="en-GB"/>
                    </w:rPr>
                  </w:pPr>
                </w:p>
              </w:tc>
            </w:tr>
            <w:tr w:rsidR="00283F6F" w:rsidRPr="00F36703" w14:paraId="1BE848C9" w14:textId="77777777" w:rsidTr="008A27D8">
              <w:trPr>
                <w:trHeight w:val="285"/>
              </w:trPr>
              <w:tc>
                <w:tcPr>
                  <w:tcW w:w="506" w:type="dxa"/>
                  <w:tcBorders>
                    <w:top w:val="nil"/>
                    <w:left w:val="nil"/>
                    <w:bottom w:val="nil"/>
                    <w:right w:val="nil"/>
                  </w:tcBorders>
                  <w:shd w:val="clear" w:color="auto" w:fill="auto"/>
                  <w:noWrap/>
                  <w:vAlign w:val="bottom"/>
                  <w:hideMark/>
                </w:tcPr>
                <w:p w14:paraId="44C95238" w14:textId="77777777" w:rsidR="00283F6F" w:rsidRPr="00F36703" w:rsidRDefault="00283F6F" w:rsidP="008A27D8">
                  <w:pPr>
                    <w:spacing w:after="0" w:line="240" w:lineRule="auto"/>
                    <w:jc w:val="right"/>
                    <w:rPr>
                      <w:rFonts w:ascii="Calibri" w:eastAsia="Times New Roman" w:hAnsi="Calibri" w:cs="Calibri"/>
                      <w:color w:val="000000"/>
                      <w:lang w:eastAsia="en-GB"/>
                    </w:rPr>
                  </w:pPr>
                  <w:r w:rsidRPr="0055030A">
                    <w:rPr>
                      <w:rFonts w:ascii="Calibri" w:eastAsia="Times New Roman" w:hAnsi="Calibri" w:cs="Calibri"/>
                      <w:color w:val="000000"/>
                      <w:lang w:eastAsia="en-GB"/>
                    </w:rPr>
                    <w:t>C</w:t>
                  </w:r>
                </w:p>
              </w:tc>
              <w:tc>
                <w:tcPr>
                  <w:tcW w:w="4550" w:type="dxa"/>
                  <w:tcBorders>
                    <w:top w:val="nil"/>
                    <w:left w:val="nil"/>
                    <w:bottom w:val="nil"/>
                    <w:right w:val="nil"/>
                  </w:tcBorders>
                  <w:shd w:val="clear" w:color="auto" w:fill="auto"/>
                  <w:noWrap/>
                  <w:vAlign w:val="bottom"/>
                  <w:hideMark/>
                </w:tcPr>
                <w:p w14:paraId="7A63FC1E" w14:textId="77777777" w:rsidR="00283F6F" w:rsidRPr="00F36703" w:rsidRDefault="00283F6F" w:rsidP="008A27D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BMD scan</w:t>
                  </w:r>
                  <w:r w:rsidRPr="00F36703">
                    <w:rPr>
                      <w:rFonts w:ascii="Calibri" w:eastAsia="Times New Roman" w:hAnsi="Calibri" w:cs="Calibri"/>
                      <w:color w:val="000000"/>
                      <w:lang w:eastAsia="en-GB"/>
                    </w:rPr>
                    <w:t xml:space="preserve"> and high risk</w:t>
                  </w:r>
                </w:p>
              </w:tc>
              <w:tc>
                <w:tcPr>
                  <w:tcW w:w="236" w:type="dxa"/>
                  <w:tcBorders>
                    <w:top w:val="nil"/>
                    <w:left w:val="nil"/>
                    <w:bottom w:val="nil"/>
                    <w:right w:val="nil"/>
                  </w:tcBorders>
                  <w:shd w:val="clear" w:color="auto" w:fill="auto"/>
                  <w:noWrap/>
                  <w:vAlign w:val="bottom"/>
                  <w:hideMark/>
                </w:tcPr>
                <w:p w14:paraId="68CBF991" w14:textId="77777777" w:rsidR="00283F6F" w:rsidRPr="00F36703" w:rsidRDefault="00283F6F" w:rsidP="008A27D8">
                  <w:pPr>
                    <w:spacing w:after="0" w:line="240" w:lineRule="auto"/>
                    <w:rPr>
                      <w:rFonts w:ascii="Calibri" w:eastAsia="Times New Roman" w:hAnsi="Calibri" w:cs="Calibri"/>
                      <w:color w:val="000000"/>
                      <w:lang w:eastAsia="en-GB"/>
                    </w:rPr>
                  </w:pPr>
                </w:p>
              </w:tc>
              <w:tc>
                <w:tcPr>
                  <w:tcW w:w="236" w:type="dxa"/>
                  <w:tcBorders>
                    <w:top w:val="nil"/>
                    <w:left w:val="nil"/>
                    <w:bottom w:val="nil"/>
                    <w:right w:val="nil"/>
                  </w:tcBorders>
                  <w:shd w:val="clear" w:color="auto" w:fill="auto"/>
                  <w:noWrap/>
                  <w:vAlign w:val="bottom"/>
                  <w:hideMark/>
                </w:tcPr>
                <w:p w14:paraId="74321474" w14:textId="77777777" w:rsidR="00283F6F" w:rsidRPr="00F36703" w:rsidRDefault="00283F6F" w:rsidP="008A27D8">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40478BBE" w14:textId="77777777" w:rsidR="00283F6F" w:rsidRPr="00F36703" w:rsidRDefault="00283F6F" w:rsidP="008A27D8">
                  <w:pPr>
                    <w:spacing w:after="0" w:line="240" w:lineRule="auto"/>
                    <w:rPr>
                      <w:rFonts w:ascii="Times New Roman" w:eastAsia="Times New Roman" w:hAnsi="Times New Roman" w:cs="Times New Roman"/>
                      <w:sz w:val="20"/>
                      <w:szCs w:val="20"/>
                      <w:lang w:eastAsia="en-GB"/>
                    </w:rPr>
                  </w:pPr>
                </w:p>
              </w:tc>
              <w:tc>
                <w:tcPr>
                  <w:tcW w:w="2061" w:type="dxa"/>
                  <w:tcBorders>
                    <w:top w:val="nil"/>
                    <w:left w:val="nil"/>
                    <w:bottom w:val="nil"/>
                    <w:right w:val="nil"/>
                  </w:tcBorders>
                  <w:shd w:val="clear" w:color="auto" w:fill="auto"/>
                  <w:noWrap/>
                  <w:vAlign w:val="bottom"/>
                  <w:hideMark/>
                </w:tcPr>
                <w:p w14:paraId="13C8DD8E" w14:textId="77777777" w:rsidR="00283F6F" w:rsidRPr="00F36703" w:rsidRDefault="00283F6F" w:rsidP="008A27D8">
                  <w:pPr>
                    <w:spacing w:after="0" w:line="240" w:lineRule="auto"/>
                    <w:rPr>
                      <w:rFonts w:ascii="Times New Roman" w:eastAsia="Times New Roman" w:hAnsi="Times New Roman" w:cs="Times New Roman"/>
                      <w:sz w:val="20"/>
                      <w:szCs w:val="20"/>
                      <w:lang w:eastAsia="en-GB"/>
                    </w:rPr>
                  </w:pPr>
                </w:p>
              </w:tc>
            </w:tr>
            <w:tr w:rsidR="00283F6F" w:rsidRPr="00F36703" w14:paraId="7183414C" w14:textId="77777777" w:rsidTr="008A27D8">
              <w:trPr>
                <w:trHeight w:val="285"/>
              </w:trPr>
              <w:tc>
                <w:tcPr>
                  <w:tcW w:w="506" w:type="dxa"/>
                  <w:tcBorders>
                    <w:top w:val="nil"/>
                    <w:left w:val="nil"/>
                    <w:bottom w:val="nil"/>
                    <w:right w:val="nil"/>
                  </w:tcBorders>
                  <w:shd w:val="clear" w:color="auto" w:fill="auto"/>
                  <w:noWrap/>
                  <w:vAlign w:val="bottom"/>
                  <w:hideMark/>
                </w:tcPr>
                <w:p w14:paraId="393D0356" w14:textId="77777777" w:rsidR="00283F6F" w:rsidRPr="00F36703" w:rsidRDefault="00283F6F" w:rsidP="008A27D8">
                  <w:pPr>
                    <w:spacing w:after="0" w:line="240" w:lineRule="auto"/>
                    <w:jc w:val="right"/>
                    <w:rPr>
                      <w:rFonts w:ascii="Calibri" w:eastAsia="Times New Roman" w:hAnsi="Calibri" w:cs="Calibri"/>
                      <w:color w:val="000000"/>
                      <w:lang w:eastAsia="en-GB"/>
                    </w:rPr>
                  </w:pPr>
                  <w:r w:rsidRPr="0055030A">
                    <w:rPr>
                      <w:rFonts w:ascii="Calibri" w:eastAsia="Times New Roman" w:hAnsi="Calibri" w:cs="Calibri"/>
                      <w:color w:val="000000"/>
                      <w:lang w:eastAsia="en-GB"/>
                    </w:rPr>
                    <w:t>D</w:t>
                  </w:r>
                </w:p>
              </w:tc>
              <w:tc>
                <w:tcPr>
                  <w:tcW w:w="4786" w:type="dxa"/>
                  <w:gridSpan w:val="2"/>
                  <w:tcBorders>
                    <w:top w:val="nil"/>
                    <w:left w:val="nil"/>
                    <w:bottom w:val="nil"/>
                    <w:right w:val="nil"/>
                  </w:tcBorders>
                  <w:shd w:val="clear" w:color="auto" w:fill="auto"/>
                  <w:noWrap/>
                  <w:vAlign w:val="bottom"/>
                  <w:hideMark/>
                </w:tcPr>
                <w:p w14:paraId="74B5DC8C" w14:textId="77777777" w:rsidR="00283F6F" w:rsidRPr="00F36703" w:rsidRDefault="00283F6F" w:rsidP="008A27D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BMD scan</w:t>
                  </w:r>
                  <w:r w:rsidRPr="00F36703">
                    <w:rPr>
                      <w:rFonts w:ascii="Calibri" w:eastAsia="Times New Roman" w:hAnsi="Calibri" w:cs="Calibri"/>
                      <w:color w:val="000000"/>
                      <w:lang w:eastAsia="en-GB"/>
                    </w:rPr>
                    <w:t xml:space="preserve"> and very high risk</w:t>
                  </w:r>
                </w:p>
              </w:tc>
              <w:tc>
                <w:tcPr>
                  <w:tcW w:w="236" w:type="dxa"/>
                  <w:tcBorders>
                    <w:top w:val="nil"/>
                    <w:left w:val="nil"/>
                    <w:bottom w:val="nil"/>
                    <w:right w:val="nil"/>
                  </w:tcBorders>
                  <w:shd w:val="clear" w:color="auto" w:fill="auto"/>
                  <w:noWrap/>
                  <w:vAlign w:val="bottom"/>
                  <w:hideMark/>
                </w:tcPr>
                <w:p w14:paraId="7FDACCAF" w14:textId="77777777" w:rsidR="00283F6F" w:rsidRPr="00F36703" w:rsidRDefault="00283F6F" w:rsidP="008A27D8">
                  <w:pPr>
                    <w:spacing w:after="0" w:line="240" w:lineRule="auto"/>
                    <w:rPr>
                      <w:rFonts w:ascii="Calibri" w:eastAsia="Times New Roman" w:hAnsi="Calibri" w:cs="Calibri"/>
                      <w:color w:val="000000"/>
                      <w:lang w:eastAsia="en-GB"/>
                    </w:rPr>
                  </w:pPr>
                </w:p>
              </w:tc>
              <w:tc>
                <w:tcPr>
                  <w:tcW w:w="236" w:type="dxa"/>
                  <w:tcBorders>
                    <w:top w:val="nil"/>
                    <w:left w:val="nil"/>
                    <w:bottom w:val="nil"/>
                    <w:right w:val="nil"/>
                  </w:tcBorders>
                  <w:shd w:val="clear" w:color="auto" w:fill="auto"/>
                  <w:noWrap/>
                  <w:vAlign w:val="bottom"/>
                  <w:hideMark/>
                </w:tcPr>
                <w:p w14:paraId="07EB5016" w14:textId="77777777" w:rsidR="00283F6F" w:rsidRPr="00F36703" w:rsidRDefault="00283F6F" w:rsidP="008A27D8">
                  <w:pPr>
                    <w:spacing w:after="0" w:line="240" w:lineRule="auto"/>
                    <w:rPr>
                      <w:rFonts w:ascii="Times New Roman" w:eastAsia="Times New Roman" w:hAnsi="Times New Roman" w:cs="Times New Roman"/>
                      <w:sz w:val="20"/>
                      <w:szCs w:val="20"/>
                      <w:lang w:eastAsia="en-GB"/>
                    </w:rPr>
                  </w:pPr>
                </w:p>
              </w:tc>
              <w:tc>
                <w:tcPr>
                  <w:tcW w:w="2061" w:type="dxa"/>
                  <w:tcBorders>
                    <w:top w:val="nil"/>
                    <w:left w:val="nil"/>
                    <w:bottom w:val="nil"/>
                    <w:right w:val="nil"/>
                  </w:tcBorders>
                  <w:shd w:val="clear" w:color="auto" w:fill="auto"/>
                  <w:noWrap/>
                  <w:vAlign w:val="bottom"/>
                  <w:hideMark/>
                </w:tcPr>
                <w:p w14:paraId="696C0EDE" w14:textId="77777777" w:rsidR="00283F6F" w:rsidRPr="00F36703" w:rsidRDefault="00283F6F" w:rsidP="008A27D8">
                  <w:pPr>
                    <w:spacing w:after="0" w:line="240" w:lineRule="auto"/>
                    <w:rPr>
                      <w:rFonts w:ascii="Times New Roman" w:eastAsia="Times New Roman" w:hAnsi="Times New Roman" w:cs="Times New Roman"/>
                      <w:sz w:val="20"/>
                      <w:szCs w:val="20"/>
                      <w:lang w:eastAsia="en-GB"/>
                    </w:rPr>
                  </w:pPr>
                </w:p>
              </w:tc>
            </w:tr>
            <w:tr w:rsidR="00283F6F" w:rsidRPr="00F36703" w14:paraId="17F059EF" w14:textId="77777777" w:rsidTr="008A27D8">
              <w:trPr>
                <w:trHeight w:val="285"/>
              </w:trPr>
              <w:tc>
                <w:tcPr>
                  <w:tcW w:w="506" w:type="dxa"/>
                  <w:tcBorders>
                    <w:top w:val="nil"/>
                    <w:left w:val="nil"/>
                    <w:bottom w:val="nil"/>
                    <w:right w:val="nil"/>
                  </w:tcBorders>
                  <w:shd w:val="clear" w:color="auto" w:fill="auto"/>
                  <w:noWrap/>
                  <w:vAlign w:val="bottom"/>
                  <w:hideMark/>
                </w:tcPr>
                <w:p w14:paraId="536CFAF7" w14:textId="77777777" w:rsidR="00283F6F" w:rsidRPr="00F36703" w:rsidRDefault="00283F6F" w:rsidP="008A27D8">
                  <w:pPr>
                    <w:spacing w:after="0" w:line="240" w:lineRule="auto"/>
                    <w:jc w:val="right"/>
                    <w:rPr>
                      <w:rFonts w:ascii="Calibri" w:eastAsia="Times New Roman" w:hAnsi="Calibri" w:cs="Calibri"/>
                      <w:color w:val="000000"/>
                      <w:lang w:eastAsia="en-GB"/>
                    </w:rPr>
                  </w:pPr>
                  <w:r w:rsidRPr="0055030A">
                    <w:rPr>
                      <w:rFonts w:ascii="Calibri" w:eastAsia="Times New Roman" w:hAnsi="Calibri" w:cs="Calibri"/>
                      <w:color w:val="000000"/>
                      <w:lang w:eastAsia="en-GB"/>
                    </w:rPr>
                    <w:t>E</w:t>
                  </w:r>
                </w:p>
              </w:tc>
              <w:tc>
                <w:tcPr>
                  <w:tcW w:w="5022" w:type="dxa"/>
                  <w:gridSpan w:val="3"/>
                  <w:tcBorders>
                    <w:top w:val="nil"/>
                    <w:left w:val="nil"/>
                    <w:bottom w:val="nil"/>
                    <w:right w:val="nil"/>
                  </w:tcBorders>
                  <w:shd w:val="clear" w:color="auto" w:fill="auto"/>
                  <w:noWrap/>
                  <w:vAlign w:val="bottom"/>
                  <w:hideMark/>
                </w:tcPr>
                <w:p w14:paraId="16E4C766" w14:textId="77777777" w:rsidR="00283F6F" w:rsidRPr="00F36703" w:rsidRDefault="00283F6F" w:rsidP="008A27D8">
                  <w:pPr>
                    <w:spacing w:after="0" w:line="240" w:lineRule="auto"/>
                    <w:rPr>
                      <w:rFonts w:ascii="Calibri" w:eastAsia="Times New Roman" w:hAnsi="Calibri" w:cs="Calibri"/>
                      <w:color w:val="000000"/>
                      <w:lang w:eastAsia="en-GB"/>
                    </w:rPr>
                  </w:pPr>
                  <w:r w:rsidRPr="00F36703">
                    <w:rPr>
                      <w:rFonts w:ascii="Calibri" w:eastAsia="Times New Roman" w:hAnsi="Calibri" w:cs="Calibri"/>
                      <w:color w:val="000000"/>
                      <w:lang w:eastAsia="en-GB"/>
                    </w:rPr>
                    <w:t xml:space="preserve">No fracture, no </w:t>
                  </w:r>
                  <w:r>
                    <w:rPr>
                      <w:rFonts w:ascii="Calibri" w:eastAsia="Times New Roman" w:hAnsi="Calibri" w:cs="Calibri"/>
                      <w:color w:val="000000"/>
                      <w:lang w:eastAsia="en-GB"/>
                    </w:rPr>
                    <w:t xml:space="preserve">BMD </w:t>
                  </w:r>
                  <w:r w:rsidRPr="00F36703">
                    <w:rPr>
                      <w:rFonts w:ascii="Calibri" w:eastAsia="Times New Roman" w:hAnsi="Calibri" w:cs="Calibri"/>
                      <w:color w:val="000000"/>
                      <w:lang w:eastAsia="en-GB"/>
                    </w:rPr>
                    <w:t>scan but high risk</w:t>
                  </w:r>
                </w:p>
              </w:tc>
              <w:tc>
                <w:tcPr>
                  <w:tcW w:w="236" w:type="dxa"/>
                  <w:tcBorders>
                    <w:top w:val="nil"/>
                    <w:left w:val="nil"/>
                    <w:bottom w:val="nil"/>
                    <w:right w:val="nil"/>
                  </w:tcBorders>
                  <w:shd w:val="clear" w:color="auto" w:fill="auto"/>
                  <w:noWrap/>
                  <w:vAlign w:val="bottom"/>
                  <w:hideMark/>
                </w:tcPr>
                <w:p w14:paraId="61C25C95" w14:textId="77777777" w:rsidR="00283F6F" w:rsidRPr="00F36703" w:rsidRDefault="00283F6F" w:rsidP="008A27D8">
                  <w:pPr>
                    <w:spacing w:after="0" w:line="240" w:lineRule="auto"/>
                    <w:rPr>
                      <w:rFonts w:ascii="Calibri" w:eastAsia="Times New Roman" w:hAnsi="Calibri" w:cs="Calibri"/>
                      <w:color w:val="000000"/>
                      <w:lang w:eastAsia="en-GB"/>
                    </w:rPr>
                  </w:pPr>
                </w:p>
              </w:tc>
              <w:tc>
                <w:tcPr>
                  <w:tcW w:w="2061" w:type="dxa"/>
                  <w:tcBorders>
                    <w:top w:val="nil"/>
                    <w:left w:val="nil"/>
                    <w:bottom w:val="nil"/>
                    <w:right w:val="nil"/>
                  </w:tcBorders>
                  <w:shd w:val="clear" w:color="auto" w:fill="auto"/>
                  <w:noWrap/>
                  <w:vAlign w:val="bottom"/>
                  <w:hideMark/>
                </w:tcPr>
                <w:p w14:paraId="7866B9BC" w14:textId="77777777" w:rsidR="00283F6F" w:rsidRPr="00F36703" w:rsidRDefault="00283F6F" w:rsidP="008A27D8">
                  <w:pPr>
                    <w:spacing w:after="0" w:line="240" w:lineRule="auto"/>
                    <w:rPr>
                      <w:rFonts w:ascii="Times New Roman" w:eastAsia="Times New Roman" w:hAnsi="Times New Roman" w:cs="Times New Roman"/>
                      <w:sz w:val="20"/>
                      <w:szCs w:val="20"/>
                      <w:lang w:eastAsia="en-GB"/>
                    </w:rPr>
                  </w:pPr>
                </w:p>
              </w:tc>
            </w:tr>
            <w:tr w:rsidR="00283F6F" w:rsidRPr="00F36703" w14:paraId="3BF7D014" w14:textId="77777777" w:rsidTr="008A27D8">
              <w:trPr>
                <w:trHeight w:val="285"/>
              </w:trPr>
              <w:tc>
                <w:tcPr>
                  <w:tcW w:w="506" w:type="dxa"/>
                  <w:tcBorders>
                    <w:top w:val="nil"/>
                    <w:left w:val="nil"/>
                    <w:bottom w:val="nil"/>
                    <w:right w:val="nil"/>
                  </w:tcBorders>
                  <w:shd w:val="clear" w:color="auto" w:fill="auto"/>
                  <w:noWrap/>
                  <w:vAlign w:val="bottom"/>
                  <w:hideMark/>
                </w:tcPr>
                <w:p w14:paraId="7AB6EA61" w14:textId="77777777" w:rsidR="00283F6F" w:rsidRPr="00F36703" w:rsidRDefault="00283F6F" w:rsidP="008A27D8">
                  <w:pPr>
                    <w:spacing w:after="0" w:line="240" w:lineRule="auto"/>
                    <w:jc w:val="right"/>
                    <w:rPr>
                      <w:rFonts w:ascii="Calibri" w:eastAsia="Times New Roman" w:hAnsi="Calibri" w:cs="Calibri"/>
                      <w:color w:val="000000"/>
                      <w:lang w:eastAsia="en-GB"/>
                    </w:rPr>
                  </w:pPr>
                  <w:r w:rsidRPr="0055030A">
                    <w:rPr>
                      <w:rFonts w:ascii="Calibri" w:eastAsia="Times New Roman" w:hAnsi="Calibri" w:cs="Calibri"/>
                      <w:color w:val="000000"/>
                      <w:lang w:eastAsia="en-GB"/>
                    </w:rPr>
                    <w:t>F</w:t>
                  </w:r>
                </w:p>
              </w:tc>
              <w:tc>
                <w:tcPr>
                  <w:tcW w:w="5258" w:type="dxa"/>
                  <w:gridSpan w:val="4"/>
                  <w:tcBorders>
                    <w:top w:val="nil"/>
                    <w:left w:val="nil"/>
                    <w:bottom w:val="nil"/>
                    <w:right w:val="nil"/>
                  </w:tcBorders>
                  <w:shd w:val="clear" w:color="auto" w:fill="auto"/>
                  <w:noWrap/>
                  <w:vAlign w:val="bottom"/>
                  <w:hideMark/>
                </w:tcPr>
                <w:p w14:paraId="564A9328" w14:textId="77777777" w:rsidR="00283F6F" w:rsidRPr="00F36703" w:rsidRDefault="00283F6F" w:rsidP="008A27D8">
                  <w:pPr>
                    <w:spacing w:after="0" w:line="240" w:lineRule="auto"/>
                    <w:rPr>
                      <w:rFonts w:ascii="Calibri" w:eastAsia="Times New Roman" w:hAnsi="Calibri" w:cs="Calibri"/>
                      <w:color w:val="000000"/>
                      <w:lang w:eastAsia="en-GB"/>
                    </w:rPr>
                  </w:pPr>
                  <w:r w:rsidRPr="00F36703">
                    <w:rPr>
                      <w:rFonts w:ascii="Calibri" w:eastAsia="Times New Roman" w:hAnsi="Calibri" w:cs="Calibri"/>
                      <w:color w:val="000000"/>
                      <w:lang w:eastAsia="en-GB"/>
                    </w:rPr>
                    <w:t xml:space="preserve">No fracture, no </w:t>
                  </w:r>
                  <w:r>
                    <w:rPr>
                      <w:rFonts w:ascii="Calibri" w:eastAsia="Times New Roman" w:hAnsi="Calibri" w:cs="Calibri"/>
                      <w:color w:val="000000"/>
                      <w:lang w:eastAsia="en-GB"/>
                    </w:rPr>
                    <w:t xml:space="preserve">BMD </w:t>
                  </w:r>
                  <w:r w:rsidRPr="00F36703">
                    <w:rPr>
                      <w:rFonts w:ascii="Calibri" w:eastAsia="Times New Roman" w:hAnsi="Calibri" w:cs="Calibri"/>
                      <w:color w:val="000000"/>
                      <w:lang w:eastAsia="en-GB"/>
                    </w:rPr>
                    <w:t>scan but very high risk</w:t>
                  </w:r>
                </w:p>
              </w:tc>
              <w:tc>
                <w:tcPr>
                  <w:tcW w:w="2061" w:type="dxa"/>
                  <w:tcBorders>
                    <w:top w:val="nil"/>
                    <w:left w:val="nil"/>
                    <w:bottom w:val="nil"/>
                    <w:right w:val="nil"/>
                  </w:tcBorders>
                  <w:shd w:val="clear" w:color="auto" w:fill="auto"/>
                  <w:noWrap/>
                  <w:vAlign w:val="bottom"/>
                  <w:hideMark/>
                </w:tcPr>
                <w:p w14:paraId="05FC528E" w14:textId="77777777" w:rsidR="00283F6F" w:rsidRPr="00F36703" w:rsidRDefault="00283F6F" w:rsidP="008A27D8">
                  <w:pPr>
                    <w:spacing w:after="0" w:line="240" w:lineRule="auto"/>
                    <w:rPr>
                      <w:rFonts w:ascii="Calibri" w:eastAsia="Times New Roman" w:hAnsi="Calibri" w:cs="Calibri"/>
                      <w:color w:val="000000"/>
                      <w:lang w:eastAsia="en-GB"/>
                    </w:rPr>
                  </w:pPr>
                </w:p>
              </w:tc>
            </w:tr>
            <w:tr w:rsidR="00283F6F" w:rsidRPr="00F36703" w14:paraId="6A0D9B90" w14:textId="77777777" w:rsidTr="008A27D8">
              <w:trPr>
                <w:trHeight w:val="285"/>
              </w:trPr>
              <w:tc>
                <w:tcPr>
                  <w:tcW w:w="506" w:type="dxa"/>
                  <w:tcBorders>
                    <w:top w:val="nil"/>
                    <w:left w:val="nil"/>
                    <w:bottom w:val="nil"/>
                    <w:right w:val="nil"/>
                  </w:tcBorders>
                  <w:shd w:val="clear" w:color="auto" w:fill="auto"/>
                  <w:noWrap/>
                  <w:vAlign w:val="bottom"/>
                  <w:hideMark/>
                </w:tcPr>
                <w:p w14:paraId="2CF6557A" w14:textId="77777777" w:rsidR="00283F6F" w:rsidRPr="00F36703" w:rsidRDefault="00283F6F" w:rsidP="008A27D8">
                  <w:pPr>
                    <w:spacing w:after="0" w:line="240" w:lineRule="auto"/>
                    <w:jc w:val="right"/>
                    <w:rPr>
                      <w:rFonts w:ascii="Calibri" w:eastAsia="Times New Roman" w:hAnsi="Calibri" w:cs="Calibri"/>
                      <w:color w:val="000000"/>
                      <w:lang w:eastAsia="en-GB"/>
                    </w:rPr>
                  </w:pPr>
                  <w:r w:rsidRPr="0055030A">
                    <w:rPr>
                      <w:rFonts w:ascii="Calibri" w:eastAsia="Times New Roman" w:hAnsi="Calibri" w:cs="Calibri"/>
                      <w:color w:val="000000"/>
                      <w:lang w:eastAsia="en-GB"/>
                    </w:rPr>
                    <w:t>G</w:t>
                  </w:r>
                </w:p>
              </w:tc>
              <w:tc>
                <w:tcPr>
                  <w:tcW w:w="5022" w:type="dxa"/>
                  <w:gridSpan w:val="3"/>
                  <w:tcBorders>
                    <w:top w:val="nil"/>
                    <w:left w:val="nil"/>
                    <w:bottom w:val="nil"/>
                    <w:right w:val="nil"/>
                  </w:tcBorders>
                  <w:shd w:val="clear" w:color="auto" w:fill="auto"/>
                  <w:noWrap/>
                  <w:vAlign w:val="bottom"/>
                  <w:hideMark/>
                </w:tcPr>
                <w:p w14:paraId="0139E45E" w14:textId="77777777" w:rsidR="00283F6F" w:rsidRPr="00F36703" w:rsidRDefault="00283F6F" w:rsidP="008A27D8">
                  <w:pPr>
                    <w:spacing w:after="0" w:line="240" w:lineRule="auto"/>
                    <w:rPr>
                      <w:rFonts w:ascii="Calibri" w:eastAsia="Times New Roman" w:hAnsi="Calibri" w:cs="Calibri"/>
                      <w:color w:val="000000"/>
                      <w:lang w:eastAsia="en-GB"/>
                    </w:rPr>
                  </w:pPr>
                  <w:r w:rsidRPr="00F36703">
                    <w:rPr>
                      <w:rFonts w:ascii="Calibri" w:eastAsia="Times New Roman" w:hAnsi="Calibri" w:cs="Calibri"/>
                      <w:color w:val="000000"/>
                      <w:lang w:eastAsia="en-GB"/>
                    </w:rPr>
                    <w:t xml:space="preserve">Fracture, no </w:t>
                  </w:r>
                  <w:r>
                    <w:rPr>
                      <w:rFonts w:ascii="Calibri" w:eastAsia="Times New Roman" w:hAnsi="Calibri" w:cs="Calibri"/>
                      <w:color w:val="000000"/>
                      <w:lang w:eastAsia="en-GB"/>
                    </w:rPr>
                    <w:t xml:space="preserve">BMD </w:t>
                  </w:r>
                  <w:r w:rsidRPr="00F36703">
                    <w:rPr>
                      <w:rFonts w:ascii="Calibri" w:eastAsia="Times New Roman" w:hAnsi="Calibri" w:cs="Calibri"/>
                      <w:color w:val="000000"/>
                      <w:lang w:eastAsia="en-GB"/>
                    </w:rPr>
                    <w:t>scan but high risk</w:t>
                  </w:r>
                </w:p>
              </w:tc>
              <w:tc>
                <w:tcPr>
                  <w:tcW w:w="236" w:type="dxa"/>
                  <w:tcBorders>
                    <w:top w:val="nil"/>
                    <w:left w:val="nil"/>
                    <w:bottom w:val="nil"/>
                    <w:right w:val="nil"/>
                  </w:tcBorders>
                  <w:shd w:val="clear" w:color="auto" w:fill="auto"/>
                  <w:noWrap/>
                  <w:vAlign w:val="bottom"/>
                  <w:hideMark/>
                </w:tcPr>
                <w:p w14:paraId="24FAA2B9" w14:textId="77777777" w:rsidR="00283F6F" w:rsidRPr="00F36703" w:rsidRDefault="00283F6F" w:rsidP="008A27D8">
                  <w:pPr>
                    <w:spacing w:after="0" w:line="240" w:lineRule="auto"/>
                    <w:rPr>
                      <w:rFonts w:ascii="Calibri" w:eastAsia="Times New Roman" w:hAnsi="Calibri" w:cs="Calibri"/>
                      <w:color w:val="000000"/>
                      <w:lang w:eastAsia="en-GB"/>
                    </w:rPr>
                  </w:pPr>
                </w:p>
              </w:tc>
              <w:tc>
                <w:tcPr>
                  <w:tcW w:w="2061" w:type="dxa"/>
                  <w:tcBorders>
                    <w:top w:val="nil"/>
                    <w:left w:val="nil"/>
                    <w:bottom w:val="nil"/>
                    <w:right w:val="nil"/>
                  </w:tcBorders>
                  <w:shd w:val="clear" w:color="auto" w:fill="auto"/>
                  <w:noWrap/>
                  <w:vAlign w:val="bottom"/>
                  <w:hideMark/>
                </w:tcPr>
                <w:p w14:paraId="3E414C01" w14:textId="77777777" w:rsidR="00283F6F" w:rsidRPr="00F36703" w:rsidRDefault="00283F6F" w:rsidP="008A27D8">
                  <w:pPr>
                    <w:spacing w:after="0" w:line="240" w:lineRule="auto"/>
                    <w:rPr>
                      <w:rFonts w:ascii="Times New Roman" w:eastAsia="Times New Roman" w:hAnsi="Times New Roman" w:cs="Times New Roman"/>
                      <w:sz w:val="20"/>
                      <w:szCs w:val="20"/>
                      <w:lang w:eastAsia="en-GB"/>
                    </w:rPr>
                  </w:pPr>
                </w:p>
              </w:tc>
            </w:tr>
            <w:tr w:rsidR="00283F6F" w:rsidRPr="00F36703" w14:paraId="05EEF421" w14:textId="77777777" w:rsidTr="008A27D8">
              <w:trPr>
                <w:trHeight w:val="285"/>
              </w:trPr>
              <w:tc>
                <w:tcPr>
                  <w:tcW w:w="506" w:type="dxa"/>
                  <w:tcBorders>
                    <w:top w:val="nil"/>
                    <w:left w:val="nil"/>
                    <w:bottom w:val="nil"/>
                    <w:right w:val="nil"/>
                  </w:tcBorders>
                  <w:shd w:val="clear" w:color="auto" w:fill="auto"/>
                  <w:noWrap/>
                  <w:vAlign w:val="bottom"/>
                  <w:hideMark/>
                </w:tcPr>
                <w:p w14:paraId="2715D9B3" w14:textId="77777777" w:rsidR="00283F6F" w:rsidRPr="00F36703" w:rsidRDefault="00283F6F" w:rsidP="008A27D8">
                  <w:pPr>
                    <w:spacing w:after="0" w:line="240" w:lineRule="auto"/>
                    <w:jc w:val="right"/>
                    <w:rPr>
                      <w:rFonts w:ascii="Calibri" w:eastAsia="Times New Roman" w:hAnsi="Calibri" w:cs="Calibri"/>
                      <w:color w:val="000000"/>
                      <w:lang w:eastAsia="en-GB"/>
                    </w:rPr>
                  </w:pPr>
                  <w:r w:rsidRPr="0055030A">
                    <w:rPr>
                      <w:rFonts w:ascii="Calibri" w:eastAsia="Times New Roman" w:hAnsi="Calibri" w:cs="Calibri"/>
                      <w:color w:val="000000"/>
                      <w:lang w:eastAsia="en-GB"/>
                    </w:rPr>
                    <w:t>H</w:t>
                  </w:r>
                </w:p>
              </w:tc>
              <w:tc>
                <w:tcPr>
                  <w:tcW w:w="5022" w:type="dxa"/>
                  <w:gridSpan w:val="3"/>
                  <w:tcBorders>
                    <w:top w:val="nil"/>
                    <w:left w:val="nil"/>
                    <w:bottom w:val="nil"/>
                    <w:right w:val="nil"/>
                  </w:tcBorders>
                  <w:shd w:val="clear" w:color="auto" w:fill="auto"/>
                  <w:noWrap/>
                  <w:vAlign w:val="bottom"/>
                  <w:hideMark/>
                </w:tcPr>
                <w:p w14:paraId="0C4D8192" w14:textId="77777777" w:rsidR="00283F6F" w:rsidRPr="00F36703" w:rsidRDefault="00283F6F" w:rsidP="008A27D8">
                  <w:pPr>
                    <w:spacing w:after="0" w:line="240" w:lineRule="auto"/>
                    <w:rPr>
                      <w:rFonts w:ascii="Calibri" w:eastAsia="Times New Roman" w:hAnsi="Calibri" w:cs="Calibri"/>
                      <w:color w:val="000000"/>
                      <w:lang w:eastAsia="en-GB"/>
                    </w:rPr>
                  </w:pPr>
                  <w:r w:rsidRPr="00F36703">
                    <w:rPr>
                      <w:rFonts w:ascii="Calibri" w:eastAsia="Times New Roman" w:hAnsi="Calibri" w:cs="Calibri"/>
                      <w:color w:val="000000"/>
                      <w:lang w:eastAsia="en-GB"/>
                    </w:rPr>
                    <w:t xml:space="preserve">Fracture, no </w:t>
                  </w:r>
                  <w:r>
                    <w:rPr>
                      <w:rFonts w:ascii="Calibri" w:eastAsia="Times New Roman" w:hAnsi="Calibri" w:cs="Calibri"/>
                      <w:color w:val="000000"/>
                      <w:lang w:eastAsia="en-GB"/>
                    </w:rPr>
                    <w:t xml:space="preserve">BMD </w:t>
                  </w:r>
                  <w:r w:rsidRPr="00F36703">
                    <w:rPr>
                      <w:rFonts w:ascii="Calibri" w:eastAsia="Times New Roman" w:hAnsi="Calibri" w:cs="Calibri"/>
                      <w:color w:val="000000"/>
                      <w:lang w:eastAsia="en-GB"/>
                    </w:rPr>
                    <w:t>scan but very high risk</w:t>
                  </w:r>
                </w:p>
              </w:tc>
              <w:tc>
                <w:tcPr>
                  <w:tcW w:w="236" w:type="dxa"/>
                  <w:tcBorders>
                    <w:top w:val="nil"/>
                    <w:left w:val="nil"/>
                    <w:bottom w:val="nil"/>
                    <w:right w:val="nil"/>
                  </w:tcBorders>
                  <w:shd w:val="clear" w:color="auto" w:fill="auto"/>
                  <w:noWrap/>
                  <w:vAlign w:val="bottom"/>
                  <w:hideMark/>
                </w:tcPr>
                <w:p w14:paraId="147073D7" w14:textId="77777777" w:rsidR="00283F6F" w:rsidRPr="00F36703" w:rsidRDefault="00283F6F" w:rsidP="008A27D8">
                  <w:pPr>
                    <w:spacing w:after="0" w:line="240" w:lineRule="auto"/>
                    <w:rPr>
                      <w:rFonts w:ascii="Calibri" w:eastAsia="Times New Roman" w:hAnsi="Calibri" w:cs="Calibri"/>
                      <w:color w:val="000000"/>
                      <w:lang w:eastAsia="en-GB"/>
                    </w:rPr>
                  </w:pPr>
                </w:p>
              </w:tc>
              <w:tc>
                <w:tcPr>
                  <w:tcW w:w="2061" w:type="dxa"/>
                  <w:tcBorders>
                    <w:top w:val="nil"/>
                    <w:left w:val="nil"/>
                    <w:bottom w:val="nil"/>
                    <w:right w:val="nil"/>
                  </w:tcBorders>
                  <w:shd w:val="clear" w:color="auto" w:fill="auto"/>
                  <w:noWrap/>
                  <w:vAlign w:val="bottom"/>
                  <w:hideMark/>
                </w:tcPr>
                <w:p w14:paraId="3918C29E" w14:textId="77777777" w:rsidR="00283F6F" w:rsidRPr="00F36703" w:rsidRDefault="00283F6F" w:rsidP="008A27D8">
                  <w:pPr>
                    <w:spacing w:after="0" w:line="240" w:lineRule="auto"/>
                    <w:rPr>
                      <w:rFonts w:ascii="Times New Roman" w:eastAsia="Times New Roman" w:hAnsi="Times New Roman" w:cs="Times New Roman"/>
                      <w:sz w:val="20"/>
                      <w:szCs w:val="20"/>
                      <w:lang w:eastAsia="en-GB"/>
                    </w:rPr>
                  </w:pPr>
                </w:p>
              </w:tc>
            </w:tr>
          </w:tbl>
          <w:p w14:paraId="3B184977" w14:textId="77777777" w:rsidR="00283F6F" w:rsidRPr="0055030A" w:rsidRDefault="00283F6F" w:rsidP="008A27D8">
            <w:pPr>
              <w:autoSpaceDE w:val="0"/>
              <w:autoSpaceDN w:val="0"/>
              <w:adjustRightInd w:val="0"/>
              <w:spacing w:line="276" w:lineRule="auto"/>
              <w:rPr>
                <w:rFonts w:ascii="Calibri" w:hAnsi="Calibri" w:cs="Calibri"/>
                <w:color w:val="131413"/>
                <w:sz w:val="20"/>
                <w:szCs w:val="20"/>
              </w:rPr>
            </w:pPr>
          </w:p>
        </w:tc>
      </w:tr>
    </w:tbl>
    <w:p w14:paraId="4FCEE11A" w14:textId="4E9E8679" w:rsidR="00283F6F" w:rsidRDefault="00283F6F" w:rsidP="00DD4D25">
      <w:pPr>
        <w:autoSpaceDE w:val="0"/>
        <w:autoSpaceDN w:val="0"/>
        <w:adjustRightInd w:val="0"/>
        <w:spacing w:after="0" w:line="276" w:lineRule="auto"/>
        <w:rPr>
          <w:rFonts w:ascii="Calibri" w:hAnsi="Calibri" w:cs="Calibri"/>
          <w:color w:val="131413"/>
          <w:sz w:val="20"/>
          <w:szCs w:val="20"/>
        </w:rPr>
      </w:pPr>
    </w:p>
    <w:p w14:paraId="3299BC9B" w14:textId="77777777" w:rsidR="00283F6F" w:rsidRPr="00BE3348" w:rsidRDefault="00283F6F" w:rsidP="00DD4D25">
      <w:pPr>
        <w:autoSpaceDE w:val="0"/>
        <w:autoSpaceDN w:val="0"/>
        <w:adjustRightInd w:val="0"/>
        <w:spacing w:after="0" w:line="276" w:lineRule="auto"/>
        <w:rPr>
          <w:rFonts w:ascii="Calibri" w:hAnsi="Calibri" w:cs="Calibri"/>
          <w:color w:val="131413"/>
          <w:sz w:val="20"/>
          <w:szCs w:val="20"/>
        </w:rPr>
      </w:pPr>
    </w:p>
    <w:p w14:paraId="0FBA4244" w14:textId="321A96BB" w:rsidR="008D3708" w:rsidRPr="00B473D4" w:rsidRDefault="00876398" w:rsidP="00AA1754">
      <w:pPr>
        <w:spacing w:line="276" w:lineRule="auto"/>
        <w:rPr>
          <w:rFonts w:ascii="Calibri" w:eastAsia="Calibri" w:hAnsi="Calibri" w:cs="Times New Roman"/>
          <w:sz w:val="24"/>
          <w:szCs w:val="24"/>
          <w:lang w:val="sv-SE"/>
        </w:rPr>
      </w:pPr>
      <w:r w:rsidRPr="00B473D4">
        <w:rPr>
          <w:rFonts w:ascii="Calibri" w:eastAsia="Calibri" w:hAnsi="Calibri" w:cs="Times New Roman"/>
          <w:sz w:val="24"/>
          <w:szCs w:val="24"/>
          <w:lang w:val="sv-SE"/>
        </w:rPr>
        <w:t>Probability ratios for the ARCH study are s</w:t>
      </w:r>
      <w:r w:rsidR="00B473D4" w:rsidRPr="00B473D4">
        <w:rPr>
          <w:rFonts w:ascii="Calibri" w:eastAsia="Calibri" w:hAnsi="Calibri" w:cs="Times New Roman"/>
          <w:sz w:val="24"/>
          <w:szCs w:val="24"/>
          <w:lang w:val="sv-SE"/>
        </w:rPr>
        <w:t>hown in Table 2.</w:t>
      </w:r>
      <w:r w:rsidR="004825E8">
        <w:rPr>
          <w:rFonts w:ascii="Calibri" w:eastAsia="Calibri" w:hAnsi="Calibri" w:cs="Times New Roman"/>
          <w:sz w:val="24"/>
          <w:szCs w:val="24"/>
          <w:lang w:val="sv-SE"/>
        </w:rPr>
        <w:t xml:space="preserve"> </w:t>
      </w:r>
      <w:r w:rsidR="006512E1">
        <w:rPr>
          <w:rFonts w:ascii="Calibri" w:eastAsia="Calibri" w:hAnsi="Calibri" w:cs="Times New Roman"/>
          <w:sz w:val="24"/>
          <w:szCs w:val="24"/>
          <w:lang w:val="sv-SE"/>
        </w:rPr>
        <w:t xml:space="preserve">The data indicate that </w:t>
      </w:r>
      <w:r w:rsidR="00493766">
        <w:rPr>
          <w:rFonts w:ascii="Calibri" w:eastAsia="Calibri" w:hAnsi="Calibri" w:cs="Times New Roman"/>
          <w:sz w:val="24"/>
          <w:szCs w:val="24"/>
          <w:lang w:val="sv-SE"/>
        </w:rPr>
        <w:t>many</w:t>
      </w:r>
      <w:r w:rsidR="009A13AA">
        <w:rPr>
          <w:rFonts w:ascii="Calibri" w:eastAsia="Calibri" w:hAnsi="Calibri" w:cs="Times New Roman"/>
          <w:sz w:val="24"/>
          <w:szCs w:val="24"/>
          <w:lang w:val="sv-SE"/>
        </w:rPr>
        <w:t xml:space="preserve"> patients exposed to romos</w:t>
      </w:r>
      <w:r w:rsidR="00BE547D">
        <w:rPr>
          <w:rFonts w:ascii="Calibri" w:eastAsia="Calibri" w:hAnsi="Calibri" w:cs="Times New Roman"/>
          <w:sz w:val="24"/>
          <w:szCs w:val="24"/>
          <w:lang w:val="sv-SE"/>
        </w:rPr>
        <w:t xml:space="preserve">uzumab </w:t>
      </w:r>
      <w:r w:rsidR="00211759">
        <w:rPr>
          <w:rFonts w:ascii="Calibri" w:eastAsia="Calibri" w:hAnsi="Calibri" w:cs="Times New Roman"/>
          <w:sz w:val="24"/>
          <w:szCs w:val="24"/>
          <w:lang w:val="sv-SE"/>
        </w:rPr>
        <w:t>would fall into the very high risk category</w:t>
      </w:r>
      <w:r w:rsidR="00B6664D">
        <w:rPr>
          <w:rFonts w:ascii="Calibri" w:eastAsia="Calibri" w:hAnsi="Calibri" w:cs="Times New Roman"/>
          <w:sz w:val="24"/>
          <w:szCs w:val="24"/>
          <w:lang w:val="sv-SE"/>
        </w:rPr>
        <w:t xml:space="preserve"> with </w:t>
      </w:r>
      <w:r w:rsidR="006512E1">
        <w:rPr>
          <w:rFonts w:ascii="Calibri" w:eastAsia="Calibri" w:hAnsi="Calibri" w:cs="Times New Roman"/>
          <w:sz w:val="24"/>
          <w:szCs w:val="24"/>
          <w:lang w:val="sv-SE"/>
        </w:rPr>
        <w:t xml:space="preserve">a UIT </w:t>
      </w:r>
      <w:r w:rsidR="009A13AA">
        <w:rPr>
          <w:rFonts w:ascii="Calibri" w:eastAsia="Calibri" w:hAnsi="Calibri" w:cs="Times New Roman"/>
          <w:sz w:val="24"/>
          <w:szCs w:val="24"/>
          <w:lang w:val="sv-SE"/>
        </w:rPr>
        <w:t>of 1.6</w:t>
      </w:r>
      <w:r w:rsidR="00B6664D">
        <w:rPr>
          <w:rFonts w:ascii="Calibri" w:eastAsia="Calibri" w:hAnsi="Calibri" w:cs="Times New Roman"/>
          <w:sz w:val="24"/>
          <w:szCs w:val="24"/>
          <w:lang w:val="sv-SE"/>
        </w:rPr>
        <w:t>.</w:t>
      </w:r>
      <w:r w:rsidR="00887F7A">
        <w:rPr>
          <w:rFonts w:ascii="Calibri" w:eastAsia="Calibri" w:hAnsi="Calibri" w:cs="Times New Roman"/>
          <w:sz w:val="24"/>
          <w:szCs w:val="24"/>
          <w:lang w:val="sv-SE"/>
        </w:rPr>
        <w:t xml:space="preserve"> </w:t>
      </w:r>
      <w:r w:rsidR="00493766">
        <w:rPr>
          <w:rFonts w:ascii="Calibri" w:eastAsia="Calibri" w:hAnsi="Calibri" w:cs="Times New Roman"/>
          <w:sz w:val="24"/>
          <w:szCs w:val="24"/>
        </w:rPr>
        <w:t xml:space="preserve">When based on the probability of a major fracture, 41% of patients </w:t>
      </w:r>
      <w:bookmarkStart w:id="6" w:name="_Hlk67306430"/>
      <w:r w:rsidR="00493766">
        <w:rPr>
          <w:rFonts w:ascii="Calibri" w:eastAsia="Calibri" w:hAnsi="Calibri" w:cs="Times New Roman"/>
          <w:sz w:val="24"/>
          <w:szCs w:val="24"/>
        </w:rPr>
        <w:t xml:space="preserve">had a probability ratio that exceeded 1.6.  </w:t>
      </w:r>
      <w:bookmarkEnd w:id="6"/>
      <w:r w:rsidR="00493766">
        <w:rPr>
          <w:rFonts w:ascii="Calibri" w:eastAsia="Calibri" w:hAnsi="Calibri" w:cs="Times New Roman"/>
          <w:sz w:val="24"/>
          <w:szCs w:val="24"/>
        </w:rPr>
        <w:t xml:space="preserve">When based on the probability of hip fracture, the majority of patients (73%) </w:t>
      </w:r>
      <w:r w:rsidR="00493766" w:rsidRPr="00583E82">
        <w:rPr>
          <w:rFonts w:ascii="Calibri" w:eastAsia="Calibri" w:hAnsi="Calibri" w:cs="Times New Roman"/>
          <w:sz w:val="24"/>
          <w:szCs w:val="24"/>
        </w:rPr>
        <w:t xml:space="preserve">had a probability ratio that exceeded 1.6.  </w:t>
      </w:r>
      <w:r w:rsidR="00887F7A">
        <w:rPr>
          <w:rFonts w:ascii="Calibri" w:eastAsia="Calibri" w:hAnsi="Calibri" w:cs="Times New Roman"/>
          <w:sz w:val="24"/>
          <w:szCs w:val="24"/>
          <w:lang w:val="sv-SE"/>
        </w:rPr>
        <w:t xml:space="preserve"> </w:t>
      </w:r>
      <w:r w:rsidR="00812E22">
        <w:rPr>
          <w:rFonts w:ascii="Calibri" w:eastAsia="Calibri" w:hAnsi="Calibri" w:cs="Times New Roman"/>
          <w:sz w:val="24"/>
          <w:szCs w:val="24"/>
          <w:lang w:val="sv-SE"/>
        </w:rPr>
        <w:t>Similarly</w:t>
      </w:r>
      <w:r w:rsidR="00B54B11">
        <w:rPr>
          <w:rFonts w:ascii="Calibri" w:eastAsia="Calibri" w:hAnsi="Calibri" w:cs="Times New Roman"/>
          <w:sz w:val="24"/>
          <w:szCs w:val="24"/>
          <w:lang w:val="sv-SE"/>
        </w:rPr>
        <w:t>,</w:t>
      </w:r>
      <w:r w:rsidR="00057229">
        <w:rPr>
          <w:rFonts w:ascii="Calibri" w:eastAsia="Calibri" w:hAnsi="Calibri" w:cs="Times New Roman"/>
          <w:sz w:val="24"/>
          <w:szCs w:val="24"/>
          <w:lang w:val="sv-SE"/>
        </w:rPr>
        <w:t xml:space="preserve"> </w:t>
      </w:r>
      <w:r w:rsidR="005D1727">
        <w:rPr>
          <w:rFonts w:ascii="Calibri" w:eastAsia="Calibri" w:hAnsi="Calibri" w:cs="Times New Roman"/>
          <w:sz w:val="24"/>
          <w:szCs w:val="24"/>
          <w:lang w:val="sv-SE"/>
        </w:rPr>
        <w:t>for teriparatide</w:t>
      </w:r>
      <w:r w:rsidR="00812E22">
        <w:rPr>
          <w:rFonts w:ascii="Calibri" w:eastAsia="Calibri" w:hAnsi="Calibri" w:cs="Times New Roman"/>
          <w:sz w:val="24"/>
          <w:szCs w:val="24"/>
          <w:lang w:val="sv-SE"/>
        </w:rPr>
        <w:t xml:space="preserve">, </w:t>
      </w:r>
      <w:r w:rsidR="008631CA">
        <w:rPr>
          <w:rFonts w:ascii="Calibri" w:eastAsia="Calibri" w:hAnsi="Calibri" w:cs="Times New Roman"/>
          <w:sz w:val="24"/>
          <w:szCs w:val="24"/>
          <w:lang w:val="sv-SE"/>
        </w:rPr>
        <w:t>hi</w:t>
      </w:r>
      <w:r w:rsidR="008B3C93">
        <w:rPr>
          <w:rFonts w:ascii="Calibri" w:eastAsia="Calibri" w:hAnsi="Calibri" w:cs="Times New Roman"/>
          <w:sz w:val="24"/>
          <w:szCs w:val="24"/>
          <w:lang w:val="sv-SE"/>
        </w:rPr>
        <w:t>gh</w:t>
      </w:r>
      <w:r w:rsidR="00812E22">
        <w:rPr>
          <w:rFonts w:ascii="Calibri" w:eastAsia="Calibri" w:hAnsi="Calibri" w:cs="Times New Roman"/>
          <w:sz w:val="24"/>
          <w:szCs w:val="24"/>
          <w:lang w:val="sv-SE"/>
        </w:rPr>
        <w:t xml:space="preserve"> me</w:t>
      </w:r>
      <w:r w:rsidR="00A26BB4">
        <w:rPr>
          <w:rFonts w:ascii="Calibri" w:eastAsia="Calibri" w:hAnsi="Calibri" w:cs="Times New Roman"/>
          <w:sz w:val="24"/>
          <w:szCs w:val="24"/>
          <w:lang w:val="sv-SE"/>
        </w:rPr>
        <w:t>di</w:t>
      </w:r>
      <w:r w:rsidR="00812E22">
        <w:rPr>
          <w:rFonts w:ascii="Calibri" w:eastAsia="Calibri" w:hAnsi="Calibri" w:cs="Times New Roman"/>
          <w:sz w:val="24"/>
          <w:szCs w:val="24"/>
          <w:lang w:val="sv-SE"/>
        </w:rPr>
        <w:t>an hip fracture probabili</w:t>
      </w:r>
      <w:r w:rsidR="00E249F0">
        <w:rPr>
          <w:rFonts w:ascii="Calibri" w:eastAsia="Calibri" w:hAnsi="Calibri" w:cs="Times New Roman"/>
          <w:sz w:val="24"/>
          <w:szCs w:val="24"/>
          <w:lang w:val="sv-SE"/>
        </w:rPr>
        <w:t xml:space="preserve">ty </w:t>
      </w:r>
      <w:r w:rsidR="00A56DED">
        <w:rPr>
          <w:rFonts w:ascii="Calibri" w:eastAsia="Calibri" w:hAnsi="Calibri" w:cs="Times New Roman"/>
          <w:sz w:val="24"/>
          <w:szCs w:val="24"/>
          <w:lang w:val="sv-SE"/>
        </w:rPr>
        <w:t>rat</w:t>
      </w:r>
      <w:r w:rsidR="008631CA">
        <w:rPr>
          <w:rFonts w:ascii="Calibri" w:eastAsia="Calibri" w:hAnsi="Calibri" w:cs="Times New Roman"/>
          <w:sz w:val="24"/>
          <w:szCs w:val="24"/>
          <w:lang w:val="sv-SE"/>
        </w:rPr>
        <w:t>i</w:t>
      </w:r>
      <w:r w:rsidR="00A56DED">
        <w:rPr>
          <w:rFonts w:ascii="Calibri" w:eastAsia="Calibri" w:hAnsi="Calibri" w:cs="Times New Roman"/>
          <w:sz w:val="24"/>
          <w:szCs w:val="24"/>
          <w:lang w:val="sv-SE"/>
        </w:rPr>
        <w:t>os</w:t>
      </w:r>
      <w:r w:rsidR="008631CA">
        <w:rPr>
          <w:rFonts w:ascii="Calibri" w:eastAsia="Calibri" w:hAnsi="Calibri" w:cs="Times New Roman"/>
          <w:sz w:val="24"/>
          <w:szCs w:val="24"/>
          <w:lang w:val="sv-SE"/>
        </w:rPr>
        <w:t xml:space="preserve"> </w:t>
      </w:r>
      <w:r w:rsidR="00E249F0">
        <w:rPr>
          <w:rFonts w:ascii="Calibri" w:eastAsia="Calibri" w:hAnsi="Calibri" w:cs="Times New Roman"/>
          <w:sz w:val="24"/>
          <w:szCs w:val="24"/>
          <w:lang w:val="sv-SE"/>
        </w:rPr>
        <w:t>at ba</w:t>
      </w:r>
      <w:r w:rsidR="00D82011">
        <w:rPr>
          <w:rFonts w:ascii="Calibri" w:eastAsia="Calibri" w:hAnsi="Calibri" w:cs="Times New Roman"/>
          <w:sz w:val="24"/>
          <w:szCs w:val="24"/>
          <w:lang w:val="sv-SE"/>
        </w:rPr>
        <w:t>s</w:t>
      </w:r>
      <w:r w:rsidR="00E249F0">
        <w:rPr>
          <w:rFonts w:ascii="Calibri" w:eastAsia="Calibri" w:hAnsi="Calibri" w:cs="Times New Roman"/>
          <w:sz w:val="24"/>
          <w:szCs w:val="24"/>
          <w:lang w:val="sv-SE"/>
        </w:rPr>
        <w:t xml:space="preserve">eline </w:t>
      </w:r>
      <w:r w:rsidR="008B3C93">
        <w:rPr>
          <w:rFonts w:ascii="Calibri" w:eastAsia="Calibri" w:hAnsi="Calibri" w:cs="Times New Roman"/>
          <w:sz w:val="24"/>
          <w:szCs w:val="24"/>
          <w:lang w:val="sv-SE"/>
        </w:rPr>
        <w:t>were observed in</w:t>
      </w:r>
      <w:r w:rsidR="00E249F0">
        <w:rPr>
          <w:rFonts w:ascii="Calibri" w:eastAsia="Calibri" w:hAnsi="Calibri" w:cs="Times New Roman"/>
          <w:sz w:val="24"/>
          <w:szCs w:val="24"/>
          <w:lang w:val="sv-SE"/>
        </w:rPr>
        <w:t xml:space="preserve"> the multinationa</w:t>
      </w:r>
      <w:r w:rsidR="00D82011">
        <w:rPr>
          <w:rFonts w:ascii="Calibri" w:eastAsia="Calibri" w:hAnsi="Calibri" w:cs="Times New Roman"/>
          <w:sz w:val="24"/>
          <w:szCs w:val="24"/>
          <w:lang w:val="sv-SE"/>
        </w:rPr>
        <w:t xml:space="preserve">l phase 3 </w:t>
      </w:r>
      <w:r w:rsidR="00FB53F7">
        <w:rPr>
          <w:rFonts w:ascii="Calibri" w:eastAsia="Calibri" w:hAnsi="Calibri" w:cs="Times New Roman"/>
          <w:sz w:val="24"/>
          <w:szCs w:val="24"/>
          <w:lang w:val="sv-SE"/>
        </w:rPr>
        <w:t>s</w:t>
      </w:r>
      <w:r w:rsidR="00D82011">
        <w:rPr>
          <w:rFonts w:ascii="Calibri" w:eastAsia="Calibri" w:hAnsi="Calibri" w:cs="Times New Roman"/>
          <w:sz w:val="24"/>
          <w:szCs w:val="24"/>
          <w:lang w:val="sv-SE"/>
        </w:rPr>
        <w:t xml:space="preserve">tudy </w:t>
      </w:r>
      <w:r w:rsidR="008B3C93">
        <w:rPr>
          <w:rFonts w:ascii="Calibri" w:eastAsia="Calibri" w:hAnsi="Calibri" w:cs="Times New Roman"/>
          <w:sz w:val="24"/>
          <w:szCs w:val="24"/>
          <w:lang w:val="sv-SE"/>
        </w:rPr>
        <w:t>(</w:t>
      </w:r>
      <w:r w:rsidR="00FD03A2">
        <w:rPr>
          <w:rFonts w:ascii="Calibri" w:eastAsia="Calibri" w:hAnsi="Calibri" w:cs="Times New Roman"/>
          <w:sz w:val="24"/>
          <w:szCs w:val="24"/>
          <w:lang w:val="sv-SE"/>
        </w:rPr>
        <w:t xml:space="preserve">ratio = </w:t>
      </w:r>
      <w:r w:rsidR="008E0D5E">
        <w:rPr>
          <w:rFonts w:ascii="Calibri" w:eastAsia="Calibri" w:hAnsi="Calibri" w:cs="Times New Roman"/>
          <w:sz w:val="24"/>
          <w:szCs w:val="24"/>
          <w:lang w:val="sv-SE"/>
        </w:rPr>
        <w:t>1.</w:t>
      </w:r>
      <w:r w:rsidR="00A26BB4">
        <w:rPr>
          <w:rFonts w:ascii="Calibri" w:eastAsia="Calibri" w:hAnsi="Calibri" w:cs="Times New Roman"/>
          <w:sz w:val="24"/>
          <w:szCs w:val="24"/>
          <w:lang w:val="sv-SE"/>
        </w:rPr>
        <w:t>41</w:t>
      </w:r>
      <w:r w:rsidR="008E0D5E">
        <w:rPr>
          <w:rFonts w:ascii="Calibri" w:eastAsia="Calibri" w:hAnsi="Calibri" w:cs="Times New Roman"/>
          <w:sz w:val="24"/>
          <w:szCs w:val="24"/>
          <w:lang w:val="sv-SE"/>
        </w:rPr>
        <w:t>) and in the TOWER</w:t>
      </w:r>
      <w:r w:rsidR="00C20E16">
        <w:rPr>
          <w:rFonts w:ascii="Calibri" w:eastAsia="Calibri" w:hAnsi="Calibri" w:cs="Times New Roman"/>
          <w:sz w:val="24"/>
          <w:szCs w:val="24"/>
          <w:lang w:val="sv-SE"/>
        </w:rPr>
        <w:t xml:space="preserve"> study (me</w:t>
      </w:r>
      <w:r w:rsidR="00AF6CA6">
        <w:rPr>
          <w:rFonts w:ascii="Calibri" w:eastAsia="Calibri" w:hAnsi="Calibri" w:cs="Times New Roman"/>
          <w:sz w:val="24"/>
          <w:szCs w:val="24"/>
          <w:lang w:val="sv-SE"/>
        </w:rPr>
        <w:t>di</w:t>
      </w:r>
      <w:r w:rsidR="00C20E16">
        <w:rPr>
          <w:rFonts w:ascii="Calibri" w:eastAsia="Calibri" w:hAnsi="Calibri" w:cs="Times New Roman"/>
          <w:sz w:val="24"/>
          <w:szCs w:val="24"/>
          <w:lang w:val="sv-SE"/>
        </w:rPr>
        <w:t>an ratio =</w:t>
      </w:r>
      <w:r w:rsidR="00057229">
        <w:rPr>
          <w:rFonts w:ascii="Calibri" w:eastAsia="Calibri" w:hAnsi="Calibri" w:cs="Times New Roman"/>
          <w:sz w:val="24"/>
          <w:szCs w:val="24"/>
          <w:lang w:val="sv-SE"/>
        </w:rPr>
        <w:t xml:space="preserve"> 2.</w:t>
      </w:r>
      <w:r w:rsidR="00A26BB4">
        <w:rPr>
          <w:rFonts w:ascii="Calibri" w:eastAsia="Calibri" w:hAnsi="Calibri" w:cs="Times New Roman"/>
          <w:sz w:val="24"/>
          <w:szCs w:val="24"/>
          <w:lang w:val="sv-SE"/>
        </w:rPr>
        <w:t>12</w:t>
      </w:r>
      <w:r w:rsidR="00057229">
        <w:rPr>
          <w:rFonts w:ascii="Calibri" w:eastAsia="Calibri" w:hAnsi="Calibri" w:cs="Times New Roman"/>
          <w:sz w:val="24"/>
          <w:szCs w:val="24"/>
          <w:lang w:val="sv-SE"/>
        </w:rPr>
        <w:t>)</w:t>
      </w:r>
      <w:r w:rsidR="005D1727">
        <w:rPr>
          <w:rFonts w:ascii="Calibri" w:eastAsia="Calibri" w:hAnsi="Calibri" w:cs="Times New Roman"/>
          <w:sz w:val="24"/>
          <w:szCs w:val="24"/>
          <w:lang w:val="sv-SE"/>
        </w:rPr>
        <w:t>.</w:t>
      </w:r>
      <w:r w:rsidR="00D82011">
        <w:rPr>
          <w:rFonts w:ascii="Calibri" w:eastAsia="Calibri" w:hAnsi="Calibri" w:cs="Times New Roman"/>
          <w:sz w:val="24"/>
          <w:szCs w:val="24"/>
          <w:lang w:val="sv-SE"/>
        </w:rPr>
        <w:t xml:space="preserve"> </w:t>
      </w:r>
    </w:p>
    <w:p w14:paraId="18DA6BD7" w14:textId="28EACCBE" w:rsidR="00FD1974" w:rsidRPr="00FD1974" w:rsidRDefault="00FD1974" w:rsidP="00AB4FCE">
      <w:pPr>
        <w:ind w:left="567" w:right="662"/>
        <w:rPr>
          <w:rFonts w:ascii="Calibri" w:eastAsia="Calibri" w:hAnsi="Calibri" w:cs="Times New Roman"/>
          <w:sz w:val="20"/>
          <w:szCs w:val="20"/>
          <w:lang w:val="sv-SE"/>
        </w:rPr>
      </w:pPr>
      <w:r w:rsidRPr="00FD1974">
        <w:rPr>
          <w:rFonts w:ascii="Calibri" w:eastAsia="Calibri" w:hAnsi="Calibri" w:cs="Times New Roman"/>
          <w:b/>
          <w:bCs/>
          <w:sz w:val="20"/>
          <w:szCs w:val="20"/>
          <w:lang w:val="sv-SE"/>
        </w:rPr>
        <w:t>Table 2</w:t>
      </w:r>
      <w:r w:rsidR="000462B1" w:rsidRPr="00D3475F">
        <w:rPr>
          <w:rFonts w:ascii="Calibri" w:eastAsia="Calibri" w:hAnsi="Calibri" w:cs="Times New Roman"/>
          <w:b/>
          <w:bCs/>
          <w:sz w:val="20"/>
          <w:szCs w:val="20"/>
          <w:lang w:val="sv-SE"/>
        </w:rPr>
        <w:t xml:space="preserve"> </w:t>
      </w:r>
      <w:r w:rsidR="00E11C82" w:rsidRPr="002F7BF8">
        <w:rPr>
          <w:rFonts w:ascii="Calibri" w:eastAsia="Calibri" w:hAnsi="Calibri" w:cs="Times New Roman"/>
          <w:sz w:val="20"/>
          <w:szCs w:val="20"/>
          <w:lang w:val="sv-SE"/>
        </w:rPr>
        <w:t>Mean</w:t>
      </w:r>
      <w:r w:rsidR="002F7BF8" w:rsidRPr="002F7BF8">
        <w:rPr>
          <w:rFonts w:ascii="Calibri" w:eastAsia="Calibri" w:hAnsi="Calibri" w:cs="Times New Roman"/>
          <w:sz w:val="20"/>
          <w:szCs w:val="20"/>
          <w:lang w:val="sv-SE"/>
        </w:rPr>
        <w:t xml:space="preserve"> </w:t>
      </w:r>
      <w:r w:rsidR="002F7BF8">
        <w:rPr>
          <w:rFonts w:ascii="Calibri" w:eastAsia="Calibri" w:hAnsi="Calibri" w:cs="Times New Roman"/>
          <w:sz w:val="20"/>
          <w:szCs w:val="20"/>
          <w:lang w:val="sv-SE"/>
        </w:rPr>
        <w:t>r</w:t>
      </w:r>
      <w:r w:rsidRPr="00FD1974">
        <w:rPr>
          <w:rFonts w:ascii="Calibri" w:eastAsia="Calibri" w:hAnsi="Calibri" w:cs="Times New Roman"/>
          <w:sz w:val="20"/>
          <w:szCs w:val="20"/>
          <w:lang w:val="sv-SE"/>
        </w:rPr>
        <w:t xml:space="preserve">atio </w:t>
      </w:r>
      <w:r w:rsidR="00B208A4">
        <w:rPr>
          <w:rFonts w:ascii="Calibri" w:eastAsia="Calibri" w:hAnsi="Calibri" w:cs="Times New Roman"/>
          <w:sz w:val="20"/>
          <w:szCs w:val="20"/>
          <w:lang w:val="sv-SE"/>
        </w:rPr>
        <w:t>and interquartile range (I</w:t>
      </w:r>
      <w:r w:rsidR="006B42F6">
        <w:rPr>
          <w:rFonts w:ascii="Calibri" w:eastAsia="Calibri" w:hAnsi="Calibri" w:cs="Times New Roman"/>
          <w:sz w:val="20"/>
          <w:szCs w:val="20"/>
          <w:lang w:val="sv-SE"/>
        </w:rPr>
        <w:t xml:space="preserve">QR) </w:t>
      </w:r>
      <w:r w:rsidRPr="00FD1974">
        <w:rPr>
          <w:rFonts w:ascii="Calibri" w:eastAsia="Calibri" w:hAnsi="Calibri" w:cs="Times New Roman"/>
          <w:sz w:val="20"/>
          <w:szCs w:val="20"/>
          <w:lang w:val="sv-SE"/>
        </w:rPr>
        <w:t xml:space="preserve">between </w:t>
      </w:r>
      <w:r w:rsidR="00996A01">
        <w:rPr>
          <w:rFonts w:ascii="Calibri" w:eastAsia="Calibri" w:hAnsi="Calibri" w:cs="Times New Roman"/>
          <w:sz w:val="20"/>
          <w:szCs w:val="20"/>
          <w:lang w:val="sv-SE"/>
        </w:rPr>
        <w:t xml:space="preserve">10-year fracture </w:t>
      </w:r>
      <w:r w:rsidRPr="00FD1974">
        <w:rPr>
          <w:rFonts w:ascii="Calibri" w:eastAsia="Calibri" w:hAnsi="Calibri" w:cs="Times New Roman"/>
          <w:sz w:val="20"/>
          <w:szCs w:val="20"/>
          <w:lang w:val="sv-SE"/>
        </w:rPr>
        <w:t xml:space="preserve">probability </w:t>
      </w:r>
      <w:r w:rsidR="00251475">
        <w:rPr>
          <w:rFonts w:ascii="Calibri" w:eastAsia="Calibri" w:hAnsi="Calibri" w:cs="Times New Roman"/>
          <w:sz w:val="20"/>
          <w:szCs w:val="20"/>
          <w:lang w:val="sv-SE"/>
        </w:rPr>
        <w:t>(%)</w:t>
      </w:r>
      <w:r w:rsidR="00A52CB7">
        <w:rPr>
          <w:rFonts w:ascii="Calibri" w:eastAsia="Calibri" w:hAnsi="Calibri" w:cs="Times New Roman"/>
          <w:sz w:val="20"/>
          <w:szCs w:val="20"/>
          <w:lang w:val="sv-SE"/>
        </w:rPr>
        <w:t xml:space="preserve"> </w:t>
      </w:r>
      <w:r w:rsidR="0004464E">
        <w:rPr>
          <w:rFonts w:ascii="Calibri" w:eastAsia="Calibri" w:hAnsi="Calibri" w:cs="Times New Roman"/>
          <w:sz w:val="20"/>
          <w:szCs w:val="20"/>
          <w:lang w:val="sv-SE"/>
        </w:rPr>
        <w:t xml:space="preserve">for a major osteoporotic fracture </w:t>
      </w:r>
      <w:r w:rsidR="00B60196">
        <w:rPr>
          <w:rFonts w:ascii="Calibri" w:eastAsia="Calibri" w:hAnsi="Calibri" w:cs="Times New Roman"/>
          <w:sz w:val="20"/>
          <w:szCs w:val="20"/>
          <w:lang w:val="sv-SE"/>
        </w:rPr>
        <w:t xml:space="preserve">(MOF) </w:t>
      </w:r>
      <w:r w:rsidR="0004464E">
        <w:rPr>
          <w:rFonts w:ascii="Calibri" w:eastAsia="Calibri" w:hAnsi="Calibri" w:cs="Times New Roman"/>
          <w:sz w:val="20"/>
          <w:szCs w:val="20"/>
          <w:lang w:val="sv-SE"/>
        </w:rPr>
        <w:t>and hip fracture</w:t>
      </w:r>
      <w:r w:rsidR="00251475">
        <w:rPr>
          <w:rFonts w:ascii="Calibri" w:eastAsia="Calibri" w:hAnsi="Calibri" w:cs="Times New Roman"/>
          <w:sz w:val="20"/>
          <w:szCs w:val="20"/>
          <w:lang w:val="sv-SE"/>
        </w:rPr>
        <w:t xml:space="preserve"> </w:t>
      </w:r>
      <w:r w:rsidRPr="00FD1974">
        <w:rPr>
          <w:rFonts w:ascii="Calibri" w:eastAsia="Calibri" w:hAnsi="Calibri" w:cs="Times New Roman"/>
          <w:sz w:val="20"/>
          <w:szCs w:val="20"/>
          <w:lang w:val="sv-SE"/>
        </w:rPr>
        <w:t xml:space="preserve">and the NOGG </w:t>
      </w:r>
      <w:r w:rsidR="000462B1" w:rsidRPr="00D3475F">
        <w:rPr>
          <w:rFonts w:ascii="Calibri" w:eastAsia="Calibri" w:hAnsi="Calibri" w:cs="Times New Roman"/>
          <w:sz w:val="20"/>
          <w:szCs w:val="20"/>
          <w:lang w:val="sv-SE"/>
        </w:rPr>
        <w:t xml:space="preserve">lower </w:t>
      </w:r>
      <w:r w:rsidR="007210B8" w:rsidRPr="00D3475F">
        <w:rPr>
          <w:rFonts w:ascii="Calibri" w:eastAsia="Calibri" w:hAnsi="Calibri" w:cs="Times New Roman"/>
          <w:sz w:val="20"/>
          <w:szCs w:val="20"/>
          <w:lang w:val="sv-SE"/>
        </w:rPr>
        <w:t xml:space="preserve">intervention threshold in women recruited to </w:t>
      </w:r>
      <w:r w:rsidR="00D3475F" w:rsidRPr="00D3475F">
        <w:rPr>
          <w:rFonts w:ascii="Calibri" w:eastAsia="Calibri" w:hAnsi="Calibri" w:cs="Times New Roman"/>
          <w:sz w:val="20"/>
          <w:szCs w:val="20"/>
          <w:lang w:val="sv-SE"/>
        </w:rPr>
        <w:t>the ARCH study.</w:t>
      </w:r>
      <w:r w:rsidR="00251475">
        <w:rPr>
          <w:rFonts w:ascii="Calibri" w:eastAsia="Calibri" w:hAnsi="Calibri" w:cs="Times New Roman"/>
          <w:sz w:val="20"/>
          <w:szCs w:val="20"/>
          <w:lang w:val="sv-SE"/>
        </w:rPr>
        <w:t xml:space="preserve"> </w:t>
      </w:r>
      <w:r w:rsidR="00D577E1">
        <w:rPr>
          <w:rFonts w:ascii="Calibri" w:eastAsia="Calibri" w:hAnsi="Calibri" w:cs="Times New Roman"/>
          <w:sz w:val="20"/>
          <w:szCs w:val="20"/>
          <w:lang w:val="sv-SE"/>
        </w:rPr>
        <w:t>For ea</w:t>
      </w:r>
      <w:r w:rsidR="00F81A8A">
        <w:rPr>
          <w:rFonts w:ascii="Calibri" w:eastAsia="Calibri" w:hAnsi="Calibri" w:cs="Times New Roman"/>
          <w:sz w:val="20"/>
          <w:szCs w:val="20"/>
          <w:lang w:val="sv-SE"/>
        </w:rPr>
        <w:t>c</w:t>
      </w:r>
      <w:r w:rsidR="00D577E1">
        <w:rPr>
          <w:rFonts w:ascii="Calibri" w:eastAsia="Calibri" w:hAnsi="Calibri" w:cs="Times New Roman"/>
          <w:sz w:val="20"/>
          <w:szCs w:val="20"/>
          <w:lang w:val="sv-SE"/>
        </w:rPr>
        <w:t>h age, the pro</w:t>
      </w:r>
      <w:r w:rsidR="00FA706B">
        <w:rPr>
          <w:rFonts w:ascii="Calibri" w:eastAsia="Calibri" w:hAnsi="Calibri" w:cs="Times New Roman"/>
          <w:sz w:val="20"/>
          <w:szCs w:val="20"/>
          <w:lang w:val="sv-SE"/>
        </w:rPr>
        <w:t>portion of patients</w:t>
      </w:r>
      <w:r w:rsidR="00715430">
        <w:rPr>
          <w:rFonts w:ascii="Calibri" w:eastAsia="Calibri" w:hAnsi="Calibri" w:cs="Times New Roman"/>
          <w:sz w:val="20"/>
          <w:szCs w:val="20"/>
          <w:lang w:val="sv-SE"/>
        </w:rPr>
        <w:t xml:space="preserve"> is given that </w:t>
      </w:r>
      <w:r w:rsidR="00F81A8A">
        <w:rPr>
          <w:rFonts w:ascii="Calibri" w:eastAsia="Calibri" w:hAnsi="Calibri" w:cs="Times New Roman"/>
          <w:sz w:val="20"/>
          <w:szCs w:val="20"/>
          <w:lang w:val="sv-SE"/>
        </w:rPr>
        <w:t xml:space="preserve">equal or </w:t>
      </w:r>
      <w:r w:rsidR="00715430">
        <w:rPr>
          <w:rFonts w:ascii="Calibri" w:eastAsia="Calibri" w:hAnsi="Calibri" w:cs="Times New Roman"/>
          <w:sz w:val="20"/>
          <w:szCs w:val="20"/>
          <w:lang w:val="sv-SE"/>
        </w:rPr>
        <w:t>exceed the ratio</w:t>
      </w:r>
      <w:r w:rsidR="00F81A8A">
        <w:rPr>
          <w:rFonts w:ascii="Calibri" w:eastAsia="Calibri" w:hAnsi="Calibri" w:cs="Times New Roman"/>
          <w:sz w:val="20"/>
          <w:szCs w:val="20"/>
          <w:lang w:val="sv-SE"/>
        </w:rPr>
        <w:t xml:space="preserve"> of 1.6</w:t>
      </w:r>
      <w:r w:rsidR="00251475">
        <w:rPr>
          <w:rFonts w:ascii="Calibri" w:eastAsia="Calibri" w:hAnsi="Calibri" w:cs="Times New Roman"/>
          <w:sz w:val="20"/>
          <w:szCs w:val="20"/>
          <w:lang w:val="sv-SE"/>
        </w:rPr>
        <w:t xml:space="preserve"> </w:t>
      </w:r>
      <w:r w:rsidR="00AB4FCE">
        <w:rPr>
          <w:rFonts w:ascii="Calibri" w:eastAsia="Calibri" w:hAnsi="Calibri" w:cs="Times New Roman"/>
          <w:sz w:val="20"/>
          <w:szCs w:val="20"/>
          <w:lang w:val="sv-SE"/>
        </w:rPr>
        <w:t>(</w:t>
      </w:r>
      <w:r w:rsidR="004D3C21">
        <w:rPr>
          <w:rFonts w:ascii="Calibri" w:eastAsia="Calibri" w:hAnsi="Calibri" w:cs="Times New Roman"/>
          <w:lang w:val="sv-SE"/>
        </w:rPr>
        <w:t xml:space="preserve">% </w:t>
      </w:r>
      <w:r w:rsidR="004D3C21" w:rsidRPr="00D34EFC">
        <w:rPr>
          <w:rFonts w:ascii="Calibri" w:eastAsia="Calibri" w:hAnsi="Calibri" w:cs="Times New Roman"/>
          <w:u w:val="single"/>
          <w:lang w:val="sv-SE"/>
        </w:rPr>
        <w:t>&gt;</w:t>
      </w:r>
      <w:r w:rsidR="004D3C21">
        <w:rPr>
          <w:rFonts w:ascii="Calibri" w:eastAsia="Calibri" w:hAnsi="Calibri" w:cs="Times New Roman"/>
          <w:lang w:val="sv-SE"/>
        </w:rPr>
        <w:t xml:space="preserve"> 1.6</w:t>
      </w:r>
      <w:r w:rsidR="00AB4FCE">
        <w:rPr>
          <w:rFonts w:ascii="Calibri" w:eastAsia="Calibri" w:hAnsi="Calibri" w:cs="Times New Roman"/>
          <w:lang w:val="sv-SE"/>
        </w:rPr>
        <w:t xml:space="preserve">) </w:t>
      </w:r>
      <w:r w:rsidR="004D3C21">
        <w:rPr>
          <w:rFonts w:ascii="Calibri" w:eastAsia="Calibri" w:hAnsi="Calibri" w:cs="Times New Roman"/>
          <w:sz w:val="20"/>
          <w:szCs w:val="20"/>
          <w:lang w:val="sv-SE"/>
        </w:rPr>
        <w:t xml:space="preserve">is given.  </w:t>
      </w:r>
      <w:r w:rsidR="00251475">
        <w:rPr>
          <w:rFonts w:ascii="Calibri" w:eastAsia="Calibri" w:hAnsi="Calibri" w:cs="Times New Roman"/>
          <w:sz w:val="20"/>
          <w:szCs w:val="20"/>
          <w:lang w:val="sv-SE"/>
        </w:rPr>
        <w:t>Probabilities are calculated with BMD</w:t>
      </w:r>
      <w:r w:rsidR="00B840E8">
        <w:rPr>
          <w:rFonts w:ascii="Calibri" w:eastAsia="Calibri" w:hAnsi="Calibri" w:cs="Times New Roman"/>
          <w:sz w:val="20"/>
          <w:szCs w:val="20"/>
          <w:lang w:val="sv-SE"/>
        </w:rPr>
        <w:t>.</w:t>
      </w:r>
    </w:p>
    <w:tbl>
      <w:tblPr>
        <w:tblStyle w:val="TableGrid"/>
        <w:tblW w:w="0" w:type="auto"/>
        <w:jc w:val="center"/>
        <w:tblLook w:val="04A0" w:firstRow="1" w:lastRow="0" w:firstColumn="1" w:lastColumn="0" w:noHBand="0" w:noVBand="1"/>
      </w:tblPr>
      <w:tblGrid>
        <w:gridCol w:w="1274"/>
        <w:gridCol w:w="1275"/>
        <w:gridCol w:w="1274"/>
        <w:gridCol w:w="1275"/>
        <w:gridCol w:w="1275"/>
        <w:gridCol w:w="1275"/>
      </w:tblGrid>
      <w:tr w:rsidR="00837B53" w:rsidRPr="00685A73" w14:paraId="200F0872" w14:textId="77777777" w:rsidTr="00E325B0">
        <w:trPr>
          <w:jc w:val="center"/>
        </w:trPr>
        <w:tc>
          <w:tcPr>
            <w:tcW w:w="1274" w:type="dxa"/>
          </w:tcPr>
          <w:p w14:paraId="742197EA" w14:textId="77777777" w:rsidR="00837B53" w:rsidRPr="00FD1974" w:rsidRDefault="00837B53" w:rsidP="00FD1974">
            <w:pPr>
              <w:rPr>
                <w:rFonts w:ascii="Calibri" w:eastAsia="Calibri" w:hAnsi="Calibri" w:cs="Times New Roman"/>
                <w:lang w:val="sv-SE"/>
              </w:rPr>
            </w:pPr>
          </w:p>
        </w:tc>
        <w:tc>
          <w:tcPr>
            <w:tcW w:w="1275" w:type="dxa"/>
          </w:tcPr>
          <w:p w14:paraId="47CDE7A4" w14:textId="77777777" w:rsidR="00837B53" w:rsidRPr="00FD1974" w:rsidRDefault="00837B53" w:rsidP="00FD1974">
            <w:pPr>
              <w:rPr>
                <w:rFonts w:ascii="Calibri" w:eastAsia="Calibri" w:hAnsi="Calibri" w:cs="Times New Roman"/>
                <w:lang w:val="sv-SE"/>
              </w:rPr>
            </w:pPr>
          </w:p>
        </w:tc>
        <w:tc>
          <w:tcPr>
            <w:tcW w:w="2549" w:type="dxa"/>
            <w:gridSpan w:val="2"/>
          </w:tcPr>
          <w:p w14:paraId="416F65AF" w14:textId="3ABEAB7F" w:rsidR="00837B53" w:rsidRPr="00FD1974" w:rsidRDefault="00837B53" w:rsidP="00FD1974">
            <w:pPr>
              <w:rPr>
                <w:rFonts w:ascii="Calibri" w:eastAsia="Calibri" w:hAnsi="Calibri" w:cs="Times New Roman"/>
                <w:lang w:val="sv-SE"/>
              </w:rPr>
            </w:pPr>
            <w:r>
              <w:rPr>
                <w:rFonts w:ascii="Calibri" w:eastAsia="Calibri" w:hAnsi="Calibri" w:cs="Times New Roman"/>
                <w:lang w:val="sv-SE"/>
              </w:rPr>
              <w:t>MOF</w:t>
            </w:r>
          </w:p>
        </w:tc>
        <w:tc>
          <w:tcPr>
            <w:tcW w:w="2550" w:type="dxa"/>
            <w:gridSpan w:val="2"/>
          </w:tcPr>
          <w:p w14:paraId="3D812FAE" w14:textId="2B9C7044" w:rsidR="00837B53" w:rsidRPr="00FD1974" w:rsidRDefault="00837B53" w:rsidP="00FD1974">
            <w:pPr>
              <w:rPr>
                <w:rFonts w:ascii="Calibri" w:eastAsia="Calibri" w:hAnsi="Calibri" w:cs="Times New Roman"/>
                <w:lang w:val="sv-SE"/>
              </w:rPr>
            </w:pPr>
            <w:r w:rsidRPr="00E925BF">
              <w:rPr>
                <w:rFonts w:ascii="Calibri" w:eastAsia="Calibri" w:hAnsi="Calibri" w:cs="Times New Roman"/>
                <w:lang w:val="sv-SE"/>
              </w:rPr>
              <w:t>HIP fracture</w:t>
            </w:r>
          </w:p>
        </w:tc>
      </w:tr>
      <w:tr w:rsidR="00D34EFC" w:rsidRPr="00685A73" w14:paraId="7E2CDC42" w14:textId="279995FD" w:rsidTr="00403A74">
        <w:trPr>
          <w:jc w:val="center"/>
        </w:trPr>
        <w:tc>
          <w:tcPr>
            <w:tcW w:w="1274" w:type="dxa"/>
          </w:tcPr>
          <w:p w14:paraId="0E67E76F" w14:textId="77777777" w:rsidR="00D34EFC" w:rsidRPr="00FD1974" w:rsidRDefault="00D34EFC" w:rsidP="00D34EFC">
            <w:pPr>
              <w:rPr>
                <w:rFonts w:ascii="Calibri" w:eastAsia="Calibri" w:hAnsi="Calibri" w:cs="Times New Roman"/>
                <w:lang w:val="sv-SE"/>
              </w:rPr>
            </w:pPr>
            <w:r w:rsidRPr="00FD1974">
              <w:rPr>
                <w:rFonts w:ascii="Calibri" w:eastAsia="Calibri" w:hAnsi="Calibri" w:cs="Times New Roman"/>
                <w:lang w:val="sv-SE"/>
              </w:rPr>
              <w:t>Age</w:t>
            </w:r>
          </w:p>
        </w:tc>
        <w:tc>
          <w:tcPr>
            <w:tcW w:w="1275" w:type="dxa"/>
          </w:tcPr>
          <w:p w14:paraId="43263603" w14:textId="77777777" w:rsidR="00D34EFC" w:rsidRPr="00FD1974" w:rsidRDefault="00D34EFC" w:rsidP="00D34EFC">
            <w:pPr>
              <w:rPr>
                <w:rFonts w:ascii="Calibri" w:eastAsia="Calibri" w:hAnsi="Calibri" w:cs="Times New Roman"/>
                <w:lang w:val="sv-SE"/>
              </w:rPr>
            </w:pPr>
            <w:r w:rsidRPr="00FD1974">
              <w:rPr>
                <w:rFonts w:ascii="Calibri" w:eastAsia="Calibri" w:hAnsi="Calibri" w:cs="Times New Roman"/>
                <w:lang w:val="sv-SE"/>
              </w:rPr>
              <w:t>N</w:t>
            </w:r>
          </w:p>
        </w:tc>
        <w:tc>
          <w:tcPr>
            <w:tcW w:w="1274" w:type="dxa"/>
          </w:tcPr>
          <w:p w14:paraId="32968A68" w14:textId="4BC83E37" w:rsidR="00D34EFC" w:rsidRPr="00FD1974" w:rsidRDefault="00D34EFC" w:rsidP="00D34EFC">
            <w:pPr>
              <w:rPr>
                <w:rFonts w:ascii="Calibri" w:eastAsia="Calibri" w:hAnsi="Calibri" w:cs="Times New Roman"/>
                <w:lang w:val="sv-SE"/>
              </w:rPr>
            </w:pPr>
            <w:r>
              <w:rPr>
                <w:rFonts w:ascii="Calibri" w:eastAsia="Calibri" w:hAnsi="Calibri" w:cs="Times New Roman"/>
                <w:lang w:val="sv-SE"/>
              </w:rPr>
              <w:t>Me</w:t>
            </w:r>
            <w:r w:rsidR="007424ED">
              <w:rPr>
                <w:rFonts w:ascii="Calibri" w:eastAsia="Calibri" w:hAnsi="Calibri" w:cs="Times New Roman"/>
                <w:lang w:val="sv-SE"/>
              </w:rPr>
              <w:t>di</w:t>
            </w:r>
            <w:r>
              <w:rPr>
                <w:rFonts w:ascii="Calibri" w:eastAsia="Calibri" w:hAnsi="Calibri" w:cs="Times New Roman"/>
                <w:lang w:val="sv-SE"/>
              </w:rPr>
              <w:t>an ratio</w:t>
            </w:r>
          </w:p>
        </w:tc>
        <w:tc>
          <w:tcPr>
            <w:tcW w:w="1275" w:type="dxa"/>
          </w:tcPr>
          <w:p w14:paraId="1463583C" w14:textId="432BA0F3" w:rsidR="00D34EFC" w:rsidRPr="00FD1974" w:rsidRDefault="006B42F6" w:rsidP="00D34EFC">
            <w:pPr>
              <w:rPr>
                <w:rFonts w:ascii="Calibri" w:eastAsia="Calibri" w:hAnsi="Calibri" w:cs="Times New Roman"/>
                <w:lang w:val="sv-SE"/>
              </w:rPr>
            </w:pPr>
            <w:r>
              <w:rPr>
                <w:rFonts w:ascii="Calibri" w:eastAsia="Calibri" w:hAnsi="Calibri" w:cs="Times New Roman"/>
                <w:lang w:val="sv-SE"/>
              </w:rPr>
              <w:t>IQR</w:t>
            </w:r>
          </w:p>
        </w:tc>
        <w:tc>
          <w:tcPr>
            <w:tcW w:w="1275" w:type="dxa"/>
          </w:tcPr>
          <w:p w14:paraId="54488BED" w14:textId="2DD37538" w:rsidR="00D34EFC" w:rsidRPr="00FD1974" w:rsidRDefault="00D34EFC" w:rsidP="00D34EFC">
            <w:pPr>
              <w:rPr>
                <w:rFonts w:ascii="Calibri" w:eastAsia="Calibri" w:hAnsi="Calibri" w:cs="Times New Roman"/>
                <w:lang w:val="sv-SE"/>
              </w:rPr>
            </w:pPr>
            <w:r>
              <w:rPr>
                <w:rFonts w:ascii="Calibri" w:eastAsia="Calibri" w:hAnsi="Calibri" w:cs="Times New Roman"/>
                <w:lang w:val="sv-SE"/>
              </w:rPr>
              <w:t>Me</w:t>
            </w:r>
            <w:r w:rsidR="007424ED">
              <w:rPr>
                <w:rFonts w:ascii="Calibri" w:eastAsia="Calibri" w:hAnsi="Calibri" w:cs="Times New Roman"/>
                <w:lang w:val="sv-SE"/>
              </w:rPr>
              <w:t>di</w:t>
            </w:r>
            <w:r>
              <w:rPr>
                <w:rFonts w:ascii="Calibri" w:eastAsia="Calibri" w:hAnsi="Calibri" w:cs="Times New Roman"/>
                <w:lang w:val="sv-SE"/>
              </w:rPr>
              <w:t>an ratio</w:t>
            </w:r>
          </w:p>
        </w:tc>
        <w:tc>
          <w:tcPr>
            <w:tcW w:w="1275" w:type="dxa"/>
          </w:tcPr>
          <w:p w14:paraId="4A1BD53D" w14:textId="1171C2D2" w:rsidR="00D34EFC" w:rsidRPr="00FD1974" w:rsidRDefault="006B42F6" w:rsidP="00D34EFC">
            <w:pPr>
              <w:rPr>
                <w:rFonts w:ascii="Calibri" w:eastAsia="Calibri" w:hAnsi="Calibri" w:cs="Times New Roman"/>
                <w:lang w:val="sv-SE"/>
              </w:rPr>
            </w:pPr>
            <w:r>
              <w:rPr>
                <w:rFonts w:ascii="Calibri" w:eastAsia="Calibri" w:hAnsi="Calibri" w:cs="Times New Roman"/>
                <w:lang w:val="sv-SE"/>
              </w:rPr>
              <w:t>IQ</w:t>
            </w:r>
            <w:r w:rsidR="00D76A41">
              <w:rPr>
                <w:rFonts w:ascii="Calibri" w:eastAsia="Calibri" w:hAnsi="Calibri" w:cs="Times New Roman"/>
                <w:lang w:val="sv-SE"/>
              </w:rPr>
              <w:t>R</w:t>
            </w:r>
          </w:p>
        </w:tc>
      </w:tr>
      <w:tr w:rsidR="007C79E8" w:rsidRPr="00685A73" w14:paraId="18AB4B70" w14:textId="72F9D960" w:rsidTr="00F91158">
        <w:trPr>
          <w:jc w:val="center"/>
        </w:trPr>
        <w:tc>
          <w:tcPr>
            <w:tcW w:w="1274" w:type="dxa"/>
          </w:tcPr>
          <w:p w14:paraId="1A0AD607" w14:textId="77777777" w:rsidR="007C79E8" w:rsidRPr="00FD1974" w:rsidRDefault="007C79E8" w:rsidP="007C79E8">
            <w:pPr>
              <w:rPr>
                <w:rFonts w:ascii="Calibri" w:eastAsia="Calibri" w:hAnsi="Calibri" w:cs="Times New Roman"/>
                <w:lang w:val="sv-SE"/>
              </w:rPr>
            </w:pPr>
            <w:r w:rsidRPr="00FD1974">
              <w:rPr>
                <w:rFonts w:ascii="Calibri" w:eastAsia="Calibri" w:hAnsi="Calibri" w:cs="Times New Roman"/>
                <w:lang w:val="sv-SE"/>
              </w:rPr>
              <w:t>55-59</w:t>
            </w:r>
          </w:p>
        </w:tc>
        <w:tc>
          <w:tcPr>
            <w:tcW w:w="1275" w:type="dxa"/>
          </w:tcPr>
          <w:p w14:paraId="2CC17C5F" w14:textId="77777777" w:rsidR="007C79E8" w:rsidRPr="00FD1974" w:rsidRDefault="007C79E8" w:rsidP="007C79E8">
            <w:pPr>
              <w:rPr>
                <w:rFonts w:ascii="Calibri" w:eastAsia="Calibri" w:hAnsi="Calibri" w:cs="Times New Roman"/>
                <w:lang w:val="sv-SE"/>
              </w:rPr>
            </w:pPr>
            <w:r w:rsidRPr="00FD1974">
              <w:rPr>
                <w:rFonts w:ascii="Calibri" w:eastAsia="Calibri" w:hAnsi="Calibri" w:cs="Times New Roman"/>
                <w:lang w:val="sv-SE"/>
              </w:rPr>
              <w:t>86</w:t>
            </w:r>
          </w:p>
        </w:tc>
        <w:tc>
          <w:tcPr>
            <w:tcW w:w="1274" w:type="dxa"/>
          </w:tcPr>
          <w:p w14:paraId="31F8B53D" w14:textId="3F8528F6" w:rsidR="007C79E8" w:rsidRPr="007424ED" w:rsidRDefault="007C79E8" w:rsidP="007C79E8">
            <w:pPr>
              <w:rPr>
                <w:rFonts w:ascii="Calibri" w:eastAsia="Calibri" w:hAnsi="Calibri" w:cs="Times New Roman"/>
                <w:lang w:val="sv-SE"/>
              </w:rPr>
            </w:pPr>
            <w:r w:rsidRPr="007424ED">
              <w:rPr>
                <w:rFonts w:ascii="Calibri" w:eastAsia="Calibri" w:hAnsi="Calibri" w:cs="Times New Roman"/>
                <w:lang w:val="sv-SE"/>
              </w:rPr>
              <w:t>1.69</w:t>
            </w:r>
          </w:p>
        </w:tc>
        <w:tc>
          <w:tcPr>
            <w:tcW w:w="1275" w:type="dxa"/>
          </w:tcPr>
          <w:p w14:paraId="515690BB" w14:textId="1F425780" w:rsidR="007C79E8" w:rsidRPr="00BC773E" w:rsidRDefault="007C79E8" w:rsidP="007C79E8">
            <w:pPr>
              <w:rPr>
                <w:rFonts w:ascii="Calibri" w:eastAsia="Calibri" w:hAnsi="Calibri" w:cs="Times New Roman"/>
                <w:lang w:val="sv-SE"/>
              </w:rPr>
            </w:pPr>
            <w:r w:rsidRPr="00BC773E">
              <w:rPr>
                <w:rFonts w:ascii="Calibri" w:eastAsia="Calibri" w:hAnsi="Calibri" w:cs="Times New Roman"/>
                <w:lang w:val="sv-SE"/>
              </w:rPr>
              <w:t>1.44-2.20</w:t>
            </w:r>
          </w:p>
        </w:tc>
        <w:tc>
          <w:tcPr>
            <w:tcW w:w="1275" w:type="dxa"/>
          </w:tcPr>
          <w:p w14:paraId="2D4DB1D0" w14:textId="12CAD6B1" w:rsidR="007C79E8" w:rsidRPr="00F91158" w:rsidRDefault="007C79E8" w:rsidP="007C79E8">
            <w:pPr>
              <w:rPr>
                <w:rFonts w:ascii="Calibri" w:eastAsia="Calibri" w:hAnsi="Calibri" w:cs="Times New Roman"/>
                <w:lang w:val="sv-SE"/>
              </w:rPr>
            </w:pPr>
            <w:r w:rsidRPr="00F91158">
              <w:rPr>
                <w:rFonts w:ascii="Calibri" w:eastAsia="Calibri" w:hAnsi="Calibri" w:cs="Times New Roman"/>
                <w:lang w:val="sv-SE"/>
              </w:rPr>
              <w:t>3.67</w:t>
            </w:r>
          </w:p>
        </w:tc>
        <w:tc>
          <w:tcPr>
            <w:tcW w:w="1275" w:type="dxa"/>
          </w:tcPr>
          <w:p w14:paraId="76152A10" w14:textId="2551887A" w:rsidR="007C79E8" w:rsidRPr="00BC773E" w:rsidRDefault="007C79E8" w:rsidP="007C79E8">
            <w:pPr>
              <w:rPr>
                <w:rFonts w:ascii="Calibri" w:eastAsia="Calibri" w:hAnsi="Calibri" w:cs="Times New Roman"/>
                <w:lang w:val="sv-SE"/>
              </w:rPr>
            </w:pPr>
            <w:r w:rsidRPr="00BC773E">
              <w:rPr>
                <w:rFonts w:ascii="Calibri" w:eastAsia="Calibri" w:hAnsi="Calibri" w:cs="Times New Roman"/>
                <w:lang w:val="sv-SE"/>
              </w:rPr>
              <w:t>2.32-5.53</w:t>
            </w:r>
          </w:p>
        </w:tc>
      </w:tr>
      <w:tr w:rsidR="007C79E8" w:rsidRPr="00685A73" w14:paraId="2C3CC6E1" w14:textId="78273DF1" w:rsidTr="00F91158">
        <w:trPr>
          <w:jc w:val="center"/>
        </w:trPr>
        <w:tc>
          <w:tcPr>
            <w:tcW w:w="1274" w:type="dxa"/>
          </w:tcPr>
          <w:p w14:paraId="7E79B71D" w14:textId="77777777" w:rsidR="007C79E8" w:rsidRPr="00FD1974" w:rsidRDefault="007C79E8" w:rsidP="007C79E8">
            <w:pPr>
              <w:rPr>
                <w:rFonts w:ascii="Calibri" w:eastAsia="Calibri" w:hAnsi="Calibri" w:cs="Times New Roman"/>
                <w:lang w:val="sv-SE"/>
              </w:rPr>
            </w:pPr>
            <w:r w:rsidRPr="00FD1974">
              <w:rPr>
                <w:rFonts w:ascii="Calibri" w:eastAsia="Calibri" w:hAnsi="Calibri" w:cs="Times New Roman"/>
                <w:lang w:val="sv-SE"/>
              </w:rPr>
              <w:t>60-64</w:t>
            </w:r>
          </w:p>
        </w:tc>
        <w:tc>
          <w:tcPr>
            <w:tcW w:w="1275" w:type="dxa"/>
          </w:tcPr>
          <w:p w14:paraId="1E72D2EA" w14:textId="77777777" w:rsidR="007C79E8" w:rsidRPr="00FD1974" w:rsidRDefault="007C79E8" w:rsidP="007C79E8">
            <w:pPr>
              <w:rPr>
                <w:rFonts w:ascii="Calibri" w:eastAsia="Calibri" w:hAnsi="Calibri" w:cs="Times New Roman"/>
                <w:lang w:val="sv-SE"/>
              </w:rPr>
            </w:pPr>
            <w:r w:rsidRPr="00FD1974">
              <w:rPr>
                <w:rFonts w:ascii="Calibri" w:eastAsia="Calibri" w:hAnsi="Calibri" w:cs="Times New Roman"/>
                <w:lang w:val="sv-SE"/>
              </w:rPr>
              <w:t>393</w:t>
            </w:r>
          </w:p>
        </w:tc>
        <w:tc>
          <w:tcPr>
            <w:tcW w:w="1274" w:type="dxa"/>
          </w:tcPr>
          <w:p w14:paraId="6056940F" w14:textId="6500934D" w:rsidR="007C79E8" w:rsidRPr="007424ED" w:rsidRDefault="007C79E8" w:rsidP="007C79E8">
            <w:pPr>
              <w:rPr>
                <w:rFonts w:ascii="Calibri" w:eastAsia="Calibri" w:hAnsi="Calibri" w:cs="Times New Roman"/>
                <w:lang w:val="sv-SE"/>
              </w:rPr>
            </w:pPr>
            <w:r w:rsidRPr="007424ED">
              <w:rPr>
                <w:rFonts w:ascii="Calibri" w:eastAsia="Calibri" w:hAnsi="Calibri" w:cs="Times New Roman"/>
                <w:lang w:val="sv-SE"/>
              </w:rPr>
              <w:t>1.66</w:t>
            </w:r>
          </w:p>
        </w:tc>
        <w:tc>
          <w:tcPr>
            <w:tcW w:w="1275" w:type="dxa"/>
          </w:tcPr>
          <w:p w14:paraId="2E8573C7" w14:textId="4F2395ED" w:rsidR="007C79E8" w:rsidRPr="00BC773E" w:rsidRDefault="007C79E8" w:rsidP="007C79E8">
            <w:pPr>
              <w:rPr>
                <w:rFonts w:ascii="Calibri" w:eastAsia="Calibri" w:hAnsi="Calibri" w:cs="Times New Roman"/>
                <w:lang w:val="sv-SE"/>
              </w:rPr>
            </w:pPr>
            <w:r w:rsidRPr="00BC773E">
              <w:rPr>
                <w:rFonts w:ascii="Calibri" w:eastAsia="Calibri" w:hAnsi="Calibri" w:cs="Times New Roman"/>
                <w:lang w:val="sv-SE"/>
              </w:rPr>
              <w:t>1.36-2.18</w:t>
            </w:r>
          </w:p>
        </w:tc>
        <w:tc>
          <w:tcPr>
            <w:tcW w:w="1275" w:type="dxa"/>
          </w:tcPr>
          <w:p w14:paraId="747AF603" w14:textId="75EF8129" w:rsidR="007C79E8" w:rsidRPr="00F91158" w:rsidRDefault="007C79E8" w:rsidP="007C79E8">
            <w:pPr>
              <w:rPr>
                <w:rFonts w:ascii="Calibri" w:eastAsia="Calibri" w:hAnsi="Calibri" w:cs="Times New Roman"/>
                <w:lang w:val="sv-SE"/>
              </w:rPr>
            </w:pPr>
            <w:r w:rsidRPr="00F91158">
              <w:rPr>
                <w:rFonts w:ascii="Calibri" w:eastAsia="Calibri" w:hAnsi="Calibri" w:cs="Times New Roman"/>
                <w:lang w:val="sv-SE"/>
              </w:rPr>
              <w:t>3.03</w:t>
            </w:r>
          </w:p>
        </w:tc>
        <w:tc>
          <w:tcPr>
            <w:tcW w:w="1275" w:type="dxa"/>
          </w:tcPr>
          <w:p w14:paraId="14803AEB" w14:textId="43ED722F" w:rsidR="007C79E8" w:rsidRPr="00BC773E" w:rsidRDefault="007C79E8" w:rsidP="007C79E8">
            <w:pPr>
              <w:rPr>
                <w:rFonts w:ascii="Calibri" w:eastAsia="Calibri" w:hAnsi="Calibri" w:cs="Times New Roman"/>
                <w:lang w:val="sv-SE"/>
              </w:rPr>
            </w:pPr>
            <w:r w:rsidRPr="00BC773E">
              <w:rPr>
                <w:rFonts w:ascii="Calibri" w:eastAsia="Calibri" w:hAnsi="Calibri" w:cs="Times New Roman"/>
                <w:lang w:val="sv-SE"/>
              </w:rPr>
              <w:t>2.00-4.47</w:t>
            </w:r>
          </w:p>
        </w:tc>
      </w:tr>
      <w:tr w:rsidR="007C79E8" w:rsidRPr="00685A73" w14:paraId="26837932" w14:textId="36354F39" w:rsidTr="00F91158">
        <w:trPr>
          <w:jc w:val="center"/>
        </w:trPr>
        <w:tc>
          <w:tcPr>
            <w:tcW w:w="1274" w:type="dxa"/>
          </w:tcPr>
          <w:p w14:paraId="32A66DE5" w14:textId="77777777" w:rsidR="007C79E8" w:rsidRPr="00FD1974" w:rsidRDefault="007C79E8" w:rsidP="007C79E8">
            <w:pPr>
              <w:rPr>
                <w:rFonts w:ascii="Calibri" w:eastAsia="Calibri" w:hAnsi="Calibri" w:cs="Times New Roman"/>
                <w:lang w:val="sv-SE"/>
              </w:rPr>
            </w:pPr>
            <w:r w:rsidRPr="00FD1974">
              <w:rPr>
                <w:rFonts w:ascii="Calibri" w:eastAsia="Calibri" w:hAnsi="Calibri" w:cs="Times New Roman"/>
                <w:lang w:val="sv-SE"/>
              </w:rPr>
              <w:t>65-69</w:t>
            </w:r>
          </w:p>
        </w:tc>
        <w:tc>
          <w:tcPr>
            <w:tcW w:w="1275" w:type="dxa"/>
          </w:tcPr>
          <w:p w14:paraId="35D2C0F6" w14:textId="77777777" w:rsidR="007C79E8" w:rsidRPr="00FD1974" w:rsidRDefault="007C79E8" w:rsidP="007C79E8">
            <w:pPr>
              <w:rPr>
                <w:rFonts w:ascii="Calibri" w:eastAsia="Calibri" w:hAnsi="Calibri" w:cs="Times New Roman"/>
                <w:lang w:val="sv-SE"/>
              </w:rPr>
            </w:pPr>
            <w:r w:rsidRPr="00FD1974">
              <w:rPr>
                <w:rFonts w:ascii="Calibri" w:eastAsia="Calibri" w:hAnsi="Calibri" w:cs="Times New Roman"/>
                <w:lang w:val="sv-SE"/>
              </w:rPr>
              <w:t>640</w:t>
            </w:r>
          </w:p>
        </w:tc>
        <w:tc>
          <w:tcPr>
            <w:tcW w:w="1274" w:type="dxa"/>
          </w:tcPr>
          <w:p w14:paraId="77D07771" w14:textId="7BB6BC92" w:rsidR="007C79E8" w:rsidRPr="007424ED" w:rsidRDefault="007C79E8" w:rsidP="007C79E8">
            <w:pPr>
              <w:rPr>
                <w:rFonts w:ascii="Calibri" w:eastAsia="Calibri" w:hAnsi="Calibri" w:cs="Times New Roman"/>
                <w:lang w:val="sv-SE"/>
              </w:rPr>
            </w:pPr>
            <w:r w:rsidRPr="007424ED">
              <w:rPr>
                <w:rFonts w:ascii="Calibri" w:eastAsia="Calibri" w:hAnsi="Calibri" w:cs="Times New Roman"/>
                <w:lang w:val="sv-SE"/>
              </w:rPr>
              <w:t>1.41</w:t>
            </w:r>
          </w:p>
        </w:tc>
        <w:tc>
          <w:tcPr>
            <w:tcW w:w="1275" w:type="dxa"/>
          </w:tcPr>
          <w:p w14:paraId="75AF900E" w14:textId="233B896E" w:rsidR="007C79E8" w:rsidRPr="00BC773E" w:rsidRDefault="007C79E8" w:rsidP="007C79E8">
            <w:pPr>
              <w:rPr>
                <w:rFonts w:ascii="Calibri" w:eastAsia="Calibri" w:hAnsi="Calibri" w:cs="Times New Roman"/>
                <w:lang w:val="sv-SE"/>
              </w:rPr>
            </w:pPr>
            <w:r w:rsidRPr="00BC773E">
              <w:rPr>
                <w:rFonts w:ascii="Calibri" w:eastAsia="Calibri" w:hAnsi="Calibri" w:cs="Times New Roman"/>
                <w:lang w:val="sv-SE"/>
              </w:rPr>
              <w:t>1.20-1.82</w:t>
            </w:r>
          </w:p>
        </w:tc>
        <w:tc>
          <w:tcPr>
            <w:tcW w:w="1275" w:type="dxa"/>
          </w:tcPr>
          <w:p w14:paraId="1383132E" w14:textId="71BB370A" w:rsidR="007C79E8" w:rsidRPr="00F91158" w:rsidRDefault="007C79E8" w:rsidP="007C79E8">
            <w:pPr>
              <w:rPr>
                <w:rFonts w:ascii="Calibri" w:eastAsia="Calibri" w:hAnsi="Calibri" w:cs="Times New Roman"/>
                <w:lang w:val="sv-SE"/>
              </w:rPr>
            </w:pPr>
            <w:r w:rsidRPr="00F91158">
              <w:rPr>
                <w:rFonts w:ascii="Calibri" w:eastAsia="Calibri" w:hAnsi="Calibri" w:cs="Times New Roman"/>
                <w:lang w:val="sv-SE"/>
              </w:rPr>
              <w:t>2.05</w:t>
            </w:r>
          </w:p>
        </w:tc>
        <w:tc>
          <w:tcPr>
            <w:tcW w:w="1275" w:type="dxa"/>
          </w:tcPr>
          <w:p w14:paraId="362D1D2B" w14:textId="074241F4" w:rsidR="007C79E8" w:rsidRPr="00BC773E" w:rsidRDefault="007C79E8" w:rsidP="007C79E8">
            <w:pPr>
              <w:rPr>
                <w:rFonts w:ascii="Calibri" w:eastAsia="Calibri" w:hAnsi="Calibri" w:cs="Times New Roman"/>
                <w:lang w:val="sv-SE"/>
              </w:rPr>
            </w:pPr>
            <w:r w:rsidRPr="00BC773E">
              <w:rPr>
                <w:rFonts w:ascii="Calibri" w:eastAsia="Calibri" w:hAnsi="Calibri" w:cs="Times New Roman"/>
                <w:lang w:val="sv-SE"/>
              </w:rPr>
              <w:t>1.50-3.06</w:t>
            </w:r>
          </w:p>
        </w:tc>
      </w:tr>
      <w:tr w:rsidR="007C79E8" w:rsidRPr="00685A73" w14:paraId="6A13627E" w14:textId="0F33908C" w:rsidTr="00F91158">
        <w:trPr>
          <w:jc w:val="center"/>
        </w:trPr>
        <w:tc>
          <w:tcPr>
            <w:tcW w:w="1274" w:type="dxa"/>
          </w:tcPr>
          <w:p w14:paraId="1CCD3075" w14:textId="77777777" w:rsidR="007C79E8" w:rsidRPr="00FD1974" w:rsidRDefault="007C79E8" w:rsidP="007C79E8">
            <w:pPr>
              <w:rPr>
                <w:rFonts w:ascii="Calibri" w:eastAsia="Calibri" w:hAnsi="Calibri" w:cs="Times New Roman"/>
                <w:lang w:val="sv-SE"/>
              </w:rPr>
            </w:pPr>
            <w:r w:rsidRPr="00FD1974">
              <w:rPr>
                <w:rFonts w:ascii="Calibri" w:eastAsia="Calibri" w:hAnsi="Calibri" w:cs="Times New Roman"/>
                <w:lang w:val="sv-SE"/>
              </w:rPr>
              <w:t>70-74</w:t>
            </w:r>
          </w:p>
        </w:tc>
        <w:tc>
          <w:tcPr>
            <w:tcW w:w="1275" w:type="dxa"/>
          </w:tcPr>
          <w:p w14:paraId="06C8C250" w14:textId="77777777" w:rsidR="007C79E8" w:rsidRPr="00FD1974" w:rsidRDefault="007C79E8" w:rsidP="007C79E8">
            <w:pPr>
              <w:rPr>
                <w:rFonts w:ascii="Calibri" w:eastAsia="Calibri" w:hAnsi="Calibri" w:cs="Times New Roman"/>
                <w:lang w:val="sv-SE"/>
              </w:rPr>
            </w:pPr>
            <w:r w:rsidRPr="00FD1974">
              <w:rPr>
                <w:rFonts w:ascii="Calibri" w:eastAsia="Calibri" w:hAnsi="Calibri" w:cs="Times New Roman"/>
                <w:lang w:val="sv-SE"/>
              </w:rPr>
              <w:t>828</w:t>
            </w:r>
          </w:p>
        </w:tc>
        <w:tc>
          <w:tcPr>
            <w:tcW w:w="1274" w:type="dxa"/>
          </w:tcPr>
          <w:p w14:paraId="192B0BEE" w14:textId="7492A813" w:rsidR="007C79E8" w:rsidRPr="007424ED" w:rsidRDefault="007C79E8" w:rsidP="007C79E8">
            <w:pPr>
              <w:rPr>
                <w:rFonts w:ascii="Calibri" w:eastAsia="Calibri" w:hAnsi="Calibri" w:cs="Times New Roman"/>
                <w:lang w:val="sv-SE"/>
              </w:rPr>
            </w:pPr>
            <w:r w:rsidRPr="007424ED">
              <w:rPr>
                <w:rFonts w:ascii="Calibri" w:eastAsia="Calibri" w:hAnsi="Calibri" w:cs="Times New Roman"/>
                <w:lang w:val="sv-SE"/>
              </w:rPr>
              <w:t>1.37</w:t>
            </w:r>
          </w:p>
        </w:tc>
        <w:tc>
          <w:tcPr>
            <w:tcW w:w="1275" w:type="dxa"/>
          </w:tcPr>
          <w:p w14:paraId="68EC2968" w14:textId="3E13FCC1" w:rsidR="007C79E8" w:rsidRPr="00BC773E" w:rsidRDefault="007C79E8" w:rsidP="007C79E8">
            <w:pPr>
              <w:rPr>
                <w:rFonts w:ascii="Calibri" w:eastAsia="Calibri" w:hAnsi="Calibri" w:cs="Times New Roman"/>
                <w:lang w:val="sv-SE"/>
              </w:rPr>
            </w:pPr>
            <w:r w:rsidRPr="00BC773E">
              <w:rPr>
                <w:rFonts w:ascii="Calibri" w:eastAsia="Calibri" w:hAnsi="Calibri" w:cs="Times New Roman"/>
                <w:lang w:val="sv-SE"/>
              </w:rPr>
              <w:t>1.16-1.74</w:t>
            </w:r>
          </w:p>
        </w:tc>
        <w:tc>
          <w:tcPr>
            <w:tcW w:w="1275" w:type="dxa"/>
          </w:tcPr>
          <w:p w14:paraId="23756794" w14:textId="1E411937" w:rsidR="007C79E8" w:rsidRPr="00F91158" w:rsidRDefault="007C79E8" w:rsidP="007C79E8">
            <w:pPr>
              <w:rPr>
                <w:rFonts w:ascii="Calibri" w:eastAsia="Calibri" w:hAnsi="Calibri" w:cs="Times New Roman"/>
                <w:lang w:val="sv-SE"/>
              </w:rPr>
            </w:pPr>
            <w:r w:rsidRPr="00F91158">
              <w:rPr>
                <w:rFonts w:ascii="Calibri" w:eastAsia="Calibri" w:hAnsi="Calibri" w:cs="Times New Roman"/>
                <w:lang w:val="sv-SE"/>
              </w:rPr>
              <w:t>1.91</w:t>
            </w:r>
          </w:p>
        </w:tc>
        <w:tc>
          <w:tcPr>
            <w:tcW w:w="1275" w:type="dxa"/>
          </w:tcPr>
          <w:p w14:paraId="483CF4AB" w14:textId="13E8EF0E" w:rsidR="007C79E8" w:rsidRPr="00BC773E" w:rsidRDefault="007C79E8" w:rsidP="007C79E8">
            <w:pPr>
              <w:rPr>
                <w:rFonts w:ascii="Calibri" w:eastAsia="Calibri" w:hAnsi="Calibri" w:cs="Times New Roman"/>
                <w:lang w:val="sv-SE"/>
              </w:rPr>
            </w:pPr>
            <w:r w:rsidRPr="00BC773E">
              <w:rPr>
                <w:rFonts w:ascii="Calibri" w:eastAsia="Calibri" w:hAnsi="Calibri" w:cs="Times New Roman"/>
                <w:lang w:val="sv-SE"/>
              </w:rPr>
              <w:t>1.38-2.86</w:t>
            </w:r>
          </w:p>
        </w:tc>
      </w:tr>
      <w:tr w:rsidR="007C79E8" w:rsidRPr="00685A73" w14:paraId="243C2EA8" w14:textId="657EF91F" w:rsidTr="00F91158">
        <w:trPr>
          <w:jc w:val="center"/>
        </w:trPr>
        <w:tc>
          <w:tcPr>
            <w:tcW w:w="1274" w:type="dxa"/>
          </w:tcPr>
          <w:p w14:paraId="04B671CA" w14:textId="77777777" w:rsidR="007C79E8" w:rsidRPr="00FD1974" w:rsidRDefault="007C79E8" w:rsidP="007C79E8">
            <w:pPr>
              <w:rPr>
                <w:rFonts w:ascii="Calibri" w:eastAsia="Calibri" w:hAnsi="Calibri" w:cs="Times New Roman"/>
                <w:lang w:val="sv-SE"/>
              </w:rPr>
            </w:pPr>
            <w:r w:rsidRPr="00FD1974">
              <w:rPr>
                <w:rFonts w:ascii="Calibri" w:eastAsia="Calibri" w:hAnsi="Calibri" w:cs="Times New Roman"/>
                <w:lang w:val="sv-SE"/>
              </w:rPr>
              <w:t>75-79</w:t>
            </w:r>
          </w:p>
        </w:tc>
        <w:tc>
          <w:tcPr>
            <w:tcW w:w="1275" w:type="dxa"/>
          </w:tcPr>
          <w:p w14:paraId="66380914" w14:textId="77777777" w:rsidR="007C79E8" w:rsidRPr="00FD1974" w:rsidRDefault="007C79E8" w:rsidP="007C79E8">
            <w:pPr>
              <w:rPr>
                <w:rFonts w:ascii="Calibri" w:eastAsia="Calibri" w:hAnsi="Calibri" w:cs="Times New Roman"/>
                <w:lang w:val="sv-SE"/>
              </w:rPr>
            </w:pPr>
            <w:r w:rsidRPr="00FD1974">
              <w:rPr>
                <w:rFonts w:ascii="Calibri" w:eastAsia="Calibri" w:hAnsi="Calibri" w:cs="Times New Roman"/>
                <w:lang w:val="sv-SE"/>
              </w:rPr>
              <w:t>1005</w:t>
            </w:r>
          </w:p>
        </w:tc>
        <w:tc>
          <w:tcPr>
            <w:tcW w:w="1274" w:type="dxa"/>
          </w:tcPr>
          <w:p w14:paraId="4BFEB19E" w14:textId="706FEC62" w:rsidR="007C79E8" w:rsidRPr="007424ED" w:rsidRDefault="007C79E8" w:rsidP="007C79E8">
            <w:pPr>
              <w:rPr>
                <w:rFonts w:ascii="Calibri" w:eastAsia="Calibri" w:hAnsi="Calibri" w:cs="Times New Roman"/>
                <w:lang w:val="sv-SE"/>
              </w:rPr>
            </w:pPr>
            <w:r w:rsidRPr="007424ED">
              <w:rPr>
                <w:rFonts w:ascii="Calibri" w:eastAsia="Calibri" w:hAnsi="Calibri" w:cs="Times New Roman"/>
                <w:lang w:val="sv-SE"/>
              </w:rPr>
              <w:t>1.47</w:t>
            </w:r>
          </w:p>
        </w:tc>
        <w:tc>
          <w:tcPr>
            <w:tcW w:w="1275" w:type="dxa"/>
          </w:tcPr>
          <w:p w14:paraId="40BD1FAF" w14:textId="1FD45002" w:rsidR="007C79E8" w:rsidRPr="00BC773E" w:rsidRDefault="007C79E8" w:rsidP="007C79E8">
            <w:pPr>
              <w:rPr>
                <w:rFonts w:ascii="Calibri" w:eastAsia="Calibri" w:hAnsi="Calibri" w:cs="Times New Roman"/>
                <w:lang w:val="sv-SE"/>
              </w:rPr>
            </w:pPr>
            <w:r w:rsidRPr="00BC773E">
              <w:rPr>
                <w:rFonts w:ascii="Calibri" w:eastAsia="Calibri" w:hAnsi="Calibri" w:cs="Times New Roman"/>
                <w:lang w:val="sv-SE"/>
              </w:rPr>
              <w:t>1.23-1.79</w:t>
            </w:r>
          </w:p>
        </w:tc>
        <w:tc>
          <w:tcPr>
            <w:tcW w:w="1275" w:type="dxa"/>
          </w:tcPr>
          <w:p w14:paraId="04F0C82E" w14:textId="0661D90C" w:rsidR="007C79E8" w:rsidRPr="00F91158" w:rsidRDefault="007C79E8" w:rsidP="007C79E8">
            <w:pPr>
              <w:rPr>
                <w:rFonts w:ascii="Calibri" w:eastAsia="Calibri" w:hAnsi="Calibri" w:cs="Times New Roman"/>
                <w:lang w:val="sv-SE"/>
              </w:rPr>
            </w:pPr>
            <w:r w:rsidRPr="00F91158">
              <w:rPr>
                <w:rFonts w:ascii="Calibri" w:eastAsia="Calibri" w:hAnsi="Calibri" w:cs="Times New Roman"/>
                <w:lang w:val="sv-SE"/>
              </w:rPr>
              <w:t>2.06</w:t>
            </w:r>
          </w:p>
        </w:tc>
        <w:tc>
          <w:tcPr>
            <w:tcW w:w="1275" w:type="dxa"/>
          </w:tcPr>
          <w:p w14:paraId="53280662" w14:textId="6A27B583" w:rsidR="007C79E8" w:rsidRPr="00BC773E" w:rsidRDefault="007C79E8" w:rsidP="007C79E8">
            <w:pPr>
              <w:rPr>
                <w:rFonts w:ascii="Calibri" w:eastAsia="Calibri" w:hAnsi="Calibri" w:cs="Times New Roman"/>
                <w:lang w:val="sv-SE"/>
              </w:rPr>
            </w:pPr>
            <w:r w:rsidRPr="00BC773E">
              <w:rPr>
                <w:rFonts w:ascii="Calibri" w:eastAsia="Calibri" w:hAnsi="Calibri" w:cs="Times New Roman"/>
                <w:lang w:val="sv-SE"/>
              </w:rPr>
              <w:t>1.57-2.90</w:t>
            </w:r>
          </w:p>
        </w:tc>
      </w:tr>
      <w:tr w:rsidR="007C79E8" w:rsidRPr="00685A73" w14:paraId="165C4858" w14:textId="3AD3C195" w:rsidTr="00F91158">
        <w:trPr>
          <w:jc w:val="center"/>
        </w:trPr>
        <w:tc>
          <w:tcPr>
            <w:tcW w:w="1274" w:type="dxa"/>
          </w:tcPr>
          <w:p w14:paraId="33D6A15F" w14:textId="77777777" w:rsidR="007C79E8" w:rsidRPr="00FD1974" w:rsidRDefault="007C79E8" w:rsidP="007C79E8">
            <w:pPr>
              <w:rPr>
                <w:rFonts w:ascii="Calibri" w:eastAsia="Calibri" w:hAnsi="Calibri" w:cs="Times New Roman"/>
                <w:lang w:val="sv-SE"/>
              </w:rPr>
            </w:pPr>
            <w:r w:rsidRPr="00FD1974">
              <w:rPr>
                <w:rFonts w:ascii="Calibri" w:eastAsia="Calibri" w:hAnsi="Calibri" w:cs="Times New Roman"/>
                <w:lang w:val="sv-SE"/>
              </w:rPr>
              <w:t>80-84</w:t>
            </w:r>
          </w:p>
        </w:tc>
        <w:tc>
          <w:tcPr>
            <w:tcW w:w="1275" w:type="dxa"/>
          </w:tcPr>
          <w:p w14:paraId="4BF99825" w14:textId="77777777" w:rsidR="007C79E8" w:rsidRPr="00FD1974" w:rsidRDefault="007C79E8" w:rsidP="007C79E8">
            <w:pPr>
              <w:rPr>
                <w:rFonts w:ascii="Calibri" w:eastAsia="Calibri" w:hAnsi="Calibri" w:cs="Times New Roman"/>
                <w:lang w:val="sv-SE"/>
              </w:rPr>
            </w:pPr>
            <w:r w:rsidRPr="00FD1974">
              <w:rPr>
                <w:rFonts w:ascii="Calibri" w:eastAsia="Calibri" w:hAnsi="Calibri" w:cs="Times New Roman"/>
                <w:lang w:val="sv-SE"/>
              </w:rPr>
              <w:t>804</w:t>
            </w:r>
          </w:p>
        </w:tc>
        <w:tc>
          <w:tcPr>
            <w:tcW w:w="1274" w:type="dxa"/>
          </w:tcPr>
          <w:p w14:paraId="4B6D7956" w14:textId="092BDF62" w:rsidR="007C79E8" w:rsidRPr="007424ED" w:rsidRDefault="007C79E8" w:rsidP="007C79E8">
            <w:pPr>
              <w:rPr>
                <w:rFonts w:ascii="Calibri" w:eastAsia="Calibri" w:hAnsi="Calibri" w:cs="Times New Roman"/>
                <w:lang w:val="sv-SE"/>
              </w:rPr>
            </w:pPr>
            <w:r w:rsidRPr="007424ED">
              <w:rPr>
                <w:rFonts w:ascii="Calibri" w:eastAsia="Calibri" w:hAnsi="Calibri" w:cs="Times New Roman"/>
                <w:lang w:val="sv-SE"/>
              </w:rPr>
              <w:t>1.57</w:t>
            </w:r>
          </w:p>
        </w:tc>
        <w:tc>
          <w:tcPr>
            <w:tcW w:w="1275" w:type="dxa"/>
          </w:tcPr>
          <w:p w14:paraId="24D39328" w14:textId="2F0E12AD" w:rsidR="007C79E8" w:rsidRPr="00BC773E" w:rsidRDefault="007C79E8" w:rsidP="007C79E8">
            <w:pPr>
              <w:rPr>
                <w:rFonts w:ascii="Calibri" w:eastAsia="Calibri" w:hAnsi="Calibri" w:cs="Times New Roman"/>
                <w:lang w:val="sv-SE"/>
              </w:rPr>
            </w:pPr>
            <w:r w:rsidRPr="00BC773E">
              <w:rPr>
                <w:rFonts w:ascii="Calibri" w:eastAsia="Calibri" w:hAnsi="Calibri" w:cs="Times New Roman"/>
                <w:lang w:val="sv-SE"/>
              </w:rPr>
              <w:t>1.30-1.97</w:t>
            </w:r>
          </w:p>
        </w:tc>
        <w:tc>
          <w:tcPr>
            <w:tcW w:w="1275" w:type="dxa"/>
          </w:tcPr>
          <w:p w14:paraId="41D4A8CB" w14:textId="3FBD6B9C" w:rsidR="007C79E8" w:rsidRPr="00F91158" w:rsidRDefault="007C79E8" w:rsidP="007C79E8">
            <w:pPr>
              <w:rPr>
                <w:rFonts w:ascii="Calibri" w:eastAsia="Calibri" w:hAnsi="Calibri" w:cs="Times New Roman"/>
                <w:lang w:val="sv-SE"/>
              </w:rPr>
            </w:pPr>
            <w:r w:rsidRPr="00F91158">
              <w:rPr>
                <w:rFonts w:ascii="Calibri" w:eastAsia="Calibri" w:hAnsi="Calibri" w:cs="Times New Roman"/>
                <w:lang w:val="sv-SE"/>
              </w:rPr>
              <w:t>2.24</w:t>
            </w:r>
          </w:p>
        </w:tc>
        <w:tc>
          <w:tcPr>
            <w:tcW w:w="1275" w:type="dxa"/>
          </w:tcPr>
          <w:p w14:paraId="68B653F5" w14:textId="106B6318" w:rsidR="007C79E8" w:rsidRPr="00BC773E" w:rsidRDefault="007C79E8" w:rsidP="007C79E8">
            <w:pPr>
              <w:rPr>
                <w:rFonts w:ascii="Calibri" w:eastAsia="Calibri" w:hAnsi="Calibri" w:cs="Times New Roman"/>
                <w:lang w:val="sv-SE"/>
              </w:rPr>
            </w:pPr>
            <w:r w:rsidRPr="00BC773E">
              <w:rPr>
                <w:rFonts w:ascii="Calibri" w:eastAsia="Calibri" w:hAnsi="Calibri" w:cs="Times New Roman"/>
                <w:lang w:val="sv-SE"/>
              </w:rPr>
              <w:t>1.72-3.11</w:t>
            </w:r>
          </w:p>
        </w:tc>
      </w:tr>
      <w:tr w:rsidR="007C79E8" w:rsidRPr="00685A73" w14:paraId="5958373E" w14:textId="427C0AC7" w:rsidTr="00F91158">
        <w:trPr>
          <w:jc w:val="center"/>
        </w:trPr>
        <w:tc>
          <w:tcPr>
            <w:tcW w:w="1274" w:type="dxa"/>
          </w:tcPr>
          <w:p w14:paraId="6D500E37" w14:textId="77777777" w:rsidR="007C79E8" w:rsidRPr="00FD1974" w:rsidRDefault="007C79E8" w:rsidP="007C79E8">
            <w:pPr>
              <w:rPr>
                <w:rFonts w:ascii="Calibri" w:eastAsia="Calibri" w:hAnsi="Calibri" w:cs="Times New Roman"/>
                <w:lang w:val="sv-SE"/>
              </w:rPr>
            </w:pPr>
            <w:r w:rsidRPr="00FD1974">
              <w:rPr>
                <w:rFonts w:ascii="Calibri" w:eastAsia="Calibri" w:hAnsi="Calibri" w:cs="Times New Roman"/>
                <w:lang w:val="sv-SE"/>
              </w:rPr>
              <w:t>85-89</w:t>
            </w:r>
          </w:p>
        </w:tc>
        <w:tc>
          <w:tcPr>
            <w:tcW w:w="1275" w:type="dxa"/>
          </w:tcPr>
          <w:p w14:paraId="333E414D" w14:textId="77777777" w:rsidR="007C79E8" w:rsidRPr="00FD1974" w:rsidRDefault="007C79E8" w:rsidP="007C79E8">
            <w:pPr>
              <w:rPr>
                <w:rFonts w:ascii="Calibri" w:eastAsia="Calibri" w:hAnsi="Calibri" w:cs="Times New Roman"/>
                <w:lang w:val="sv-SE"/>
              </w:rPr>
            </w:pPr>
            <w:r w:rsidRPr="00FD1974">
              <w:rPr>
                <w:rFonts w:ascii="Calibri" w:eastAsia="Calibri" w:hAnsi="Calibri" w:cs="Times New Roman"/>
                <w:lang w:val="sv-SE"/>
              </w:rPr>
              <w:t>320</w:t>
            </w:r>
          </w:p>
        </w:tc>
        <w:tc>
          <w:tcPr>
            <w:tcW w:w="1274" w:type="dxa"/>
          </w:tcPr>
          <w:p w14:paraId="4E0E0F76" w14:textId="7CBB7F95" w:rsidR="007C79E8" w:rsidRPr="007424ED" w:rsidRDefault="007C79E8" w:rsidP="007C79E8">
            <w:pPr>
              <w:rPr>
                <w:rFonts w:ascii="Calibri" w:eastAsia="Calibri" w:hAnsi="Calibri" w:cs="Times New Roman"/>
                <w:lang w:val="sv-SE"/>
              </w:rPr>
            </w:pPr>
            <w:r w:rsidRPr="007424ED">
              <w:rPr>
                <w:rFonts w:ascii="Calibri" w:eastAsia="Calibri" w:hAnsi="Calibri" w:cs="Times New Roman"/>
                <w:lang w:val="sv-SE"/>
              </w:rPr>
              <w:t>1.57</w:t>
            </w:r>
          </w:p>
        </w:tc>
        <w:tc>
          <w:tcPr>
            <w:tcW w:w="1275" w:type="dxa"/>
          </w:tcPr>
          <w:p w14:paraId="11A89B55" w14:textId="49EF484B" w:rsidR="007C79E8" w:rsidRPr="00BC773E" w:rsidRDefault="007C79E8" w:rsidP="007C79E8">
            <w:pPr>
              <w:rPr>
                <w:rFonts w:ascii="Calibri" w:eastAsia="Calibri" w:hAnsi="Calibri" w:cs="Times New Roman"/>
                <w:lang w:val="sv-SE"/>
              </w:rPr>
            </w:pPr>
            <w:r w:rsidRPr="00BC773E">
              <w:rPr>
                <w:rFonts w:ascii="Calibri" w:eastAsia="Calibri" w:hAnsi="Calibri" w:cs="Times New Roman"/>
                <w:lang w:val="sv-SE"/>
              </w:rPr>
              <w:t>1.20-1.93</w:t>
            </w:r>
          </w:p>
        </w:tc>
        <w:tc>
          <w:tcPr>
            <w:tcW w:w="1275" w:type="dxa"/>
          </w:tcPr>
          <w:p w14:paraId="0C740108" w14:textId="10024F40" w:rsidR="007C79E8" w:rsidRPr="00F91158" w:rsidRDefault="007C79E8" w:rsidP="007C79E8">
            <w:pPr>
              <w:rPr>
                <w:rFonts w:ascii="Calibri" w:eastAsia="Calibri" w:hAnsi="Calibri" w:cs="Times New Roman"/>
                <w:lang w:val="sv-SE"/>
              </w:rPr>
            </w:pPr>
            <w:r w:rsidRPr="00F91158">
              <w:rPr>
                <w:rFonts w:ascii="Calibri" w:eastAsia="Calibri" w:hAnsi="Calibri" w:cs="Times New Roman"/>
                <w:lang w:val="sv-SE"/>
              </w:rPr>
              <w:t>2.15</w:t>
            </w:r>
          </w:p>
        </w:tc>
        <w:tc>
          <w:tcPr>
            <w:tcW w:w="1275" w:type="dxa"/>
          </w:tcPr>
          <w:p w14:paraId="2BB63F73" w14:textId="02C556E8" w:rsidR="007C79E8" w:rsidRPr="00BC773E" w:rsidRDefault="007C79E8" w:rsidP="007C79E8">
            <w:pPr>
              <w:rPr>
                <w:rFonts w:ascii="Calibri" w:eastAsia="Calibri" w:hAnsi="Calibri" w:cs="Times New Roman"/>
                <w:lang w:val="sv-SE"/>
              </w:rPr>
            </w:pPr>
            <w:r w:rsidRPr="00BC773E">
              <w:rPr>
                <w:rFonts w:ascii="Calibri" w:eastAsia="Calibri" w:hAnsi="Calibri" w:cs="Times New Roman"/>
                <w:lang w:val="sv-SE"/>
              </w:rPr>
              <w:t>1.54-2.87</w:t>
            </w:r>
          </w:p>
        </w:tc>
      </w:tr>
      <w:tr w:rsidR="007C79E8" w:rsidRPr="00685A73" w14:paraId="4E0D84E7" w14:textId="155FEA86" w:rsidTr="00F91158">
        <w:trPr>
          <w:jc w:val="center"/>
        </w:trPr>
        <w:tc>
          <w:tcPr>
            <w:tcW w:w="1274" w:type="dxa"/>
          </w:tcPr>
          <w:p w14:paraId="284C2D3A" w14:textId="77777777" w:rsidR="007C79E8" w:rsidRPr="00FD1974" w:rsidRDefault="007C79E8" w:rsidP="007C79E8">
            <w:pPr>
              <w:rPr>
                <w:rFonts w:ascii="Calibri" w:eastAsia="Calibri" w:hAnsi="Calibri" w:cs="Times New Roman"/>
                <w:lang w:val="sv-SE"/>
              </w:rPr>
            </w:pPr>
            <w:r w:rsidRPr="00FD1974">
              <w:rPr>
                <w:rFonts w:ascii="Calibri" w:eastAsia="Calibri" w:hAnsi="Calibri" w:cs="Times New Roman"/>
                <w:lang w:val="sv-SE"/>
              </w:rPr>
              <w:t>90+</w:t>
            </w:r>
          </w:p>
        </w:tc>
        <w:tc>
          <w:tcPr>
            <w:tcW w:w="1275" w:type="dxa"/>
          </w:tcPr>
          <w:p w14:paraId="0D6FCC89" w14:textId="77777777" w:rsidR="007C79E8" w:rsidRPr="00FD1974" w:rsidRDefault="007C79E8" w:rsidP="007C79E8">
            <w:pPr>
              <w:rPr>
                <w:rFonts w:ascii="Calibri" w:eastAsia="Calibri" w:hAnsi="Calibri" w:cs="Times New Roman"/>
                <w:lang w:val="sv-SE"/>
              </w:rPr>
            </w:pPr>
            <w:r w:rsidRPr="00FD1974">
              <w:rPr>
                <w:rFonts w:ascii="Calibri" w:eastAsia="Calibri" w:hAnsi="Calibri" w:cs="Times New Roman"/>
                <w:lang w:val="sv-SE"/>
              </w:rPr>
              <w:t>7</w:t>
            </w:r>
          </w:p>
        </w:tc>
        <w:tc>
          <w:tcPr>
            <w:tcW w:w="1274" w:type="dxa"/>
          </w:tcPr>
          <w:p w14:paraId="4373F7E3" w14:textId="4FA928EC" w:rsidR="007C79E8" w:rsidRPr="007424ED" w:rsidRDefault="007C79E8" w:rsidP="007C79E8">
            <w:pPr>
              <w:rPr>
                <w:rFonts w:ascii="Calibri" w:eastAsia="Calibri" w:hAnsi="Calibri" w:cs="Times New Roman"/>
                <w:lang w:val="sv-SE"/>
              </w:rPr>
            </w:pPr>
            <w:r w:rsidRPr="007424ED">
              <w:rPr>
                <w:rFonts w:ascii="Calibri" w:eastAsia="Calibri" w:hAnsi="Calibri" w:cs="Times New Roman"/>
                <w:lang w:val="sv-SE"/>
              </w:rPr>
              <w:t>1.74</w:t>
            </w:r>
          </w:p>
        </w:tc>
        <w:tc>
          <w:tcPr>
            <w:tcW w:w="1275" w:type="dxa"/>
          </w:tcPr>
          <w:p w14:paraId="3FCDB759" w14:textId="7BB55017" w:rsidR="007C79E8" w:rsidRPr="00BC773E" w:rsidRDefault="007C79E8" w:rsidP="007C79E8">
            <w:pPr>
              <w:rPr>
                <w:rFonts w:ascii="Calibri" w:eastAsia="Calibri" w:hAnsi="Calibri" w:cs="Times New Roman"/>
                <w:lang w:val="sv-SE"/>
              </w:rPr>
            </w:pPr>
            <w:r w:rsidRPr="00BC773E">
              <w:rPr>
                <w:rFonts w:ascii="Calibri" w:eastAsia="Calibri" w:hAnsi="Calibri" w:cs="Times New Roman"/>
                <w:lang w:val="sv-SE"/>
              </w:rPr>
              <w:t>1.12-1.96</w:t>
            </w:r>
          </w:p>
        </w:tc>
        <w:tc>
          <w:tcPr>
            <w:tcW w:w="1275" w:type="dxa"/>
          </w:tcPr>
          <w:p w14:paraId="52F9A3CB" w14:textId="772A2835" w:rsidR="007C79E8" w:rsidRPr="00F91158" w:rsidRDefault="007C79E8" w:rsidP="007C79E8">
            <w:pPr>
              <w:rPr>
                <w:rFonts w:ascii="Calibri" w:eastAsia="Calibri" w:hAnsi="Calibri" w:cs="Times New Roman"/>
                <w:lang w:val="sv-SE"/>
              </w:rPr>
            </w:pPr>
            <w:r w:rsidRPr="00F91158">
              <w:rPr>
                <w:rFonts w:ascii="Calibri" w:eastAsia="Calibri" w:hAnsi="Calibri" w:cs="Times New Roman"/>
                <w:lang w:val="sv-SE"/>
              </w:rPr>
              <w:t>2.47</w:t>
            </w:r>
          </w:p>
        </w:tc>
        <w:tc>
          <w:tcPr>
            <w:tcW w:w="1275" w:type="dxa"/>
          </w:tcPr>
          <w:p w14:paraId="1BB4E223" w14:textId="67A3A4D2" w:rsidR="007C79E8" w:rsidRPr="00BC773E" w:rsidRDefault="007C79E8" w:rsidP="007C79E8">
            <w:pPr>
              <w:rPr>
                <w:rFonts w:ascii="Calibri" w:eastAsia="Calibri" w:hAnsi="Calibri" w:cs="Times New Roman"/>
                <w:lang w:val="sv-SE"/>
              </w:rPr>
            </w:pPr>
            <w:r w:rsidRPr="00BC773E">
              <w:rPr>
                <w:rFonts w:ascii="Calibri" w:eastAsia="Calibri" w:hAnsi="Calibri" w:cs="Times New Roman"/>
                <w:lang w:val="sv-SE"/>
              </w:rPr>
              <w:t>1.30-2.70</w:t>
            </w:r>
          </w:p>
        </w:tc>
      </w:tr>
      <w:tr w:rsidR="007C79E8" w:rsidRPr="00685A73" w14:paraId="4749AA2D" w14:textId="3D00AF44" w:rsidTr="00F91158">
        <w:trPr>
          <w:jc w:val="center"/>
        </w:trPr>
        <w:tc>
          <w:tcPr>
            <w:tcW w:w="1274" w:type="dxa"/>
          </w:tcPr>
          <w:p w14:paraId="77B069CE" w14:textId="77777777" w:rsidR="007C79E8" w:rsidRPr="00FD1974" w:rsidRDefault="007C79E8" w:rsidP="007C79E8">
            <w:pPr>
              <w:rPr>
                <w:rFonts w:ascii="Calibri" w:eastAsia="Calibri" w:hAnsi="Calibri" w:cs="Times New Roman"/>
                <w:lang w:val="sv-SE"/>
              </w:rPr>
            </w:pPr>
          </w:p>
        </w:tc>
        <w:tc>
          <w:tcPr>
            <w:tcW w:w="1275" w:type="dxa"/>
          </w:tcPr>
          <w:p w14:paraId="45D80683" w14:textId="77777777" w:rsidR="007C79E8" w:rsidRPr="00FD1974" w:rsidRDefault="007C79E8" w:rsidP="007C79E8">
            <w:pPr>
              <w:rPr>
                <w:rFonts w:ascii="Calibri" w:eastAsia="Calibri" w:hAnsi="Calibri" w:cs="Times New Roman"/>
                <w:lang w:val="sv-SE"/>
              </w:rPr>
            </w:pPr>
          </w:p>
        </w:tc>
        <w:tc>
          <w:tcPr>
            <w:tcW w:w="1274" w:type="dxa"/>
          </w:tcPr>
          <w:p w14:paraId="2FA1767D" w14:textId="77777777" w:rsidR="007C79E8" w:rsidRPr="007424ED" w:rsidRDefault="007C79E8" w:rsidP="007C79E8">
            <w:pPr>
              <w:rPr>
                <w:rFonts w:ascii="Calibri" w:eastAsia="Calibri" w:hAnsi="Calibri" w:cs="Times New Roman"/>
                <w:lang w:val="sv-SE"/>
              </w:rPr>
            </w:pPr>
          </w:p>
        </w:tc>
        <w:tc>
          <w:tcPr>
            <w:tcW w:w="1275" w:type="dxa"/>
          </w:tcPr>
          <w:p w14:paraId="0D725FF6" w14:textId="77777777" w:rsidR="007C79E8" w:rsidRPr="00BC773E" w:rsidRDefault="007C79E8" w:rsidP="007C79E8">
            <w:pPr>
              <w:rPr>
                <w:rFonts w:ascii="Calibri" w:eastAsia="Calibri" w:hAnsi="Calibri" w:cs="Times New Roman"/>
                <w:lang w:val="sv-SE"/>
              </w:rPr>
            </w:pPr>
          </w:p>
        </w:tc>
        <w:tc>
          <w:tcPr>
            <w:tcW w:w="1275" w:type="dxa"/>
          </w:tcPr>
          <w:p w14:paraId="604B6409" w14:textId="20E85E32" w:rsidR="007C79E8" w:rsidRPr="00F91158" w:rsidRDefault="007C79E8" w:rsidP="007C79E8">
            <w:pPr>
              <w:rPr>
                <w:rFonts w:ascii="Calibri" w:eastAsia="Calibri" w:hAnsi="Calibri" w:cs="Times New Roman"/>
                <w:lang w:val="sv-SE"/>
              </w:rPr>
            </w:pPr>
          </w:p>
        </w:tc>
        <w:tc>
          <w:tcPr>
            <w:tcW w:w="1275" w:type="dxa"/>
          </w:tcPr>
          <w:p w14:paraId="5E50A76E" w14:textId="77777777" w:rsidR="007C79E8" w:rsidRPr="00BC773E" w:rsidRDefault="007C79E8" w:rsidP="007C79E8">
            <w:pPr>
              <w:rPr>
                <w:rFonts w:ascii="Calibri" w:eastAsia="Calibri" w:hAnsi="Calibri" w:cs="Times New Roman"/>
                <w:lang w:val="sv-SE"/>
              </w:rPr>
            </w:pPr>
          </w:p>
        </w:tc>
      </w:tr>
      <w:tr w:rsidR="007C79E8" w:rsidRPr="00685A73" w14:paraId="2CF2DE16" w14:textId="39BF4215" w:rsidTr="00F91158">
        <w:trPr>
          <w:jc w:val="center"/>
        </w:trPr>
        <w:tc>
          <w:tcPr>
            <w:tcW w:w="1274" w:type="dxa"/>
          </w:tcPr>
          <w:p w14:paraId="70125251" w14:textId="77777777" w:rsidR="007C79E8" w:rsidRPr="00FD1974" w:rsidRDefault="007C79E8" w:rsidP="007C79E8">
            <w:pPr>
              <w:rPr>
                <w:rFonts w:ascii="Calibri" w:eastAsia="Calibri" w:hAnsi="Calibri" w:cs="Times New Roman"/>
                <w:lang w:val="sv-SE"/>
              </w:rPr>
            </w:pPr>
            <w:r w:rsidRPr="00FD1974">
              <w:rPr>
                <w:rFonts w:ascii="Calibri" w:eastAsia="Calibri" w:hAnsi="Calibri" w:cs="Times New Roman"/>
                <w:lang w:val="sv-SE"/>
              </w:rPr>
              <w:t>All ages</w:t>
            </w:r>
          </w:p>
        </w:tc>
        <w:tc>
          <w:tcPr>
            <w:tcW w:w="1275" w:type="dxa"/>
          </w:tcPr>
          <w:p w14:paraId="09ECE2B1" w14:textId="77777777" w:rsidR="007C79E8" w:rsidRPr="00FD1974" w:rsidRDefault="007C79E8" w:rsidP="007C79E8">
            <w:pPr>
              <w:rPr>
                <w:rFonts w:ascii="Calibri" w:eastAsia="Calibri" w:hAnsi="Calibri" w:cs="Times New Roman"/>
                <w:lang w:val="sv-SE"/>
              </w:rPr>
            </w:pPr>
            <w:r w:rsidRPr="00FD1974">
              <w:rPr>
                <w:rFonts w:ascii="Calibri" w:eastAsia="Calibri" w:hAnsi="Calibri" w:cs="Times New Roman"/>
                <w:lang w:val="sv-SE"/>
              </w:rPr>
              <w:t>4083</w:t>
            </w:r>
          </w:p>
        </w:tc>
        <w:tc>
          <w:tcPr>
            <w:tcW w:w="1274" w:type="dxa"/>
          </w:tcPr>
          <w:p w14:paraId="15E75409" w14:textId="6B1D9114" w:rsidR="007C79E8" w:rsidRPr="007424ED" w:rsidRDefault="007C79E8" w:rsidP="007C79E8">
            <w:pPr>
              <w:rPr>
                <w:rFonts w:ascii="Calibri" w:eastAsia="Calibri" w:hAnsi="Calibri" w:cs="Times New Roman"/>
                <w:lang w:val="sv-SE"/>
              </w:rPr>
            </w:pPr>
            <w:r w:rsidRPr="007424ED">
              <w:rPr>
                <w:rFonts w:ascii="Calibri" w:eastAsia="Calibri" w:hAnsi="Calibri" w:cs="Times New Roman"/>
                <w:lang w:val="sv-SE"/>
              </w:rPr>
              <w:t>1.50</w:t>
            </w:r>
          </w:p>
        </w:tc>
        <w:tc>
          <w:tcPr>
            <w:tcW w:w="1275" w:type="dxa"/>
          </w:tcPr>
          <w:p w14:paraId="222E398D" w14:textId="75CE834E" w:rsidR="007C79E8" w:rsidRPr="00BC773E" w:rsidRDefault="007C79E8" w:rsidP="007C79E8">
            <w:pPr>
              <w:rPr>
                <w:rFonts w:ascii="Calibri" w:eastAsia="Calibri" w:hAnsi="Calibri" w:cs="Times New Roman"/>
                <w:lang w:val="sv-SE"/>
              </w:rPr>
            </w:pPr>
            <w:r w:rsidRPr="00BC773E">
              <w:rPr>
                <w:rFonts w:ascii="Calibri" w:eastAsia="Calibri" w:hAnsi="Calibri" w:cs="Times New Roman"/>
                <w:lang w:val="sv-SE"/>
              </w:rPr>
              <w:t>1.23-1.88</w:t>
            </w:r>
          </w:p>
        </w:tc>
        <w:tc>
          <w:tcPr>
            <w:tcW w:w="1275" w:type="dxa"/>
          </w:tcPr>
          <w:p w14:paraId="668F9277" w14:textId="12C5AA6A" w:rsidR="007C79E8" w:rsidRPr="00F91158" w:rsidRDefault="007C79E8" w:rsidP="007C79E8">
            <w:pPr>
              <w:rPr>
                <w:rFonts w:ascii="Calibri" w:eastAsia="Calibri" w:hAnsi="Calibri" w:cs="Times New Roman"/>
                <w:lang w:val="sv-SE"/>
              </w:rPr>
            </w:pPr>
            <w:r w:rsidRPr="00F91158">
              <w:rPr>
                <w:rFonts w:ascii="Calibri" w:eastAsia="Calibri" w:hAnsi="Calibri" w:cs="Times New Roman"/>
                <w:lang w:val="sv-SE"/>
              </w:rPr>
              <w:t>2.17</w:t>
            </w:r>
          </w:p>
        </w:tc>
        <w:tc>
          <w:tcPr>
            <w:tcW w:w="1275" w:type="dxa"/>
          </w:tcPr>
          <w:p w14:paraId="7956E6E2" w14:textId="0BF70262" w:rsidR="007C79E8" w:rsidRPr="00BC773E" w:rsidRDefault="007C79E8" w:rsidP="007C79E8">
            <w:pPr>
              <w:rPr>
                <w:rFonts w:ascii="Calibri" w:eastAsia="Calibri" w:hAnsi="Calibri" w:cs="Times New Roman"/>
                <w:lang w:val="sv-SE"/>
              </w:rPr>
            </w:pPr>
            <w:r w:rsidRPr="00BC773E">
              <w:rPr>
                <w:rFonts w:ascii="Calibri" w:eastAsia="Calibri" w:hAnsi="Calibri" w:cs="Times New Roman"/>
                <w:lang w:val="sv-SE"/>
              </w:rPr>
              <w:t>1.57-3.20</w:t>
            </w:r>
          </w:p>
        </w:tc>
      </w:tr>
    </w:tbl>
    <w:p w14:paraId="276DD866" w14:textId="77777777" w:rsidR="00DD4D25" w:rsidRDefault="00DD4D25" w:rsidP="00DD4D25">
      <w:pPr>
        <w:autoSpaceDE w:val="0"/>
        <w:autoSpaceDN w:val="0"/>
        <w:adjustRightInd w:val="0"/>
        <w:spacing w:after="0" w:line="276" w:lineRule="auto"/>
        <w:rPr>
          <w:rFonts w:ascii="Calibri" w:hAnsi="Calibri" w:cs="Calibri"/>
          <w:color w:val="131413"/>
          <w:sz w:val="20"/>
          <w:szCs w:val="20"/>
        </w:rPr>
      </w:pPr>
    </w:p>
    <w:p w14:paraId="3C139B32" w14:textId="77777777" w:rsidR="00DD4D25" w:rsidRPr="004846F2" w:rsidRDefault="00DD4D25" w:rsidP="00DD4D25">
      <w:pPr>
        <w:autoSpaceDE w:val="0"/>
        <w:autoSpaceDN w:val="0"/>
        <w:adjustRightInd w:val="0"/>
        <w:spacing w:after="0" w:line="276" w:lineRule="auto"/>
        <w:rPr>
          <w:rFonts w:ascii="Calibri" w:hAnsi="Calibri" w:cs="Calibri"/>
          <w:color w:val="131413"/>
          <w:sz w:val="20"/>
          <w:szCs w:val="20"/>
        </w:rPr>
      </w:pPr>
    </w:p>
    <w:p w14:paraId="5C39966E" w14:textId="4BEDCF56" w:rsidR="00D857DD" w:rsidRDefault="00E45440" w:rsidP="00F323B1">
      <w:pPr>
        <w:autoSpaceDE w:val="0"/>
        <w:autoSpaceDN w:val="0"/>
        <w:adjustRightInd w:val="0"/>
        <w:spacing w:after="0" w:line="276" w:lineRule="auto"/>
        <w:rPr>
          <w:rFonts w:ascii="Calibri" w:hAnsi="Calibri" w:cs="Calibri"/>
          <w:color w:val="131413"/>
          <w:sz w:val="24"/>
          <w:szCs w:val="24"/>
        </w:rPr>
      </w:pPr>
      <w:r>
        <w:rPr>
          <w:rFonts w:ascii="Calibri" w:hAnsi="Calibri" w:cs="Calibri"/>
          <w:color w:val="131413"/>
          <w:sz w:val="24"/>
          <w:szCs w:val="24"/>
        </w:rPr>
        <w:t xml:space="preserve">The Appendix provides </w:t>
      </w:r>
      <w:r w:rsidR="006C258A">
        <w:rPr>
          <w:rFonts w:ascii="Calibri" w:hAnsi="Calibri" w:cs="Calibri"/>
          <w:color w:val="131413"/>
          <w:sz w:val="24"/>
          <w:szCs w:val="24"/>
        </w:rPr>
        <w:t>examples of the categorization of risk</w:t>
      </w:r>
      <w:r w:rsidR="006C7379">
        <w:rPr>
          <w:rFonts w:ascii="Calibri" w:hAnsi="Calibri" w:cs="Calibri"/>
          <w:color w:val="131413"/>
          <w:sz w:val="24"/>
          <w:szCs w:val="24"/>
        </w:rPr>
        <w:t xml:space="preserve"> with clinical risk </w:t>
      </w:r>
      <w:r w:rsidR="007252E7">
        <w:rPr>
          <w:rFonts w:ascii="Calibri" w:hAnsi="Calibri" w:cs="Calibri"/>
          <w:color w:val="131413"/>
          <w:sz w:val="24"/>
          <w:szCs w:val="24"/>
        </w:rPr>
        <w:t>factors alone or in combination</w:t>
      </w:r>
      <w:r w:rsidR="005850C4">
        <w:rPr>
          <w:rFonts w:ascii="Calibri" w:hAnsi="Calibri" w:cs="Calibri"/>
          <w:color w:val="131413"/>
          <w:sz w:val="24"/>
          <w:szCs w:val="24"/>
        </w:rPr>
        <w:t xml:space="preserve"> </w:t>
      </w:r>
      <w:r w:rsidR="004325A8">
        <w:rPr>
          <w:rFonts w:ascii="Calibri" w:hAnsi="Calibri" w:cs="Calibri"/>
          <w:color w:val="131413"/>
          <w:sz w:val="24"/>
          <w:szCs w:val="24"/>
        </w:rPr>
        <w:t xml:space="preserve">in women </w:t>
      </w:r>
      <w:r w:rsidR="005850C4">
        <w:rPr>
          <w:rFonts w:ascii="Calibri" w:hAnsi="Calibri" w:cs="Calibri"/>
          <w:color w:val="131413"/>
          <w:sz w:val="24"/>
          <w:szCs w:val="24"/>
        </w:rPr>
        <w:t>according to age</w:t>
      </w:r>
      <w:r w:rsidR="007252E7">
        <w:rPr>
          <w:rFonts w:ascii="Calibri" w:hAnsi="Calibri" w:cs="Calibri"/>
          <w:color w:val="131413"/>
          <w:sz w:val="24"/>
          <w:szCs w:val="24"/>
        </w:rPr>
        <w:t xml:space="preserve">.  </w:t>
      </w:r>
      <w:r w:rsidR="005A6EF8">
        <w:rPr>
          <w:rFonts w:ascii="Calibri" w:hAnsi="Calibri" w:cs="Calibri"/>
          <w:color w:val="131413"/>
          <w:sz w:val="24"/>
          <w:szCs w:val="24"/>
        </w:rPr>
        <w:t xml:space="preserve">With the exception of a prior fracture </w:t>
      </w:r>
      <w:r w:rsidR="00A12D15">
        <w:rPr>
          <w:rFonts w:ascii="Calibri" w:hAnsi="Calibri" w:cs="Calibri"/>
          <w:color w:val="131413"/>
          <w:sz w:val="24"/>
          <w:szCs w:val="24"/>
        </w:rPr>
        <w:t>(al</w:t>
      </w:r>
      <w:r w:rsidR="00F613C5">
        <w:rPr>
          <w:rFonts w:ascii="Calibri" w:hAnsi="Calibri" w:cs="Calibri"/>
          <w:color w:val="131413"/>
          <w:sz w:val="24"/>
          <w:szCs w:val="24"/>
        </w:rPr>
        <w:t>w</w:t>
      </w:r>
      <w:r w:rsidR="00A12D15">
        <w:rPr>
          <w:rFonts w:ascii="Calibri" w:hAnsi="Calibri" w:cs="Calibri"/>
          <w:color w:val="131413"/>
          <w:sz w:val="24"/>
          <w:szCs w:val="24"/>
        </w:rPr>
        <w:t>ays eligible for treatment</w:t>
      </w:r>
      <w:r w:rsidR="00836FA1">
        <w:rPr>
          <w:rFonts w:ascii="Calibri" w:hAnsi="Calibri" w:cs="Calibri"/>
          <w:color w:val="131413"/>
          <w:sz w:val="24"/>
          <w:szCs w:val="24"/>
        </w:rPr>
        <w:t>)</w:t>
      </w:r>
      <w:r w:rsidR="00F613C5">
        <w:rPr>
          <w:rFonts w:ascii="Calibri" w:hAnsi="Calibri" w:cs="Calibri"/>
          <w:color w:val="131413"/>
          <w:sz w:val="24"/>
          <w:szCs w:val="24"/>
        </w:rPr>
        <w:t>,</w:t>
      </w:r>
      <w:r w:rsidR="0084384F">
        <w:rPr>
          <w:rFonts w:ascii="Calibri" w:hAnsi="Calibri" w:cs="Calibri"/>
          <w:color w:val="131413"/>
          <w:sz w:val="24"/>
          <w:szCs w:val="24"/>
        </w:rPr>
        <w:t xml:space="preserve"> </w:t>
      </w:r>
      <w:r w:rsidR="00524A95">
        <w:rPr>
          <w:rFonts w:ascii="Calibri" w:hAnsi="Calibri" w:cs="Calibri"/>
          <w:color w:val="131413"/>
          <w:sz w:val="24"/>
          <w:szCs w:val="24"/>
        </w:rPr>
        <w:t>a minori</w:t>
      </w:r>
      <w:r w:rsidR="00836FA1">
        <w:rPr>
          <w:rFonts w:ascii="Calibri" w:hAnsi="Calibri" w:cs="Calibri"/>
          <w:color w:val="131413"/>
          <w:sz w:val="24"/>
          <w:szCs w:val="24"/>
        </w:rPr>
        <w:t xml:space="preserve">ty of </w:t>
      </w:r>
      <w:bookmarkStart w:id="7" w:name="_Hlk63962407"/>
      <w:r w:rsidR="00836FA1">
        <w:rPr>
          <w:rFonts w:ascii="Calibri" w:hAnsi="Calibri" w:cs="Calibri"/>
          <w:color w:val="131413"/>
          <w:sz w:val="24"/>
          <w:szCs w:val="24"/>
        </w:rPr>
        <w:t>scenarios</w:t>
      </w:r>
      <w:r w:rsidR="005B1A22">
        <w:rPr>
          <w:rFonts w:ascii="Calibri" w:hAnsi="Calibri" w:cs="Calibri"/>
          <w:color w:val="131413"/>
          <w:sz w:val="24"/>
          <w:szCs w:val="24"/>
        </w:rPr>
        <w:t xml:space="preserve"> </w:t>
      </w:r>
      <w:r w:rsidR="00161631">
        <w:rPr>
          <w:rFonts w:ascii="Calibri" w:hAnsi="Calibri" w:cs="Calibri"/>
          <w:color w:val="131413"/>
          <w:sz w:val="24"/>
          <w:szCs w:val="24"/>
        </w:rPr>
        <w:t>(32</w:t>
      </w:r>
      <w:r w:rsidR="002220AD">
        <w:rPr>
          <w:rFonts w:ascii="Calibri" w:hAnsi="Calibri" w:cs="Calibri"/>
          <w:color w:val="131413"/>
          <w:sz w:val="24"/>
          <w:szCs w:val="24"/>
        </w:rPr>
        <w:t xml:space="preserve">%) </w:t>
      </w:r>
      <w:r w:rsidR="005B1A22">
        <w:rPr>
          <w:rFonts w:ascii="Calibri" w:hAnsi="Calibri" w:cs="Calibri"/>
          <w:color w:val="131413"/>
          <w:sz w:val="24"/>
          <w:szCs w:val="24"/>
        </w:rPr>
        <w:t xml:space="preserve">were characterised at high or very </w:t>
      </w:r>
      <w:r w:rsidR="00321640">
        <w:rPr>
          <w:rFonts w:ascii="Calibri" w:hAnsi="Calibri" w:cs="Calibri"/>
          <w:color w:val="131413"/>
          <w:sz w:val="24"/>
          <w:szCs w:val="24"/>
        </w:rPr>
        <w:t>high risk</w:t>
      </w:r>
      <w:bookmarkEnd w:id="7"/>
      <w:r w:rsidR="00321640">
        <w:rPr>
          <w:rFonts w:ascii="Calibri" w:hAnsi="Calibri" w:cs="Calibri"/>
          <w:color w:val="131413"/>
          <w:sz w:val="24"/>
          <w:szCs w:val="24"/>
        </w:rPr>
        <w:t xml:space="preserve"> </w:t>
      </w:r>
      <w:r w:rsidR="00706A19">
        <w:rPr>
          <w:rFonts w:ascii="Calibri" w:hAnsi="Calibri" w:cs="Calibri"/>
          <w:color w:val="131413"/>
          <w:sz w:val="24"/>
          <w:szCs w:val="24"/>
        </w:rPr>
        <w:t xml:space="preserve">in </w:t>
      </w:r>
      <w:r w:rsidR="00E772DE" w:rsidRPr="00E772DE">
        <w:rPr>
          <w:rFonts w:ascii="Calibri" w:hAnsi="Calibri" w:cs="Calibri"/>
          <w:color w:val="131413"/>
          <w:sz w:val="24"/>
          <w:szCs w:val="24"/>
        </w:rPr>
        <w:t>the presence of a single risk factor</w:t>
      </w:r>
      <w:r w:rsidR="00E772DE">
        <w:rPr>
          <w:rFonts w:ascii="Calibri" w:hAnsi="Calibri" w:cs="Calibri"/>
          <w:color w:val="131413"/>
          <w:sz w:val="24"/>
          <w:szCs w:val="24"/>
        </w:rPr>
        <w:t xml:space="preserve"> (</w:t>
      </w:r>
      <w:r w:rsidR="00EA28DA">
        <w:rPr>
          <w:rFonts w:ascii="Calibri" w:hAnsi="Calibri" w:cs="Calibri"/>
          <w:color w:val="131413"/>
          <w:sz w:val="24"/>
          <w:szCs w:val="24"/>
        </w:rPr>
        <w:t>s</w:t>
      </w:r>
      <w:r w:rsidR="00161631">
        <w:rPr>
          <w:rFonts w:ascii="Calibri" w:hAnsi="Calibri" w:cs="Calibri"/>
          <w:color w:val="131413"/>
          <w:sz w:val="24"/>
          <w:szCs w:val="24"/>
        </w:rPr>
        <w:t>cenario A).</w:t>
      </w:r>
      <w:r w:rsidR="00A60CDB">
        <w:rPr>
          <w:rFonts w:ascii="Calibri" w:hAnsi="Calibri" w:cs="Calibri"/>
          <w:color w:val="131413"/>
          <w:sz w:val="24"/>
          <w:szCs w:val="24"/>
        </w:rPr>
        <w:t xml:space="preserve"> </w:t>
      </w:r>
      <w:r w:rsidR="007265C9">
        <w:rPr>
          <w:rFonts w:ascii="Calibri" w:hAnsi="Calibri" w:cs="Calibri"/>
          <w:color w:val="131413"/>
          <w:sz w:val="24"/>
          <w:szCs w:val="24"/>
        </w:rPr>
        <w:t>The addition of a further ris</w:t>
      </w:r>
      <w:r w:rsidR="00570E40">
        <w:rPr>
          <w:rFonts w:ascii="Calibri" w:hAnsi="Calibri" w:cs="Calibri"/>
          <w:color w:val="131413"/>
          <w:sz w:val="24"/>
          <w:szCs w:val="24"/>
        </w:rPr>
        <w:t>k factor (a femoral neck T-score</w:t>
      </w:r>
      <w:r w:rsidR="00910EA8">
        <w:rPr>
          <w:rFonts w:ascii="Calibri" w:hAnsi="Calibri" w:cs="Calibri"/>
          <w:color w:val="131413"/>
          <w:sz w:val="24"/>
          <w:szCs w:val="24"/>
        </w:rPr>
        <w:t xml:space="preserve"> of -2.5), increased the </w:t>
      </w:r>
      <w:r w:rsidR="00C62504">
        <w:rPr>
          <w:rFonts w:ascii="Calibri" w:hAnsi="Calibri" w:cs="Calibri"/>
          <w:color w:val="131413"/>
          <w:sz w:val="24"/>
          <w:szCs w:val="24"/>
        </w:rPr>
        <w:t>number of</w:t>
      </w:r>
      <w:r w:rsidR="00A60CDB">
        <w:rPr>
          <w:rFonts w:ascii="Calibri" w:hAnsi="Calibri" w:cs="Calibri"/>
          <w:color w:val="131413"/>
          <w:sz w:val="24"/>
          <w:szCs w:val="24"/>
        </w:rPr>
        <w:t xml:space="preserve"> </w:t>
      </w:r>
      <w:r w:rsidR="00C62504" w:rsidRPr="00C62504">
        <w:rPr>
          <w:rFonts w:ascii="Calibri" w:hAnsi="Calibri" w:cs="Calibri"/>
          <w:color w:val="131413"/>
          <w:sz w:val="24"/>
          <w:szCs w:val="24"/>
        </w:rPr>
        <w:t>scenarios (32%) characterised at high or very high risk</w:t>
      </w:r>
      <w:r w:rsidR="00103EDD">
        <w:rPr>
          <w:rFonts w:ascii="Calibri" w:hAnsi="Calibri" w:cs="Calibri"/>
          <w:color w:val="131413"/>
          <w:sz w:val="24"/>
          <w:szCs w:val="24"/>
        </w:rPr>
        <w:t xml:space="preserve"> from 32 to </w:t>
      </w:r>
      <w:r w:rsidR="00792113">
        <w:rPr>
          <w:rFonts w:ascii="Calibri" w:hAnsi="Calibri" w:cs="Calibri"/>
          <w:color w:val="131413"/>
          <w:sz w:val="24"/>
          <w:szCs w:val="24"/>
        </w:rPr>
        <w:t>68%</w:t>
      </w:r>
      <w:r w:rsidR="00745767">
        <w:rPr>
          <w:rFonts w:ascii="Calibri" w:hAnsi="Calibri" w:cs="Calibri"/>
          <w:color w:val="131413"/>
          <w:sz w:val="24"/>
          <w:szCs w:val="24"/>
        </w:rPr>
        <w:t xml:space="preserve"> (scenario B).</w:t>
      </w:r>
      <w:r w:rsidR="00BE6D18">
        <w:rPr>
          <w:rFonts w:ascii="Calibri" w:hAnsi="Calibri" w:cs="Calibri"/>
          <w:color w:val="131413"/>
          <w:sz w:val="24"/>
          <w:szCs w:val="24"/>
        </w:rPr>
        <w:t xml:space="preserve"> </w:t>
      </w:r>
      <w:r w:rsidR="00A40082">
        <w:rPr>
          <w:rFonts w:ascii="Calibri" w:hAnsi="Calibri" w:cs="Calibri"/>
          <w:color w:val="131413"/>
          <w:sz w:val="24"/>
          <w:szCs w:val="24"/>
        </w:rPr>
        <w:t xml:space="preserve">The </w:t>
      </w:r>
      <w:r w:rsidR="00A40082" w:rsidRPr="00A40082">
        <w:rPr>
          <w:rFonts w:ascii="Calibri" w:hAnsi="Calibri" w:cs="Calibri"/>
          <w:color w:val="131413"/>
          <w:sz w:val="24"/>
          <w:szCs w:val="24"/>
        </w:rPr>
        <w:t xml:space="preserve">actual proportions of the </w:t>
      </w:r>
      <w:r w:rsidR="00A40082">
        <w:rPr>
          <w:rFonts w:ascii="Calibri" w:hAnsi="Calibri" w:cs="Calibri"/>
          <w:color w:val="131413"/>
          <w:sz w:val="24"/>
          <w:szCs w:val="24"/>
        </w:rPr>
        <w:t xml:space="preserve">whole </w:t>
      </w:r>
      <w:r w:rsidR="00A40082" w:rsidRPr="00A40082">
        <w:rPr>
          <w:rFonts w:ascii="Calibri" w:hAnsi="Calibri" w:cs="Calibri"/>
          <w:color w:val="131413"/>
          <w:sz w:val="24"/>
          <w:szCs w:val="24"/>
        </w:rPr>
        <w:t>population</w:t>
      </w:r>
      <w:r w:rsidR="00E43C82">
        <w:rPr>
          <w:rFonts w:ascii="Calibri" w:hAnsi="Calibri" w:cs="Calibri"/>
          <w:color w:val="131413"/>
          <w:sz w:val="24"/>
          <w:szCs w:val="24"/>
        </w:rPr>
        <w:t xml:space="preserve"> at very high risk were </w:t>
      </w:r>
      <w:r w:rsidR="00266642">
        <w:rPr>
          <w:rFonts w:ascii="Calibri" w:hAnsi="Calibri" w:cs="Calibri"/>
          <w:color w:val="131413"/>
          <w:sz w:val="24"/>
          <w:szCs w:val="24"/>
        </w:rPr>
        <w:t>4% and 8%, respectively.</w:t>
      </w:r>
    </w:p>
    <w:p w14:paraId="29D2E9B4" w14:textId="77777777" w:rsidR="00D857DD" w:rsidRDefault="00D857DD" w:rsidP="00F323B1">
      <w:pPr>
        <w:autoSpaceDE w:val="0"/>
        <w:autoSpaceDN w:val="0"/>
        <w:adjustRightInd w:val="0"/>
        <w:spacing w:after="0" w:line="276" w:lineRule="auto"/>
        <w:rPr>
          <w:rFonts w:ascii="Calibri" w:hAnsi="Calibri" w:cs="Calibri"/>
          <w:color w:val="131413"/>
          <w:sz w:val="24"/>
          <w:szCs w:val="24"/>
        </w:rPr>
      </w:pPr>
    </w:p>
    <w:p w14:paraId="22CF383F" w14:textId="1378C822" w:rsidR="00624350" w:rsidRDefault="00624350" w:rsidP="00F323B1">
      <w:pPr>
        <w:spacing w:line="276" w:lineRule="auto"/>
        <w:rPr>
          <w:sz w:val="24"/>
          <w:szCs w:val="24"/>
        </w:rPr>
      </w:pPr>
      <w:r>
        <w:rPr>
          <w:sz w:val="24"/>
          <w:szCs w:val="24"/>
        </w:rPr>
        <w:t xml:space="preserve">Examples of the impact of recent fracture at </w:t>
      </w:r>
      <w:r w:rsidR="00E941BD">
        <w:rPr>
          <w:sz w:val="24"/>
          <w:szCs w:val="24"/>
        </w:rPr>
        <w:t>different</w:t>
      </w:r>
      <w:r>
        <w:rPr>
          <w:sz w:val="24"/>
          <w:szCs w:val="24"/>
        </w:rPr>
        <w:t xml:space="preserve"> sites </w:t>
      </w:r>
      <w:r w:rsidR="00203706">
        <w:rPr>
          <w:sz w:val="24"/>
          <w:szCs w:val="24"/>
        </w:rPr>
        <w:t>are</w:t>
      </w:r>
      <w:r>
        <w:rPr>
          <w:sz w:val="24"/>
          <w:szCs w:val="24"/>
        </w:rPr>
        <w:t xml:space="preserve"> given in </w:t>
      </w:r>
      <w:r w:rsidR="00E941BD">
        <w:rPr>
          <w:sz w:val="24"/>
          <w:szCs w:val="24"/>
        </w:rPr>
        <w:t>the Appendix</w:t>
      </w:r>
      <w:r>
        <w:rPr>
          <w:sz w:val="24"/>
          <w:szCs w:val="24"/>
        </w:rPr>
        <w:t>.  Recen</w:t>
      </w:r>
      <w:r w:rsidR="00E941BD">
        <w:rPr>
          <w:sz w:val="24"/>
          <w:szCs w:val="24"/>
        </w:rPr>
        <w:t>t fracture alone</w:t>
      </w:r>
      <w:r>
        <w:rPr>
          <w:sz w:val="24"/>
          <w:szCs w:val="24"/>
        </w:rPr>
        <w:t xml:space="preserve"> d</w:t>
      </w:r>
      <w:r w:rsidR="00E941BD">
        <w:rPr>
          <w:sz w:val="24"/>
          <w:szCs w:val="24"/>
        </w:rPr>
        <w:t>id</w:t>
      </w:r>
      <w:r>
        <w:rPr>
          <w:sz w:val="24"/>
          <w:szCs w:val="24"/>
        </w:rPr>
        <w:t xml:space="preserve"> not invariably give rise to very high risk and depend</w:t>
      </w:r>
      <w:r w:rsidR="00E941BD">
        <w:rPr>
          <w:sz w:val="24"/>
          <w:szCs w:val="24"/>
        </w:rPr>
        <w:t>ed</w:t>
      </w:r>
      <w:r>
        <w:rPr>
          <w:sz w:val="24"/>
          <w:szCs w:val="24"/>
        </w:rPr>
        <w:t xml:space="preserve"> in part on the site of the sentinel fracture</w:t>
      </w:r>
      <w:r w:rsidR="007F7C8C">
        <w:rPr>
          <w:sz w:val="24"/>
          <w:szCs w:val="24"/>
        </w:rPr>
        <w:t xml:space="preserve"> (scenario C)</w:t>
      </w:r>
      <w:r>
        <w:rPr>
          <w:sz w:val="24"/>
          <w:szCs w:val="24"/>
        </w:rPr>
        <w:t xml:space="preserve">. Eight of the 25 examples (32%) </w:t>
      </w:r>
      <w:r w:rsidR="00E941BD">
        <w:rPr>
          <w:sz w:val="24"/>
          <w:szCs w:val="24"/>
        </w:rPr>
        <w:t>we</w:t>
      </w:r>
      <w:r>
        <w:rPr>
          <w:sz w:val="24"/>
          <w:szCs w:val="24"/>
        </w:rPr>
        <w:t>re categorised at very high risk.</w:t>
      </w:r>
      <w:r w:rsidR="0059434A" w:rsidRPr="0059434A">
        <w:t xml:space="preserve"> </w:t>
      </w:r>
      <w:r w:rsidR="0059434A" w:rsidRPr="0059434A">
        <w:rPr>
          <w:sz w:val="24"/>
          <w:szCs w:val="24"/>
        </w:rPr>
        <w:t xml:space="preserve">The combination of other clinical risk factors with recent fracture will affect the reclassification of risk.  </w:t>
      </w:r>
      <w:r w:rsidR="00460679">
        <w:rPr>
          <w:sz w:val="24"/>
          <w:szCs w:val="24"/>
        </w:rPr>
        <w:t>Scenario D</w:t>
      </w:r>
      <w:r w:rsidR="0059434A" w:rsidRPr="0059434A">
        <w:rPr>
          <w:sz w:val="24"/>
          <w:szCs w:val="24"/>
        </w:rPr>
        <w:t xml:space="preserve"> shows examples of a relatively weak clinical risk factor (current smoking) and </w:t>
      </w:r>
      <w:r w:rsidR="00460679">
        <w:rPr>
          <w:sz w:val="24"/>
          <w:szCs w:val="24"/>
        </w:rPr>
        <w:t>Scenario E</w:t>
      </w:r>
      <w:r w:rsidR="0059434A" w:rsidRPr="0059434A">
        <w:rPr>
          <w:sz w:val="24"/>
          <w:szCs w:val="24"/>
        </w:rPr>
        <w:t xml:space="preserve"> a stronger risk factor (current use of oral glucocorticoids) on categorisation of risk. As would be expected, the weak clinical risk factor increased the proportion of examples at very high risk from 32% to 48% and the strong risk factor from 32% to 96% of the scenarios shown. Note that, despite the multiple very high risk categories, these examples in </w:t>
      </w:r>
      <w:r w:rsidR="00BE0956">
        <w:rPr>
          <w:sz w:val="24"/>
          <w:szCs w:val="24"/>
        </w:rPr>
        <w:t>Scenario E</w:t>
      </w:r>
      <w:r w:rsidR="0059434A" w:rsidRPr="0059434A">
        <w:rPr>
          <w:sz w:val="24"/>
          <w:szCs w:val="24"/>
        </w:rPr>
        <w:t xml:space="preserve"> represent less than 1% of the postmenopausal population.</w:t>
      </w:r>
    </w:p>
    <w:p w14:paraId="220FF7D7" w14:textId="06D3AC34" w:rsidR="00777955" w:rsidRDefault="0083019A" w:rsidP="00F323B1">
      <w:pPr>
        <w:spacing w:line="276" w:lineRule="auto"/>
        <w:rPr>
          <w:sz w:val="24"/>
          <w:szCs w:val="24"/>
        </w:rPr>
      </w:pPr>
      <w:r>
        <w:rPr>
          <w:sz w:val="24"/>
          <w:szCs w:val="24"/>
        </w:rPr>
        <w:t xml:space="preserve">The assessment algorithm is </w:t>
      </w:r>
      <w:r w:rsidR="00EA10C4">
        <w:rPr>
          <w:sz w:val="24"/>
          <w:szCs w:val="24"/>
        </w:rPr>
        <w:t>shown in Figure 3</w:t>
      </w:r>
    </w:p>
    <w:p w14:paraId="497B6447" w14:textId="75AFFE11" w:rsidR="00720E3A" w:rsidRDefault="00720E3A" w:rsidP="001D136F">
      <w:pPr>
        <w:autoSpaceDE w:val="0"/>
        <w:autoSpaceDN w:val="0"/>
        <w:adjustRightInd w:val="0"/>
        <w:spacing w:after="0" w:line="276" w:lineRule="auto"/>
        <w:rPr>
          <w:rFonts w:ascii="DgyhscAdvTT3713a231" w:hAnsi="DgyhscAdvTT3713a231" w:cs="DgyhscAdvTT3713a231"/>
          <w:color w:val="131413"/>
          <w:sz w:val="17"/>
          <w:szCs w:val="17"/>
        </w:rPr>
      </w:pPr>
    </w:p>
    <w:p w14:paraId="53DD3D73" w14:textId="518081E0" w:rsidR="00720E3A" w:rsidRDefault="00720E3A" w:rsidP="001D136F">
      <w:pPr>
        <w:autoSpaceDE w:val="0"/>
        <w:autoSpaceDN w:val="0"/>
        <w:adjustRightInd w:val="0"/>
        <w:spacing w:after="0" w:line="276" w:lineRule="auto"/>
        <w:rPr>
          <w:rFonts w:ascii="DgyhscAdvTT3713a231" w:hAnsi="DgyhscAdvTT3713a231" w:cs="DgyhscAdvTT3713a231"/>
          <w:color w:val="131413"/>
          <w:sz w:val="17"/>
          <w:szCs w:val="17"/>
        </w:rPr>
      </w:pPr>
    </w:p>
    <w:p w14:paraId="16141A9E" w14:textId="53DB81A9" w:rsidR="0006642C" w:rsidRDefault="0006642C" w:rsidP="001D136F">
      <w:pPr>
        <w:autoSpaceDE w:val="0"/>
        <w:autoSpaceDN w:val="0"/>
        <w:adjustRightInd w:val="0"/>
        <w:spacing w:after="0" w:line="276" w:lineRule="auto"/>
        <w:rPr>
          <w:rFonts w:ascii="DgyhscAdvTT3713a231" w:hAnsi="DgyhscAdvTT3713a231" w:cs="DgyhscAdvTT3713a231"/>
          <w:color w:val="131413"/>
          <w:sz w:val="17"/>
          <w:szCs w:val="17"/>
        </w:rPr>
      </w:pPr>
    </w:p>
    <w:p w14:paraId="0A2CA807" w14:textId="7BB2D6CC" w:rsidR="00857CB1" w:rsidRDefault="000F2010" w:rsidP="008902F1">
      <w:pPr>
        <w:pStyle w:val="BodyText"/>
        <w:spacing w:before="25" w:line="276" w:lineRule="auto"/>
        <w:ind w:left="567" w:right="95"/>
        <w:rPr>
          <w:rFonts w:ascii="Calibri" w:hAnsi="Calibri" w:cs="Calibri"/>
          <w:b/>
          <w:bCs/>
          <w:color w:val="131413"/>
          <w:sz w:val="20"/>
          <w:szCs w:val="20"/>
        </w:rPr>
      </w:pPr>
      <w:r>
        <w:rPr>
          <w:noProof/>
        </w:rPr>
        <mc:AlternateContent>
          <mc:Choice Requires="wps">
            <w:drawing>
              <wp:anchor distT="0" distB="0" distL="114300" distR="114300" simplePos="0" relativeHeight="251657216" behindDoc="0" locked="0" layoutInCell="1" allowOverlap="1" wp14:anchorId="22110DF2" wp14:editId="7C70B4C2">
                <wp:simplePos x="0" y="0"/>
                <wp:positionH relativeFrom="margin">
                  <wp:posOffset>1718945</wp:posOffset>
                </wp:positionH>
                <wp:positionV relativeFrom="paragraph">
                  <wp:posOffset>10477</wp:posOffset>
                </wp:positionV>
                <wp:extent cx="2614612" cy="742950"/>
                <wp:effectExtent l="0" t="0" r="0" b="0"/>
                <wp:wrapNone/>
                <wp:docPr id="14" name="Rectangle 16"/>
                <wp:cNvGraphicFramePr/>
                <a:graphic xmlns:a="http://schemas.openxmlformats.org/drawingml/2006/main">
                  <a:graphicData uri="http://schemas.microsoft.com/office/word/2010/wordprocessingShape">
                    <wps:wsp>
                      <wps:cNvSpPr/>
                      <wps:spPr>
                        <a:xfrm>
                          <a:off x="0" y="0"/>
                          <a:ext cx="2614612" cy="742950"/>
                        </a:xfrm>
                        <a:prstGeom prst="rect">
                          <a:avLst/>
                        </a:prstGeom>
                        <a:noFill/>
                        <a:ln>
                          <a:solidFill>
                            <a:srgbClr val="B2B2B2">
                              <a:alpha val="0"/>
                            </a:srgbClr>
                          </a:solidFill>
                        </a:ln>
                      </wps:spPr>
                      <wps:txbx>
                        <w:txbxContent>
                          <w:p w14:paraId="3606FFE6" w14:textId="0215119B" w:rsidR="008A27D8" w:rsidRPr="00771D71" w:rsidRDefault="008A27D8" w:rsidP="00977FA0">
                            <w:pPr>
                              <w:jc w:val="center"/>
                              <w:rPr>
                                <w:sz w:val="36"/>
                                <w:szCs w:val="36"/>
                              </w:rPr>
                            </w:pPr>
                            <w:r w:rsidRPr="00771D71">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 xml:space="preserve">Copy </w:t>
                            </w:r>
                            <w:r w:rsidR="00F22310">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w:t>
                            </w:r>
                            <w:r w:rsidRPr="00771D71">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 xml:space="preserve"> </w:t>
                            </w:r>
                            <w:r w:rsidR="00F22310">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for review</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22110DF2" id="_x0000_s1028" style="position:absolute;left:0;text-align:left;margin-left:135.35pt;margin-top:.8pt;width:205.85pt;height:5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" filled="f" strokecolor="#b2b2b2">
                <v:stroke opacity="0"/>
                <v:textbox>
                  <w:txbxContent>
                    <w:p w14:paraId="3606FFE6" w14:textId="0215119B" w:rsidR="008A27D8" w:rsidRPr="00771D71" w:rsidRDefault="008A27D8" w:rsidP="00977FA0">
                      <w:pPr>
                        <w:jc w:val="center"/>
                        <w:rPr>
                          <w:sz w:val="36"/>
                          <w:szCs w:val="36"/>
                        </w:rPr>
                      </w:pPr>
                      <w:r w:rsidRPr="00771D71">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 xml:space="preserve">Copy </w:t>
                      </w:r>
                      <w:r w:rsidR="00F22310">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w:t>
                      </w:r>
                      <w:r w:rsidRPr="00771D71">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 xml:space="preserve"> </w:t>
                      </w:r>
                      <w:r w:rsidR="00F22310">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for review</w:t>
                      </w:r>
                    </w:p>
                  </w:txbxContent>
                </v:textbox>
                <w10:wrap anchorx="margin"/>
              </v:rect>
            </w:pict>
          </mc:Fallback>
        </mc:AlternateContent>
      </w:r>
      <w:r w:rsidR="00857CB1">
        <w:rPr>
          <w:noProof/>
        </w:rPr>
        <w:drawing>
          <wp:inline distT="0" distB="0" distL="0" distR="0" wp14:anchorId="26DD3027" wp14:editId="5826D726">
            <wp:extent cx="5730910" cy="2852738"/>
            <wp:effectExtent l="0" t="0" r="3175" b="5080"/>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96DAC541-7B7A-43D3-8B79-37D633B846F1}">
                          <asvg:svgBlip xmlns:asvg="http://schemas.microsoft.com/office/drawing/2016/SVG/main" r:embed="rId14"/>
                        </a:ext>
                      </a:extLst>
                    </a:blip>
                    <a:srcRect t="6058" b="5447"/>
                    <a:stretch/>
                  </pic:blipFill>
                  <pic:spPr bwMode="auto">
                    <a:xfrm>
                      <a:off x="0" y="0"/>
                      <a:ext cx="5731510" cy="2853037"/>
                    </a:xfrm>
                    <a:prstGeom prst="rect">
                      <a:avLst/>
                    </a:prstGeom>
                    <a:ln>
                      <a:noFill/>
                    </a:ln>
                    <a:extLst>
                      <a:ext uri="{53640926-AAD7-44D8-BBD7-CCE9431645EC}">
                        <a14:shadowObscured xmlns:a14="http://schemas.microsoft.com/office/drawing/2010/main"/>
                      </a:ext>
                    </a:extLst>
                  </pic:spPr>
                </pic:pic>
              </a:graphicData>
            </a:graphic>
          </wp:inline>
        </w:drawing>
      </w:r>
    </w:p>
    <w:p w14:paraId="59551CF6" w14:textId="68867B14" w:rsidR="00561420" w:rsidRPr="00627AB7" w:rsidRDefault="00F76288" w:rsidP="008902F1">
      <w:pPr>
        <w:pStyle w:val="BodyText"/>
        <w:spacing w:before="25" w:line="276" w:lineRule="auto"/>
        <w:ind w:left="567" w:right="95"/>
        <w:rPr>
          <w:rFonts w:ascii="Calibri" w:eastAsia="Tahoma" w:hAnsi="Calibri" w:cs="Calibri"/>
          <w:bCs/>
          <w:sz w:val="20"/>
          <w:szCs w:val="20"/>
          <w:lang w:eastAsia="en-GB" w:bidi="en-GB"/>
        </w:rPr>
      </w:pPr>
      <w:r w:rsidRPr="00627AB7">
        <w:rPr>
          <w:rFonts w:ascii="Calibri" w:hAnsi="Calibri" w:cs="Calibri"/>
          <w:b/>
          <w:bCs/>
          <w:color w:val="131413"/>
          <w:sz w:val="20"/>
          <w:szCs w:val="20"/>
        </w:rPr>
        <w:t>Fig. 3</w:t>
      </w:r>
      <w:r w:rsidRPr="00627AB7">
        <w:rPr>
          <w:rFonts w:ascii="Calibri" w:hAnsi="Calibri" w:cs="Calibri"/>
          <w:color w:val="131413"/>
          <w:sz w:val="20"/>
          <w:szCs w:val="20"/>
        </w:rPr>
        <w:t xml:space="preserve">  </w:t>
      </w:r>
      <w:r w:rsidR="00561420" w:rsidRPr="00627AB7">
        <w:rPr>
          <w:rFonts w:ascii="Calibri" w:eastAsia="Tahoma" w:hAnsi="Calibri" w:cs="Calibri"/>
          <w:bCs/>
          <w:sz w:val="20"/>
          <w:szCs w:val="20"/>
          <w:lang w:eastAsia="en-GB" w:bidi="en-GB"/>
        </w:rPr>
        <w:t>Management algorithm for the assessment of individuals at risk of fracture</w:t>
      </w:r>
      <w:r w:rsidR="00201A1E">
        <w:rPr>
          <w:rFonts w:ascii="Calibri" w:eastAsia="Tahoma" w:hAnsi="Calibri" w:cs="Calibri"/>
          <w:bCs/>
          <w:sz w:val="20"/>
          <w:szCs w:val="20"/>
          <w:lang w:eastAsia="en-GB" w:bidi="en-GB"/>
        </w:rPr>
        <w:t xml:space="preserve">.  </w:t>
      </w:r>
      <w:r w:rsidR="00DD015D">
        <w:rPr>
          <w:rFonts w:ascii="Calibri" w:eastAsia="Tahoma" w:hAnsi="Calibri" w:cs="Calibri"/>
          <w:bCs/>
          <w:sz w:val="20"/>
          <w:szCs w:val="20"/>
          <w:lang w:eastAsia="en-GB" w:bidi="en-GB"/>
        </w:rPr>
        <w:t>P</w:t>
      </w:r>
      <w:r w:rsidR="00201A1E" w:rsidRPr="00201A1E">
        <w:rPr>
          <w:rFonts w:ascii="Calibri" w:eastAsia="Tahoma" w:hAnsi="Calibri" w:cs="Calibri"/>
          <w:bCs/>
          <w:sz w:val="20"/>
          <w:szCs w:val="20"/>
          <w:lang w:eastAsia="en-GB" w:bidi="en-GB"/>
        </w:rPr>
        <w:t>atients with a prior fragility fracture are at least</w:t>
      </w:r>
      <w:r w:rsidR="00DD015D">
        <w:rPr>
          <w:rFonts w:ascii="Calibri" w:eastAsia="Tahoma" w:hAnsi="Calibri" w:cs="Calibri"/>
          <w:bCs/>
          <w:sz w:val="20"/>
          <w:szCs w:val="20"/>
          <w:lang w:eastAsia="en-GB" w:bidi="en-GB"/>
        </w:rPr>
        <w:t xml:space="preserve"> </w:t>
      </w:r>
      <w:r w:rsidR="00201A1E" w:rsidRPr="00201A1E">
        <w:rPr>
          <w:rFonts w:ascii="Calibri" w:eastAsia="Tahoma" w:hAnsi="Calibri" w:cs="Calibri"/>
          <w:bCs/>
          <w:sz w:val="20"/>
          <w:szCs w:val="20"/>
          <w:lang w:eastAsia="en-GB" w:bidi="en-GB"/>
        </w:rPr>
        <w:t>designated at high risk and possibly at very high risk dependent on the</w:t>
      </w:r>
      <w:r w:rsidR="00DD015D">
        <w:rPr>
          <w:rFonts w:ascii="Calibri" w:eastAsia="Tahoma" w:hAnsi="Calibri" w:cs="Calibri"/>
          <w:bCs/>
          <w:sz w:val="20"/>
          <w:szCs w:val="20"/>
          <w:lang w:eastAsia="en-GB" w:bidi="en-GB"/>
        </w:rPr>
        <w:t xml:space="preserve"> </w:t>
      </w:r>
      <w:r w:rsidR="00201A1E" w:rsidRPr="00201A1E">
        <w:rPr>
          <w:rFonts w:ascii="Calibri" w:eastAsia="Tahoma" w:hAnsi="Calibri" w:cs="Calibri"/>
          <w:bCs/>
          <w:sz w:val="20"/>
          <w:szCs w:val="20"/>
          <w:lang w:eastAsia="en-GB" w:bidi="en-GB"/>
        </w:rPr>
        <w:t>FRAX probability</w:t>
      </w:r>
      <w:r w:rsidR="00560503">
        <w:rPr>
          <w:rFonts w:ascii="Calibri" w:eastAsia="Tahoma" w:hAnsi="Calibri" w:cs="Calibri"/>
          <w:bCs/>
          <w:sz w:val="20"/>
          <w:szCs w:val="20"/>
          <w:lang w:eastAsia="en-GB" w:bidi="en-GB"/>
        </w:rPr>
        <w:t xml:space="preserve"> (le</w:t>
      </w:r>
      <w:r w:rsidR="000979BF">
        <w:rPr>
          <w:rFonts w:ascii="Calibri" w:eastAsia="Tahoma" w:hAnsi="Calibri" w:cs="Calibri"/>
          <w:bCs/>
          <w:sz w:val="20"/>
          <w:szCs w:val="20"/>
          <w:lang w:eastAsia="en-GB" w:bidi="en-GB"/>
        </w:rPr>
        <w:t>ft panel)</w:t>
      </w:r>
      <w:r w:rsidR="00EC00A9">
        <w:rPr>
          <w:rFonts w:ascii="Calibri" w:eastAsia="Tahoma" w:hAnsi="Calibri" w:cs="Calibri"/>
          <w:bCs/>
          <w:sz w:val="20"/>
          <w:szCs w:val="20"/>
          <w:lang w:eastAsia="en-GB" w:bidi="en-GB"/>
        </w:rPr>
        <w:t xml:space="preserve">.  </w:t>
      </w:r>
      <w:r w:rsidR="00951FB6">
        <w:rPr>
          <w:rFonts w:ascii="Calibri" w:eastAsia="Tahoma" w:hAnsi="Calibri" w:cs="Calibri"/>
          <w:bCs/>
          <w:sz w:val="20"/>
          <w:szCs w:val="20"/>
          <w:lang w:eastAsia="en-GB" w:bidi="en-GB"/>
        </w:rPr>
        <w:t>Men and women with clinical risk</w:t>
      </w:r>
      <w:r w:rsidR="00C51875">
        <w:rPr>
          <w:rFonts w:ascii="Calibri" w:eastAsia="Tahoma" w:hAnsi="Calibri" w:cs="Calibri"/>
          <w:bCs/>
          <w:sz w:val="20"/>
          <w:szCs w:val="20"/>
          <w:lang w:eastAsia="en-GB" w:bidi="en-GB"/>
        </w:rPr>
        <w:t xml:space="preserve"> factors other than a prior </w:t>
      </w:r>
      <w:r w:rsidR="001C64D5">
        <w:rPr>
          <w:rFonts w:ascii="Calibri" w:eastAsia="Tahoma" w:hAnsi="Calibri" w:cs="Calibri"/>
          <w:bCs/>
          <w:sz w:val="20"/>
          <w:szCs w:val="20"/>
          <w:lang w:eastAsia="en-GB" w:bidi="en-GB"/>
        </w:rPr>
        <w:t>fracture ar</w:t>
      </w:r>
      <w:r w:rsidR="00576FB0">
        <w:rPr>
          <w:rFonts w:ascii="Calibri" w:eastAsia="Tahoma" w:hAnsi="Calibri" w:cs="Calibri"/>
          <w:bCs/>
          <w:sz w:val="20"/>
          <w:szCs w:val="20"/>
          <w:lang w:eastAsia="en-GB" w:bidi="en-GB"/>
        </w:rPr>
        <w:t>e</w:t>
      </w:r>
      <w:r w:rsidR="001C64D5">
        <w:rPr>
          <w:rFonts w:ascii="Calibri" w:eastAsia="Tahoma" w:hAnsi="Calibri" w:cs="Calibri"/>
          <w:bCs/>
          <w:sz w:val="20"/>
          <w:szCs w:val="20"/>
          <w:lang w:eastAsia="en-GB" w:bidi="en-GB"/>
        </w:rPr>
        <w:t xml:space="preserve"> initially assessed </w:t>
      </w:r>
      <w:r w:rsidR="000979BF">
        <w:rPr>
          <w:rFonts w:ascii="Calibri" w:eastAsia="Tahoma" w:hAnsi="Calibri" w:cs="Calibri"/>
          <w:bCs/>
          <w:sz w:val="20"/>
          <w:szCs w:val="20"/>
          <w:lang w:eastAsia="en-GB" w:bidi="en-GB"/>
        </w:rPr>
        <w:t xml:space="preserve">with FRAX </w:t>
      </w:r>
      <w:r w:rsidR="001C64D5">
        <w:rPr>
          <w:rFonts w:ascii="Calibri" w:eastAsia="Tahoma" w:hAnsi="Calibri" w:cs="Calibri"/>
          <w:bCs/>
          <w:sz w:val="20"/>
          <w:szCs w:val="20"/>
          <w:lang w:eastAsia="en-GB" w:bidi="en-GB"/>
        </w:rPr>
        <w:t>in the absence of BMD</w:t>
      </w:r>
      <w:r w:rsidR="00576FB0">
        <w:rPr>
          <w:rFonts w:ascii="Calibri" w:eastAsia="Tahoma" w:hAnsi="Calibri" w:cs="Calibri"/>
          <w:bCs/>
          <w:sz w:val="20"/>
          <w:szCs w:val="20"/>
          <w:lang w:eastAsia="en-GB" w:bidi="en-GB"/>
        </w:rPr>
        <w:t xml:space="preserve"> and categorised at low, interme</w:t>
      </w:r>
      <w:r w:rsidR="00560503">
        <w:rPr>
          <w:rFonts w:ascii="Calibri" w:eastAsia="Tahoma" w:hAnsi="Calibri" w:cs="Calibri"/>
          <w:bCs/>
          <w:sz w:val="20"/>
          <w:szCs w:val="20"/>
          <w:lang w:eastAsia="en-GB" w:bidi="en-GB"/>
        </w:rPr>
        <w:t>diate, high and very high risk</w:t>
      </w:r>
      <w:r w:rsidR="007573D9">
        <w:rPr>
          <w:rFonts w:ascii="Calibri" w:eastAsia="Tahoma" w:hAnsi="Calibri" w:cs="Calibri"/>
          <w:bCs/>
          <w:sz w:val="20"/>
          <w:szCs w:val="20"/>
          <w:lang w:eastAsia="en-GB" w:bidi="en-GB"/>
        </w:rPr>
        <w:t xml:space="preserve"> (right hand panel)</w:t>
      </w:r>
      <w:r w:rsidR="002B1DE1">
        <w:rPr>
          <w:rFonts w:ascii="Calibri" w:eastAsia="Tahoma" w:hAnsi="Calibri" w:cs="Calibri"/>
          <w:bCs/>
          <w:sz w:val="20"/>
          <w:szCs w:val="20"/>
          <w:lang w:eastAsia="en-GB" w:bidi="en-GB"/>
        </w:rPr>
        <w:t>.  Individuals at low risk are afforded lifestyle advice</w:t>
      </w:r>
      <w:r w:rsidR="00FE0950">
        <w:rPr>
          <w:rFonts w:ascii="Calibri" w:eastAsia="Tahoma" w:hAnsi="Calibri" w:cs="Calibri"/>
          <w:bCs/>
          <w:sz w:val="20"/>
          <w:szCs w:val="20"/>
          <w:lang w:eastAsia="en-GB" w:bidi="en-GB"/>
        </w:rPr>
        <w:t>.  Those at high or very high risk are</w:t>
      </w:r>
      <w:r w:rsidR="007573D9">
        <w:rPr>
          <w:rFonts w:ascii="Calibri" w:eastAsia="Tahoma" w:hAnsi="Calibri" w:cs="Calibri"/>
          <w:bCs/>
          <w:sz w:val="20"/>
          <w:szCs w:val="20"/>
          <w:lang w:eastAsia="en-GB" w:bidi="en-GB"/>
        </w:rPr>
        <w:t xml:space="preserve"> eligible </w:t>
      </w:r>
      <w:r w:rsidR="0042597F">
        <w:rPr>
          <w:rFonts w:ascii="Calibri" w:eastAsia="Tahoma" w:hAnsi="Calibri" w:cs="Calibri"/>
          <w:bCs/>
          <w:sz w:val="20"/>
          <w:szCs w:val="20"/>
          <w:lang w:eastAsia="en-GB" w:bidi="en-GB"/>
        </w:rPr>
        <w:t xml:space="preserve">for </w:t>
      </w:r>
      <w:r w:rsidR="00831B71">
        <w:rPr>
          <w:rFonts w:ascii="Calibri" w:eastAsia="Tahoma" w:hAnsi="Calibri" w:cs="Calibri"/>
          <w:bCs/>
          <w:sz w:val="20"/>
          <w:szCs w:val="20"/>
          <w:lang w:eastAsia="en-GB" w:bidi="en-GB"/>
        </w:rPr>
        <w:t>treatment and</w:t>
      </w:r>
      <w:r w:rsidR="0042597F">
        <w:rPr>
          <w:rFonts w:ascii="Calibri" w:eastAsia="Tahoma" w:hAnsi="Calibri" w:cs="Calibri"/>
          <w:bCs/>
          <w:sz w:val="20"/>
          <w:szCs w:val="20"/>
          <w:lang w:eastAsia="en-GB" w:bidi="en-GB"/>
        </w:rPr>
        <w:t xml:space="preserve"> those at very high risk</w:t>
      </w:r>
      <w:r w:rsidR="00DB3040">
        <w:rPr>
          <w:rFonts w:ascii="Calibri" w:eastAsia="Tahoma" w:hAnsi="Calibri" w:cs="Calibri"/>
          <w:bCs/>
          <w:sz w:val="20"/>
          <w:szCs w:val="20"/>
          <w:lang w:eastAsia="en-GB" w:bidi="en-GB"/>
        </w:rPr>
        <w:t xml:space="preserve"> considered for treatment with an anabolic agent.  Th</w:t>
      </w:r>
      <w:r w:rsidR="00DF2D82">
        <w:rPr>
          <w:rFonts w:ascii="Calibri" w:eastAsia="Tahoma" w:hAnsi="Calibri" w:cs="Calibri"/>
          <w:bCs/>
          <w:sz w:val="20"/>
          <w:szCs w:val="20"/>
          <w:lang w:eastAsia="en-GB" w:bidi="en-GB"/>
        </w:rPr>
        <w:t>ose at intermediate risk are referred or BMD tes</w:t>
      </w:r>
      <w:r w:rsidR="00AE455F">
        <w:rPr>
          <w:rFonts w:ascii="Calibri" w:eastAsia="Tahoma" w:hAnsi="Calibri" w:cs="Calibri"/>
          <w:bCs/>
          <w:sz w:val="20"/>
          <w:szCs w:val="20"/>
          <w:lang w:eastAsia="en-GB" w:bidi="en-GB"/>
        </w:rPr>
        <w:t>ting and probabilities recalculated with femoral neck BMD</w:t>
      </w:r>
      <w:r w:rsidR="00831B71">
        <w:rPr>
          <w:rFonts w:ascii="Calibri" w:eastAsia="Tahoma" w:hAnsi="Calibri" w:cs="Calibri"/>
          <w:bCs/>
          <w:sz w:val="20"/>
          <w:szCs w:val="20"/>
          <w:lang w:eastAsia="en-GB" w:bidi="en-GB"/>
        </w:rPr>
        <w:t xml:space="preserve"> and thereafter</w:t>
      </w:r>
      <w:r w:rsidR="0034650B">
        <w:rPr>
          <w:rFonts w:ascii="Calibri" w:eastAsia="Tahoma" w:hAnsi="Calibri" w:cs="Calibri"/>
          <w:bCs/>
          <w:sz w:val="20"/>
          <w:szCs w:val="20"/>
          <w:lang w:eastAsia="en-GB" w:bidi="en-GB"/>
        </w:rPr>
        <w:t xml:space="preserve"> categorised for risk level.</w:t>
      </w:r>
      <w:r w:rsidR="00FE0950">
        <w:rPr>
          <w:rFonts w:ascii="Calibri" w:eastAsia="Tahoma" w:hAnsi="Calibri" w:cs="Calibri"/>
          <w:bCs/>
          <w:sz w:val="20"/>
          <w:szCs w:val="20"/>
          <w:lang w:eastAsia="en-GB" w:bidi="en-GB"/>
        </w:rPr>
        <w:t xml:space="preserve"> </w:t>
      </w:r>
    </w:p>
    <w:p w14:paraId="70047407" w14:textId="3144E322" w:rsidR="0006642C" w:rsidRDefault="0006642C" w:rsidP="001D136F">
      <w:pPr>
        <w:autoSpaceDE w:val="0"/>
        <w:autoSpaceDN w:val="0"/>
        <w:adjustRightInd w:val="0"/>
        <w:spacing w:after="0" w:line="276" w:lineRule="auto"/>
        <w:rPr>
          <w:rFonts w:ascii="DgyhscAdvTT3713a231" w:hAnsi="DgyhscAdvTT3713a231" w:cs="DgyhscAdvTT3713a231"/>
          <w:color w:val="131413"/>
          <w:sz w:val="17"/>
          <w:szCs w:val="17"/>
        </w:rPr>
      </w:pPr>
    </w:p>
    <w:p w14:paraId="05B06B77" w14:textId="77777777" w:rsidR="00B1507B" w:rsidRDefault="00B1507B" w:rsidP="001D136F">
      <w:pPr>
        <w:autoSpaceDE w:val="0"/>
        <w:autoSpaceDN w:val="0"/>
        <w:adjustRightInd w:val="0"/>
        <w:spacing w:after="0" w:line="276" w:lineRule="auto"/>
        <w:rPr>
          <w:rFonts w:ascii="DgyhscAdvTT3713a231" w:hAnsi="DgyhscAdvTT3713a231" w:cs="DgyhscAdvTT3713a231"/>
          <w:color w:val="131413"/>
          <w:sz w:val="17"/>
          <w:szCs w:val="17"/>
        </w:rPr>
      </w:pPr>
    </w:p>
    <w:p w14:paraId="0CF124B1" w14:textId="77777777" w:rsidR="00F54D02" w:rsidRDefault="00F54D02" w:rsidP="001D136F">
      <w:pPr>
        <w:autoSpaceDE w:val="0"/>
        <w:autoSpaceDN w:val="0"/>
        <w:adjustRightInd w:val="0"/>
        <w:spacing w:after="0" w:line="276" w:lineRule="auto"/>
        <w:rPr>
          <w:rFonts w:ascii="Calibri" w:hAnsi="Calibri" w:cs="Calibri"/>
          <w:b/>
          <w:bCs/>
          <w:color w:val="131413"/>
          <w:sz w:val="24"/>
          <w:szCs w:val="24"/>
        </w:rPr>
      </w:pPr>
    </w:p>
    <w:p w14:paraId="544F66BC" w14:textId="2878DEEA" w:rsidR="00E0088F" w:rsidRDefault="0050642E" w:rsidP="00F323B1">
      <w:pPr>
        <w:autoSpaceDE w:val="0"/>
        <w:autoSpaceDN w:val="0"/>
        <w:adjustRightInd w:val="0"/>
        <w:spacing w:after="0" w:line="276" w:lineRule="auto"/>
        <w:rPr>
          <w:rFonts w:ascii="Calibri" w:hAnsi="Calibri" w:cs="Calibri"/>
          <w:b/>
          <w:bCs/>
          <w:color w:val="131413"/>
          <w:sz w:val="24"/>
          <w:szCs w:val="24"/>
        </w:rPr>
      </w:pPr>
      <w:r>
        <w:rPr>
          <w:rFonts w:ascii="Calibri" w:hAnsi="Calibri" w:cs="Calibri"/>
          <w:b/>
          <w:bCs/>
          <w:color w:val="131413"/>
          <w:sz w:val="24"/>
          <w:szCs w:val="24"/>
        </w:rPr>
        <w:t>Discussion</w:t>
      </w:r>
    </w:p>
    <w:p w14:paraId="2F20A46D" w14:textId="496C7540" w:rsidR="00636BD5" w:rsidRDefault="002678D0" w:rsidP="00F323B1">
      <w:pPr>
        <w:autoSpaceDE w:val="0"/>
        <w:autoSpaceDN w:val="0"/>
        <w:adjustRightInd w:val="0"/>
        <w:spacing w:after="0" w:line="276" w:lineRule="auto"/>
        <w:rPr>
          <w:rFonts w:ascii="Calibri" w:hAnsi="Calibri" w:cs="Calibri"/>
          <w:color w:val="131413"/>
          <w:sz w:val="24"/>
          <w:szCs w:val="24"/>
        </w:rPr>
      </w:pPr>
      <w:r>
        <w:rPr>
          <w:rFonts w:ascii="Calibri" w:hAnsi="Calibri" w:cs="Calibri"/>
          <w:color w:val="131413"/>
          <w:sz w:val="24"/>
          <w:szCs w:val="24"/>
        </w:rPr>
        <w:t>Th</w:t>
      </w:r>
      <w:r w:rsidR="003601A8">
        <w:rPr>
          <w:rFonts w:ascii="Calibri" w:hAnsi="Calibri" w:cs="Calibri"/>
          <w:color w:val="131413"/>
          <w:sz w:val="24"/>
          <w:szCs w:val="24"/>
        </w:rPr>
        <w:t xml:space="preserve">e </w:t>
      </w:r>
      <w:r>
        <w:rPr>
          <w:rFonts w:ascii="Calibri" w:hAnsi="Calibri" w:cs="Calibri"/>
          <w:color w:val="131413"/>
          <w:sz w:val="24"/>
          <w:szCs w:val="24"/>
        </w:rPr>
        <w:t xml:space="preserve">categorisation of risk </w:t>
      </w:r>
      <w:r w:rsidR="003601A8">
        <w:rPr>
          <w:rFonts w:ascii="Calibri" w:hAnsi="Calibri" w:cs="Calibri"/>
          <w:color w:val="131413"/>
          <w:sz w:val="24"/>
          <w:szCs w:val="24"/>
        </w:rPr>
        <w:t xml:space="preserve">is widely accepted within medicine as an </w:t>
      </w:r>
      <w:r w:rsidR="00A83425">
        <w:rPr>
          <w:rFonts w:ascii="Calibri" w:hAnsi="Calibri" w:cs="Calibri"/>
          <w:color w:val="131413"/>
          <w:sz w:val="24"/>
          <w:szCs w:val="24"/>
        </w:rPr>
        <w:t xml:space="preserve">appropriate </w:t>
      </w:r>
      <w:r w:rsidR="003601A8">
        <w:rPr>
          <w:rFonts w:ascii="Calibri" w:hAnsi="Calibri" w:cs="Calibri"/>
          <w:color w:val="131413"/>
          <w:sz w:val="24"/>
          <w:szCs w:val="24"/>
        </w:rPr>
        <w:t>mechanism to</w:t>
      </w:r>
      <w:r w:rsidR="00B904D4">
        <w:rPr>
          <w:rFonts w:ascii="Calibri" w:hAnsi="Calibri" w:cs="Calibri"/>
          <w:color w:val="131413"/>
          <w:sz w:val="24"/>
          <w:szCs w:val="24"/>
        </w:rPr>
        <w:t xml:space="preserve"> direct decision</w:t>
      </w:r>
      <w:r w:rsidR="007E6509">
        <w:rPr>
          <w:rFonts w:ascii="Calibri" w:hAnsi="Calibri" w:cs="Calibri"/>
          <w:color w:val="131413"/>
          <w:sz w:val="24"/>
          <w:szCs w:val="24"/>
        </w:rPr>
        <w:t>s on treatment</w:t>
      </w:r>
      <w:r w:rsidR="00E476AD">
        <w:rPr>
          <w:rFonts w:ascii="Calibri" w:hAnsi="Calibri" w:cs="Calibri"/>
          <w:color w:val="131413"/>
          <w:sz w:val="24"/>
          <w:szCs w:val="24"/>
        </w:rPr>
        <w:t>; examples include the fields of cardiovascular disease</w:t>
      </w:r>
      <w:r w:rsidR="00DC192D">
        <w:rPr>
          <w:rFonts w:ascii="Calibri" w:hAnsi="Calibri" w:cs="Calibri"/>
          <w:color w:val="131413"/>
          <w:sz w:val="24"/>
          <w:szCs w:val="24"/>
        </w:rPr>
        <w:t xml:space="preserve"> [</w:t>
      </w:r>
      <w:r w:rsidR="003A1F5B">
        <w:rPr>
          <w:rFonts w:ascii="Calibri" w:hAnsi="Calibri" w:cs="Calibri"/>
          <w:color w:val="131413"/>
          <w:sz w:val="24"/>
          <w:szCs w:val="24"/>
        </w:rPr>
        <w:t>22</w:t>
      </w:r>
      <w:r w:rsidR="00F2485C">
        <w:rPr>
          <w:rFonts w:ascii="Calibri" w:hAnsi="Calibri" w:cs="Calibri"/>
          <w:color w:val="131413"/>
          <w:sz w:val="24"/>
          <w:szCs w:val="24"/>
        </w:rPr>
        <w:t>]</w:t>
      </w:r>
      <w:r w:rsidR="00B773ED">
        <w:rPr>
          <w:rFonts w:ascii="Calibri" w:hAnsi="Calibri" w:cs="Calibri"/>
          <w:color w:val="131413"/>
          <w:sz w:val="24"/>
          <w:szCs w:val="24"/>
        </w:rPr>
        <w:t>,</w:t>
      </w:r>
      <w:r w:rsidR="00E476AD">
        <w:rPr>
          <w:rFonts w:ascii="Calibri" w:hAnsi="Calibri" w:cs="Calibri"/>
          <w:color w:val="131413"/>
          <w:sz w:val="24"/>
          <w:szCs w:val="24"/>
        </w:rPr>
        <w:t xml:space="preserve"> </w:t>
      </w:r>
      <w:r w:rsidR="00A90325">
        <w:rPr>
          <w:rFonts w:ascii="Calibri" w:hAnsi="Calibri" w:cs="Calibri"/>
          <w:color w:val="131413"/>
          <w:sz w:val="24"/>
          <w:szCs w:val="24"/>
        </w:rPr>
        <w:t>hypertension [</w:t>
      </w:r>
      <w:r w:rsidR="003A1F5B">
        <w:rPr>
          <w:rFonts w:ascii="Calibri" w:hAnsi="Calibri" w:cs="Calibri"/>
          <w:color w:val="131413"/>
          <w:sz w:val="24"/>
          <w:szCs w:val="24"/>
        </w:rPr>
        <w:t>23</w:t>
      </w:r>
      <w:r w:rsidR="000574BF">
        <w:rPr>
          <w:rFonts w:ascii="Calibri" w:hAnsi="Calibri" w:cs="Calibri"/>
          <w:color w:val="131413"/>
          <w:sz w:val="24"/>
          <w:szCs w:val="24"/>
        </w:rPr>
        <w:t xml:space="preserve">] </w:t>
      </w:r>
      <w:r w:rsidR="00E476AD">
        <w:rPr>
          <w:rFonts w:ascii="Calibri" w:hAnsi="Calibri" w:cs="Calibri"/>
          <w:color w:val="131413"/>
          <w:sz w:val="24"/>
          <w:szCs w:val="24"/>
        </w:rPr>
        <w:t xml:space="preserve">and </w:t>
      </w:r>
      <w:r w:rsidR="00E476AD" w:rsidRPr="009C68EB">
        <w:rPr>
          <w:rFonts w:ascii="Calibri" w:hAnsi="Calibri" w:cs="Calibri"/>
          <w:color w:val="131413"/>
          <w:sz w:val="24"/>
          <w:szCs w:val="24"/>
        </w:rPr>
        <w:t>diabetes</w:t>
      </w:r>
      <w:r w:rsidR="008D41A1" w:rsidRPr="009C68EB">
        <w:rPr>
          <w:rFonts w:ascii="Calibri" w:hAnsi="Calibri" w:cs="Calibri"/>
          <w:color w:val="131413"/>
          <w:sz w:val="24"/>
          <w:szCs w:val="24"/>
        </w:rPr>
        <w:t xml:space="preserve"> [</w:t>
      </w:r>
      <w:r w:rsidR="003A1F5B">
        <w:rPr>
          <w:rFonts w:ascii="Calibri" w:hAnsi="Calibri" w:cs="Calibri"/>
          <w:color w:val="131413"/>
          <w:sz w:val="24"/>
          <w:szCs w:val="24"/>
        </w:rPr>
        <w:t>24</w:t>
      </w:r>
      <w:r w:rsidR="000574BF" w:rsidRPr="009C68EB">
        <w:rPr>
          <w:rFonts w:ascii="Calibri" w:hAnsi="Calibri" w:cs="Calibri"/>
          <w:color w:val="131413"/>
          <w:sz w:val="24"/>
          <w:szCs w:val="24"/>
        </w:rPr>
        <w:t>]</w:t>
      </w:r>
      <w:r w:rsidR="004371C2" w:rsidRPr="009C68EB">
        <w:rPr>
          <w:rFonts w:ascii="Calibri" w:hAnsi="Calibri" w:cs="Calibri"/>
          <w:color w:val="131413"/>
          <w:sz w:val="24"/>
          <w:szCs w:val="24"/>
        </w:rPr>
        <w:t xml:space="preserve">. </w:t>
      </w:r>
      <w:r w:rsidR="00E476AD" w:rsidRPr="009C68EB">
        <w:rPr>
          <w:rFonts w:ascii="Calibri" w:hAnsi="Calibri" w:cs="Calibri"/>
          <w:color w:val="131413"/>
          <w:sz w:val="24"/>
          <w:szCs w:val="24"/>
        </w:rPr>
        <w:t xml:space="preserve"> </w:t>
      </w:r>
      <w:r w:rsidR="007C2CCD" w:rsidRPr="009C68EB">
        <w:rPr>
          <w:rFonts w:ascii="Calibri" w:hAnsi="Calibri" w:cs="Calibri"/>
          <w:color w:val="131413"/>
          <w:sz w:val="24"/>
          <w:szCs w:val="24"/>
        </w:rPr>
        <w:t>The</w:t>
      </w:r>
      <w:r w:rsidR="007C2CCD">
        <w:rPr>
          <w:rFonts w:ascii="Calibri" w:hAnsi="Calibri" w:cs="Calibri"/>
          <w:color w:val="131413"/>
          <w:sz w:val="24"/>
          <w:szCs w:val="24"/>
        </w:rPr>
        <w:t xml:space="preserve"> fu</w:t>
      </w:r>
      <w:r w:rsidR="00D73500">
        <w:rPr>
          <w:rFonts w:ascii="Calibri" w:hAnsi="Calibri" w:cs="Calibri"/>
          <w:color w:val="131413"/>
          <w:sz w:val="24"/>
          <w:szCs w:val="24"/>
        </w:rPr>
        <w:t>r</w:t>
      </w:r>
      <w:r w:rsidR="007C2CCD">
        <w:rPr>
          <w:rFonts w:ascii="Calibri" w:hAnsi="Calibri" w:cs="Calibri"/>
          <w:color w:val="131413"/>
          <w:sz w:val="24"/>
          <w:szCs w:val="24"/>
        </w:rPr>
        <w:t>ther</w:t>
      </w:r>
      <w:r w:rsidR="00D73500">
        <w:rPr>
          <w:rFonts w:ascii="Calibri" w:hAnsi="Calibri" w:cs="Calibri"/>
          <w:color w:val="131413"/>
          <w:sz w:val="24"/>
          <w:szCs w:val="24"/>
        </w:rPr>
        <w:t xml:space="preserve"> </w:t>
      </w:r>
      <w:r w:rsidR="003601A8">
        <w:rPr>
          <w:rFonts w:ascii="Calibri" w:hAnsi="Calibri" w:cs="Calibri"/>
          <w:color w:val="131413"/>
          <w:sz w:val="24"/>
          <w:szCs w:val="24"/>
        </w:rPr>
        <w:t>sub-</w:t>
      </w:r>
      <w:r w:rsidR="00D73500">
        <w:rPr>
          <w:rFonts w:ascii="Calibri" w:hAnsi="Calibri" w:cs="Calibri"/>
          <w:color w:val="131413"/>
          <w:sz w:val="24"/>
          <w:szCs w:val="24"/>
        </w:rPr>
        <w:t xml:space="preserve">categorisation </w:t>
      </w:r>
      <w:r w:rsidR="00561939">
        <w:rPr>
          <w:rFonts w:ascii="Calibri" w:hAnsi="Calibri" w:cs="Calibri"/>
          <w:color w:val="131413"/>
          <w:sz w:val="24"/>
          <w:szCs w:val="24"/>
        </w:rPr>
        <w:t xml:space="preserve">of </w:t>
      </w:r>
      <w:r w:rsidR="00E476AD">
        <w:rPr>
          <w:rFonts w:ascii="Calibri" w:hAnsi="Calibri" w:cs="Calibri"/>
          <w:color w:val="131413"/>
          <w:sz w:val="24"/>
          <w:szCs w:val="24"/>
        </w:rPr>
        <w:t xml:space="preserve">those meriting treatment </w:t>
      </w:r>
      <w:r w:rsidR="007E6509">
        <w:rPr>
          <w:rFonts w:ascii="Calibri" w:hAnsi="Calibri" w:cs="Calibri"/>
          <w:color w:val="131413"/>
          <w:sz w:val="24"/>
          <w:szCs w:val="24"/>
        </w:rPr>
        <w:t>in</w:t>
      </w:r>
      <w:r w:rsidR="003601A8">
        <w:rPr>
          <w:rFonts w:ascii="Calibri" w:hAnsi="Calibri" w:cs="Calibri"/>
          <w:color w:val="131413"/>
          <w:sz w:val="24"/>
          <w:szCs w:val="24"/>
        </w:rPr>
        <w:t xml:space="preserve">to </w:t>
      </w:r>
      <w:r w:rsidR="008B3684">
        <w:rPr>
          <w:rFonts w:ascii="Calibri" w:hAnsi="Calibri" w:cs="Calibri"/>
          <w:color w:val="131413"/>
          <w:sz w:val="24"/>
          <w:szCs w:val="24"/>
        </w:rPr>
        <w:t>high risk and very high ris</w:t>
      </w:r>
      <w:r w:rsidR="00EB608B">
        <w:rPr>
          <w:rFonts w:ascii="Calibri" w:hAnsi="Calibri" w:cs="Calibri"/>
          <w:color w:val="131413"/>
          <w:sz w:val="24"/>
          <w:szCs w:val="24"/>
        </w:rPr>
        <w:t xml:space="preserve">k </w:t>
      </w:r>
      <w:r w:rsidR="007E6509">
        <w:rPr>
          <w:rFonts w:ascii="Calibri" w:hAnsi="Calibri" w:cs="Calibri"/>
          <w:color w:val="131413"/>
          <w:sz w:val="24"/>
          <w:szCs w:val="24"/>
        </w:rPr>
        <w:t xml:space="preserve">is </w:t>
      </w:r>
      <w:r w:rsidR="008B3684">
        <w:rPr>
          <w:rFonts w:ascii="Calibri" w:hAnsi="Calibri" w:cs="Calibri"/>
          <w:color w:val="131413"/>
          <w:sz w:val="24"/>
          <w:szCs w:val="24"/>
        </w:rPr>
        <w:t>predicated</w:t>
      </w:r>
      <w:r w:rsidR="00EB608B">
        <w:rPr>
          <w:rFonts w:ascii="Calibri" w:hAnsi="Calibri" w:cs="Calibri"/>
          <w:color w:val="131413"/>
          <w:sz w:val="24"/>
          <w:szCs w:val="24"/>
        </w:rPr>
        <w:t xml:space="preserve"> </w:t>
      </w:r>
      <w:r w:rsidR="00CE19B3">
        <w:rPr>
          <w:rFonts w:ascii="Calibri" w:hAnsi="Calibri" w:cs="Calibri"/>
          <w:color w:val="131413"/>
          <w:sz w:val="24"/>
          <w:szCs w:val="24"/>
        </w:rPr>
        <w:t>on</w:t>
      </w:r>
      <w:r w:rsidR="00EB608B">
        <w:rPr>
          <w:rFonts w:ascii="Calibri" w:hAnsi="Calibri" w:cs="Calibri"/>
          <w:color w:val="131413"/>
          <w:sz w:val="24"/>
          <w:szCs w:val="24"/>
        </w:rPr>
        <w:t xml:space="preserve"> the same principle</w:t>
      </w:r>
      <w:r w:rsidR="003601A8">
        <w:rPr>
          <w:rFonts w:ascii="Calibri" w:hAnsi="Calibri" w:cs="Calibri"/>
          <w:color w:val="131413"/>
          <w:sz w:val="24"/>
          <w:szCs w:val="24"/>
        </w:rPr>
        <w:t xml:space="preserve"> as </w:t>
      </w:r>
      <w:r w:rsidR="00B31790">
        <w:rPr>
          <w:rFonts w:ascii="Calibri" w:hAnsi="Calibri" w:cs="Calibri"/>
          <w:color w:val="131413"/>
          <w:sz w:val="24"/>
          <w:szCs w:val="24"/>
        </w:rPr>
        <w:t xml:space="preserve">it aids in </w:t>
      </w:r>
      <w:r w:rsidR="003601A8">
        <w:rPr>
          <w:rFonts w:ascii="Calibri" w:hAnsi="Calibri" w:cs="Calibri"/>
          <w:color w:val="131413"/>
          <w:sz w:val="24"/>
          <w:szCs w:val="24"/>
        </w:rPr>
        <w:t xml:space="preserve">choosing </w:t>
      </w:r>
      <w:r w:rsidR="00B31790">
        <w:rPr>
          <w:rFonts w:ascii="Calibri" w:hAnsi="Calibri" w:cs="Calibri"/>
          <w:color w:val="131413"/>
          <w:sz w:val="24"/>
          <w:szCs w:val="24"/>
        </w:rPr>
        <w:t>the type of treatment to be recommended</w:t>
      </w:r>
      <w:r w:rsidR="007008F5">
        <w:rPr>
          <w:rFonts w:ascii="Calibri" w:hAnsi="Calibri" w:cs="Calibri"/>
          <w:color w:val="131413"/>
          <w:sz w:val="24"/>
          <w:szCs w:val="24"/>
        </w:rPr>
        <w:t xml:space="preserve">.  </w:t>
      </w:r>
      <w:r w:rsidR="00E476AD">
        <w:rPr>
          <w:rFonts w:ascii="Calibri" w:hAnsi="Calibri" w:cs="Calibri"/>
          <w:color w:val="131413"/>
          <w:sz w:val="24"/>
          <w:szCs w:val="24"/>
        </w:rPr>
        <w:t xml:space="preserve">The increasing availability of anabolic therapies in osteoporosis and their superiority to anti-resorptive treatments in head-to-head randomised clinical trials has </w:t>
      </w:r>
      <w:r w:rsidR="002A6EC6">
        <w:rPr>
          <w:rFonts w:ascii="Calibri" w:hAnsi="Calibri" w:cs="Calibri"/>
          <w:color w:val="131413"/>
          <w:sz w:val="24"/>
          <w:szCs w:val="24"/>
        </w:rPr>
        <w:t xml:space="preserve">influenced </w:t>
      </w:r>
      <w:r w:rsidR="00E476AD">
        <w:rPr>
          <w:rFonts w:ascii="Calibri" w:hAnsi="Calibri" w:cs="Calibri"/>
          <w:color w:val="131413"/>
          <w:sz w:val="24"/>
          <w:szCs w:val="24"/>
        </w:rPr>
        <w:t xml:space="preserve">discussions about </w:t>
      </w:r>
      <w:r w:rsidR="002A6EC6">
        <w:rPr>
          <w:rFonts w:ascii="Calibri" w:hAnsi="Calibri" w:cs="Calibri"/>
          <w:color w:val="131413"/>
          <w:sz w:val="24"/>
          <w:szCs w:val="24"/>
        </w:rPr>
        <w:t>the</w:t>
      </w:r>
      <w:r w:rsidR="00237030">
        <w:rPr>
          <w:rFonts w:ascii="Calibri" w:hAnsi="Calibri" w:cs="Calibri"/>
          <w:color w:val="131413"/>
          <w:sz w:val="24"/>
          <w:szCs w:val="24"/>
        </w:rPr>
        <w:t xml:space="preserve"> </w:t>
      </w:r>
      <w:r w:rsidR="002A6EC6">
        <w:rPr>
          <w:rFonts w:ascii="Calibri" w:hAnsi="Calibri" w:cs="Calibri"/>
          <w:color w:val="131413"/>
          <w:sz w:val="24"/>
          <w:szCs w:val="24"/>
        </w:rPr>
        <w:t xml:space="preserve">setting </w:t>
      </w:r>
      <w:r w:rsidR="00E93E10">
        <w:rPr>
          <w:rFonts w:ascii="Calibri" w:hAnsi="Calibri" w:cs="Calibri"/>
          <w:color w:val="131413"/>
          <w:sz w:val="24"/>
          <w:szCs w:val="24"/>
        </w:rPr>
        <w:t xml:space="preserve">of </w:t>
      </w:r>
      <w:r w:rsidR="00237030">
        <w:rPr>
          <w:rFonts w:ascii="Calibri" w:hAnsi="Calibri" w:cs="Calibri"/>
          <w:color w:val="131413"/>
          <w:sz w:val="24"/>
          <w:szCs w:val="24"/>
        </w:rPr>
        <w:t>threshold</w:t>
      </w:r>
      <w:r w:rsidR="002A6EC6">
        <w:rPr>
          <w:rFonts w:ascii="Calibri" w:hAnsi="Calibri" w:cs="Calibri"/>
          <w:color w:val="131413"/>
          <w:sz w:val="24"/>
          <w:szCs w:val="24"/>
        </w:rPr>
        <w:t xml:space="preserve"> values</w:t>
      </w:r>
      <w:r w:rsidR="00E93E10">
        <w:rPr>
          <w:rFonts w:ascii="Calibri" w:hAnsi="Calibri" w:cs="Calibri"/>
          <w:color w:val="131413"/>
          <w:sz w:val="24"/>
          <w:szCs w:val="24"/>
        </w:rPr>
        <w:t>.</w:t>
      </w:r>
      <w:r w:rsidR="00F72F99">
        <w:rPr>
          <w:rFonts w:ascii="Calibri" w:hAnsi="Calibri" w:cs="Calibri"/>
          <w:color w:val="131413"/>
          <w:sz w:val="24"/>
          <w:szCs w:val="24"/>
        </w:rPr>
        <w:t xml:space="preserve"> </w:t>
      </w:r>
      <w:r w:rsidR="00636BD5">
        <w:rPr>
          <w:rFonts w:ascii="Calibri" w:hAnsi="Calibri" w:cs="Calibri"/>
          <w:color w:val="131413"/>
          <w:sz w:val="24"/>
          <w:szCs w:val="24"/>
        </w:rPr>
        <w:t xml:space="preserve"> </w:t>
      </w:r>
      <w:r w:rsidR="00E476AD">
        <w:rPr>
          <w:rFonts w:ascii="Calibri" w:hAnsi="Calibri" w:cs="Calibri"/>
          <w:color w:val="131413"/>
          <w:sz w:val="24"/>
          <w:szCs w:val="24"/>
        </w:rPr>
        <w:t xml:space="preserve">Such </w:t>
      </w:r>
      <w:r w:rsidR="00A245E6">
        <w:rPr>
          <w:rFonts w:ascii="Calibri" w:hAnsi="Calibri" w:cs="Calibri"/>
          <w:color w:val="131413"/>
          <w:sz w:val="24"/>
          <w:szCs w:val="24"/>
        </w:rPr>
        <w:t>considerations justify the need for dichoto</w:t>
      </w:r>
      <w:r w:rsidR="00465D3E">
        <w:rPr>
          <w:rFonts w:ascii="Calibri" w:hAnsi="Calibri" w:cs="Calibri"/>
          <w:color w:val="131413"/>
          <w:sz w:val="24"/>
          <w:szCs w:val="24"/>
        </w:rPr>
        <w:t>my but are less helpful in its operational</w:t>
      </w:r>
      <w:r w:rsidR="002869C7">
        <w:rPr>
          <w:rFonts w:ascii="Calibri" w:hAnsi="Calibri" w:cs="Calibri"/>
          <w:color w:val="131413"/>
          <w:sz w:val="24"/>
          <w:szCs w:val="24"/>
        </w:rPr>
        <w:t>isation</w:t>
      </w:r>
      <w:r w:rsidR="00E476AD">
        <w:rPr>
          <w:rFonts w:ascii="Calibri" w:hAnsi="Calibri" w:cs="Calibri"/>
          <w:color w:val="131413"/>
          <w:sz w:val="24"/>
          <w:szCs w:val="24"/>
        </w:rPr>
        <w:t>,</w:t>
      </w:r>
      <w:r w:rsidR="003321B2">
        <w:rPr>
          <w:rFonts w:ascii="Calibri" w:hAnsi="Calibri" w:cs="Calibri"/>
          <w:color w:val="131413"/>
          <w:sz w:val="24"/>
          <w:szCs w:val="24"/>
        </w:rPr>
        <w:t xml:space="preserve"> which </w:t>
      </w:r>
      <w:r w:rsidR="00982E3B">
        <w:rPr>
          <w:rFonts w:ascii="Calibri" w:hAnsi="Calibri" w:cs="Calibri"/>
          <w:color w:val="131413"/>
          <w:sz w:val="24"/>
          <w:szCs w:val="24"/>
        </w:rPr>
        <w:t>by nature will always be somewhat arbitrary</w:t>
      </w:r>
      <w:r w:rsidR="002869C7">
        <w:rPr>
          <w:rFonts w:ascii="Calibri" w:hAnsi="Calibri" w:cs="Calibri"/>
          <w:color w:val="131413"/>
          <w:sz w:val="24"/>
          <w:szCs w:val="24"/>
        </w:rPr>
        <w:t xml:space="preserve">. </w:t>
      </w:r>
      <w:r w:rsidR="00A81818">
        <w:rPr>
          <w:rFonts w:ascii="Calibri" w:hAnsi="Calibri" w:cs="Calibri"/>
          <w:color w:val="131413"/>
          <w:sz w:val="24"/>
          <w:szCs w:val="24"/>
        </w:rPr>
        <w:t xml:space="preserve">With regard to the </w:t>
      </w:r>
      <w:r w:rsidR="00D12DD5">
        <w:rPr>
          <w:rFonts w:ascii="Calibri" w:hAnsi="Calibri" w:cs="Calibri"/>
          <w:color w:val="131413"/>
          <w:sz w:val="24"/>
          <w:szCs w:val="24"/>
        </w:rPr>
        <w:t xml:space="preserve">development of thresholds between high and very high fracture risk in </w:t>
      </w:r>
      <w:r w:rsidR="00A81818">
        <w:rPr>
          <w:rFonts w:ascii="Calibri" w:hAnsi="Calibri" w:cs="Calibri"/>
          <w:color w:val="131413"/>
          <w:sz w:val="24"/>
          <w:szCs w:val="24"/>
        </w:rPr>
        <w:t>NOGG</w:t>
      </w:r>
      <w:r w:rsidR="003601A8">
        <w:rPr>
          <w:rFonts w:ascii="Calibri" w:hAnsi="Calibri" w:cs="Calibri"/>
          <w:color w:val="131413"/>
          <w:sz w:val="24"/>
          <w:szCs w:val="24"/>
        </w:rPr>
        <w:t xml:space="preserve"> </w:t>
      </w:r>
      <w:r w:rsidR="00D12DD5">
        <w:rPr>
          <w:rFonts w:ascii="Calibri" w:hAnsi="Calibri" w:cs="Calibri"/>
          <w:color w:val="131413"/>
          <w:sz w:val="24"/>
          <w:szCs w:val="24"/>
        </w:rPr>
        <w:t xml:space="preserve">guidance, </w:t>
      </w:r>
      <w:r w:rsidR="00171AB2">
        <w:rPr>
          <w:rFonts w:ascii="Calibri" w:hAnsi="Calibri" w:cs="Calibri"/>
          <w:color w:val="131413"/>
          <w:sz w:val="24"/>
          <w:szCs w:val="24"/>
        </w:rPr>
        <w:t xml:space="preserve">we focussed on precedent </w:t>
      </w:r>
      <w:r w:rsidR="00577626">
        <w:rPr>
          <w:rFonts w:ascii="Calibri" w:hAnsi="Calibri" w:cs="Calibri"/>
          <w:color w:val="131413"/>
          <w:sz w:val="24"/>
          <w:szCs w:val="24"/>
        </w:rPr>
        <w:t>and appropriateness</w:t>
      </w:r>
      <w:r w:rsidR="009E7E33">
        <w:rPr>
          <w:rFonts w:ascii="Calibri" w:hAnsi="Calibri" w:cs="Calibri"/>
          <w:color w:val="131413"/>
          <w:sz w:val="24"/>
          <w:szCs w:val="24"/>
        </w:rPr>
        <w:t xml:space="preserve">.  </w:t>
      </w:r>
    </w:p>
    <w:p w14:paraId="3B0843AB" w14:textId="77777777" w:rsidR="00636BD5" w:rsidRDefault="00636BD5" w:rsidP="00F323B1">
      <w:pPr>
        <w:autoSpaceDE w:val="0"/>
        <w:autoSpaceDN w:val="0"/>
        <w:adjustRightInd w:val="0"/>
        <w:spacing w:after="0" w:line="276" w:lineRule="auto"/>
        <w:rPr>
          <w:rFonts w:ascii="Calibri" w:hAnsi="Calibri" w:cs="Calibri"/>
          <w:color w:val="131413"/>
          <w:sz w:val="24"/>
          <w:szCs w:val="24"/>
        </w:rPr>
      </w:pPr>
    </w:p>
    <w:p w14:paraId="3FAD1EC2" w14:textId="2E2DB770" w:rsidR="00742205" w:rsidRDefault="009E7E33" w:rsidP="00F323B1">
      <w:pPr>
        <w:autoSpaceDE w:val="0"/>
        <w:autoSpaceDN w:val="0"/>
        <w:adjustRightInd w:val="0"/>
        <w:spacing w:after="0" w:line="276" w:lineRule="auto"/>
        <w:rPr>
          <w:rFonts w:ascii="Calibri" w:hAnsi="Calibri" w:cs="Calibri"/>
          <w:color w:val="131413"/>
          <w:sz w:val="24"/>
          <w:szCs w:val="24"/>
        </w:rPr>
      </w:pPr>
      <w:r>
        <w:rPr>
          <w:rFonts w:ascii="Calibri" w:hAnsi="Calibri" w:cs="Calibri"/>
          <w:color w:val="131413"/>
          <w:sz w:val="24"/>
          <w:szCs w:val="24"/>
        </w:rPr>
        <w:t>The two prece</w:t>
      </w:r>
      <w:r w:rsidR="003E49EC">
        <w:rPr>
          <w:rFonts w:ascii="Calibri" w:hAnsi="Calibri" w:cs="Calibri"/>
          <w:color w:val="131413"/>
          <w:sz w:val="24"/>
          <w:szCs w:val="24"/>
        </w:rPr>
        <w:t xml:space="preserve">dents of relevance include the construct of </w:t>
      </w:r>
      <w:r w:rsidR="00BB13D4">
        <w:rPr>
          <w:rFonts w:ascii="Calibri" w:hAnsi="Calibri" w:cs="Calibri"/>
          <w:color w:val="131413"/>
          <w:sz w:val="24"/>
          <w:szCs w:val="24"/>
        </w:rPr>
        <w:t xml:space="preserve">existing NOGG guidance </w:t>
      </w:r>
      <w:r w:rsidR="00BF1ACA">
        <w:rPr>
          <w:rFonts w:ascii="Calibri" w:hAnsi="Calibri" w:cs="Calibri"/>
          <w:color w:val="131413"/>
          <w:sz w:val="24"/>
          <w:szCs w:val="24"/>
        </w:rPr>
        <w:t>[</w:t>
      </w:r>
      <w:r w:rsidR="005F5119">
        <w:rPr>
          <w:rFonts w:ascii="Calibri" w:hAnsi="Calibri" w:cs="Calibri"/>
          <w:color w:val="131413"/>
          <w:sz w:val="24"/>
          <w:szCs w:val="24"/>
        </w:rPr>
        <w:t xml:space="preserve">8] </w:t>
      </w:r>
      <w:r w:rsidR="008A0D27">
        <w:rPr>
          <w:rFonts w:ascii="Calibri" w:hAnsi="Calibri" w:cs="Calibri"/>
          <w:color w:val="131413"/>
          <w:sz w:val="24"/>
          <w:szCs w:val="24"/>
        </w:rPr>
        <w:t>and the</w:t>
      </w:r>
      <w:r w:rsidR="00636BD5">
        <w:rPr>
          <w:rFonts w:ascii="Calibri" w:hAnsi="Calibri" w:cs="Calibri"/>
          <w:color w:val="131413"/>
          <w:sz w:val="24"/>
          <w:szCs w:val="24"/>
        </w:rPr>
        <w:t xml:space="preserve"> </w:t>
      </w:r>
      <w:r w:rsidR="00550503">
        <w:rPr>
          <w:rFonts w:ascii="Calibri" w:hAnsi="Calibri" w:cs="Calibri"/>
          <w:color w:val="131413"/>
          <w:sz w:val="24"/>
          <w:szCs w:val="24"/>
        </w:rPr>
        <w:t>guidance of IOF/ESCEO</w:t>
      </w:r>
      <w:r w:rsidR="00BF1ACA">
        <w:rPr>
          <w:rFonts w:ascii="Calibri" w:hAnsi="Calibri" w:cs="Calibri"/>
          <w:color w:val="131413"/>
          <w:sz w:val="24"/>
          <w:szCs w:val="24"/>
        </w:rPr>
        <w:t xml:space="preserve"> [</w:t>
      </w:r>
      <w:r w:rsidR="00143840">
        <w:rPr>
          <w:rFonts w:ascii="Calibri" w:hAnsi="Calibri" w:cs="Calibri"/>
          <w:color w:val="131413"/>
          <w:sz w:val="24"/>
          <w:szCs w:val="24"/>
        </w:rPr>
        <w:t>9]</w:t>
      </w:r>
      <w:r w:rsidR="00BF1ACA">
        <w:rPr>
          <w:rFonts w:ascii="Calibri" w:hAnsi="Calibri" w:cs="Calibri"/>
          <w:color w:val="131413"/>
          <w:sz w:val="24"/>
          <w:szCs w:val="24"/>
        </w:rPr>
        <w:t xml:space="preserve">.  </w:t>
      </w:r>
      <w:r w:rsidR="001D5F76">
        <w:rPr>
          <w:rFonts w:ascii="Calibri" w:hAnsi="Calibri" w:cs="Calibri"/>
          <w:color w:val="131413"/>
          <w:sz w:val="24"/>
          <w:szCs w:val="24"/>
        </w:rPr>
        <w:t>The hybri</w:t>
      </w:r>
      <w:r w:rsidR="0003560C">
        <w:rPr>
          <w:rFonts w:ascii="Calibri" w:hAnsi="Calibri" w:cs="Calibri"/>
          <w:color w:val="131413"/>
          <w:sz w:val="24"/>
          <w:szCs w:val="24"/>
        </w:rPr>
        <w:t xml:space="preserve">d nature of the existing NOGG guidance </w:t>
      </w:r>
      <w:r w:rsidR="00164023">
        <w:rPr>
          <w:rFonts w:ascii="Calibri" w:hAnsi="Calibri" w:cs="Calibri"/>
          <w:color w:val="131413"/>
          <w:sz w:val="24"/>
          <w:szCs w:val="24"/>
        </w:rPr>
        <w:t xml:space="preserve">led us to consider only UITs </w:t>
      </w:r>
      <w:r w:rsidR="000C7F18">
        <w:rPr>
          <w:rFonts w:ascii="Calibri" w:hAnsi="Calibri" w:cs="Calibri"/>
          <w:color w:val="131413"/>
          <w:sz w:val="24"/>
          <w:szCs w:val="24"/>
        </w:rPr>
        <w:t xml:space="preserve">based on </w:t>
      </w:r>
      <w:r w:rsidR="008A0D27">
        <w:rPr>
          <w:rFonts w:ascii="Calibri" w:hAnsi="Calibri" w:cs="Calibri"/>
          <w:color w:val="131413"/>
          <w:sz w:val="24"/>
          <w:szCs w:val="24"/>
        </w:rPr>
        <w:t>h</w:t>
      </w:r>
      <w:r w:rsidR="000C7F18">
        <w:rPr>
          <w:rFonts w:ascii="Calibri" w:hAnsi="Calibri" w:cs="Calibri"/>
          <w:color w:val="131413"/>
          <w:sz w:val="24"/>
          <w:szCs w:val="24"/>
        </w:rPr>
        <w:t>ybrid thresholds</w:t>
      </w:r>
      <w:r w:rsidR="00993276">
        <w:rPr>
          <w:rFonts w:ascii="Calibri" w:hAnsi="Calibri" w:cs="Calibri"/>
          <w:color w:val="131413"/>
          <w:sz w:val="24"/>
          <w:szCs w:val="24"/>
        </w:rPr>
        <w:t xml:space="preserve"> (though others were initially considered)</w:t>
      </w:r>
      <w:r w:rsidR="00681B0B">
        <w:rPr>
          <w:rFonts w:ascii="Calibri" w:hAnsi="Calibri" w:cs="Calibri"/>
          <w:color w:val="131413"/>
          <w:sz w:val="24"/>
          <w:szCs w:val="24"/>
        </w:rPr>
        <w:t xml:space="preserve">.  </w:t>
      </w:r>
      <w:r w:rsidR="004C799E">
        <w:rPr>
          <w:rFonts w:ascii="Calibri" w:hAnsi="Calibri" w:cs="Calibri"/>
          <w:color w:val="131413"/>
          <w:sz w:val="24"/>
          <w:szCs w:val="24"/>
        </w:rPr>
        <w:t xml:space="preserve">This is consistent with the IOF/ESCEO position that </w:t>
      </w:r>
      <w:r w:rsidR="00AB63C8">
        <w:rPr>
          <w:rFonts w:ascii="Calibri" w:hAnsi="Calibri" w:cs="Calibri"/>
          <w:color w:val="131413"/>
          <w:sz w:val="24"/>
          <w:szCs w:val="24"/>
        </w:rPr>
        <w:t>viewed UITs as a multiple of LITs</w:t>
      </w:r>
      <w:r w:rsidR="006B594B">
        <w:rPr>
          <w:rFonts w:ascii="Calibri" w:hAnsi="Calibri" w:cs="Calibri"/>
          <w:color w:val="131413"/>
          <w:sz w:val="24"/>
          <w:szCs w:val="24"/>
        </w:rPr>
        <w:t>.  However</w:t>
      </w:r>
      <w:r w:rsidR="00FC67A2">
        <w:rPr>
          <w:rFonts w:ascii="Calibri" w:hAnsi="Calibri" w:cs="Calibri"/>
          <w:color w:val="131413"/>
          <w:sz w:val="24"/>
          <w:szCs w:val="24"/>
        </w:rPr>
        <w:t>,</w:t>
      </w:r>
      <w:r w:rsidR="006B594B">
        <w:rPr>
          <w:rFonts w:ascii="Calibri" w:hAnsi="Calibri" w:cs="Calibri"/>
          <w:color w:val="131413"/>
          <w:sz w:val="24"/>
          <w:szCs w:val="24"/>
        </w:rPr>
        <w:t xml:space="preserve"> the </w:t>
      </w:r>
      <w:r w:rsidR="00D12DD5">
        <w:rPr>
          <w:rFonts w:ascii="Calibri" w:hAnsi="Calibri" w:cs="Calibri"/>
          <w:color w:val="131413"/>
          <w:sz w:val="24"/>
          <w:szCs w:val="24"/>
        </w:rPr>
        <w:t xml:space="preserve">performance of the </w:t>
      </w:r>
      <w:r w:rsidR="006B594B">
        <w:rPr>
          <w:rFonts w:ascii="Calibri" w:hAnsi="Calibri" w:cs="Calibri"/>
          <w:color w:val="131413"/>
          <w:sz w:val="24"/>
          <w:szCs w:val="24"/>
        </w:rPr>
        <w:t>multiple c</w:t>
      </w:r>
      <w:r w:rsidR="00FC67A2">
        <w:rPr>
          <w:rFonts w:ascii="Calibri" w:hAnsi="Calibri" w:cs="Calibri"/>
          <w:color w:val="131413"/>
          <w:sz w:val="24"/>
          <w:szCs w:val="24"/>
        </w:rPr>
        <w:t>h</w:t>
      </w:r>
      <w:r w:rsidR="006B594B">
        <w:rPr>
          <w:rFonts w:ascii="Calibri" w:hAnsi="Calibri" w:cs="Calibri"/>
          <w:color w:val="131413"/>
          <w:sz w:val="24"/>
          <w:szCs w:val="24"/>
        </w:rPr>
        <w:t xml:space="preserve">osen </w:t>
      </w:r>
      <w:r w:rsidR="00D12DD5">
        <w:rPr>
          <w:rFonts w:ascii="Calibri" w:hAnsi="Calibri" w:cs="Calibri"/>
          <w:color w:val="131413"/>
          <w:sz w:val="24"/>
          <w:szCs w:val="24"/>
        </w:rPr>
        <w:t xml:space="preserve">in fully age-dependent models </w:t>
      </w:r>
      <w:r w:rsidR="0036487A">
        <w:rPr>
          <w:rFonts w:ascii="Calibri" w:hAnsi="Calibri" w:cs="Calibri"/>
          <w:color w:val="131413"/>
          <w:sz w:val="24"/>
          <w:szCs w:val="24"/>
        </w:rPr>
        <w:t>by IOF</w:t>
      </w:r>
      <w:r w:rsidR="00FC67A2" w:rsidRPr="00FC67A2">
        <w:rPr>
          <w:rFonts w:ascii="Calibri" w:hAnsi="Calibri" w:cs="Calibri"/>
          <w:color w:val="131413"/>
          <w:sz w:val="24"/>
          <w:szCs w:val="24"/>
        </w:rPr>
        <w:t>/ESCEO</w:t>
      </w:r>
      <w:r w:rsidR="00FC67A2">
        <w:rPr>
          <w:rFonts w:ascii="Calibri" w:hAnsi="Calibri" w:cs="Calibri"/>
          <w:color w:val="131413"/>
          <w:sz w:val="24"/>
          <w:szCs w:val="24"/>
        </w:rPr>
        <w:t xml:space="preserve"> of 1.2</w:t>
      </w:r>
      <w:r w:rsidR="00D12DD5">
        <w:rPr>
          <w:rFonts w:ascii="Calibri" w:hAnsi="Calibri" w:cs="Calibri"/>
          <w:color w:val="131413"/>
          <w:sz w:val="24"/>
          <w:szCs w:val="24"/>
        </w:rPr>
        <w:t xml:space="preserve"> was markedly different in the setting of the </w:t>
      </w:r>
      <w:r w:rsidR="00BF66F7">
        <w:rPr>
          <w:rFonts w:ascii="Calibri" w:hAnsi="Calibri" w:cs="Calibri"/>
          <w:color w:val="131413"/>
          <w:sz w:val="24"/>
          <w:szCs w:val="24"/>
        </w:rPr>
        <w:t>NOGG hybrid mo</w:t>
      </w:r>
      <w:r w:rsidR="00247C0B">
        <w:rPr>
          <w:rFonts w:ascii="Calibri" w:hAnsi="Calibri" w:cs="Calibri"/>
          <w:color w:val="131413"/>
          <w:sz w:val="24"/>
          <w:szCs w:val="24"/>
        </w:rPr>
        <w:t>del</w:t>
      </w:r>
      <w:r w:rsidR="00D12DD5">
        <w:rPr>
          <w:rFonts w:ascii="Calibri" w:hAnsi="Calibri" w:cs="Calibri"/>
          <w:color w:val="131413"/>
          <w:sz w:val="24"/>
          <w:szCs w:val="24"/>
        </w:rPr>
        <w:t xml:space="preserve"> with the identification of many </w:t>
      </w:r>
      <w:r w:rsidR="00704736">
        <w:rPr>
          <w:rFonts w:ascii="Calibri" w:hAnsi="Calibri" w:cs="Calibri"/>
          <w:color w:val="131413"/>
          <w:sz w:val="24"/>
          <w:szCs w:val="24"/>
        </w:rPr>
        <w:t xml:space="preserve">more </w:t>
      </w:r>
      <w:r w:rsidR="00D12DD5">
        <w:rPr>
          <w:rFonts w:ascii="Calibri" w:hAnsi="Calibri" w:cs="Calibri"/>
          <w:color w:val="131413"/>
          <w:sz w:val="24"/>
          <w:szCs w:val="24"/>
        </w:rPr>
        <w:t>women at very high risk, particularly at older ages</w:t>
      </w:r>
      <w:r w:rsidR="00247C0B">
        <w:rPr>
          <w:rFonts w:ascii="Calibri" w:hAnsi="Calibri" w:cs="Calibri"/>
          <w:color w:val="131413"/>
          <w:sz w:val="24"/>
          <w:szCs w:val="24"/>
        </w:rPr>
        <w:t xml:space="preserve">. </w:t>
      </w:r>
      <w:r w:rsidR="00E26235" w:rsidRPr="0036487A">
        <w:rPr>
          <w:rFonts w:ascii="Calibri" w:hAnsi="Calibri" w:cs="Calibri"/>
          <w:color w:val="131413"/>
          <w:sz w:val="24"/>
          <w:szCs w:val="24"/>
        </w:rPr>
        <w:t xml:space="preserve">The proportion of women eligible for treatment </w:t>
      </w:r>
      <w:r w:rsidR="00415C18">
        <w:rPr>
          <w:rFonts w:ascii="Calibri" w:hAnsi="Calibri" w:cs="Calibri"/>
          <w:color w:val="131413"/>
          <w:sz w:val="24"/>
          <w:szCs w:val="24"/>
        </w:rPr>
        <w:t>who</w:t>
      </w:r>
      <w:r w:rsidR="00E26235" w:rsidRPr="0036487A">
        <w:rPr>
          <w:rFonts w:ascii="Calibri" w:hAnsi="Calibri" w:cs="Calibri"/>
          <w:color w:val="131413"/>
          <w:sz w:val="24"/>
          <w:szCs w:val="24"/>
        </w:rPr>
        <w:t xml:space="preserve"> were at </w:t>
      </w:r>
      <w:r w:rsidR="00923EEC" w:rsidRPr="0036487A">
        <w:rPr>
          <w:rFonts w:ascii="Calibri" w:hAnsi="Calibri" w:cs="Calibri"/>
          <w:color w:val="131413"/>
          <w:sz w:val="24"/>
          <w:szCs w:val="24"/>
        </w:rPr>
        <w:t xml:space="preserve">very </w:t>
      </w:r>
      <w:r w:rsidR="00E26235" w:rsidRPr="0036487A">
        <w:rPr>
          <w:rFonts w:ascii="Calibri" w:hAnsi="Calibri" w:cs="Calibri"/>
          <w:color w:val="131413"/>
          <w:sz w:val="24"/>
          <w:szCs w:val="24"/>
        </w:rPr>
        <w:t>high risk was 5</w:t>
      </w:r>
      <w:r w:rsidR="00704736">
        <w:rPr>
          <w:rFonts w:ascii="Calibri" w:hAnsi="Calibri" w:cs="Calibri"/>
          <w:color w:val="131413"/>
          <w:sz w:val="24"/>
          <w:szCs w:val="24"/>
        </w:rPr>
        <w:t>6</w:t>
      </w:r>
      <w:r w:rsidR="00E26235" w:rsidRPr="0036487A">
        <w:rPr>
          <w:rFonts w:ascii="Calibri" w:hAnsi="Calibri" w:cs="Calibri"/>
          <w:color w:val="131413"/>
          <w:sz w:val="24"/>
          <w:szCs w:val="24"/>
        </w:rPr>
        <w:t>%</w:t>
      </w:r>
      <w:r w:rsidR="00704736">
        <w:rPr>
          <w:rFonts w:ascii="Calibri" w:hAnsi="Calibri" w:cs="Calibri"/>
          <w:color w:val="131413"/>
          <w:sz w:val="24"/>
          <w:szCs w:val="24"/>
        </w:rPr>
        <w:t>, c</w:t>
      </w:r>
      <w:r w:rsidR="00E26235" w:rsidRPr="0036487A">
        <w:rPr>
          <w:rFonts w:ascii="Calibri" w:hAnsi="Calibri" w:cs="Calibri"/>
          <w:color w:val="131413"/>
          <w:sz w:val="24"/>
          <w:szCs w:val="24"/>
        </w:rPr>
        <w:t>ompare</w:t>
      </w:r>
      <w:r w:rsidR="00704736">
        <w:rPr>
          <w:rFonts w:ascii="Calibri" w:hAnsi="Calibri" w:cs="Calibri"/>
          <w:color w:val="131413"/>
          <w:sz w:val="24"/>
          <w:szCs w:val="24"/>
        </w:rPr>
        <w:t xml:space="preserve">d to </w:t>
      </w:r>
      <w:r w:rsidR="00E26235" w:rsidRPr="0036487A">
        <w:rPr>
          <w:rFonts w:ascii="Calibri" w:hAnsi="Calibri" w:cs="Calibri"/>
          <w:color w:val="131413"/>
          <w:sz w:val="24"/>
          <w:szCs w:val="24"/>
        </w:rPr>
        <w:t>3</w:t>
      </w:r>
      <w:r w:rsidR="00704736">
        <w:rPr>
          <w:rFonts w:ascii="Calibri" w:hAnsi="Calibri" w:cs="Calibri"/>
          <w:color w:val="131413"/>
          <w:sz w:val="24"/>
          <w:szCs w:val="24"/>
        </w:rPr>
        <w:t>6</w:t>
      </w:r>
      <w:r w:rsidR="00E26235" w:rsidRPr="0036487A">
        <w:rPr>
          <w:rFonts w:ascii="Calibri" w:hAnsi="Calibri" w:cs="Calibri"/>
          <w:color w:val="131413"/>
          <w:sz w:val="24"/>
          <w:szCs w:val="24"/>
        </w:rPr>
        <w:t xml:space="preserve">% </w:t>
      </w:r>
      <w:r w:rsidR="00704736">
        <w:rPr>
          <w:rFonts w:ascii="Calibri" w:hAnsi="Calibri" w:cs="Calibri"/>
          <w:color w:val="131413"/>
          <w:sz w:val="24"/>
          <w:szCs w:val="24"/>
        </w:rPr>
        <w:t xml:space="preserve">in the fully </w:t>
      </w:r>
      <w:r w:rsidR="00E26235" w:rsidRPr="0036487A">
        <w:rPr>
          <w:rFonts w:ascii="Calibri" w:hAnsi="Calibri" w:cs="Calibri"/>
          <w:color w:val="131413"/>
          <w:sz w:val="24"/>
          <w:szCs w:val="24"/>
        </w:rPr>
        <w:t>age-</w:t>
      </w:r>
      <w:r w:rsidR="00704736">
        <w:rPr>
          <w:rFonts w:ascii="Calibri" w:hAnsi="Calibri" w:cs="Calibri"/>
          <w:color w:val="131413"/>
          <w:sz w:val="24"/>
          <w:szCs w:val="24"/>
        </w:rPr>
        <w:t>dependent model</w:t>
      </w:r>
      <w:r w:rsidR="00C94EA3" w:rsidRPr="00C94EA3">
        <w:t xml:space="preserve"> </w:t>
      </w:r>
      <w:r w:rsidR="00C94EA3" w:rsidRPr="00C94EA3">
        <w:rPr>
          <w:rFonts w:ascii="Calibri" w:hAnsi="Calibri" w:cs="Calibri"/>
          <w:color w:val="131413"/>
          <w:sz w:val="24"/>
          <w:szCs w:val="24"/>
        </w:rPr>
        <w:t>of IOF/ESCEO</w:t>
      </w:r>
      <w:r w:rsidR="00E26235" w:rsidRPr="0036487A">
        <w:rPr>
          <w:rFonts w:ascii="Calibri" w:hAnsi="Calibri" w:cs="Calibri"/>
          <w:color w:val="131413"/>
          <w:sz w:val="24"/>
          <w:szCs w:val="24"/>
        </w:rPr>
        <w:t xml:space="preserve">. </w:t>
      </w:r>
      <w:r w:rsidR="005C57A4">
        <w:rPr>
          <w:rFonts w:ascii="Calibri" w:hAnsi="Calibri" w:cs="Calibri"/>
          <w:color w:val="131413"/>
          <w:sz w:val="24"/>
          <w:szCs w:val="24"/>
        </w:rPr>
        <w:t xml:space="preserve"> </w:t>
      </w:r>
      <w:r w:rsidR="00704736">
        <w:rPr>
          <w:rFonts w:ascii="Calibri" w:hAnsi="Calibri" w:cs="Calibri"/>
          <w:color w:val="131413"/>
          <w:sz w:val="24"/>
          <w:szCs w:val="24"/>
        </w:rPr>
        <w:t xml:space="preserve">In contrast, the </w:t>
      </w:r>
      <w:r w:rsidR="00654AEE">
        <w:rPr>
          <w:rFonts w:ascii="Calibri" w:hAnsi="Calibri" w:cs="Calibri"/>
          <w:color w:val="131413"/>
          <w:sz w:val="24"/>
          <w:szCs w:val="24"/>
        </w:rPr>
        <w:t xml:space="preserve">higher UIT </w:t>
      </w:r>
      <w:r w:rsidR="004B0A98">
        <w:rPr>
          <w:rFonts w:ascii="Calibri" w:hAnsi="Calibri" w:cs="Calibri"/>
          <w:color w:val="131413"/>
          <w:sz w:val="24"/>
          <w:szCs w:val="24"/>
        </w:rPr>
        <w:t>of 1.6</w:t>
      </w:r>
      <w:r w:rsidR="00704736">
        <w:rPr>
          <w:rFonts w:ascii="Calibri" w:hAnsi="Calibri" w:cs="Calibri"/>
          <w:color w:val="131413"/>
          <w:sz w:val="24"/>
          <w:szCs w:val="24"/>
        </w:rPr>
        <w:t xml:space="preserve"> </w:t>
      </w:r>
      <w:r w:rsidR="006057BC" w:rsidRPr="005C21A6">
        <w:rPr>
          <w:rFonts w:ascii="Calibri" w:hAnsi="Calibri" w:cs="Calibri"/>
          <w:color w:val="131413"/>
          <w:sz w:val="24"/>
          <w:szCs w:val="24"/>
        </w:rPr>
        <w:t>times the LIT identified</w:t>
      </w:r>
      <w:r w:rsidR="00482D33" w:rsidRPr="005C21A6">
        <w:rPr>
          <w:rFonts w:ascii="Calibri" w:hAnsi="Calibri" w:cs="Calibri"/>
          <w:color w:val="131413"/>
          <w:sz w:val="24"/>
          <w:szCs w:val="24"/>
        </w:rPr>
        <w:t xml:space="preserve"> </w:t>
      </w:r>
      <w:r w:rsidR="00704736" w:rsidRPr="005C21A6">
        <w:rPr>
          <w:rFonts w:ascii="Calibri" w:hAnsi="Calibri" w:cs="Calibri"/>
          <w:color w:val="131413"/>
          <w:sz w:val="24"/>
          <w:szCs w:val="24"/>
        </w:rPr>
        <w:t xml:space="preserve">only </w:t>
      </w:r>
      <w:r w:rsidR="00FC3EBE" w:rsidRPr="005C21A6">
        <w:rPr>
          <w:rFonts w:ascii="Calibri" w:hAnsi="Calibri" w:cs="Calibri"/>
          <w:color w:val="131413"/>
          <w:sz w:val="24"/>
          <w:szCs w:val="24"/>
        </w:rPr>
        <w:t>25%</w:t>
      </w:r>
      <w:r w:rsidR="001B599A" w:rsidRPr="005C21A6">
        <w:rPr>
          <w:rFonts w:ascii="Calibri" w:hAnsi="Calibri" w:cs="Calibri"/>
          <w:color w:val="131413"/>
          <w:sz w:val="24"/>
          <w:szCs w:val="24"/>
        </w:rPr>
        <w:t xml:space="preserve"> of women</w:t>
      </w:r>
      <w:r w:rsidR="001B599A">
        <w:rPr>
          <w:rFonts w:ascii="Calibri" w:hAnsi="Calibri" w:cs="Calibri"/>
          <w:color w:val="131413"/>
          <w:sz w:val="24"/>
          <w:szCs w:val="24"/>
        </w:rPr>
        <w:t xml:space="preserve"> eligible for </w:t>
      </w:r>
      <w:r w:rsidR="00AE6DAA">
        <w:rPr>
          <w:rFonts w:ascii="Calibri" w:hAnsi="Calibri" w:cs="Calibri"/>
          <w:color w:val="131413"/>
          <w:sz w:val="24"/>
          <w:szCs w:val="24"/>
        </w:rPr>
        <w:t>treatment</w:t>
      </w:r>
      <w:r w:rsidR="001B599A">
        <w:rPr>
          <w:rFonts w:ascii="Calibri" w:hAnsi="Calibri" w:cs="Calibri"/>
          <w:color w:val="131413"/>
          <w:sz w:val="24"/>
          <w:szCs w:val="24"/>
        </w:rPr>
        <w:t xml:space="preserve"> to be at very high</w:t>
      </w:r>
      <w:r w:rsidR="00EE3A9D">
        <w:rPr>
          <w:rFonts w:ascii="Calibri" w:hAnsi="Calibri" w:cs="Calibri"/>
          <w:color w:val="131413"/>
          <w:sz w:val="24"/>
          <w:szCs w:val="24"/>
        </w:rPr>
        <w:t xml:space="preserve"> risk – a position a little more conservative than </w:t>
      </w:r>
      <w:r w:rsidR="00482D33">
        <w:rPr>
          <w:rFonts w:ascii="Calibri" w:hAnsi="Calibri" w:cs="Calibri"/>
          <w:color w:val="131413"/>
          <w:sz w:val="24"/>
          <w:szCs w:val="24"/>
        </w:rPr>
        <w:t xml:space="preserve">the </w:t>
      </w:r>
      <w:r w:rsidR="00701C09" w:rsidRPr="00701C09">
        <w:rPr>
          <w:rFonts w:ascii="Calibri" w:hAnsi="Calibri" w:cs="Calibri"/>
          <w:color w:val="131413"/>
          <w:sz w:val="24"/>
          <w:szCs w:val="24"/>
        </w:rPr>
        <w:t xml:space="preserve">36% of the </w:t>
      </w:r>
      <w:r w:rsidR="00482D33">
        <w:rPr>
          <w:rFonts w:ascii="Calibri" w:hAnsi="Calibri" w:cs="Calibri"/>
          <w:color w:val="131413"/>
          <w:sz w:val="24"/>
          <w:szCs w:val="24"/>
        </w:rPr>
        <w:t>IOF</w:t>
      </w:r>
      <w:r w:rsidR="00B42015">
        <w:rPr>
          <w:rFonts w:ascii="Calibri" w:hAnsi="Calibri" w:cs="Calibri"/>
          <w:color w:val="131413"/>
          <w:sz w:val="24"/>
          <w:szCs w:val="24"/>
        </w:rPr>
        <w:t>/</w:t>
      </w:r>
      <w:r w:rsidR="00482D33">
        <w:rPr>
          <w:rFonts w:ascii="Calibri" w:hAnsi="Calibri" w:cs="Calibri"/>
          <w:color w:val="131413"/>
          <w:sz w:val="24"/>
          <w:szCs w:val="24"/>
        </w:rPr>
        <w:t>ESCEO algorithm</w:t>
      </w:r>
      <w:r w:rsidR="00AE6DAA">
        <w:rPr>
          <w:rFonts w:ascii="Calibri" w:hAnsi="Calibri" w:cs="Calibri"/>
          <w:color w:val="131413"/>
          <w:sz w:val="24"/>
          <w:szCs w:val="24"/>
        </w:rPr>
        <w:t>.</w:t>
      </w:r>
      <w:r w:rsidR="00B42015">
        <w:rPr>
          <w:rFonts w:ascii="Calibri" w:hAnsi="Calibri" w:cs="Calibri"/>
          <w:color w:val="131413"/>
          <w:sz w:val="24"/>
          <w:szCs w:val="24"/>
        </w:rPr>
        <w:t xml:space="preserve">  </w:t>
      </w:r>
    </w:p>
    <w:p w14:paraId="62B05C1F" w14:textId="77777777" w:rsidR="00742205" w:rsidRDefault="00742205" w:rsidP="00F323B1">
      <w:pPr>
        <w:autoSpaceDE w:val="0"/>
        <w:autoSpaceDN w:val="0"/>
        <w:adjustRightInd w:val="0"/>
        <w:spacing w:after="0" w:line="276" w:lineRule="auto"/>
        <w:rPr>
          <w:rFonts w:ascii="Calibri" w:hAnsi="Calibri" w:cs="Calibri"/>
          <w:color w:val="131413"/>
          <w:sz w:val="24"/>
          <w:szCs w:val="24"/>
        </w:rPr>
      </w:pPr>
    </w:p>
    <w:p w14:paraId="23CEAB04" w14:textId="705ADD28" w:rsidR="00E46366" w:rsidRDefault="008E4E6B" w:rsidP="00F323B1">
      <w:pPr>
        <w:autoSpaceDE w:val="0"/>
        <w:autoSpaceDN w:val="0"/>
        <w:adjustRightInd w:val="0"/>
        <w:spacing w:after="0" w:line="276" w:lineRule="auto"/>
        <w:rPr>
          <w:rFonts w:ascii="Calibri" w:hAnsi="Calibri" w:cs="Calibri"/>
          <w:color w:val="131413"/>
          <w:sz w:val="24"/>
          <w:szCs w:val="24"/>
        </w:rPr>
      </w:pPr>
      <w:r>
        <w:rPr>
          <w:rFonts w:ascii="Calibri" w:hAnsi="Calibri" w:cs="Calibri"/>
          <w:color w:val="131413"/>
          <w:sz w:val="24"/>
          <w:szCs w:val="24"/>
        </w:rPr>
        <w:t xml:space="preserve">It is relevant perhaps that our </w:t>
      </w:r>
      <w:r w:rsidR="00810FBE">
        <w:rPr>
          <w:rFonts w:ascii="Calibri" w:hAnsi="Calibri" w:cs="Calibri"/>
          <w:color w:val="131413"/>
          <w:sz w:val="24"/>
          <w:szCs w:val="24"/>
        </w:rPr>
        <w:t xml:space="preserve">simulation population cannot take into account the recency of a prior fracture.  </w:t>
      </w:r>
      <w:r w:rsidR="00810FBE" w:rsidRPr="00810FBE">
        <w:rPr>
          <w:rFonts w:ascii="Calibri" w:hAnsi="Calibri" w:cs="Calibri"/>
          <w:color w:val="131413"/>
          <w:sz w:val="24"/>
          <w:szCs w:val="24"/>
        </w:rPr>
        <w:t xml:space="preserve">Were this to be taken into account, then the prevalence of very high risk </w:t>
      </w:r>
      <w:r w:rsidR="005963DC">
        <w:rPr>
          <w:rFonts w:ascii="Calibri" w:hAnsi="Calibri" w:cs="Calibri"/>
          <w:color w:val="131413"/>
          <w:sz w:val="24"/>
          <w:szCs w:val="24"/>
        </w:rPr>
        <w:t>would be expected to</w:t>
      </w:r>
      <w:r w:rsidR="00810FBE" w:rsidRPr="00810FBE">
        <w:rPr>
          <w:rFonts w:ascii="Calibri" w:hAnsi="Calibri" w:cs="Calibri"/>
          <w:color w:val="131413"/>
          <w:sz w:val="24"/>
          <w:szCs w:val="24"/>
        </w:rPr>
        <w:t xml:space="preserve"> increase</w:t>
      </w:r>
      <w:r w:rsidR="00A37CF3">
        <w:rPr>
          <w:rFonts w:ascii="Calibri" w:hAnsi="Calibri" w:cs="Calibri"/>
          <w:color w:val="131413"/>
          <w:sz w:val="24"/>
          <w:szCs w:val="24"/>
        </w:rPr>
        <w:t xml:space="preserve">.  </w:t>
      </w:r>
      <w:r w:rsidR="00E46366">
        <w:rPr>
          <w:rFonts w:ascii="Calibri" w:hAnsi="Calibri" w:cs="Calibri"/>
          <w:color w:val="131413"/>
          <w:sz w:val="24"/>
          <w:szCs w:val="24"/>
        </w:rPr>
        <w:t>There are no empirical data to calculate the quantum of effect</w:t>
      </w:r>
      <w:r w:rsidR="002E14A3">
        <w:rPr>
          <w:rFonts w:ascii="Calibri" w:hAnsi="Calibri" w:cs="Calibri"/>
          <w:color w:val="131413"/>
          <w:sz w:val="24"/>
          <w:szCs w:val="24"/>
        </w:rPr>
        <w:t xml:space="preserve">.  An approximation is </w:t>
      </w:r>
      <w:r w:rsidR="006B55DF">
        <w:rPr>
          <w:rFonts w:ascii="Calibri" w:hAnsi="Calibri" w:cs="Calibri"/>
          <w:color w:val="131413"/>
          <w:sz w:val="24"/>
          <w:szCs w:val="24"/>
        </w:rPr>
        <w:t>a</w:t>
      </w:r>
      <w:r w:rsidR="002E14A3">
        <w:rPr>
          <w:rFonts w:ascii="Calibri" w:hAnsi="Calibri" w:cs="Calibri"/>
          <w:color w:val="131413"/>
          <w:sz w:val="24"/>
          <w:szCs w:val="24"/>
        </w:rPr>
        <w:t>s follows</w:t>
      </w:r>
      <w:r w:rsidR="006B55DF">
        <w:rPr>
          <w:rFonts w:ascii="Calibri" w:hAnsi="Calibri" w:cs="Calibri"/>
          <w:color w:val="131413"/>
          <w:sz w:val="24"/>
          <w:szCs w:val="24"/>
        </w:rPr>
        <w:t>:</w:t>
      </w:r>
      <w:r w:rsidR="002E14A3">
        <w:rPr>
          <w:rFonts w:ascii="Calibri" w:hAnsi="Calibri" w:cs="Calibri"/>
          <w:color w:val="131413"/>
          <w:sz w:val="24"/>
          <w:szCs w:val="24"/>
        </w:rPr>
        <w:t xml:space="preserve">  Approximatel</w:t>
      </w:r>
      <w:r w:rsidR="00220226">
        <w:rPr>
          <w:rFonts w:ascii="Calibri" w:hAnsi="Calibri" w:cs="Calibri"/>
          <w:color w:val="131413"/>
          <w:sz w:val="24"/>
          <w:szCs w:val="24"/>
        </w:rPr>
        <w:t xml:space="preserve">y </w:t>
      </w:r>
      <w:r w:rsidR="00CA7B18">
        <w:rPr>
          <w:rFonts w:ascii="Calibri" w:hAnsi="Calibri" w:cs="Calibri"/>
          <w:color w:val="131413"/>
          <w:sz w:val="24"/>
          <w:szCs w:val="24"/>
        </w:rPr>
        <w:t>30</w:t>
      </w:r>
      <w:r w:rsidR="00220226">
        <w:rPr>
          <w:rFonts w:ascii="Calibri" w:hAnsi="Calibri" w:cs="Calibri"/>
          <w:color w:val="131413"/>
          <w:sz w:val="24"/>
          <w:szCs w:val="24"/>
        </w:rPr>
        <w:t>% of women age 5</w:t>
      </w:r>
      <w:r w:rsidR="006B55DF">
        <w:rPr>
          <w:rFonts w:ascii="Calibri" w:hAnsi="Calibri" w:cs="Calibri"/>
          <w:color w:val="131413"/>
          <w:sz w:val="24"/>
          <w:szCs w:val="24"/>
        </w:rPr>
        <w:t>0</w:t>
      </w:r>
      <w:r w:rsidR="00220226">
        <w:rPr>
          <w:rFonts w:ascii="Calibri" w:hAnsi="Calibri" w:cs="Calibri"/>
          <w:color w:val="131413"/>
          <w:sz w:val="24"/>
          <w:szCs w:val="24"/>
        </w:rPr>
        <w:t xml:space="preserve"> years or more in the UK </w:t>
      </w:r>
      <w:r w:rsidR="002D6203">
        <w:rPr>
          <w:rFonts w:ascii="Calibri" w:hAnsi="Calibri" w:cs="Calibri"/>
          <w:color w:val="131413"/>
          <w:sz w:val="24"/>
          <w:szCs w:val="24"/>
        </w:rPr>
        <w:t>h</w:t>
      </w:r>
      <w:r w:rsidR="006B55DF">
        <w:rPr>
          <w:rFonts w:ascii="Calibri" w:hAnsi="Calibri" w:cs="Calibri"/>
          <w:color w:val="131413"/>
          <w:sz w:val="24"/>
          <w:szCs w:val="24"/>
        </w:rPr>
        <w:t>ave a prior history of a fragility fracture (</w:t>
      </w:r>
      <w:r w:rsidR="00826AF7">
        <w:rPr>
          <w:rFonts w:ascii="Calibri" w:hAnsi="Calibri" w:cs="Calibri"/>
          <w:color w:val="131413"/>
          <w:sz w:val="24"/>
          <w:szCs w:val="24"/>
        </w:rPr>
        <w:t>see Table 1); 50%</w:t>
      </w:r>
      <w:r w:rsidR="001331FD">
        <w:rPr>
          <w:rFonts w:ascii="Calibri" w:hAnsi="Calibri" w:cs="Calibri"/>
          <w:color w:val="131413"/>
          <w:sz w:val="24"/>
          <w:szCs w:val="24"/>
        </w:rPr>
        <w:t xml:space="preserve"> of second fractures arise within two years of</w:t>
      </w:r>
      <w:r w:rsidR="00A03F76">
        <w:rPr>
          <w:rFonts w:ascii="Calibri" w:hAnsi="Calibri" w:cs="Calibri"/>
          <w:color w:val="131413"/>
          <w:sz w:val="24"/>
          <w:szCs w:val="24"/>
        </w:rPr>
        <w:t xml:space="preserve"> the first </w:t>
      </w:r>
      <w:r w:rsidR="00A03F76" w:rsidRPr="00484C34">
        <w:rPr>
          <w:rFonts w:ascii="Calibri" w:hAnsi="Calibri" w:cs="Calibri"/>
          <w:color w:val="131413"/>
          <w:sz w:val="24"/>
          <w:szCs w:val="24"/>
        </w:rPr>
        <w:t>fracture [</w:t>
      </w:r>
      <w:r w:rsidR="00496AA3" w:rsidRPr="00484C34">
        <w:rPr>
          <w:rFonts w:ascii="Calibri" w:hAnsi="Calibri" w:cs="Calibri"/>
          <w:color w:val="131413"/>
          <w:sz w:val="24"/>
          <w:szCs w:val="24"/>
        </w:rPr>
        <w:t>2</w:t>
      </w:r>
      <w:r w:rsidR="00B92FE8">
        <w:rPr>
          <w:rFonts w:ascii="Calibri" w:hAnsi="Calibri" w:cs="Calibri"/>
          <w:color w:val="131413"/>
          <w:sz w:val="24"/>
          <w:szCs w:val="24"/>
        </w:rPr>
        <w:t>5</w:t>
      </w:r>
      <w:r w:rsidR="00496AA3" w:rsidRPr="00484C34">
        <w:rPr>
          <w:rFonts w:ascii="Calibri" w:hAnsi="Calibri" w:cs="Calibri"/>
          <w:color w:val="131413"/>
          <w:sz w:val="24"/>
          <w:szCs w:val="24"/>
        </w:rPr>
        <w:t>]</w:t>
      </w:r>
      <w:r w:rsidR="00496AA3">
        <w:rPr>
          <w:rFonts w:ascii="Calibri" w:hAnsi="Calibri" w:cs="Calibri"/>
          <w:color w:val="131413"/>
          <w:sz w:val="24"/>
          <w:szCs w:val="24"/>
        </w:rPr>
        <w:t xml:space="preserve"> </w:t>
      </w:r>
      <w:r w:rsidR="008B30E9">
        <w:rPr>
          <w:rFonts w:ascii="Calibri" w:hAnsi="Calibri" w:cs="Calibri"/>
          <w:color w:val="131413"/>
          <w:sz w:val="24"/>
          <w:szCs w:val="24"/>
        </w:rPr>
        <w:t xml:space="preserve">so that a recent fracture (within </w:t>
      </w:r>
      <w:r w:rsidR="00234530">
        <w:rPr>
          <w:rFonts w:ascii="Calibri" w:hAnsi="Calibri" w:cs="Calibri"/>
          <w:color w:val="131413"/>
          <w:sz w:val="24"/>
          <w:szCs w:val="24"/>
        </w:rPr>
        <w:t xml:space="preserve">2 years) affects approximately </w:t>
      </w:r>
      <w:r w:rsidR="00B8679E">
        <w:rPr>
          <w:rFonts w:ascii="Calibri" w:hAnsi="Calibri" w:cs="Calibri"/>
          <w:color w:val="131413"/>
          <w:sz w:val="24"/>
          <w:szCs w:val="24"/>
        </w:rPr>
        <w:t>1</w:t>
      </w:r>
      <w:r w:rsidR="00407840">
        <w:rPr>
          <w:rFonts w:ascii="Calibri" w:hAnsi="Calibri" w:cs="Calibri"/>
          <w:color w:val="131413"/>
          <w:sz w:val="24"/>
          <w:szCs w:val="24"/>
        </w:rPr>
        <w:t>5</w:t>
      </w:r>
      <w:r w:rsidR="00B8679E">
        <w:rPr>
          <w:rFonts w:ascii="Calibri" w:hAnsi="Calibri" w:cs="Calibri"/>
          <w:color w:val="131413"/>
          <w:sz w:val="24"/>
          <w:szCs w:val="24"/>
        </w:rPr>
        <w:t>% of the population.  Of women with a recent fracture</w:t>
      </w:r>
      <w:r w:rsidR="004E14DB">
        <w:rPr>
          <w:rFonts w:ascii="Calibri" w:hAnsi="Calibri" w:cs="Calibri"/>
          <w:color w:val="131413"/>
          <w:sz w:val="24"/>
          <w:szCs w:val="24"/>
        </w:rPr>
        <w:t xml:space="preserve">, </w:t>
      </w:r>
      <w:r w:rsidR="00DF40B6">
        <w:rPr>
          <w:rFonts w:ascii="Calibri" w:hAnsi="Calibri" w:cs="Calibri"/>
          <w:color w:val="131413"/>
          <w:sz w:val="24"/>
          <w:szCs w:val="24"/>
        </w:rPr>
        <w:t>53</w:t>
      </w:r>
      <w:r w:rsidR="005329EA">
        <w:rPr>
          <w:rFonts w:ascii="Calibri" w:hAnsi="Calibri" w:cs="Calibri"/>
          <w:color w:val="131413"/>
          <w:sz w:val="24"/>
          <w:szCs w:val="24"/>
        </w:rPr>
        <w:t xml:space="preserve">% are a </w:t>
      </w:r>
      <w:r w:rsidR="00DE375B">
        <w:rPr>
          <w:rFonts w:ascii="Calibri" w:hAnsi="Calibri" w:cs="Calibri"/>
          <w:color w:val="131413"/>
          <w:sz w:val="24"/>
          <w:szCs w:val="24"/>
        </w:rPr>
        <w:t>m</w:t>
      </w:r>
      <w:r w:rsidR="005329EA">
        <w:rPr>
          <w:rFonts w:ascii="Calibri" w:hAnsi="Calibri" w:cs="Calibri"/>
          <w:color w:val="131413"/>
          <w:sz w:val="24"/>
          <w:szCs w:val="24"/>
        </w:rPr>
        <w:t>ajor osteoporotic fracture</w:t>
      </w:r>
      <w:r w:rsidR="00C71F6B">
        <w:rPr>
          <w:rFonts w:ascii="Calibri" w:hAnsi="Calibri" w:cs="Calibri"/>
          <w:color w:val="131413"/>
          <w:sz w:val="24"/>
          <w:szCs w:val="24"/>
        </w:rPr>
        <w:t xml:space="preserve"> </w:t>
      </w:r>
      <w:r w:rsidR="00DE375B">
        <w:rPr>
          <w:rFonts w:ascii="Calibri" w:hAnsi="Calibri" w:cs="Calibri"/>
          <w:color w:val="131413"/>
          <w:sz w:val="24"/>
          <w:szCs w:val="24"/>
        </w:rPr>
        <w:t>a</w:t>
      </w:r>
      <w:r w:rsidR="00C71F6B">
        <w:rPr>
          <w:rFonts w:ascii="Calibri" w:hAnsi="Calibri" w:cs="Calibri"/>
          <w:color w:val="131413"/>
          <w:sz w:val="24"/>
          <w:szCs w:val="24"/>
        </w:rPr>
        <w:t xml:space="preserve">ffecting </w:t>
      </w:r>
      <w:r w:rsidR="002443E4">
        <w:rPr>
          <w:rFonts w:ascii="Calibri" w:hAnsi="Calibri" w:cs="Calibri"/>
          <w:color w:val="131413"/>
          <w:sz w:val="24"/>
          <w:szCs w:val="24"/>
        </w:rPr>
        <w:t>8.0</w:t>
      </w:r>
      <w:r w:rsidR="00C71F6B">
        <w:rPr>
          <w:rFonts w:ascii="Calibri" w:hAnsi="Calibri" w:cs="Calibri"/>
          <w:color w:val="131413"/>
          <w:sz w:val="24"/>
          <w:szCs w:val="24"/>
        </w:rPr>
        <w:t>% of the</w:t>
      </w:r>
      <w:r w:rsidR="00DE375B">
        <w:rPr>
          <w:rFonts w:ascii="Calibri" w:hAnsi="Calibri" w:cs="Calibri"/>
          <w:color w:val="131413"/>
          <w:sz w:val="24"/>
          <w:szCs w:val="24"/>
        </w:rPr>
        <w:t xml:space="preserve"> </w:t>
      </w:r>
      <w:r w:rsidR="0067309D">
        <w:rPr>
          <w:rFonts w:ascii="Calibri" w:hAnsi="Calibri" w:cs="Calibri"/>
          <w:color w:val="131413"/>
          <w:sz w:val="24"/>
          <w:szCs w:val="24"/>
        </w:rPr>
        <w:t>population (</w:t>
      </w:r>
      <w:r w:rsidR="00A5491D">
        <w:rPr>
          <w:rFonts w:ascii="Calibri" w:hAnsi="Calibri" w:cs="Calibri"/>
          <w:color w:val="131413"/>
          <w:sz w:val="24"/>
          <w:szCs w:val="24"/>
        </w:rPr>
        <w:t>(</w:t>
      </w:r>
      <w:r w:rsidR="00F016C2">
        <w:rPr>
          <w:rFonts w:ascii="Calibri" w:hAnsi="Calibri" w:cs="Calibri"/>
          <w:color w:val="131413"/>
          <w:sz w:val="24"/>
          <w:szCs w:val="24"/>
        </w:rPr>
        <w:t>5</w:t>
      </w:r>
      <w:r w:rsidR="0064727A">
        <w:rPr>
          <w:rFonts w:ascii="Calibri" w:hAnsi="Calibri" w:cs="Calibri"/>
          <w:color w:val="131413"/>
          <w:sz w:val="24"/>
          <w:szCs w:val="24"/>
        </w:rPr>
        <w:t>3</w:t>
      </w:r>
      <w:r w:rsidR="00F016C2">
        <w:rPr>
          <w:rFonts w:ascii="Calibri" w:hAnsi="Calibri" w:cs="Calibri"/>
          <w:color w:val="131413"/>
          <w:sz w:val="24"/>
          <w:szCs w:val="24"/>
        </w:rPr>
        <w:t xml:space="preserve"> x </w:t>
      </w:r>
      <w:r w:rsidR="009C4BFD">
        <w:rPr>
          <w:rFonts w:ascii="Calibri" w:hAnsi="Calibri" w:cs="Calibri"/>
          <w:color w:val="131413"/>
          <w:sz w:val="24"/>
          <w:szCs w:val="24"/>
        </w:rPr>
        <w:t>15</w:t>
      </w:r>
      <w:r w:rsidR="00A5491D">
        <w:rPr>
          <w:rFonts w:ascii="Calibri" w:hAnsi="Calibri" w:cs="Calibri"/>
          <w:color w:val="131413"/>
          <w:sz w:val="24"/>
          <w:szCs w:val="24"/>
        </w:rPr>
        <w:t>)</w:t>
      </w:r>
      <w:r w:rsidR="00F016C2">
        <w:rPr>
          <w:rFonts w:ascii="Calibri" w:hAnsi="Calibri" w:cs="Calibri"/>
          <w:color w:val="131413"/>
          <w:sz w:val="24"/>
          <w:szCs w:val="24"/>
        </w:rPr>
        <w:t>/</w:t>
      </w:r>
      <w:r w:rsidR="007803CB">
        <w:rPr>
          <w:rFonts w:ascii="Calibri" w:hAnsi="Calibri" w:cs="Calibri"/>
          <w:color w:val="131413"/>
          <w:sz w:val="24"/>
          <w:szCs w:val="24"/>
        </w:rPr>
        <w:t>100</w:t>
      </w:r>
      <w:r w:rsidR="00A5491D">
        <w:rPr>
          <w:rFonts w:ascii="Calibri" w:hAnsi="Calibri" w:cs="Calibri"/>
          <w:color w:val="131413"/>
          <w:sz w:val="24"/>
          <w:szCs w:val="24"/>
        </w:rPr>
        <w:t>)</w:t>
      </w:r>
      <w:r w:rsidR="007803CB">
        <w:rPr>
          <w:rFonts w:ascii="Calibri" w:hAnsi="Calibri" w:cs="Calibri"/>
          <w:color w:val="131413"/>
          <w:sz w:val="24"/>
          <w:szCs w:val="24"/>
        </w:rPr>
        <w:t>.</w:t>
      </w:r>
      <w:r w:rsidR="00541E4D">
        <w:rPr>
          <w:rFonts w:ascii="Calibri" w:hAnsi="Calibri" w:cs="Calibri"/>
          <w:color w:val="131413"/>
          <w:sz w:val="24"/>
          <w:szCs w:val="24"/>
        </w:rPr>
        <w:t xml:space="preserve">  </w:t>
      </w:r>
      <w:r w:rsidR="00FC4EDC">
        <w:rPr>
          <w:rFonts w:ascii="Calibri" w:hAnsi="Calibri" w:cs="Calibri"/>
          <w:color w:val="131413"/>
          <w:sz w:val="24"/>
          <w:szCs w:val="24"/>
        </w:rPr>
        <w:t>In women with a recent MOF, v</w:t>
      </w:r>
      <w:r w:rsidR="00457018">
        <w:rPr>
          <w:rFonts w:ascii="Calibri" w:hAnsi="Calibri" w:cs="Calibri"/>
          <w:color w:val="131413"/>
          <w:sz w:val="24"/>
          <w:szCs w:val="24"/>
        </w:rPr>
        <w:t>e</w:t>
      </w:r>
      <w:r w:rsidR="00FC4EDC">
        <w:rPr>
          <w:rFonts w:ascii="Calibri" w:hAnsi="Calibri" w:cs="Calibri"/>
          <w:color w:val="131413"/>
          <w:sz w:val="24"/>
          <w:szCs w:val="24"/>
        </w:rPr>
        <w:t xml:space="preserve">ry high </w:t>
      </w:r>
      <w:r w:rsidR="00457018">
        <w:rPr>
          <w:rFonts w:ascii="Calibri" w:hAnsi="Calibri" w:cs="Calibri"/>
          <w:color w:val="131413"/>
          <w:sz w:val="24"/>
          <w:szCs w:val="24"/>
        </w:rPr>
        <w:t>r</w:t>
      </w:r>
      <w:r w:rsidR="005B6657">
        <w:rPr>
          <w:rFonts w:ascii="Calibri" w:hAnsi="Calibri" w:cs="Calibri"/>
          <w:color w:val="131413"/>
          <w:sz w:val="24"/>
          <w:szCs w:val="24"/>
        </w:rPr>
        <w:t>isk was</w:t>
      </w:r>
      <w:r w:rsidR="00457018">
        <w:rPr>
          <w:rFonts w:ascii="Calibri" w:hAnsi="Calibri" w:cs="Calibri"/>
          <w:color w:val="131413"/>
          <w:sz w:val="24"/>
          <w:szCs w:val="24"/>
        </w:rPr>
        <w:t xml:space="preserve"> </w:t>
      </w:r>
      <w:r w:rsidR="005B6657">
        <w:rPr>
          <w:rFonts w:ascii="Calibri" w:hAnsi="Calibri" w:cs="Calibri"/>
          <w:color w:val="131413"/>
          <w:sz w:val="24"/>
          <w:szCs w:val="24"/>
        </w:rPr>
        <w:t xml:space="preserve">found in </w:t>
      </w:r>
      <w:r w:rsidR="00E903C1">
        <w:rPr>
          <w:rFonts w:ascii="Calibri" w:hAnsi="Calibri" w:cs="Calibri"/>
          <w:color w:val="131413"/>
          <w:sz w:val="24"/>
          <w:szCs w:val="24"/>
        </w:rPr>
        <w:t>nine</w:t>
      </w:r>
      <w:r w:rsidR="005B6657">
        <w:rPr>
          <w:rFonts w:ascii="Calibri" w:hAnsi="Calibri" w:cs="Calibri"/>
          <w:color w:val="131413"/>
          <w:sz w:val="24"/>
          <w:szCs w:val="24"/>
        </w:rPr>
        <w:t xml:space="preserve"> of the </w:t>
      </w:r>
      <w:r w:rsidR="00E737D6">
        <w:rPr>
          <w:rFonts w:ascii="Calibri" w:hAnsi="Calibri" w:cs="Calibri"/>
          <w:color w:val="131413"/>
          <w:sz w:val="24"/>
          <w:szCs w:val="24"/>
        </w:rPr>
        <w:t>2</w:t>
      </w:r>
      <w:r w:rsidR="00457018">
        <w:rPr>
          <w:rFonts w:ascii="Calibri" w:hAnsi="Calibri" w:cs="Calibri"/>
          <w:color w:val="131413"/>
          <w:sz w:val="24"/>
          <w:szCs w:val="24"/>
        </w:rPr>
        <w:t>5</w:t>
      </w:r>
      <w:r w:rsidR="00E737D6">
        <w:rPr>
          <w:rFonts w:ascii="Calibri" w:hAnsi="Calibri" w:cs="Calibri"/>
          <w:color w:val="131413"/>
          <w:sz w:val="24"/>
          <w:szCs w:val="24"/>
        </w:rPr>
        <w:t xml:space="preserve"> scenarios</w:t>
      </w:r>
      <w:r w:rsidR="003471A3">
        <w:rPr>
          <w:rFonts w:ascii="Calibri" w:hAnsi="Calibri" w:cs="Calibri"/>
          <w:color w:val="131413"/>
          <w:sz w:val="24"/>
          <w:szCs w:val="24"/>
        </w:rPr>
        <w:t xml:space="preserve"> (3</w:t>
      </w:r>
      <w:r w:rsidR="00A425B7">
        <w:rPr>
          <w:rFonts w:ascii="Calibri" w:hAnsi="Calibri" w:cs="Calibri"/>
          <w:color w:val="131413"/>
          <w:sz w:val="24"/>
          <w:szCs w:val="24"/>
        </w:rPr>
        <w:t>6</w:t>
      </w:r>
      <w:r w:rsidR="006E0E71">
        <w:rPr>
          <w:rFonts w:ascii="Calibri" w:hAnsi="Calibri" w:cs="Calibri"/>
          <w:color w:val="131413"/>
          <w:sz w:val="24"/>
          <w:szCs w:val="24"/>
        </w:rPr>
        <w:t xml:space="preserve">%; </w:t>
      </w:r>
      <w:r w:rsidR="00E737D6">
        <w:rPr>
          <w:rFonts w:ascii="Calibri" w:hAnsi="Calibri" w:cs="Calibri"/>
          <w:color w:val="131413"/>
          <w:sz w:val="24"/>
          <w:szCs w:val="24"/>
        </w:rPr>
        <w:t>Appendix, scenario C)</w:t>
      </w:r>
      <w:r w:rsidR="000D29E6">
        <w:rPr>
          <w:rFonts w:ascii="Calibri" w:hAnsi="Calibri" w:cs="Calibri"/>
          <w:color w:val="131413"/>
          <w:sz w:val="24"/>
          <w:szCs w:val="24"/>
        </w:rPr>
        <w:t>.  Thus</w:t>
      </w:r>
      <w:r w:rsidR="008A7399">
        <w:rPr>
          <w:rFonts w:ascii="Calibri" w:hAnsi="Calibri" w:cs="Calibri"/>
          <w:color w:val="131413"/>
          <w:sz w:val="24"/>
          <w:szCs w:val="24"/>
        </w:rPr>
        <w:t>,</w:t>
      </w:r>
      <w:r w:rsidR="000D29E6">
        <w:rPr>
          <w:rFonts w:ascii="Calibri" w:hAnsi="Calibri" w:cs="Calibri"/>
          <w:color w:val="131413"/>
          <w:sz w:val="24"/>
          <w:szCs w:val="24"/>
        </w:rPr>
        <w:t xml:space="preserve"> a recent MOF might </w:t>
      </w:r>
      <w:r w:rsidR="0056425B">
        <w:rPr>
          <w:rFonts w:ascii="Calibri" w:hAnsi="Calibri" w:cs="Calibri"/>
          <w:color w:val="131413"/>
          <w:sz w:val="24"/>
          <w:szCs w:val="24"/>
        </w:rPr>
        <w:t>categorise an additiona</w:t>
      </w:r>
      <w:r w:rsidR="005E7738">
        <w:rPr>
          <w:rFonts w:ascii="Calibri" w:hAnsi="Calibri" w:cs="Calibri"/>
          <w:color w:val="131413"/>
          <w:sz w:val="24"/>
          <w:szCs w:val="24"/>
        </w:rPr>
        <w:t>l</w:t>
      </w:r>
      <w:r w:rsidR="0056425B">
        <w:rPr>
          <w:rFonts w:ascii="Calibri" w:hAnsi="Calibri" w:cs="Calibri"/>
          <w:color w:val="131413"/>
          <w:sz w:val="24"/>
          <w:szCs w:val="24"/>
        </w:rPr>
        <w:t xml:space="preserve"> 2.</w:t>
      </w:r>
      <w:r w:rsidR="002377A2">
        <w:rPr>
          <w:rFonts w:ascii="Calibri" w:hAnsi="Calibri" w:cs="Calibri"/>
          <w:color w:val="131413"/>
          <w:sz w:val="24"/>
          <w:szCs w:val="24"/>
        </w:rPr>
        <w:t>9</w:t>
      </w:r>
      <w:r w:rsidR="0056425B">
        <w:rPr>
          <w:rFonts w:ascii="Calibri" w:hAnsi="Calibri" w:cs="Calibri"/>
          <w:color w:val="131413"/>
          <w:sz w:val="24"/>
          <w:szCs w:val="24"/>
        </w:rPr>
        <w:t xml:space="preserve">% </w:t>
      </w:r>
      <w:r w:rsidR="005E7738" w:rsidRPr="005E7738">
        <w:rPr>
          <w:rFonts w:ascii="Calibri" w:hAnsi="Calibri" w:cs="Calibri"/>
          <w:color w:val="131413"/>
          <w:sz w:val="24"/>
          <w:szCs w:val="24"/>
        </w:rPr>
        <w:t>((</w:t>
      </w:r>
      <w:r w:rsidR="00EA75EA">
        <w:rPr>
          <w:rFonts w:ascii="Calibri" w:hAnsi="Calibri" w:cs="Calibri"/>
          <w:color w:val="131413"/>
          <w:sz w:val="24"/>
          <w:szCs w:val="24"/>
        </w:rPr>
        <w:t>8.0</w:t>
      </w:r>
      <w:r w:rsidR="005E7738" w:rsidRPr="005E7738">
        <w:rPr>
          <w:rFonts w:ascii="Calibri" w:hAnsi="Calibri" w:cs="Calibri"/>
          <w:color w:val="131413"/>
          <w:sz w:val="24"/>
          <w:szCs w:val="24"/>
        </w:rPr>
        <w:t xml:space="preserve"> x </w:t>
      </w:r>
      <w:r w:rsidR="00900A32">
        <w:rPr>
          <w:rFonts w:ascii="Calibri" w:hAnsi="Calibri" w:cs="Calibri"/>
          <w:color w:val="131413"/>
          <w:sz w:val="24"/>
          <w:szCs w:val="24"/>
        </w:rPr>
        <w:t>3</w:t>
      </w:r>
      <w:r w:rsidR="00EA75EA">
        <w:rPr>
          <w:rFonts w:ascii="Calibri" w:hAnsi="Calibri" w:cs="Calibri"/>
          <w:color w:val="131413"/>
          <w:sz w:val="24"/>
          <w:szCs w:val="24"/>
        </w:rPr>
        <w:t>6</w:t>
      </w:r>
      <w:r w:rsidR="005E7738" w:rsidRPr="005E7738">
        <w:rPr>
          <w:rFonts w:ascii="Calibri" w:hAnsi="Calibri" w:cs="Calibri"/>
          <w:color w:val="131413"/>
          <w:sz w:val="24"/>
          <w:szCs w:val="24"/>
        </w:rPr>
        <w:t>)/100)</w:t>
      </w:r>
      <w:r w:rsidR="00900A32">
        <w:rPr>
          <w:rFonts w:ascii="Calibri" w:hAnsi="Calibri" w:cs="Calibri"/>
          <w:color w:val="131413"/>
          <w:sz w:val="24"/>
          <w:szCs w:val="24"/>
        </w:rPr>
        <w:t xml:space="preserve"> </w:t>
      </w:r>
      <w:r w:rsidR="0056425B">
        <w:rPr>
          <w:rFonts w:ascii="Calibri" w:hAnsi="Calibri" w:cs="Calibri"/>
          <w:color w:val="131413"/>
          <w:sz w:val="24"/>
          <w:szCs w:val="24"/>
        </w:rPr>
        <w:t>of wom</w:t>
      </w:r>
      <w:r w:rsidR="00900A32">
        <w:rPr>
          <w:rFonts w:ascii="Calibri" w:hAnsi="Calibri" w:cs="Calibri"/>
          <w:color w:val="131413"/>
          <w:sz w:val="24"/>
          <w:szCs w:val="24"/>
        </w:rPr>
        <w:t>e</w:t>
      </w:r>
      <w:r w:rsidR="00B46D90">
        <w:rPr>
          <w:rFonts w:ascii="Calibri" w:hAnsi="Calibri" w:cs="Calibri"/>
          <w:color w:val="131413"/>
          <w:sz w:val="24"/>
          <w:szCs w:val="24"/>
        </w:rPr>
        <w:t>n age 50 years or more</w:t>
      </w:r>
      <w:r w:rsidR="00002578">
        <w:rPr>
          <w:rFonts w:ascii="Calibri" w:hAnsi="Calibri" w:cs="Calibri"/>
          <w:color w:val="131413"/>
          <w:sz w:val="24"/>
          <w:szCs w:val="24"/>
        </w:rPr>
        <w:t xml:space="preserve"> at very high ris</w:t>
      </w:r>
      <w:r w:rsidR="00D00012">
        <w:rPr>
          <w:rFonts w:ascii="Calibri" w:hAnsi="Calibri" w:cs="Calibri"/>
          <w:color w:val="131413"/>
          <w:sz w:val="24"/>
          <w:szCs w:val="24"/>
        </w:rPr>
        <w:t>k</w:t>
      </w:r>
      <w:r w:rsidR="00900A32">
        <w:rPr>
          <w:rFonts w:ascii="Calibri" w:hAnsi="Calibri" w:cs="Calibri"/>
          <w:color w:val="131413"/>
          <w:sz w:val="24"/>
          <w:szCs w:val="24"/>
        </w:rPr>
        <w:t>.</w:t>
      </w:r>
      <w:r w:rsidR="00C71F6B">
        <w:rPr>
          <w:rFonts w:ascii="Calibri" w:hAnsi="Calibri" w:cs="Calibri"/>
          <w:color w:val="131413"/>
          <w:sz w:val="24"/>
          <w:szCs w:val="24"/>
        </w:rPr>
        <w:t xml:space="preserve"> </w:t>
      </w:r>
      <w:r w:rsidR="001331FD">
        <w:rPr>
          <w:rFonts w:ascii="Calibri" w:hAnsi="Calibri" w:cs="Calibri"/>
          <w:color w:val="131413"/>
          <w:sz w:val="24"/>
          <w:szCs w:val="24"/>
        </w:rPr>
        <w:t xml:space="preserve"> </w:t>
      </w:r>
      <w:r w:rsidR="00220226">
        <w:rPr>
          <w:rFonts w:ascii="Calibri" w:hAnsi="Calibri" w:cs="Calibri"/>
          <w:color w:val="131413"/>
          <w:sz w:val="24"/>
          <w:szCs w:val="24"/>
        </w:rPr>
        <w:t xml:space="preserve"> </w:t>
      </w:r>
    </w:p>
    <w:p w14:paraId="30460A52" w14:textId="77777777" w:rsidR="00E46366" w:rsidRDefault="00E46366" w:rsidP="00F323B1">
      <w:pPr>
        <w:autoSpaceDE w:val="0"/>
        <w:autoSpaceDN w:val="0"/>
        <w:adjustRightInd w:val="0"/>
        <w:spacing w:after="0" w:line="276" w:lineRule="auto"/>
        <w:rPr>
          <w:rFonts w:ascii="Calibri" w:hAnsi="Calibri" w:cs="Calibri"/>
          <w:color w:val="131413"/>
          <w:sz w:val="24"/>
          <w:szCs w:val="24"/>
        </w:rPr>
      </w:pPr>
    </w:p>
    <w:p w14:paraId="710A3460" w14:textId="221C0CE7" w:rsidR="009F6DEF" w:rsidRDefault="00952ADE" w:rsidP="00F323B1">
      <w:pPr>
        <w:autoSpaceDE w:val="0"/>
        <w:autoSpaceDN w:val="0"/>
        <w:adjustRightInd w:val="0"/>
        <w:spacing w:after="0" w:line="276" w:lineRule="auto"/>
        <w:rPr>
          <w:rFonts w:ascii="Calibri" w:hAnsi="Calibri" w:cs="Calibri"/>
          <w:color w:val="131413"/>
          <w:sz w:val="24"/>
          <w:szCs w:val="24"/>
        </w:rPr>
      </w:pPr>
      <w:r>
        <w:rPr>
          <w:rFonts w:ascii="Calibri" w:hAnsi="Calibri" w:cs="Calibri"/>
          <w:color w:val="131413"/>
          <w:sz w:val="24"/>
          <w:szCs w:val="24"/>
        </w:rPr>
        <w:t>Regarding</w:t>
      </w:r>
      <w:r w:rsidR="00A51C63">
        <w:rPr>
          <w:rFonts w:ascii="Calibri" w:hAnsi="Calibri" w:cs="Calibri"/>
          <w:color w:val="131413"/>
          <w:sz w:val="24"/>
          <w:szCs w:val="24"/>
        </w:rPr>
        <w:t xml:space="preserve"> </w:t>
      </w:r>
      <w:r w:rsidR="001D0CFD">
        <w:rPr>
          <w:rFonts w:ascii="Calibri" w:hAnsi="Calibri" w:cs="Calibri"/>
          <w:color w:val="131413"/>
          <w:sz w:val="24"/>
          <w:szCs w:val="24"/>
        </w:rPr>
        <w:t>appropriateness</w:t>
      </w:r>
      <w:r w:rsidR="007C55DC">
        <w:rPr>
          <w:rFonts w:ascii="Calibri" w:hAnsi="Calibri" w:cs="Calibri"/>
          <w:color w:val="131413"/>
          <w:sz w:val="24"/>
          <w:szCs w:val="24"/>
        </w:rPr>
        <w:t>,</w:t>
      </w:r>
      <w:r w:rsidR="001D0CFD">
        <w:rPr>
          <w:rFonts w:ascii="Calibri" w:hAnsi="Calibri" w:cs="Calibri"/>
          <w:color w:val="131413"/>
          <w:sz w:val="24"/>
          <w:szCs w:val="24"/>
        </w:rPr>
        <w:t xml:space="preserve"> a</w:t>
      </w:r>
      <w:r w:rsidR="008E5CF6">
        <w:rPr>
          <w:rFonts w:ascii="Calibri" w:hAnsi="Calibri" w:cs="Calibri"/>
          <w:color w:val="131413"/>
          <w:sz w:val="24"/>
          <w:szCs w:val="24"/>
        </w:rPr>
        <w:t>ny</w:t>
      </w:r>
      <w:r w:rsidR="001D0CFD">
        <w:rPr>
          <w:rFonts w:ascii="Calibri" w:hAnsi="Calibri" w:cs="Calibri"/>
          <w:color w:val="131413"/>
          <w:sz w:val="24"/>
          <w:szCs w:val="24"/>
        </w:rPr>
        <w:t xml:space="preserve"> </w:t>
      </w:r>
      <w:r w:rsidR="008E5CF6">
        <w:rPr>
          <w:rFonts w:ascii="Calibri" w:hAnsi="Calibri" w:cs="Calibri"/>
          <w:color w:val="131413"/>
          <w:sz w:val="24"/>
          <w:szCs w:val="24"/>
        </w:rPr>
        <w:t xml:space="preserve">new </w:t>
      </w:r>
      <w:r w:rsidR="001D0CFD">
        <w:rPr>
          <w:rFonts w:ascii="Calibri" w:hAnsi="Calibri" w:cs="Calibri"/>
          <w:color w:val="131413"/>
          <w:sz w:val="24"/>
          <w:szCs w:val="24"/>
        </w:rPr>
        <w:t>threshold is ideally consistent with</w:t>
      </w:r>
      <w:r w:rsidR="008D426D">
        <w:rPr>
          <w:rFonts w:ascii="Calibri" w:hAnsi="Calibri" w:cs="Calibri"/>
          <w:color w:val="131413"/>
          <w:sz w:val="24"/>
          <w:szCs w:val="24"/>
        </w:rPr>
        <w:t xml:space="preserve"> reimbursement </w:t>
      </w:r>
      <w:r w:rsidR="00025751">
        <w:rPr>
          <w:rFonts w:ascii="Calibri" w:hAnsi="Calibri" w:cs="Calibri"/>
          <w:color w:val="131413"/>
          <w:sz w:val="24"/>
          <w:szCs w:val="24"/>
        </w:rPr>
        <w:t>policies</w:t>
      </w:r>
      <w:r w:rsidR="008D426D">
        <w:rPr>
          <w:rFonts w:ascii="Calibri" w:hAnsi="Calibri" w:cs="Calibri"/>
          <w:color w:val="131413"/>
          <w:sz w:val="24"/>
          <w:szCs w:val="24"/>
        </w:rPr>
        <w:t>.  This is never the case with clinical progress</w:t>
      </w:r>
      <w:r w:rsidR="008564B2">
        <w:rPr>
          <w:rFonts w:ascii="Calibri" w:hAnsi="Calibri" w:cs="Calibri"/>
          <w:color w:val="131413"/>
          <w:sz w:val="24"/>
          <w:szCs w:val="24"/>
        </w:rPr>
        <w:t xml:space="preserve"> in that</w:t>
      </w:r>
      <w:r w:rsidR="00550FE3">
        <w:rPr>
          <w:rFonts w:ascii="Calibri" w:hAnsi="Calibri" w:cs="Calibri"/>
          <w:color w:val="131413"/>
          <w:sz w:val="24"/>
          <w:szCs w:val="24"/>
        </w:rPr>
        <w:t>,</w:t>
      </w:r>
      <w:r w:rsidR="008564B2">
        <w:rPr>
          <w:rFonts w:ascii="Calibri" w:hAnsi="Calibri" w:cs="Calibri"/>
          <w:color w:val="131413"/>
          <w:sz w:val="24"/>
          <w:szCs w:val="24"/>
        </w:rPr>
        <w:t xml:space="preserve"> </w:t>
      </w:r>
      <w:r w:rsidR="00536F46" w:rsidRPr="00536F46">
        <w:rPr>
          <w:rFonts w:ascii="Calibri" w:hAnsi="Calibri" w:cs="Calibri"/>
          <w:color w:val="131413"/>
          <w:sz w:val="24"/>
          <w:szCs w:val="24"/>
        </w:rPr>
        <w:t xml:space="preserve">rather than being proactive, </w:t>
      </w:r>
      <w:r w:rsidR="00C77717">
        <w:rPr>
          <w:rFonts w:ascii="Calibri" w:hAnsi="Calibri" w:cs="Calibri"/>
          <w:color w:val="131413"/>
          <w:sz w:val="24"/>
          <w:szCs w:val="24"/>
        </w:rPr>
        <w:t xml:space="preserve">health technology </w:t>
      </w:r>
      <w:r w:rsidR="008564B2">
        <w:rPr>
          <w:rFonts w:ascii="Calibri" w:hAnsi="Calibri" w:cs="Calibri"/>
          <w:color w:val="131413"/>
          <w:sz w:val="24"/>
          <w:szCs w:val="24"/>
        </w:rPr>
        <w:t>assessment</w:t>
      </w:r>
      <w:r w:rsidR="00C77717">
        <w:rPr>
          <w:rFonts w:ascii="Calibri" w:hAnsi="Calibri" w:cs="Calibri"/>
          <w:color w:val="131413"/>
          <w:sz w:val="24"/>
          <w:szCs w:val="24"/>
        </w:rPr>
        <w:t>s and reimbursement a</w:t>
      </w:r>
      <w:r w:rsidR="00F910A2">
        <w:rPr>
          <w:rFonts w:ascii="Calibri" w:hAnsi="Calibri" w:cs="Calibri"/>
          <w:color w:val="131413"/>
          <w:sz w:val="24"/>
          <w:szCs w:val="24"/>
        </w:rPr>
        <w:t xml:space="preserve">gencies are </w:t>
      </w:r>
      <w:r w:rsidR="00B61F89">
        <w:rPr>
          <w:rFonts w:ascii="Calibri" w:hAnsi="Calibri" w:cs="Calibri"/>
          <w:color w:val="131413"/>
          <w:sz w:val="24"/>
          <w:szCs w:val="24"/>
        </w:rPr>
        <w:t>invariabl</w:t>
      </w:r>
      <w:r w:rsidR="005D7C69">
        <w:rPr>
          <w:rFonts w:ascii="Calibri" w:hAnsi="Calibri" w:cs="Calibri"/>
          <w:color w:val="131413"/>
          <w:sz w:val="24"/>
          <w:szCs w:val="24"/>
        </w:rPr>
        <w:t>y</w:t>
      </w:r>
      <w:r w:rsidR="00B61F89">
        <w:rPr>
          <w:rFonts w:ascii="Calibri" w:hAnsi="Calibri" w:cs="Calibri"/>
          <w:color w:val="131413"/>
          <w:sz w:val="24"/>
          <w:szCs w:val="24"/>
        </w:rPr>
        <w:t xml:space="preserve"> reactive to precedents.  </w:t>
      </w:r>
      <w:r w:rsidR="003017BC">
        <w:rPr>
          <w:rFonts w:ascii="Calibri" w:hAnsi="Calibri" w:cs="Calibri"/>
          <w:color w:val="131413"/>
          <w:sz w:val="24"/>
          <w:szCs w:val="24"/>
        </w:rPr>
        <w:t xml:space="preserve">In the context of osteoporosis in the </w:t>
      </w:r>
      <w:r w:rsidR="00B2036A">
        <w:rPr>
          <w:rFonts w:ascii="Calibri" w:hAnsi="Calibri" w:cs="Calibri"/>
          <w:color w:val="131413"/>
          <w:sz w:val="24"/>
          <w:szCs w:val="24"/>
        </w:rPr>
        <w:t>UK, the</w:t>
      </w:r>
      <w:r w:rsidR="003017BC">
        <w:rPr>
          <w:rFonts w:ascii="Calibri" w:hAnsi="Calibri" w:cs="Calibri"/>
          <w:color w:val="131413"/>
          <w:sz w:val="24"/>
          <w:szCs w:val="24"/>
        </w:rPr>
        <w:t xml:space="preserve"> NOGG guidance</w:t>
      </w:r>
      <w:r w:rsidR="00704736">
        <w:rPr>
          <w:rFonts w:ascii="Calibri" w:hAnsi="Calibri" w:cs="Calibri"/>
          <w:color w:val="131413"/>
          <w:sz w:val="24"/>
          <w:szCs w:val="24"/>
        </w:rPr>
        <w:t xml:space="preserve"> and thresholds</w:t>
      </w:r>
      <w:r w:rsidR="000857CC">
        <w:rPr>
          <w:rFonts w:ascii="Calibri" w:hAnsi="Calibri" w:cs="Calibri"/>
          <w:color w:val="131413"/>
          <w:sz w:val="24"/>
          <w:szCs w:val="24"/>
        </w:rPr>
        <w:t xml:space="preserve">, produced in 2008, </w:t>
      </w:r>
      <w:r w:rsidR="00704736">
        <w:rPr>
          <w:rFonts w:ascii="Calibri" w:hAnsi="Calibri" w:cs="Calibri"/>
          <w:color w:val="131413"/>
          <w:sz w:val="24"/>
          <w:szCs w:val="24"/>
        </w:rPr>
        <w:t xml:space="preserve">were </w:t>
      </w:r>
      <w:r w:rsidR="000857CC">
        <w:rPr>
          <w:rFonts w:ascii="Calibri" w:hAnsi="Calibri" w:cs="Calibri"/>
          <w:color w:val="131413"/>
          <w:sz w:val="24"/>
          <w:szCs w:val="24"/>
        </w:rPr>
        <w:t xml:space="preserve">not considered </w:t>
      </w:r>
      <w:r w:rsidR="00A23252">
        <w:rPr>
          <w:rFonts w:ascii="Calibri" w:hAnsi="Calibri" w:cs="Calibri"/>
          <w:color w:val="131413"/>
          <w:sz w:val="24"/>
          <w:szCs w:val="24"/>
        </w:rPr>
        <w:t xml:space="preserve">by </w:t>
      </w:r>
      <w:r w:rsidR="00FE15B6">
        <w:rPr>
          <w:rFonts w:ascii="Calibri" w:hAnsi="Calibri" w:cs="Calibri"/>
          <w:color w:val="131413"/>
          <w:sz w:val="24"/>
          <w:szCs w:val="24"/>
        </w:rPr>
        <w:t xml:space="preserve">the </w:t>
      </w:r>
      <w:r w:rsidR="00FE15B6" w:rsidRPr="00FE15B6">
        <w:rPr>
          <w:rFonts w:ascii="Calibri" w:hAnsi="Calibri" w:cs="Calibri"/>
          <w:color w:val="131413"/>
          <w:sz w:val="24"/>
          <w:szCs w:val="24"/>
        </w:rPr>
        <w:t>National Institute for Health and Care Excellence</w:t>
      </w:r>
      <w:r w:rsidR="00A23252">
        <w:rPr>
          <w:rFonts w:ascii="Calibri" w:hAnsi="Calibri" w:cs="Calibri"/>
          <w:color w:val="131413"/>
          <w:sz w:val="24"/>
          <w:szCs w:val="24"/>
        </w:rPr>
        <w:t xml:space="preserve"> </w:t>
      </w:r>
      <w:r w:rsidR="005B0936">
        <w:rPr>
          <w:rFonts w:ascii="Calibri" w:hAnsi="Calibri" w:cs="Calibri"/>
          <w:color w:val="131413"/>
          <w:sz w:val="24"/>
          <w:szCs w:val="24"/>
        </w:rPr>
        <w:t xml:space="preserve">(NICE) </w:t>
      </w:r>
      <w:r w:rsidR="00A23252">
        <w:rPr>
          <w:rFonts w:ascii="Calibri" w:hAnsi="Calibri" w:cs="Calibri"/>
          <w:color w:val="131413"/>
          <w:sz w:val="24"/>
          <w:szCs w:val="24"/>
        </w:rPr>
        <w:t xml:space="preserve">in their </w:t>
      </w:r>
      <w:r w:rsidR="00C31D1E">
        <w:rPr>
          <w:rFonts w:ascii="Calibri" w:hAnsi="Calibri" w:cs="Calibri"/>
          <w:color w:val="131413"/>
          <w:sz w:val="24"/>
          <w:szCs w:val="24"/>
        </w:rPr>
        <w:t xml:space="preserve">technology </w:t>
      </w:r>
      <w:r w:rsidR="00A23252">
        <w:rPr>
          <w:rFonts w:ascii="Calibri" w:hAnsi="Calibri" w:cs="Calibri"/>
          <w:color w:val="131413"/>
          <w:sz w:val="24"/>
          <w:szCs w:val="24"/>
        </w:rPr>
        <w:t xml:space="preserve">appraisals </w:t>
      </w:r>
      <w:r w:rsidR="001548D1">
        <w:rPr>
          <w:rFonts w:ascii="Calibri" w:hAnsi="Calibri" w:cs="Calibri"/>
          <w:color w:val="131413"/>
          <w:sz w:val="24"/>
          <w:szCs w:val="24"/>
        </w:rPr>
        <w:t>but eventuall</w:t>
      </w:r>
      <w:r w:rsidR="00231265">
        <w:rPr>
          <w:rFonts w:ascii="Calibri" w:hAnsi="Calibri" w:cs="Calibri"/>
          <w:color w:val="131413"/>
          <w:sz w:val="24"/>
          <w:szCs w:val="24"/>
        </w:rPr>
        <w:t xml:space="preserve">y </w:t>
      </w:r>
      <w:r w:rsidR="00231265" w:rsidRPr="00CC43CD">
        <w:rPr>
          <w:rFonts w:ascii="Calibri" w:hAnsi="Calibri" w:cs="Calibri"/>
          <w:color w:val="131413"/>
          <w:sz w:val="24"/>
          <w:szCs w:val="24"/>
        </w:rPr>
        <w:t>recommended</w:t>
      </w:r>
      <w:r w:rsidR="00CC43CD">
        <w:rPr>
          <w:rFonts w:ascii="Calibri" w:hAnsi="Calibri" w:cs="Calibri"/>
          <w:color w:val="131413"/>
          <w:sz w:val="24"/>
          <w:szCs w:val="24"/>
        </w:rPr>
        <w:t xml:space="preserve"> nine years later</w:t>
      </w:r>
      <w:r w:rsidR="00231265" w:rsidRPr="00CC43CD">
        <w:rPr>
          <w:rFonts w:ascii="Calibri" w:hAnsi="Calibri" w:cs="Calibri"/>
          <w:color w:val="131413"/>
          <w:sz w:val="24"/>
          <w:szCs w:val="24"/>
        </w:rPr>
        <w:t xml:space="preserve"> in</w:t>
      </w:r>
      <w:r w:rsidR="00A23252" w:rsidRPr="00CC43CD">
        <w:rPr>
          <w:rFonts w:ascii="Calibri" w:hAnsi="Calibri" w:cs="Calibri"/>
          <w:color w:val="131413"/>
          <w:sz w:val="24"/>
          <w:szCs w:val="24"/>
        </w:rPr>
        <w:t xml:space="preserve"> </w:t>
      </w:r>
      <w:r w:rsidR="00A32ED1" w:rsidRPr="00484C34">
        <w:rPr>
          <w:rFonts w:ascii="Calibri" w:hAnsi="Calibri" w:cs="Calibri"/>
          <w:color w:val="131413"/>
          <w:sz w:val="24"/>
          <w:szCs w:val="24"/>
        </w:rPr>
        <w:t>20</w:t>
      </w:r>
      <w:r w:rsidR="008B7E2B" w:rsidRPr="00484C34">
        <w:rPr>
          <w:rFonts w:ascii="Calibri" w:hAnsi="Calibri" w:cs="Calibri"/>
          <w:color w:val="131413"/>
          <w:sz w:val="24"/>
          <w:szCs w:val="24"/>
        </w:rPr>
        <w:t>17</w:t>
      </w:r>
      <w:r w:rsidR="009F0D36" w:rsidRPr="00484C34">
        <w:rPr>
          <w:rFonts w:ascii="Calibri" w:hAnsi="Calibri" w:cs="Calibri"/>
          <w:color w:val="131413"/>
          <w:sz w:val="24"/>
          <w:szCs w:val="24"/>
        </w:rPr>
        <w:t xml:space="preserve"> [</w:t>
      </w:r>
      <w:r w:rsidR="00B92FE8">
        <w:rPr>
          <w:rFonts w:ascii="Calibri" w:hAnsi="Calibri" w:cs="Calibri"/>
          <w:color w:val="131413"/>
          <w:sz w:val="24"/>
          <w:szCs w:val="24"/>
        </w:rPr>
        <w:t>26</w:t>
      </w:r>
      <w:r w:rsidR="00C13E6E" w:rsidRPr="00B91C7F">
        <w:rPr>
          <w:rFonts w:ascii="Calibri" w:hAnsi="Calibri" w:cs="Calibri"/>
          <w:b/>
          <w:bCs/>
          <w:color w:val="131413"/>
          <w:sz w:val="24"/>
          <w:szCs w:val="24"/>
        </w:rPr>
        <w:t>]</w:t>
      </w:r>
      <w:r w:rsidR="00226E23" w:rsidRPr="00B91C7F">
        <w:rPr>
          <w:rFonts w:ascii="Calibri" w:hAnsi="Calibri" w:cs="Calibri"/>
          <w:b/>
          <w:bCs/>
          <w:color w:val="131413"/>
          <w:sz w:val="24"/>
          <w:szCs w:val="24"/>
        </w:rPr>
        <w:t xml:space="preserve">.  </w:t>
      </w:r>
      <w:r w:rsidR="00226E23" w:rsidRPr="00B91C7F">
        <w:rPr>
          <w:rFonts w:ascii="Calibri" w:hAnsi="Calibri" w:cs="Calibri"/>
          <w:color w:val="131413"/>
          <w:sz w:val="24"/>
          <w:szCs w:val="24"/>
        </w:rPr>
        <w:t xml:space="preserve">With regard to </w:t>
      </w:r>
      <w:r w:rsidR="007F0D02" w:rsidRPr="00B91C7F">
        <w:rPr>
          <w:rFonts w:ascii="Calibri" w:hAnsi="Calibri" w:cs="Calibri"/>
          <w:color w:val="131413"/>
          <w:sz w:val="24"/>
          <w:szCs w:val="24"/>
        </w:rPr>
        <w:t>anabolic</w:t>
      </w:r>
      <w:r w:rsidR="00226E23" w:rsidRPr="00B91C7F">
        <w:rPr>
          <w:rFonts w:ascii="Calibri" w:hAnsi="Calibri" w:cs="Calibri"/>
          <w:color w:val="131413"/>
          <w:sz w:val="24"/>
          <w:szCs w:val="24"/>
        </w:rPr>
        <w:t xml:space="preserve"> treatments, the </w:t>
      </w:r>
      <w:r w:rsidR="007F0D02" w:rsidRPr="00B91C7F">
        <w:rPr>
          <w:rFonts w:ascii="Calibri" w:hAnsi="Calibri" w:cs="Calibri"/>
          <w:color w:val="131413"/>
          <w:sz w:val="24"/>
          <w:szCs w:val="24"/>
        </w:rPr>
        <w:t xml:space="preserve">current </w:t>
      </w:r>
      <w:r w:rsidR="00226E23" w:rsidRPr="00B91C7F">
        <w:rPr>
          <w:rFonts w:ascii="Calibri" w:hAnsi="Calibri" w:cs="Calibri"/>
          <w:color w:val="131413"/>
          <w:sz w:val="24"/>
          <w:szCs w:val="24"/>
        </w:rPr>
        <w:t>position of NICE is that</w:t>
      </w:r>
      <w:r w:rsidR="00841596" w:rsidRPr="00B91C7F">
        <w:rPr>
          <w:rFonts w:ascii="Calibri" w:hAnsi="Calibri" w:cs="Calibri"/>
          <w:color w:val="131413"/>
          <w:sz w:val="24"/>
          <w:szCs w:val="24"/>
        </w:rPr>
        <w:t xml:space="preserve"> they </w:t>
      </w:r>
      <w:r w:rsidR="00E876BE" w:rsidRPr="00B91C7F">
        <w:rPr>
          <w:rFonts w:ascii="Calibri" w:hAnsi="Calibri" w:cs="Calibri"/>
          <w:color w:val="131413"/>
          <w:sz w:val="24"/>
          <w:szCs w:val="24"/>
        </w:rPr>
        <w:t xml:space="preserve">not </w:t>
      </w:r>
      <w:r w:rsidR="00841596" w:rsidRPr="00B91C7F">
        <w:rPr>
          <w:rFonts w:ascii="Calibri" w:hAnsi="Calibri" w:cs="Calibri"/>
          <w:color w:val="131413"/>
          <w:sz w:val="24"/>
          <w:szCs w:val="24"/>
        </w:rPr>
        <w:t xml:space="preserve">be used as </w:t>
      </w:r>
      <w:r w:rsidR="00E876BE" w:rsidRPr="00B91C7F">
        <w:rPr>
          <w:rFonts w:ascii="Calibri" w:hAnsi="Calibri" w:cs="Calibri"/>
          <w:color w:val="131413"/>
          <w:sz w:val="24"/>
          <w:szCs w:val="24"/>
        </w:rPr>
        <w:t xml:space="preserve">first line </w:t>
      </w:r>
      <w:r w:rsidR="00B91C7F" w:rsidRPr="00B91C7F">
        <w:rPr>
          <w:rFonts w:ascii="Calibri" w:hAnsi="Calibri" w:cs="Calibri"/>
          <w:color w:val="131413"/>
          <w:sz w:val="24"/>
          <w:szCs w:val="24"/>
        </w:rPr>
        <w:t xml:space="preserve">treatment but rather as </w:t>
      </w:r>
      <w:r w:rsidR="00841596" w:rsidRPr="00B91C7F">
        <w:rPr>
          <w:rFonts w:ascii="Calibri" w:hAnsi="Calibri" w:cs="Calibri"/>
          <w:color w:val="131413"/>
          <w:sz w:val="24"/>
          <w:szCs w:val="24"/>
        </w:rPr>
        <w:t>salvage therapy when other options are exhausted</w:t>
      </w:r>
      <w:r w:rsidR="00A66095" w:rsidRPr="00484C34">
        <w:rPr>
          <w:rFonts w:ascii="Calibri" w:hAnsi="Calibri" w:cs="Calibri"/>
          <w:color w:val="131413"/>
          <w:sz w:val="24"/>
          <w:szCs w:val="24"/>
        </w:rPr>
        <w:t xml:space="preserve"> [</w:t>
      </w:r>
      <w:r w:rsidR="00B92FE8">
        <w:rPr>
          <w:rFonts w:ascii="Calibri" w:hAnsi="Calibri" w:cs="Calibri"/>
          <w:color w:val="131413"/>
          <w:sz w:val="24"/>
          <w:szCs w:val="24"/>
        </w:rPr>
        <w:t>27</w:t>
      </w:r>
      <w:r w:rsidR="00BC7D04" w:rsidRPr="00484C34">
        <w:rPr>
          <w:rFonts w:ascii="Calibri" w:hAnsi="Calibri" w:cs="Calibri"/>
          <w:color w:val="131413"/>
          <w:sz w:val="24"/>
          <w:szCs w:val="24"/>
        </w:rPr>
        <w:t>]</w:t>
      </w:r>
      <w:r w:rsidR="007F0D02" w:rsidRPr="00484C34">
        <w:rPr>
          <w:rFonts w:ascii="Calibri" w:hAnsi="Calibri" w:cs="Calibri"/>
          <w:color w:val="131413"/>
          <w:sz w:val="24"/>
          <w:szCs w:val="24"/>
        </w:rPr>
        <w:t xml:space="preserve">.  </w:t>
      </w:r>
      <w:r w:rsidR="00AF7047" w:rsidRPr="00484C34">
        <w:rPr>
          <w:rFonts w:ascii="Calibri" w:hAnsi="Calibri" w:cs="Calibri"/>
          <w:color w:val="131413"/>
          <w:sz w:val="24"/>
          <w:szCs w:val="24"/>
        </w:rPr>
        <w:t>The</w:t>
      </w:r>
      <w:r w:rsidR="00AF7047">
        <w:rPr>
          <w:rFonts w:ascii="Calibri" w:hAnsi="Calibri" w:cs="Calibri"/>
          <w:color w:val="131413"/>
          <w:sz w:val="24"/>
          <w:szCs w:val="24"/>
        </w:rPr>
        <w:t xml:space="preserve"> new NOGG guidance is based on the </w:t>
      </w:r>
      <w:r w:rsidR="00935FF3">
        <w:rPr>
          <w:rFonts w:ascii="Calibri" w:hAnsi="Calibri" w:cs="Calibri"/>
          <w:color w:val="131413"/>
          <w:sz w:val="24"/>
          <w:szCs w:val="24"/>
        </w:rPr>
        <w:t>ever-increasing</w:t>
      </w:r>
      <w:r w:rsidR="00AF7047">
        <w:rPr>
          <w:rFonts w:ascii="Calibri" w:hAnsi="Calibri" w:cs="Calibri"/>
          <w:color w:val="131413"/>
          <w:sz w:val="24"/>
          <w:szCs w:val="24"/>
        </w:rPr>
        <w:t xml:space="preserve"> bo</w:t>
      </w:r>
      <w:r w:rsidR="007A0B10">
        <w:rPr>
          <w:rFonts w:ascii="Calibri" w:hAnsi="Calibri" w:cs="Calibri"/>
          <w:color w:val="131413"/>
          <w:sz w:val="24"/>
          <w:szCs w:val="24"/>
        </w:rPr>
        <w:t xml:space="preserve">dy of evidence that anabolic treatments are </w:t>
      </w:r>
      <w:r w:rsidR="00170449">
        <w:rPr>
          <w:rFonts w:ascii="Calibri" w:hAnsi="Calibri" w:cs="Calibri"/>
          <w:color w:val="131413"/>
          <w:sz w:val="24"/>
          <w:szCs w:val="24"/>
        </w:rPr>
        <w:t xml:space="preserve">much </w:t>
      </w:r>
      <w:r w:rsidR="007A0B10">
        <w:rPr>
          <w:rFonts w:ascii="Calibri" w:hAnsi="Calibri" w:cs="Calibri"/>
          <w:color w:val="131413"/>
          <w:sz w:val="24"/>
          <w:szCs w:val="24"/>
        </w:rPr>
        <w:t>more appropriately placed</w:t>
      </w:r>
      <w:r w:rsidR="0041707F">
        <w:rPr>
          <w:rFonts w:ascii="Calibri" w:hAnsi="Calibri" w:cs="Calibri"/>
          <w:color w:val="131413"/>
          <w:sz w:val="24"/>
          <w:szCs w:val="24"/>
        </w:rPr>
        <w:t xml:space="preserve"> as a first line treatment in those at very high risk than as salvage treatment</w:t>
      </w:r>
      <w:r w:rsidR="00C1123A" w:rsidRPr="00C1123A">
        <w:t xml:space="preserve"> </w:t>
      </w:r>
      <w:r w:rsidR="00C1123A">
        <w:rPr>
          <w:rFonts w:ascii="Calibri" w:hAnsi="Calibri" w:cs="Calibri"/>
          <w:color w:val="131413"/>
          <w:sz w:val="24"/>
          <w:szCs w:val="24"/>
        </w:rPr>
        <w:t>and</w:t>
      </w:r>
      <w:r w:rsidR="00C1123A" w:rsidRPr="00C1123A">
        <w:rPr>
          <w:rFonts w:ascii="Calibri" w:hAnsi="Calibri" w:cs="Calibri"/>
          <w:color w:val="131413"/>
          <w:sz w:val="24"/>
          <w:szCs w:val="24"/>
        </w:rPr>
        <w:t xml:space="preserve"> used as a last resort</w:t>
      </w:r>
      <w:r w:rsidR="004C4527">
        <w:rPr>
          <w:rFonts w:ascii="Calibri" w:hAnsi="Calibri" w:cs="Calibri"/>
          <w:color w:val="131413"/>
          <w:sz w:val="24"/>
          <w:szCs w:val="24"/>
        </w:rPr>
        <w:t xml:space="preserve"> [</w:t>
      </w:r>
      <w:r w:rsidR="0064540A">
        <w:rPr>
          <w:rFonts w:ascii="Calibri" w:hAnsi="Calibri" w:cs="Calibri"/>
          <w:color w:val="131413"/>
          <w:sz w:val="24"/>
          <w:szCs w:val="24"/>
        </w:rPr>
        <w:t>10, 11</w:t>
      </w:r>
      <w:r w:rsidR="002D6B9C">
        <w:rPr>
          <w:rFonts w:ascii="Calibri" w:hAnsi="Calibri" w:cs="Calibri"/>
          <w:color w:val="131413"/>
          <w:sz w:val="24"/>
          <w:szCs w:val="24"/>
        </w:rPr>
        <w:t xml:space="preserve">, </w:t>
      </w:r>
      <w:r w:rsidR="0009065C">
        <w:rPr>
          <w:rFonts w:ascii="Calibri" w:hAnsi="Calibri" w:cs="Calibri"/>
          <w:color w:val="131413"/>
          <w:sz w:val="24"/>
          <w:szCs w:val="24"/>
        </w:rPr>
        <w:t xml:space="preserve">12, </w:t>
      </w:r>
      <w:r w:rsidR="002D6B9C">
        <w:rPr>
          <w:rFonts w:ascii="Calibri" w:hAnsi="Calibri" w:cs="Calibri"/>
          <w:color w:val="131413"/>
          <w:sz w:val="24"/>
          <w:szCs w:val="24"/>
        </w:rPr>
        <w:t>13</w:t>
      </w:r>
      <w:r w:rsidR="002D6B9C" w:rsidRPr="00484C34">
        <w:rPr>
          <w:rFonts w:ascii="Calibri" w:hAnsi="Calibri" w:cs="Calibri"/>
          <w:color w:val="131413"/>
          <w:sz w:val="24"/>
          <w:szCs w:val="24"/>
        </w:rPr>
        <w:t xml:space="preserve">, </w:t>
      </w:r>
      <w:r w:rsidR="00B92FE8">
        <w:rPr>
          <w:rFonts w:ascii="Calibri" w:hAnsi="Calibri" w:cs="Calibri"/>
          <w:color w:val="131413"/>
          <w:sz w:val="24"/>
          <w:szCs w:val="24"/>
        </w:rPr>
        <w:t>28</w:t>
      </w:r>
      <w:r w:rsidR="00484C34">
        <w:rPr>
          <w:rFonts w:ascii="Calibri" w:hAnsi="Calibri" w:cs="Calibri"/>
          <w:color w:val="131413"/>
          <w:sz w:val="24"/>
          <w:szCs w:val="24"/>
        </w:rPr>
        <w:t>]</w:t>
      </w:r>
      <w:r w:rsidR="00E541A5">
        <w:rPr>
          <w:rFonts w:ascii="Calibri" w:hAnsi="Calibri" w:cs="Calibri"/>
          <w:color w:val="131413"/>
          <w:sz w:val="24"/>
          <w:szCs w:val="24"/>
        </w:rPr>
        <w:t>.</w:t>
      </w:r>
      <w:r w:rsidR="001D0CFD">
        <w:rPr>
          <w:rFonts w:ascii="Calibri" w:hAnsi="Calibri" w:cs="Calibri"/>
          <w:color w:val="131413"/>
          <w:sz w:val="24"/>
          <w:szCs w:val="24"/>
        </w:rPr>
        <w:t xml:space="preserve"> </w:t>
      </w:r>
      <w:r w:rsidR="001822E3">
        <w:rPr>
          <w:rFonts w:ascii="Calibri" w:hAnsi="Calibri" w:cs="Calibri"/>
          <w:color w:val="131413"/>
          <w:sz w:val="24"/>
          <w:szCs w:val="24"/>
        </w:rPr>
        <w:t xml:space="preserve"> The probability </w:t>
      </w:r>
      <w:r w:rsidR="00453A08">
        <w:rPr>
          <w:rFonts w:ascii="Calibri" w:hAnsi="Calibri" w:cs="Calibri"/>
          <w:color w:val="131413"/>
          <w:sz w:val="24"/>
          <w:szCs w:val="24"/>
        </w:rPr>
        <w:t>UIT chosen by NOGG i</w:t>
      </w:r>
      <w:r w:rsidR="002F73AA">
        <w:rPr>
          <w:rFonts w:ascii="Calibri" w:hAnsi="Calibri" w:cs="Calibri"/>
          <w:color w:val="131413"/>
          <w:sz w:val="24"/>
          <w:szCs w:val="24"/>
        </w:rPr>
        <w:t>s consistent with the population</w:t>
      </w:r>
      <w:r w:rsidR="00E54143">
        <w:rPr>
          <w:rFonts w:ascii="Calibri" w:hAnsi="Calibri" w:cs="Calibri"/>
          <w:color w:val="131413"/>
          <w:sz w:val="24"/>
          <w:szCs w:val="24"/>
        </w:rPr>
        <w:t xml:space="preserve">s in which the efficacy of anabolic agents </w:t>
      </w:r>
      <w:r w:rsidR="003679E2">
        <w:rPr>
          <w:rFonts w:ascii="Calibri" w:hAnsi="Calibri" w:cs="Calibri"/>
          <w:color w:val="131413"/>
          <w:sz w:val="24"/>
          <w:szCs w:val="24"/>
        </w:rPr>
        <w:t>has</w:t>
      </w:r>
      <w:r w:rsidR="00E54143">
        <w:rPr>
          <w:rFonts w:ascii="Calibri" w:hAnsi="Calibri" w:cs="Calibri"/>
          <w:color w:val="131413"/>
          <w:sz w:val="24"/>
          <w:szCs w:val="24"/>
        </w:rPr>
        <w:t xml:space="preserve"> been assessed</w:t>
      </w:r>
      <w:r w:rsidR="00704736">
        <w:rPr>
          <w:rFonts w:ascii="Calibri" w:hAnsi="Calibri" w:cs="Calibri"/>
          <w:color w:val="131413"/>
          <w:sz w:val="24"/>
          <w:szCs w:val="24"/>
        </w:rPr>
        <w:t>, as illustrated in the analysis of the ARCH study in which treatment with romosozumab for one year, followed by oral alendronate, was superior to oral alendronate alone</w:t>
      </w:r>
      <w:r w:rsidR="00E54143">
        <w:rPr>
          <w:rFonts w:ascii="Calibri" w:hAnsi="Calibri" w:cs="Calibri"/>
          <w:color w:val="131413"/>
          <w:sz w:val="24"/>
          <w:szCs w:val="24"/>
        </w:rPr>
        <w:t>.</w:t>
      </w:r>
      <w:r w:rsidR="006F1240">
        <w:rPr>
          <w:rFonts w:ascii="Calibri" w:hAnsi="Calibri" w:cs="Calibri"/>
          <w:color w:val="131413"/>
          <w:sz w:val="24"/>
          <w:szCs w:val="24"/>
        </w:rPr>
        <w:t xml:space="preserve">  </w:t>
      </w:r>
      <w:r w:rsidR="00F64BD9">
        <w:rPr>
          <w:rFonts w:ascii="Calibri" w:hAnsi="Calibri" w:cs="Calibri"/>
          <w:color w:val="131413"/>
          <w:sz w:val="24"/>
          <w:szCs w:val="24"/>
        </w:rPr>
        <w:t xml:space="preserve">Similar </w:t>
      </w:r>
      <w:r w:rsidR="009E0492">
        <w:rPr>
          <w:rFonts w:ascii="Calibri" w:hAnsi="Calibri" w:cs="Calibri"/>
          <w:color w:val="131413"/>
          <w:sz w:val="24"/>
          <w:szCs w:val="24"/>
        </w:rPr>
        <w:t>high-risk</w:t>
      </w:r>
      <w:r w:rsidR="00F64BD9">
        <w:rPr>
          <w:rFonts w:ascii="Calibri" w:hAnsi="Calibri" w:cs="Calibri"/>
          <w:color w:val="131413"/>
          <w:sz w:val="24"/>
          <w:szCs w:val="24"/>
        </w:rPr>
        <w:t xml:space="preserve"> populations were </w:t>
      </w:r>
      <w:r w:rsidR="000E3DAB">
        <w:rPr>
          <w:rFonts w:ascii="Calibri" w:hAnsi="Calibri" w:cs="Calibri"/>
          <w:color w:val="131413"/>
          <w:sz w:val="24"/>
          <w:szCs w:val="24"/>
        </w:rPr>
        <w:t>en</w:t>
      </w:r>
      <w:r w:rsidR="00343624">
        <w:rPr>
          <w:rFonts w:ascii="Calibri" w:hAnsi="Calibri" w:cs="Calibri"/>
          <w:color w:val="131413"/>
          <w:sz w:val="24"/>
          <w:szCs w:val="24"/>
        </w:rPr>
        <w:t xml:space="preserve">rolled into phase 3 studies </w:t>
      </w:r>
      <w:r w:rsidR="007A2B75">
        <w:rPr>
          <w:rFonts w:ascii="Calibri" w:hAnsi="Calibri" w:cs="Calibri"/>
          <w:color w:val="131413"/>
          <w:sz w:val="24"/>
          <w:szCs w:val="24"/>
        </w:rPr>
        <w:t>of teriparatide</w:t>
      </w:r>
      <w:r w:rsidR="00E04CEF">
        <w:rPr>
          <w:rFonts w:ascii="Calibri" w:hAnsi="Calibri" w:cs="Calibri"/>
          <w:color w:val="131413"/>
          <w:sz w:val="24"/>
          <w:szCs w:val="24"/>
        </w:rPr>
        <w:t>.</w:t>
      </w:r>
    </w:p>
    <w:p w14:paraId="4DFA71CD" w14:textId="1BECA8E8" w:rsidR="008C2A12" w:rsidRDefault="008C2A12" w:rsidP="00F323B1">
      <w:pPr>
        <w:autoSpaceDE w:val="0"/>
        <w:autoSpaceDN w:val="0"/>
        <w:adjustRightInd w:val="0"/>
        <w:spacing w:after="0" w:line="276" w:lineRule="auto"/>
        <w:rPr>
          <w:rFonts w:ascii="Calibri" w:hAnsi="Calibri" w:cs="Calibri"/>
          <w:color w:val="131413"/>
          <w:sz w:val="24"/>
          <w:szCs w:val="24"/>
        </w:rPr>
      </w:pPr>
    </w:p>
    <w:p w14:paraId="6118812E" w14:textId="3DCB07F8" w:rsidR="008C2A12" w:rsidRDefault="009C35AD" w:rsidP="00F323B1">
      <w:pPr>
        <w:autoSpaceDE w:val="0"/>
        <w:autoSpaceDN w:val="0"/>
        <w:adjustRightInd w:val="0"/>
        <w:spacing w:after="0" w:line="276" w:lineRule="auto"/>
        <w:rPr>
          <w:rFonts w:ascii="Calibri" w:hAnsi="Calibri" w:cs="Calibri"/>
          <w:color w:val="131413"/>
          <w:sz w:val="24"/>
          <w:szCs w:val="24"/>
        </w:rPr>
      </w:pPr>
      <w:r>
        <w:rPr>
          <w:rFonts w:ascii="Calibri" w:hAnsi="Calibri" w:cs="Calibri"/>
          <w:color w:val="131413"/>
          <w:sz w:val="24"/>
          <w:szCs w:val="24"/>
        </w:rPr>
        <w:t>The examples</w:t>
      </w:r>
      <w:r w:rsidR="004D10AF">
        <w:rPr>
          <w:rFonts w:ascii="Calibri" w:hAnsi="Calibri" w:cs="Calibri"/>
          <w:color w:val="131413"/>
          <w:sz w:val="24"/>
          <w:szCs w:val="24"/>
        </w:rPr>
        <w:t xml:space="preserve"> in the appendix</w:t>
      </w:r>
      <w:r w:rsidR="00A67AF2">
        <w:rPr>
          <w:rFonts w:ascii="Calibri" w:hAnsi="Calibri" w:cs="Calibri"/>
          <w:color w:val="131413"/>
          <w:sz w:val="24"/>
          <w:szCs w:val="24"/>
        </w:rPr>
        <w:t xml:space="preserve"> indicate that no si</w:t>
      </w:r>
      <w:r w:rsidR="00A02E97">
        <w:rPr>
          <w:rFonts w:ascii="Calibri" w:hAnsi="Calibri" w:cs="Calibri"/>
          <w:color w:val="131413"/>
          <w:sz w:val="24"/>
          <w:szCs w:val="24"/>
        </w:rPr>
        <w:t xml:space="preserve">ngle FRAX clinical risk factor is </w:t>
      </w:r>
      <w:r w:rsidR="0092038A">
        <w:rPr>
          <w:rFonts w:ascii="Calibri" w:hAnsi="Calibri" w:cs="Calibri"/>
          <w:color w:val="131413"/>
          <w:sz w:val="24"/>
          <w:szCs w:val="24"/>
        </w:rPr>
        <w:t>consistently</w:t>
      </w:r>
      <w:r w:rsidR="00A02E97">
        <w:rPr>
          <w:rFonts w:ascii="Calibri" w:hAnsi="Calibri" w:cs="Calibri"/>
          <w:color w:val="131413"/>
          <w:sz w:val="24"/>
          <w:szCs w:val="24"/>
        </w:rPr>
        <w:t xml:space="preserve"> associated with a fracture probability</w:t>
      </w:r>
      <w:r w:rsidR="00C24D8B">
        <w:rPr>
          <w:rFonts w:ascii="Calibri" w:hAnsi="Calibri" w:cs="Calibri"/>
          <w:color w:val="131413"/>
          <w:sz w:val="24"/>
          <w:szCs w:val="24"/>
        </w:rPr>
        <w:t xml:space="preserve"> that exceeded the intervention threshold.</w:t>
      </w:r>
      <w:r w:rsidR="00DB5169">
        <w:rPr>
          <w:rFonts w:ascii="Calibri" w:hAnsi="Calibri" w:cs="Calibri"/>
          <w:color w:val="131413"/>
          <w:sz w:val="24"/>
          <w:szCs w:val="24"/>
        </w:rPr>
        <w:t xml:space="preserve"> </w:t>
      </w:r>
      <w:r w:rsidR="00DB1C48">
        <w:rPr>
          <w:rFonts w:ascii="Calibri" w:hAnsi="Calibri" w:cs="Calibri"/>
          <w:color w:val="131413"/>
          <w:sz w:val="24"/>
          <w:szCs w:val="24"/>
        </w:rPr>
        <w:t xml:space="preserve"> </w:t>
      </w:r>
      <w:r w:rsidR="004838CE">
        <w:rPr>
          <w:rFonts w:ascii="Calibri" w:hAnsi="Calibri" w:cs="Calibri"/>
          <w:color w:val="131413"/>
          <w:sz w:val="24"/>
          <w:szCs w:val="24"/>
        </w:rPr>
        <w:t>Thus,</w:t>
      </w:r>
      <w:r w:rsidR="00DB5169">
        <w:rPr>
          <w:rFonts w:ascii="Calibri" w:hAnsi="Calibri" w:cs="Calibri"/>
          <w:color w:val="131413"/>
          <w:sz w:val="24"/>
          <w:szCs w:val="24"/>
        </w:rPr>
        <w:t xml:space="preserve"> it was </w:t>
      </w:r>
      <w:bookmarkStart w:id="8" w:name="_Hlk63981285"/>
      <w:r w:rsidR="00DB5169">
        <w:rPr>
          <w:rFonts w:ascii="Calibri" w:hAnsi="Calibri" w:cs="Calibri"/>
          <w:color w:val="131413"/>
          <w:sz w:val="24"/>
          <w:szCs w:val="24"/>
        </w:rPr>
        <w:t xml:space="preserve">combinations of clinical risk </w:t>
      </w:r>
      <w:r w:rsidR="000E5969">
        <w:rPr>
          <w:rFonts w:ascii="Calibri" w:hAnsi="Calibri" w:cs="Calibri"/>
          <w:color w:val="131413"/>
          <w:sz w:val="24"/>
          <w:szCs w:val="24"/>
        </w:rPr>
        <w:t xml:space="preserve">factors </w:t>
      </w:r>
      <w:bookmarkEnd w:id="8"/>
      <w:r w:rsidR="000E5969">
        <w:rPr>
          <w:rFonts w:ascii="Calibri" w:hAnsi="Calibri" w:cs="Calibri"/>
          <w:color w:val="131413"/>
          <w:sz w:val="24"/>
          <w:szCs w:val="24"/>
        </w:rPr>
        <w:t>that</w:t>
      </w:r>
      <w:r w:rsidR="004838CE">
        <w:rPr>
          <w:rFonts w:ascii="Calibri" w:hAnsi="Calibri" w:cs="Calibri"/>
          <w:color w:val="131413"/>
          <w:sz w:val="24"/>
          <w:szCs w:val="24"/>
        </w:rPr>
        <w:t xml:space="preserve"> provided eligibility</w:t>
      </w:r>
      <w:r w:rsidR="007F1721">
        <w:rPr>
          <w:rFonts w:ascii="Calibri" w:hAnsi="Calibri" w:cs="Calibri"/>
          <w:color w:val="131413"/>
          <w:sz w:val="24"/>
          <w:szCs w:val="24"/>
        </w:rPr>
        <w:t xml:space="preserve"> for treatment.  By the same token,</w:t>
      </w:r>
      <w:r w:rsidR="007475E2">
        <w:rPr>
          <w:rFonts w:ascii="Calibri" w:hAnsi="Calibri" w:cs="Calibri"/>
          <w:color w:val="131413"/>
          <w:sz w:val="24"/>
          <w:szCs w:val="24"/>
        </w:rPr>
        <w:t xml:space="preserve"> a recent fracture was not </w:t>
      </w:r>
      <w:r w:rsidR="007475E2" w:rsidRPr="007475E2">
        <w:rPr>
          <w:rFonts w:ascii="Calibri" w:hAnsi="Calibri" w:cs="Calibri"/>
          <w:color w:val="131413"/>
          <w:sz w:val="24"/>
          <w:szCs w:val="24"/>
        </w:rPr>
        <w:t>consistently associated with a fracture probability that exceeded the intervention threshold</w:t>
      </w:r>
      <w:r w:rsidR="007475E2">
        <w:rPr>
          <w:rFonts w:ascii="Calibri" w:hAnsi="Calibri" w:cs="Calibri"/>
          <w:color w:val="131413"/>
          <w:sz w:val="24"/>
          <w:szCs w:val="24"/>
        </w:rPr>
        <w:t xml:space="preserve"> for very hi</w:t>
      </w:r>
      <w:r w:rsidR="001C57DD">
        <w:rPr>
          <w:rFonts w:ascii="Calibri" w:hAnsi="Calibri" w:cs="Calibri"/>
          <w:color w:val="131413"/>
          <w:sz w:val="24"/>
          <w:szCs w:val="24"/>
        </w:rPr>
        <w:t xml:space="preserve">gh risk and </w:t>
      </w:r>
      <w:r w:rsidR="00934116">
        <w:rPr>
          <w:rFonts w:ascii="Calibri" w:hAnsi="Calibri" w:cs="Calibri"/>
          <w:color w:val="131413"/>
          <w:sz w:val="24"/>
          <w:szCs w:val="24"/>
        </w:rPr>
        <w:t xml:space="preserve">recategorization from high to </w:t>
      </w:r>
      <w:r w:rsidR="00432517">
        <w:rPr>
          <w:rFonts w:ascii="Calibri" w:hAnsi="Calibri" w:cs="Calibri"/>
          <w:color w:val="131413"/>
          <w:sz w:val="24"/>
          <w:szCs w:val="24"/>
        </w:rPr>
        <w:t>very high risk</w:t>
      </w:r>
      <w:r w:rsidR="00934116">
        <w:rPr>
          <w:rFonts w:ascii="Calibri" w:hAnsi="Calibri" w:cs="Calibri"/>
          <w:color w:val="131413"/>
          <w:sz w:val="24"/>
          <w:szCs w:val="24"/>
        </w:rPr>
        <w:t xml:space="preserve"> </w:t>
      </w:r>
      <w:r w:rsidR="00432517">
        <w:rPr>
          <w:rFonts w:ascii="Calibri" w:hAnsi="Calibri" w:cs="Calibri"/>
          <w:color w:val="131413"/>
          <w:sz w:val="24"/>
          <w:szCs w:val="24"/>
        </w:rPr>
        <w:t xml:space="preserve">also </w:t>
      </w:r>
      <w:r w:rsidR="002A1CBF">
        <w:rPr>
          <w:rFonts w:ascii="Calibri" w:hAnsi="Calibri" w:cs="Calibri"/>
          <w:color w:val="131413"/>
          <w:sz w:val="24"/>
          <w:szCs w:val="24"/>
        </w:rPr>
        <w:t>depended in many instances</w:t>
      </w:r>
      <w:r w:rsidR="002A1CBF" w:rsidRPr="002A1CBF">
        <w:t xml:space="preserve"> </w:t>
      </w:r>
      <w:r w:rsidR="002A1CBF">
        <w:t xml:space="preserve">on </w:t>
      </w:r>
      <w:r w:rsidR="002A1CBF" w:rsidRPr="002A1CBF">
        <w:rPr>
          <w:rFonts w:ascii="Calibri" w:hAnsi="Calibri" w:cs="Calibri"/>
          <w:color w:val="131413"/>
          <w:sz w:val="24"/>
          <w:szCs w:val="24"/>
        </w:rPr>
        <w:t>combinations of clinical risk factors</w:t>
      </w:r>
      <w:r w:rsidR="00CA270E">
        <w:rPr>
          <w:rFonts w:ascii="Calibri" w:hAnsi="Calibri" w:cs="Calibri"/>
          <w:color w:val="131413"/>
          <w:sz w:val="24"/>
          <w:szCs w:val="24"/>
        </w:rPr>
        <w:t>.</w:t>
      </w:r>
    </w:p>
    <w:p w14:paraId="40AA8D6F" w14:textId="6A00C126" w:rsidR="009A50E7" w:rsidRDefault="009A50E7" w:rsidP="00F323B1">
      <w:pPr>
        <w:autoSpaceDE w:val="0"/>
        <w:autoSpaceDN w:val="0"/>
        <w:adjustRightInd w:val="0"/>
        <w:spacing w:after="0" w:line="276" w:lineRule="auto"/>
        <w:rPr>
          <w:rFonts w:ascii="Calibri" w:hAnsi="Calibri" w:cs="Calibri"/>
          <w:color w:val="131413"/>
          <w:sz w:val="24"/>
          <w:szCs w:val="24"/>
        </w:rPr>
      </w:pPr>
    </w:p>
    <w:p w14:paraId="548E8031" w14:textId="04FDCA50" w:rsidR="009A50E7" w:rsidRPr="009A50E7" w:rsidRDefault="009A50E7" w:rsidP="00F323B1">
      <w:pPr>
        <w:autoSpaceDE w:val="0"/>
        <w:autoSpaceDN w:val="0"/>
        <w:adjustRightInd w:val="0"/>
        <w:spacing w:after="0" w:line="276" w:lineRule="auto"/>
        <w:rPr>
          <w:rFonts w:ascii="Calibri" w:hAnsi="Calibri" w:cs="Calibri"/>
          <w:color w:val="131413"/>
          <w:sz w:val="24"/>
          <w:szCs w:val="24"/>
        </w:rPr>
      </w:pPr>
      <w:r w:rsidRPr="009A50E7">
        <w:rPr>
          <w:rFonts w:ascii="Calibri" w:hAnsi="Calibri" w:cs="Calibri"/>
          <w:color w:val="131413"/>
          <w:sz w:val="24"/>
          <w:szCs w:val="24"/>
        </w:rPr>
        <w:t>This analysis has a number of strengths and limitations.</w:t>
      </w:r>
      <w:r w:rsidR="001B37E0">
        <w:rPr>
          <w:rFonts w:ascii="Calibri" w:hAnsi="Calibri" w:cs="Calibri"/>
          <w:color w:val="131413"/>
          <w:sz w:val="24"/>
          <w:szCs w:val="24"/>
        </w:rPr>
        <w:t xml:space="preserve">  </w:t>
      </w:r>
      <w:r w:rsidRPr="009A50E7">
        <w:rPr>
          <w:rFonts w:ascii="Calibri" w:hAnsi="Calibri" w:cs="Calibri"/>
          <w:color w:val="131413"/>
          <w:sz w:val="24"/>
          <w:szCs w:val="24"/>
        </w:rPr>
        <w:t xml:space="preserve">One limitation is that the </w:t>
      </w:r>
      <w:r w:rsidR="00FA76CE">
        <w:rPr>
          <w:rFonts w:ascii="Calibri" w:hAnsi="Calibri" w:cs="Calibri"/>
          <w:color w:val="131413"/>
          <w:sz w:val="24"/>
          <w:szCs w:val="24"/>
        </w:rPr>
        <w:t xml:space="preserve">population </w:t>
      </w:r>
      <w:r w:rsidRPr="009A50E7">
        <w:rPr>
          <w:rFonts w:ascii="Calibri" w:hAnsi="Calibri" w:cs="Calibri"/>
          <w:color w:val="131413"/>
          <w:sz w:val="24"/>
          <w:szCs w:val="24"/>
        </w:rPr>
        <w:t xml:space="preserve">studied </w:t>
      </w:r>
      <w:r w:rsidR="00FA76CE">
        <w:rPr>
          <w:rFonts w:ascii="Calibri" w:hAnsi="Calibri" w:cs="Calibri"/>
          <w:color w:val="131413"/>
          <w:sz w:val="24"/>
          <w:szCs w:val="24"/>
        </w:rPr>
        <w:t>for the impact of UITs on proportions at high/very high fracture risk</w:t>
      </w:r>
      <w:r w:rsidRPr="009A50E7">
        <w:rPr>
          <w:rFonts w:ascii="Calibri" w:hAnsi="Calibri" w:cs="Calibri"/>
          <w:color w:val="131413"/>
          <w:sz w:val="24"/>
          <w:szCs w:val="24"/>
        </w:rPr>
        <w:t xml:space="preserve"> is a simulated</w:t>
      </w:r>
      <w:r w:rsidR="00175676">
        <w:rPr>
          <w:rFonts w:ascii="Calibri" w:hAnsi="Calibri" w:cs="Calibri"/>
          <w:color w:val="131413"/>
          <w:sz w:val="24"/>
          <w:szCs w:val="24"/>
        </w:rPr>
        <w:t xml:space="preserve"> </w:t>
      </w:r>
      <w:r w:rsidRPr="009A50E7">
        <w:rPr>
          <w:rFonts w:ascii="Calibri" w:hAnsi="Calibri" w:cs="Calibri"/>
          <w:color w:val="131413"/>
          <w:sz w:val="24"/>
          <w:szCs w:val="24"/>
        </w:rPr>
        <w:t>cohort rather than a real population sample.</w:t>
      </w:r>
      <w:r w:rsidR="00175676">
        <w:rPr>
          <w:rFonts w:ascii="Calibri" w:hAnsi="Calibri" w:cs="Calibri"/>
          <w:color w:val="131413"/>
          <w:sz w:val="24"/>
          <w:szCs w:val="24"/>
        </w:rPr>
        <w:t xml:space="preserve"> </w:t>
      </w:r>
      <w:r w:rsidRPr="009A50E7">
        <w:rPr>
          <w:rFonts w:ascii="Calibri" w:hAnsi="Calibri" w:cs="Calibri"/>
          <w:color w:val="131413"/>
          <w:sz w:val="24"/>
          <w:szCs w:val="24"/>
        </w:rPr>
        <w:t xml:space="preserve"> However, the</w:t>
      </w:r>
    </w:p>
    <w:p w14:paraId="295BE8AB" w14:textId="4E454DD8" w:rsidR="009A50E7" w:rsidRPr="009A50E7" w:rsidRDefault="009A50E7" w:rsidP="00F323B1">
      <w:pPr>
        <w:autoSpaceDE w:val="0"/>
        <w:autoSpaceDN w:val="0"/>
        <w:adjustRightInd w:val="0"/>
        <w:spacing w:after="0" w:line="276" w:lineRule="auto"/>
        <w:rPr>
          <w:rFonts w:ascii="Calibri" w:hAnsi="Calibri" w:cs="Calibri"/>
          <w:color w:val="131413"/>
          <w:sz w:val="24"/>
          <w:szCs w:val="24"/>
        </w:rPr>
      </w:pPr>
      <w:r w:rsidRPr="009A50E7">
        <w:rPr>
          <w:rFonts w:ascii="Calibri" w:hAnsi="Calibri" w:cs="Calibri"/>
          <w:color w:val="131413"/>
          <w:sz w:val="24"/>
          <w:szCs w:val="24"/>
        </w:rPr>
        <w:t xml:space="preserve">analysis is a comparison of </w:t>
      </w:r>
      <w:r w:rsidR="0049253E">
        <w:rPr>
          <w:rFonts w:ascii="Calibri" w:hAnsi="Calibri" w:cs="Calibri"/>
          <w:color w:val="131413"/>
          <w:sz w:val="24"/>
          <w:szCs w:val="24"/>
        </w:rPr>
        <w:t>three</w:t>
      </w:r>
      <w:r w:rsidRPr="009A50E7">
        <w:rPr>
          <w:rFonts w:ascii="Calibri" w:hAnsi="Calibri" w:cs="Calibri"/>
          <w:color w:val="131413"/>
          <w:sz w:val="24"/>
          <w:szCs w:val="24"/>
        </w:rPr>
        <w:t xml:space="preserve"> sets of thresholds within the</w:t>
      </w:r>
      <w:r w:rsidR="00175676">
        <w:rPr>
          <w:rFonts w:ascii="Calibri" w:hAnsi="Calibri" w:cs="Calibri"/>
          <w:color w:val="131413"/>
          <w:sz w:val="24"/>
          <w:szCs w:val="24"/>
        </w:rPr>
        <w:t xml:space="preserve"> </w:t>
      </w:r>
      <w:r w:rsidRPr="009A50E7">
        <w:rPr>
          <w:rFonts w:ascii="Calibri" w:hAnsi="Calibri" w:cs="Calibri"/>
          <w:color w:val="131413"/>
          <w:sz w:val="24"/>
          <w:szCs w:val="24"/>
        </w:rPr>
        <w:t>same population so that conclusions drawn about the relative</w:t>
      </w:r>
      <w:r w:rsidR="00175676">
        <w:rPr>
          <w:rFonts w:ascii="Calibri" w:hAnsi="Calibri" w:cs="Calibri"/>
          <w:color w:val="131413"/>
          <w:sz w:val="24"/>
          <w:szCs w:val="24"/>
        </w:rPr>
        <w:t xml:space="preserve"> </w:t>
      </w:r>
      <w:r w:rsidRPr="009A50E7">
        <w:rPr>
          <w:rFonts w:ascii="Calibri" w:hAnsi="Calibri" w:cs="Calibri"/>
          <w:color w:val="131413"/>
          <w:sz w:val="24"/>
          <w:szCs w:val="24"/>
        </w:rPr>
        <w:t>performance of the thresholds are largely independent of the</w:t>
      </w:r>
      <w:r w:rsidR="00175676">
        <w:rPr>
          <w:rFonts w:ascii="Calibri" w:hAnsi="Calibri" w:cs="Calibri"/>
          <w:color w:val="131413"/>
          <w:sz w:val="24"/>
          <w:szCs w:val="24"/>
        </w:rPr>
        <w:t xml:space="preserve"> </w:t>
      </w:r>
      <w:r w:rsidRPr="009A50E7">
        <w:rPr>
          <w:rFonts w:ascii="Calibri" w:hAnsi="Calibri" w:cs="Calibri"/>
          <w:color w:val="131413"/>
          <w:sz w:val="24"/>
          <w:szCs w:val="24"/>
        </w:rPr>
        <w:t>study population. Furthermore, the simulation allows the impact</w:t>
      </w:r>
      <w:r w:rsidR="00EA09ED">
        <w:rPr>
          <w:rFonts w:ascii="Calibri" w:hAnsi="Calibri" w:cs="Calibri"/>
          <w:color w:val="131413"/>
          <w:sz w:val="24"/>
          <w:szCs w:val="24"/>
        </w:rPr>
        <w:t xml:space="preserve"> </w:t>
      </w:r>
      <w:r w:rsidRPr="009A50E7">
        <w:rPr>
          <w:rFonts w:ascii="Calibri" w:hAnsi="Calibri" w:cs="Calibri"/>
          <w:color w:val="131413"/>
          <w:sz w:val="24"/>
          <w:szCs w:val="24"/>
        </w:rPr>
        <w:t>of any changes in thresholds to be modelled at a population</w:t>
      </w:r>
      <w:r w:rsidR="00175676">
        <w:rPr>
          <w:rFonts w:ascii="Calibri" w:hAnsi="Calibri" w:cs="Calibri"/>
          <w:color w:val="131413"/>
          <w:sz w:val="24"/>
          <w:szCs w:val="24"/>
        </w:rPr>
        <w:t xml:space="preserve"> </w:t>
      </w:r>
      <w:r w:rsidRPr="009A50E7">
        <w:rPr>
          <w:rFonts w:ascii="Calibri" w:hAnsi="Calibri" w:cs="Calibri"/>
          <w:color w:val="131413"/>
          <w:sz w:val="24"/>
          <w:szCs w:val="24"/>
        </w:rPr>
        <w:t xml:space="preserve">level rather than in subsets of the population. </w:t>
      </w:r>
      <w:r w:rsidR="00A83DD7">
        <w:rPr>
          <w:rFonts w:ascii="Calibri" w:hAnsi="Calibri" w:cs="Calibri"/>
          <w:color w:val="131413"/>
          <w:sz w:val="24"/>
          <w:szCs w:val="24"/>
        </w:rPr>
        <w:t xml:space="preserve"> </w:t>
      </w:r>
      <w:r w:rsidRPr="009A50E7">
        <w:rPr>
          <w:rFonts w:ascii="Calibri" w:hAnsi="Calibri" w:cs="Calibri"/>
          <w:color w:val="131413"/>
          <w:sz w:val="24"/>
          <w:szCs w:val="24"/>
        </w:rPr>
        <w:t>The present</w:t>
      </w:r>
      <w:r w:rsidR="004545E8">
        <w:rPr>
          <w:rFonts w:ascii="Calibri" w:hAnsi="Calibri" w:cs="Calibri"/>
          <w:color w:val="131413"/>
          <w:sz w:val="24"/>
          <w:szCs w:val="24"/>
        </w:rPr>
        <w:t xml:space="preserve"> </w:t>
      </w:r>
      <w:r w:rsidRPr="009A50E7">
        <w:rPr>
          <w:rFonts w:ascii="Calibri" w:hAnsi="Calibri" w:cs="Calibri"/>
          <w:color w:val="131413"/>
          <w:sz w:val="24"/>
          <w:szCs w:val="24"/>
        </w:rPr>
        <w:t>analysis has only been conducted in a cohort modelled on the</w:t>
      </w:r>
    </w:p>
    <w:p w14:paraId="39FEC93D" w14:textId="2EFFB93C" w:rsidR="009A50E7" w:rsidRDefault="009A50E7" w:rsidP="00F323B1">
      <w:pPr>
        <w:autoSpaceDE w:val="0"/>
        <w:autoSpaceDN w:val="0"/>
        <w:adjustRightInd w:val="0"/>
        <w:spacing w:after="0" w:line="276" w:lineRule="auto"/>
        <w:rPr>
          <w:rFonts w:ascii="Calibri" w:hAnsi="Calibri" w:cs="Calibri"/>
          <w:color w:val="131413"/>
          <w:sz w:val="24"/>
          <w:szCs w:val="24"/>
        </w:rPr>
      </w:pPr>
      <w:r w:rsidRPr="009A50E7">
        <w:rPr>
          <w:rFonts w:ascii="Calibri" w:hAnsi="Calibri" w:cs="Calibri"/>
          <w:color w:val="131413"/>
          <w:sz w:val="24"/>
          <w:szCs w:val="24"/>
        </w:rPr>
        <w:t>age distribution of the UK</w:t>
      </w:r>
      <w:r w:rsidR="009E37AA">
        <w:rPr>
          <w:rFonts w:ascii="Calibri" w:hAnsi="Calibri" w:cs="Calibri"/>
          <w:color w:val="131413"/>
          <w:sz w:val="24"/>
          <w:szCs w:val="24"/>
        </w:rPr>
        <w:t xml:space="preserve"> </w:t>
      </w:r>
      <w:r w:rsidRPr="009A50E7">
        <w:rPr>
          <w:rFonts w:ascii="Calibri" w:hAnsi="Calibri" w:cs="Calibri"/>
          <w:color w:val="131413"/>
          <w:sz w:val="24"/>
          <w:szCs w:val="24"/>
        </w:rPr>
        <w:t>but</w:t>
      </w:r>
      <w:r w:rsidR="009E37AA">
        <w:rPr>
          <w:rFonts w:ascii="Calibri" w:hAnsi="Calibri" w:cs="Calibri"/>
          <w:color w:val="131413"/>
          <w:sz w:val="24"/>
          <w:szCs w:val="24"/>
        </w:rPr>
        <w:t>,</w:t>
      </w:r>
      <w:r w:rsidRPr="009A50E7">
        <w:rPr>
          <w:rFonts w:ascii="Calibri" w:hAnsi="Calibri" w:cs="Calibri"/>
          <w:color w:val="131413"/>
          <w:sz w:val="24"/>
          <w:szCs w:val="24"/>
        </w:rPr>
        <w:t xml:space="preserve"> given that the </w:t>
      </w:r>
      <w:r w:rsidR="004545E8">
        <w:rPr>
          <w:rFonts w:ascii="Calibri" w:hAnsi="Calibri" w:cs="Calibri"/>
          <w:color w:val="131413"/>
          <w:sz w:val="24"/>
          <w:szCs w:val="24"/>
        </w:rPr>
        <w:t xml:space="preserve">prevalence of </w:t>
      </w:r>
      <w:r w:rsidRPr="009A50E7">
        <w:rPr>
          <w:rFonts w:ascii="Calibri" w:hAnsi="Calibri" w:cs="Calibri"/>
          <w:color w:val="131413"/>
          <w:sz w:val="24"/>
          <w:szCs w:val="24"/>
        </w:rPr>
        <w:t>risk factor</w:t>
      </w:r>
      <w:r w:rsidR="004545E8">
        <w:rPr>
          <w:rFonts w:ascii="Calibri" w:hAnsi="Calibri" w:cs="Calibri"/>
          <w:color w:val="131413"/>
          <w:sz w:val="24"/>
          <w:szCs w:val="24"/>
        </w:rPr>
        <w:t>s</w:t>
      </w:r>
      <w:r w:rsidRPr="009A50E7">
        <w:rPr>
          <w:rFonts w:ascii="Calibri" w:hAnsi="Calibri" w:cs="Calibri"/>
          <w:color w:val="131413"/>
          <w:sz w:val="24"/>
          <w:szCs w:val="24"/>
        </w:rPr>
        <w:t xml:space="preserve"> </w:t>
      </w:r>
      <w:r w:rsidR="00EA09ED">
        <w:rPr>
          <w:rFonts w:ascii="Calibri" w:hAnsi="Calibri" w:cs="Calibri"/>
          <w:color w:val="131413"/>
          <w:sz w:val="24"/>
          <w:szCs w:val="24"/>
        </w:rPr>
        <w:t>was</w:t>
      </w:r>
      <w:r w:rsidRPr="009A50E7">
        <w:rPr>
          <w:rFonts w:ascii="Calibri" w:hAnsi="Calibri" w:cs="Calibri"/>
          <w:color w:val="131413"/>
          <w:sz w:val="24"/>
          <w:szCs w:val="24"/>
        </w:rPr>
        <w:t xml:space="preserve"> derived from several European cohorts, it is likely</w:t>
      </w:r>
      <w:r w:rsidR="00A83420">
        <w:rPr>
          <w:rFonts w:ascii="Calibri" w:hAnsi="Calibri" w:cs="Calibri"/>
          <w:color w:val="131413"/>
          <w:sz w:val="24"/>
          <w:szCs w:val="24"/>
        </w:rPr>
        <w:t xml:space="preserve"> </w:t>
      </w:r>
      <w:r w:rsidRPr="009A50E7">
        <w:rPr>
          <w:rFonts w:ascii="Calibri" w:hAnsi="Calibri" w:cs="Calibri"/>
          <w:color w:val="131413"/>
          <w:sz w:val="24"/>
          <w:szCs w:val="24"/>
        </w:rPr>
        <w:t>that similar conclusions would be drawn across other European</w:t>
      </w:r>
      <w:r w:rsidR="00A83420">
        <w:rPr>
          <w:rFonts w:ascii="Calibri" w:hAnsi="Calibri" w:cs="Calibri"/>
          <w:color w:val="131413"/>
          <w:sz w:val="24"/>
          <w:szCs w:val="24"/>
        </w:rPr>
        <w:t xml:space="preserve"> </w:t>
      </w:r>
      <w:r w:rsidRPr="009A50E7">
        <w:rPr>
          <w:rFonts w:ascii="Calibri" w:hAnsi="Calibri" w:cs="Calibri"/>
          <w:color w:val="131413"/>
          <w:sz w:val="24"/>
          <w:szCs w:val="24"/>
        </w:rPr>
        <w:t>countries, with the only differences being driven by</w:t>
      </w:r>
      <w:r w:rsidR="002E0120" w:rsidRPr="002E0120">
        <w:t xml:space="preserve"> </w:t>
      </w:r>
      <w:r w:rsidR="002E0120" w:rsidRPr="002E0120">
        <w:rPr>
          <w:rFonts w:ascii="Calibri" w:hAnsi="Calibri" w:cs="Calibri"/>
          <w:color w:val="131413"/>
          <w:sz w:val="24"/>
          <w:szCs w:val="24"/>
        </w:rPr>
        <w:t xml:space="preserve">variations in the age distributions within these countries. </w:t>
      </w:r>
      <w:r w:rsidR="00983842">
        <w:rPr>
          <w:rFonts w:ascii="Calibri" w:hAnsi="Calibri" w:cs="Calibri"/>
          <w:color w:val="131413"/>
          <w:sz w:val="24"/>
          <w:szCs w:val="24"/>
        </w:rPr>
        <w:t xml:space="preserve">The </w:t>
      </w:r>
      <w:r w:rsidR="00C06AA3">
        <w:rPr>
          <w:rFonts w:ascii="Calibri" w:hAnsi="Calibri" w:cs="Calibri"/>
          <w:color w:val="131413"/>
          <w:sz w:val="24"/>
          <w:szCs w:val="24"/>
        </w:rPr>
        <w:t>present study was confined to thres</w:t>
      </w:r>
      <w:r w:rsidR="00464CFE">
        <w:rPr>
          <w:rFonts w:ascii="Calibri" w:hAnsi="Calibri" w:cs="Calibri"/>
          <w:color w:val="131413"/>
          <w:sz w:val="24"/>
          <w:szCs w:val="24"/>
        </w:rPr>
        <w:t>hol</w:t>
      </w:r>
      <w:r w:rsidR="00C06AA3">
        <w:rPr>
          <w:rFonts w:ascii="Calibri" w:hAnsi="Calibri" w:cs="Calibri"/>
          <w:color w:val="131413"/>
          <w:sz w:val="24"/>
          <w:szCs w:val="24"/>
        </w:rPr>
        <w:t>d</w:t>
      </w:r>
      <w:r w:rsidR="00464CFE">
        <w:rPr>
          <w:rFonts w:ascii="Calibri" w:hAnsi="Calibri" w:cs="Calibri"/>
          <w:color w:val="131413"/>
          <w:sz w:val="24"/>
          <w:szCs w:val="24"/>
        </w:rPr>
        <w:t xml:space="preserve"> </w:t>
      </w:r>
      <w:r w:rsidR="0048078D">
        <w:rPr>
          <w:rFonts w:ascii="Calibri" w:hAnsi="Calibri" w:cs="Calibri"/>
          <w:color w:val="131413"/>
          <w:sz w:val="24"/>
          <w:szCs w:val="24"/>
        </w:rPr>
        <w:t>probabilities</w:t>
      </w:r>
      <w:r w:rsidR="00464CFE">
        <w:rPr>
          <w:rFonts w:ascii="Calibri" w:hAnsi="Calibri" w:cs="Calibri"/>
          <w:color w:val="131413"/>
          <w:sz w:val="24"/>
          <w:szCs w:val="24"/>
        </w:rPr>
        <w:t xml:space="preserve"> for a</w:t>
      </w:r>
      <w:r w:rsidR="0048078D">
        <w:rPr>
          <w:rFonts w:ascii="Calibri" w:hAnsi="Calibri" w:cs="Calibri"/>
          <w:color w:val="131413"/>
          <w:sz w:val="24"/>
          <w:szCs w:val="24"/>
        </w:rPr>
        <w:t xml:space="preserve"> </w:t>
      </w:r>
      <w:r w:rsidR="00464CFE">
        <w:rPr>
          <w:rFonts w:ascii="Calibri" w:hAnsi="Calibri" w:cs="Calibri"/>
          <w:color w:val="131413"/>
          <w:sz w:val="24"/>
          <w:szCs w:val="24"/>
        </w:rPr>
        <w:t>ma</w:t>
      </w:r>
      <w:r w:rsidR="0048078D">
        <w:rPr>
          <w:rFonts w:ascii="Calibri" w:hAnsi="Calibri" w:cs="Calibri"/>
          <w:color w:val="131413"/>
          <w:sz w:val="24"/>
          <w:szCs w:val="24"/>
        </w:rPr>
        <w:t>jor osteoporotic fracture</w:t>
      </w:r>
      <w:r w:rsidR="005931D0">
        <w:rPr>
          <w:rFonts w:ascii="Calibri" w:hAnsi="Calibri" w:cs="Calibri"/>
          <w:color w:val="131413"/>
          <w:sz w:val="24"/>
          <w:szCs w:val="24"/>
        </w:rPr>
        <w:t xml:space="preserve"> whereas hip fracture probability i</w:t>
      </w:r>
      <w:r w:rsidR="00DA2F8E">
        <w:rPr>
          <w:rFonts w:ascii="Calibri" w:hAnsi="Calibri" w:cs="Calibri"/>
          <w:color w:val="131413"/>
          <w:sz w:val="24"/>
          <w:szCs w:val="24"/>
        </w:rPr>
        <w:t>s the other output of FRAX used in the NOGG guidance</w:t>
      </w:r>
      <w:r w:rsidR="00A7585A">
        <w:rPr>
          <w:rFonts w:ascii="Calibri" w:hAnsi="Calibri" w:cs="Calibri"/>
          <w:color w:val="131413"/>
          <w:sz w:val="24"/>
          <w:szCs w:val="24"/>
        </w:rPr>
        <w:t xml:space="preserve">.  Indeed, treatment is recommended </w:t>
      </w:r>
      <w:r w:rsidR="00B70268">
        <w:rPr>
          <w:rFonts w:ascii="Calibri" w:hAnsi="Calibri" w:cs="Calibri"/>
          <w:color w:val="131413"/>
          <w:sz w:val="24"/>
          <w:szCs w:val="24"/>
        </w:rPr>
        <w:t xml:space="preserve">if the hip fracture probability </w:t>
      </w:r>
      <w:r w:rsidR="00AB6F3E">
        <w:rPr>
          <w:rFonts w:ascii="Calibri" w:hAnsi="Calibri" w:cs="Calibri"/>
          <w:color w:val="131413"/>
          <w:sz w:val="24"/>
          <w:szCs w:val="24"/>
        </w:rPr>
        <w:t xml:space="preserve">OR the </w:t>
      </w:r>
      <w:r w:rsidR="006C6CFF">
        <w:rPr>
          <w:rFonts w:ascii="Calibri" w:hAnsi="Calibri" w:cs="Calibri"/>
          <w:color w:val="131413"/>
          <w:sz w:val="24"/>
          <w:szCs w:val="24"/>
        </w:rPr>
        <w:t>major osteopo</w:t>
      </w:r>
      <w:r w:rsidR="00986776">
        <w:rPr>
          <w:rFonts w:ascii="Calibri" w:hAnsi="Calibri" w:cs="Calibri"/>
          <w:color w:val="131413"/>
          <w:sz w:val="24"/>
          <w:szCs w:val="24"/>
        </w:rPr>
        <w:t xml:space="preserve">rotic </w:t>
      </w:r>
      <w:r w:rsidR="00AB6F3E">
        <w:rPr>
          <w:rFonts w:ascii="Calibri" w:hAnsi="Calibri" w:cs="Calibri"/>
          <w:color w:val="131413"/>
          <w:sz w:val="24"/>
          <w:szCs w:val="24"/>
        </w:rPr>
        <w:t>fracture probability exceeds the intervention threshold</w:t>
      </w:r>
      <w:r w:rsidR="00EC34B0">
        <w:rPr>
          <w:rFonts w:ascii="Calibri" w:hAnsi="Calibri" w:cs="Calibri"/>
          <w:color w:val="131413"/>
          <w:sz w:val="24"/>
          <w:szCs w:val="24"/>
        </w:rPr>
        <w:t>.  The lower inter</w:t>
      </w:r>
      <w:r w:rsidR="00705A91">
        <w:rPr>
          <w:rFonts w:ascii="Calibri" w:hAnsi="Calibri" w:cs="Calibri"/>
          <w:color w:val="131413"/>
          <w:sz w:val="24"/>
          <w:szCs w:val="24"/>
        </w:rPr>
        <w:t>vention threshold</w:t>
      </w:r>
      <w:r w:rsidR="00986776">
        <w:rPr>
          <w:rFonts w:ascii="Calibri" w:hAnsi="Calibri" w:cs="Calibri"/>
          <w:color w:val="131413"/>
          <w:sz w:val="24"/>
          <w:szCs w:val="24"/>
        </w:rPr>
        <w:t xml:space="preserve"> for hip fracture probability</w:t>
      </w:r>
      <w:r w:rsidR="005927D3">
        <w:rPr>
          <w:rFonts w:ascii="Calibri" w:hAnsi="Calibri" w:cs="Calibri"/>
          <w:color w:val="131413"/>
          <w:sz w:val="24"/>
          <w:szCs w:val="24"/>
        </w:rPr>
        <w:t xml:space="preserve"> is 0.91</w:t>
      </w:r>
      <w:r w:rsidR="00197B0D">
        <w:rPr>
          <w:rFonts w:ascii="Calibri" w:hAnsi="Calibri" w:cs="Calibri"/>
          <w:color w:val="131413"/>
          <w:sz w:val="24"/>
          <w:szCs w:val="24"/>
        </w:rPr>
        <w:t xml:space="preserve"> </w:t>
      </w:r>
      <w:r w:rsidR="005927D3">
        <w:rPr>
          <w:rFonts w:ascii="Calibri" w:hAnsi="Calibri" w:cs="Calibri"/>
          <w:color w:val="131413"/>
          <w:sz w:val="24"/>
          <w:szCs w:val="24"/>
        </w:rPr>
        <w:t>,</w:t>
      </w:r>
      <w:r w:rsidR="00F352EB">
        <w:rPr>
          <w:rFonts w:ascii="Calibri" w:hAnsi="Calibri" w:cs="Calibri"/>
          <w:color w:val="131413"/>
          <w:sz w:val="24"/>
          <w:szCs w:val="24"/>
        </w:rPr>
        <w:t>2.3 and 5.4% at the ages of 5</w:t>
      </w:r>
      <w:r w:rsidR="00523D01">
        <w:rPr>
          <w:rFonts w:ascii="Calibri" w:hAnsi="Calibri" w:cs="Calibri"/>
          <w:color w:val="131413"/>
          <w:sz w:val="24"/>
          <w:szCs w:val="24"/>
        </w:rPr>
        <w:t>0</w:t>
      </w:r>
      <w:r w:rsidR="004A1D38">
        <w:rPr>
          <w:rFonts w:ascii="Calibri" w:hAnsi="Calibri" w:cs="Calibri"/>
          <w:color w:val="131413"/>
          <w:sz w:val="24"/>
          <w:szCs w:val="24"/>
        </w:rPr>
        <w:t>, 60 and 70 years, respectively</w:t>
      </w:r>
      <w:r w:rsidR="00197B0D">
        <w:rPr>
          <w:rFonts w:ascii="Calibri" w:hAnsi="Calibri" w:cs="Calibri"/>
          <w:color w:val="131413"/>
          <w:sz w:val="24"/>
          <w:szCs w:val="24"/>
        </w:rPr>
        <w:t>.  Thus, very high</w:t>
      </w:r>
      <w:r w:rsidR="005A1C42">
        <w:rPr>
          <w:rFonts w:ascii="Calibri" w:hAnsi="Calibri" w:cs="Calibri"/>
          <w:color w:val="131413"/>
          <w:sz w:val="24"/>
          <w:szCs w:val="24"/>
        </w:rPr>
        <w:t xml:space="preserve"> risk would be set at hip fracture probabilities of </w:t>
      </w:r>
      <w:r w:rsidR="003339E1">
        <w:rPr>
          <w:rFonts w:ascii="Calibri" w:hAnsi="Calibri" w:cs="Calibri"/>
          <w:color w:val="131413"/>
          <w:sz w:val="24"/>
          <w:szCs w:val="24"/>
        </w:rPr>
        <w:t xml:space="preserve">1.5, 3.7 and 8.6%, respectively.  </w:t>
      </w:r>
      <w:r w:rsidR="00567F1D">
        <w:rPr>
          <w:rFonts w:ascii="Calibri" w:hAnsi="Calibri" w:cs="Calibri"/>
          <w:color w:val="131413"/>
          <w:sz w:val="24"/>
          <w:szCs w:val="24"/>
        </w:rPr>
        <w:t>The consideration of the two fracture probabilities is</w:t>
      </w:r>
      <w:r w:rsidR="005C589D">
        <w:rPr>
          <w:rFonts w:ascii="Calibri" w:hAnsi="Calibri" w:cs="Calibri"/>
          <w:color w:val="131413"/>
          <w:sz w:val="24"/>
          <w:szCs w:val="24"/>
        </w:rPr>
        <w:t xml:space="preserve"> likely also to increase the </w:t>
      </w:r>
      <w:r w:rsidR="009701A1">
        <w:rPr>
          <w:rFonts w:ascii="Calibri" w:hAnsi="Calibri" w:cs="Calibri"/>
          <w:color w:val="131413"/>
          <w:sz w:val="24"/>
          <w:szCs w:val="24"/>
        </w:rPr>
        <w:t>number of women identified at high risk and at very hi</w:t>
      </w:r>
      <w:r w:rsidR="004F54E5">
        <w:rPr>
          <w:rFonts w:ascii="Calibri" w:hAnsi="Calibri" w:cs="Calibri"/>
          <w:color w:val="131413"/>
          <w:sz w:val="24"/>
          <w:szCs w:val="24"/>
        </w:rPr>
        <w:t>gh risk.</w:t>
      </w:r>
      <w:r w:rsidR="00567F1D">
        <w:rPr>
          <w:rFonts w:ascii="Calibri" w:hAnsi="Calibri" w:cs="Calibri"/>
          <w:color w:val="131413"/>
          <w:sz w:val="24"/>
          <w:szCs w:val="24"/>
        </w:rPr>
        <w:t xml:space="preserve"> </w:t>
      </w:r>
      <w:r w:rsidR="00464CFE">
        <w:rPr>
          <w:rFonts w:ascii="Calibri" w:hAnsi="Calibri" w:cs="Calibri"/>
          <w:color w:val="131413"/>
          <w:sz w:val="24"/>
          <w:szCs w:val="24"/>
        </w:rPr>
        <w:t xml:space="preserve"> </w:t>
      </w:r>
      <w:r w:rsidR="002E0120" w:rsidRPr="002E0120">
        <w:rPr>
          <w:rFonts w:ascii="Calibri" w:hAnsi="Calibri" w:cs="Calibri"/>
          <w:color w:val="131413"/>
          <w:sz w:val="24"/>
          <w:szCs w:val="24"/>
        </w:rPr>
        <w:t>The</w:t>
      </w:r>
      <w:r w:rsidR="0050023A">
        <w:rPr>
          <w:rFonts w:ascii="Calibri" w:hAnsi="Calibri" w:cs="Calibri"/>
          <w:color w:val="131413"/>
          <w:sz w:val="24"/>
          <w:szCs w:val="24"/>
        </w:rPr>
        <w:t xml:space="preserve"> </w:t>
      </w:r>
      <w:r w:rsidR="002E0120" w:rsidRPr="002E0120">
        <w:rPr>
          <w:rFonts w:ascii="Calibri" w:hAnsi="Calibri" w:cs="Calibri"/>
          <w:color w:val="131413"/>
          <w:sz w:val="24"/>
          <w:szCs w:val="24"/>
        </w:rPr>
        <w:t>present analysis does not allow an examination of the impact</w:t>
      </w:r>
      <w:r w:rsidR="0050023A">
        <w:rPr>
          <w:rFonts w:ascii="Calibri" w:hAnsi="Calibri" w:cs="Calibri"/>
          <w:color w:val="131413"/>
          <w:sz w:val="24"/>
          <w:szCs w:val="24"/>
        </w:rPr>
        <w:t xml:space="preserve"> </w:t>
      </w:r>
      <w:r w:rsidR="002E0120" w:rsidRPr="002E0120">
        <w:rPr>
          <w:rFonts w:ascii="Calibri" w:hAnsi="Calibri" w:cs="Calibri"/>
          <w:color w:val="131413"/>
          <w:sz w:val="24"/>
          <w:szCs w:val="24"/>
        </w:rPr>
        <w:t>of threshold changes in men</w:t>
      </w:r>
      <w:r w:rsidR="0050023A">
        <w:rPr>
          <w:rFonts w:ascii="Calibri" w:hAnsi="Calibri" w:cs="Calibri"/>
          <w:color w:val="131413"/>
          <w:sz w:val="24"/>
          <w:szCs w:val="24"/>
        </w:rPr>
        <w:t xml:space="preserve">.  </w:t>
      </w:r>
    </w:p>
    <w:p w14:paraId="41169E42" w14:textId="1BC22684" w:rsidR="00703E7A" w:rsidRDefault="00703E7A" w:rsidP="00F323B1">
      <w:pPr>
        <w:autoSpaceDE w:val="0"/>
        <w:autoSpaceDN w:val="0"/>
        <w:adjustRightInd w:val="0"/>
        <w:spacing w:after="0" w:line="276" w:lineRule="auto"/>
        <w:rPr>
          <w:rFonts w:ascii="Calibri" w:hAnsi="Calibri" w:cs="Calibri"/>
          <w:color w:val="131413"/>
          <w:sz w:val="24"/>
          <w:szCs w:val="24"/>
        </w:rPr>
      </w:pPr>
    </w:p>
    <w:p w14:paraId="0FAA1F31" w14:textId="5B4CF5BD" w:rsidR="002A07D0" w:rsidRPr="00B642E5" w:rsidRDefault="00703E7A" w:rsidP="00F323B1">
      <w:pPr>
        <w:autoSpaceDE w:val="0"/>
        <w:autoSpaceDN w:val="0"/>
        <w:adjustRightInd w:val="0"/>
        <w:spacing w:after="0" w:line="276" w:lineRule="auto"/>
        <w:rPr>
          <w:rFonts w:ascii="Calibri" w:hAnsi="Calibri" w:cs="Calibri"/>
          <w:color w:val="131413"/>
          <w:sz w:val="24"/>
          <w:szCs w:val="24"/>
        </w:rPr>
      </w:pPr>
      <w:r w:rsidRPr="00703E7A">
        <w:rPr>
          <w:rFonts w:ascii="Calibri" w:hAnsi="Calibri" w:cs="Calibri"/>
          <w:color w:val="131413"/>
          <w:sz w:val="24"/>
          <w:szCs w:val="24"/>
        </w:rPr>
        <w:t>Finally, it</w:t>
      </w:r>
      <w:r w:rsidR="00C5785E">
        <w:rPr>
          <w:rFonts w:ascii="Calibri" w:hAnsi="Calibri" w:cs="Calibri"/>
          <w:color w:val="131413"/>
          <w:sz w:val="24"/>
          <w:szCs w:val="24"/>
        </w:rPr>
        <w:t xml:space="preserve"> will be </w:t>
      </w:r>
      <w:r w:rsidR="009F6DEF" w:rsidRPr="009F6DEF">
        <w:rPr>
          <w:rFonts w:ascii="Calibri" w:hAnsi="Calibri" w:cs="Calibri"/>
          <w:color w:val="131413"/>
          <w:sz w:val="24"/>
          <w:szCs w:val="24"/>
        </w:rPr>
        <w:t xml:space="preserve">important to place the </w:t>
      </w:r>
      <w:r w:rsidR="00AC7F0A">
        <w:rPr>
          <w:rFonts w:ascii="Calibri" w:hAnsi="Calibri" w:cs="Calibri"/>
          <w:color w:val="131413"/>
          <w:sz w:val="24"/>
          <w:szCs w:val="24"/>
        </w:rPr>
        <w:t>upper intervention</w:t>
      </w:r>
      <w:r w:rsidR="009F6DEF" w:rsidRPr="009F6DEF">
        <w:rPr>
          <w:rFonts w:ascii="Calibri" w:hAnsi="Calibri" w:cs="Calibri"/>
          <w:color w:val="131413"/>
          <w:sz w:val="24"/>
          <w:szCs w:val="24"/>
        </w:rPr>
        <w:t xml:space="preserve"> thresholds</w:t>
      </w:r>
      <w:r w:rsidR="008C05BA">
        <w:rPr>
          <w:rFonts w:ascii="Calibri" w:hAnsi="Calibri" w:cs="Calibri"/>
          <w:color w:val="131413"/>
          <w:sz w:val="24"/>
          <w:szCs w:val="24"/>
        </w:rPr>
        <w:t xml:space="preserve"> </w:t>
      </w:r>
      <w:r w:rsidR="009F6DEF" w:rsidRPr="009F6DEF">
        <w:rPr>
          <w:rFonts w:ascii="Calibri" w:hAnsi="Calibri" w:cs="Calibri"/>
          <w:color w:val="131413"/>
          <w:sz w:val="24"/>
          <w:szCs w:val="24"/>
        </w:rPr>
        <w:t>in a health economic perspective.</w:t>
      </w:r>
      <w:r w:rsidR="008E6009">
        <w:rPr>
          <w:rFonts w:ascii="Calibri" w:hAnsi="Calibri" w:cs="Calibri"/>
          <w:color w:val="131413"/>
          <w:sz w:val="24"/>
          <w:szCs w:val="24"/>
        </w:rPr>
        <w:t xml:space="preserve"> </w:t>
      </w:r>
      <w:r w:rsidR="009F6DEF" w:rsidRPr="009F6DEF">
        <w:rPr>
          <w:rFonts w:ascii="Calibri" w:hAnsi="Calibri" w:cs="Calibri"/>
          <w:color w:val="131413"/>
          <w:sz w:val="24"/>
          <w:szCs w:val="24"/>
        </w:rPr>
        <w:t xml:space="preserve"> </w:t>
      </w:r>
      <w:r w:rsidR="008E6009">
        <w:rPr>
          <w:rFonts w:ascii="Calibri" w:hAnsi="Calibri" w:cs="Calibri"/>
          <w:color w:val="131413"/>
          <w:sz w:val="24"/>
          <w:szCs w:val="24"/>
        </w:rPr>
        <w:t>I</w:t>
      </w:r>
      <w:r w:rsidR="009F6DEF" w:rsidRPr="009F6DEF">
        <w:rPr>
          <w:rFonts w:ascii="Calibri" w:hAnsi="Calibri" w:cs="Calibri"/>
          <w:color w:val="131413"/>
          <w:sz w:val="24"/>
          <w:szCs w:val="24"/>
        </w:rPr>
        <w:t>n the context of osteoporosis</w:t>
      </w:r>
      <w:r w:rsidR="008C05BA">
        <w:rPr>
          <w:rFonts w:ascii="Calibri" w:hAnsi="Calibri" w:cs="Calibri"/>
          <w:color w:val="131413"/>
          <w:sz w:val="24"/>
          <w:szCs w:val="24"/>
        </w:rPr>
        <w:t xml:space="preserve"> </w:t>
      </w:r>
      <w:r w:rsidR="009F6DEF" w:rsidRPr="009F6DEF">
        <w:rPr>
          <w:rFonts w:ascii="Calibri" w:hAnsi="Calibri" w:cs="Calibri"/>
          <w:color w:val="131413"/>
          <w:sz w:val="24"/>
          <w:szCs w:val="24"/>
        </w:rPr>
        <w:t>and fracture risk, the intervention threshold that is</w:t>
      </w:r>
      <w:r w:rsidR="008C05BA">
        <w:rPr>
          <w:rFonts w:ascii="Calibri" w:hAnsi="Calibri" w:cs="Calibri"/>
          <w:color w:val="131413"/>
          <w:sz w:val="24"/>
          <w:szCs w:val="24"/>
        </w:rPr>
        <w:t xml:space="preserve"> </w:t>
      </w:r>
      <w:r w:rsidR="009F6DEF" w:rsidRPr="009F6DEF">
        <w:rPr>
          <w:rFonts w:ascii="Calibri" w:hAnsi="Calibri" w:cs="Calibri"/>
          <w:color w:val="131413"/>
          <w:sz w:val="24"/>
          <w:szCs w:val="24"/>
        </w:rPr>
        <w:t>relevant for payers can be defined as the probability of fracture</w:t>
      </w:r>
      <w:r w:rsidR="008C05BA">
        <w:rPr>
          <w:rFonts w:ascii="Calibri" w:hAnsi="Calibri" w:cs="Calibri"/>
          <w:color w:val="131413"/>
          <w:sz w:val="24"/>
          <w:szCs w:val="24"/>
        </w:rPr>
        <w:t xml:space="preserve"> </w:t>
      </w:r>
      <w:r w:rsidR="009F6DEF" w:rsidRPr="009F6DEF">
        <w:rPr>
          <w:rFonts w:ascii="Calibri" w:hAnsi="Calibri" w:cs="Calibri"/>
          <w:color w:val="131413"/>
          <w:sz w:val="24"/>
          <w:szCs w:val="24"/>
        </w:rPr>
        <w:t xml:space="preserve">at which intervention becomes cost-effective. </w:t>
      </w:r>
      <w:r w:rsidR="00CE64B6">
        <w:rPr>
          <w:rFonts w:ascii="Calibri" w:hAnsi="Calibri" w:cs="Calibri"/>
          <w:color w:val="131413"/>
          <w:sz w:val="24"/>
          <w:szCs w:val="24"/>
        </w:rPr>
        <w:t xml:space="preserve"> </w:t>
      </w:r>
      <w:r w:rsidR="007A382D">
        <w:rPr>
          <w:rFonts w:ascii="Calibri" w:hAnsi="Calibri" w:cs="Calibri"/>
          <w:color w:val="131413"/>
          <w:sz w:val="24"/>
          <w:szCs w:val="24"/>
        </w:rPr>
        <w:t xml:space="preserve">Whilst NOGG thresholds are driven by clinical appropriateness rather than health-economics, </w:t>
      </w:r>
      <w:r w:rsidR="009F6DEF" w:rsidRPr="009F6DEF">
        <w:rPr>
          <w:rFonts w:ascii="Calibri" w:hAnsi="Calibri" w:cs="Calibri"/>
          <w:color w:val="131413"/>
          <w:sz w:val="24"/>
          <w:szCs w:val="24"/>
        </w:rPr>
        <w:t>it is still important</w:t>
      </w:r>
      <w:r w:rsidR="00A41A75">
        <w:rPr>
          <w:rFonts w:ascii="Calibri" w:hAnsi="Calibri" w:cs="Calibri"/>
          <w:color w:val="131413"/>
          <w:sz w:val="24"/>
          <w:szCs w:val="24"/>
        </w:rPr>
        <w:t xml:space="preserve"> </w:t>
      </w:r>
      <w:r w:rsidR="009F6DEF" w:rsidRPr="009F6DEF">
        <w:rPr>
          <w:rFonts w:ascii="Calibri" w:hAnsi="Calibri" w:cs="Calibri"/>
          <w:color w:val="131413"/>
          <w:sz w:val="24"/>
          <w:szCs w:val="24"/>
        </w:rPr>
        <w:t>to underpin the chosen intervention thresholds by cost-effectiveness.</w:t>
      </w:r>
      <w:r w:rsidR="00CE64B6">
        <w:rPr>
          <w:rFonts w:ascii="Calibri" w:hAnsi="Calibri" w:cs="Calibri"/>
          <w:color w:val="131413"/>
          <w:sz w:val="24"/>
          <w:szCs w:val="24"/>
        </w:rPr>
        <w:t xml:space="preserve"> </w:t>
      </w:r>
      <w:r w:rsidR="00F8377A">
        <w:rPr>
          <w:rFonts w:ascii="Calibri" w:hAnsi="Calibri" w:cs="Calibri"/>
          <w:color w:val="131413"/>
          <w:sz w:val="24"/>
          <w:szCs w:val="24"/>
        </w:rPr>
        <w:t xml:space="preserve"> </w:t>
      </w:r>
      <w:r w:rsidR="00694013">
        <w:rPr>
          <w:rFonts w:ascii="Calibri" w:hAnsi="Calibri" w:cs="Calibri"/>
          <w:color w:val="131413"/>
          <w:sz w:val="24"/>
          <w:szCs w:val="24"/>
        </w:rPr>
        <w:t xml:space="preserve">The LIT used in the NOGG </w:t>
      </w:r>
      <w:r w:rsidR="00262A4B">
        <w:rPr>
          <w:rFonts w:ascii="Calibri" w:hAnsi="Calibri" w:cs="Calibri"/>
          <w:color w:val="131413"/>
          <w:sz w:val="24"/>
          <w:szCs w:val="24"/>
        </w:rPr>
        <w:t xml:space="preserve">guidance </w:t>
      </w:r>
      <w:r w:rsidR="00262A4B" w:rsidRPr="009F6DEF">
        <w:rPr>
          <w:rFonts w:ascii="Calibri" w:hAnsi="Calibri" w:cs="Calibri"/>
          <w:color w:val="131413"/>
          <w:sz w:val="24"/>
          <w:szCs w:val="24"/>
        </w:rPr>
        <w:t>provides</w:t>
      </w:r>
      <w:r w:rsidR="00246761">
        <w:rPr>
          <w:rFonts w:ascii="Calibri" w:hAnsi="Calibri" w:cs="Calibri"/>
          <w:color w:val="131413"/>
          <w:sz w:val="24"/>
          <w:szCs w:val="24"/>
        </w:rPr>
        <w:t xml:space="preserve"> </w:t>
      </w:r>
      <w:r w:rsidR="009F6DEF" w:rsidRPr="009F6DEF">
        <w:rPr>
          <w:rFonts w:ascii="Calibri" w:hAnsi="Calibri" w:cs="Calibri"/>
          <w:color w:val="131413"/>
          <w:sz w:val="24"/>
          <w:szCs w:val="24"/>
        </w:rPr>
        <w:t xml:space="preserve">strategies </w:t>
      </w:r>
      <w:r w:rsidR="00246761">
        <w:rPr>
          <w:rFonts w:ascii="Calibri" w:hAnsi="Calibri" w:cs="Calibri"/>
          <w:color w:val="131413"/>
          <w:sz w:val="24"/>
          <w:szCs w:val="24"/>
        </w:rPr>
        <w:t>that</w:t>
      </w:r>
      <w:r w:rsidR="009F6DEF" w:rsidRPr="009F6DEF">
        <w:rPr>
          <w:rFonts w:ascii="Calibri" w:hAnsi="Calibri" w:cs="Calibri"/>
          <w:color w:val="131413"/>
          <w:sz w:val="24"/>
          <w:szCs w:val="24"/>
        </w:rPr>
        <w:t xml:space="preserve"> are highly</w:t>
      </w:r>
      <w:r w:rsidR="00262A4B">
        <w:rPr>
          <w:rFonts w:ascii="Calibri" w:hAnsi="Calibri" w:cs="Calibri"/>
          <w:color w:val="131413"/>
          <w:sz w:val="24"/>
          <w:szCs w:val="24"/>
        </w:rPr>
        <w:t xml:space="preserve"> </w:t>
      </w:r>
      <w:r w:rsidR="009F6DEF" w:rsidRPr="009F6DEF">
        <w:rPr>
          <w:rFonts w:ascii="Calibri" w:hAnsi="Calibri" w:cs="Calibri"/>
          <w:color w:val="131413"/>
          <w:sz w:val="24"/>
          <w:szCs w:val="24"/>
        </w:rPr>
        <w:t>cost-</w:t>
      </w:r>
      <w:r w:rsidR="009F6DEF" w:rsidRPr="00B47ACA">
        <w:rPr>
          <w:rFonts w:ascii="Calibri" w:hAnsi="Calibri" w:cs="Calibri"/>
          <w:color w:val="131413"/>
          <w:sz w:val="24"/>
          <w:szCs w:val="24"/>
        </w:rPr>
        <w:t>effective</w:t>
      </w:r>
      <w:r w:rsidR="00CE64B6" w:rsidRPr="00B47ACA">
        <w:rPr>
          <w:rFonts w:ascii="Calibri" w:hAnsi="Calibri" w:cs="Calibri"/>
          <w:color w:val="131413"/>
          <w:sz w:val="24"/>
          <w:szCs w:val="24"/>
        </w:rPr>
        <w:t xml:space="preserve"> </w:t>
      </w:r>
      <w:r w:rsidR="00E3591A" w:rsidRPr="00B92FE8">
        <w:rPr>
          <w:rFonts w:ascii="Calibri" w:hAnsi="Calibri" w:cs="Calibri"/>
          <w:color w:val="131413"/>
          <w:sz w:val="24"/>
          <w:szCs w:val="24"/>
        </w:rPr>
        <w:t>[</w:t>
      </w:r>
      <w:r w:rsidR="00B92FE8" w:rsidRPr="00B92FE8">
        <w:rPr>
          <w:rFonts w:ascii="Calibri" w:hAnsi="Calibri" w:cs="Calibri"/>
          <w:color w:val="131413"/>
          <w:sz w:val="24"/>
          <w:szCs w:val="24"/>
        </w:rPr>
        <w:t>29</w:t>
      </w:r>
      <w:r w:rsidR="00AA11E3" w:rsidRPr="00B92FE8">
        <w:rPr>
          <w:rFonts w:ascii="Calibri" w:hAnsi="Calibri" w:cs="Calibri"/>
          <w:color w:val="131413"/>
          <w:sz w:val="24"/>
          <w:szCs w:val="24"/>
        </w:rPr>
        <w:t xml:space="preserve">, </w:t>
      </w:r>
      <w:r w:rsidR="00B92FE8" w:rsidRPr="00B92FE8">
        <w:rPr>
          <w:rFonts w:ascii="Calibri" w:hAnsi="Calibri" w:cs="Calibri"/>
          <w:color w:val="131413"/>
          <w:sz w:val="24"/>
          <w:szCs w:val="24"/>
        </w:rPr>
        <w:t>30</w:t>
      </w:r>
      <w:r w:rsidR="00AA11E3" w:rsidRPr="00B92FE8">
        <w:rPr>
          <w:rFonts w:ascii="Calibri" w:hAnsi="Calibri" w:cs="Calibri"/>
          <w:color w:val="131413"/>
          <w:sz w:val="24"/>
          <w:szCs w:val="24"/>
        </w:rPr>
        <w:t>, 3</w:t>
      </w:r>
      <w:r w:rsidR="00B92FE8" w:rsidRPr="00B92FE8">
        <w:rPr>
          <w:rFonts w:ascii="Calibri" w:hAnsi="Calibri" w:cs="Calibri"/>
          <w:color w:val="131413"/>
          <w:sz w:val="24"/>
          <w:szCs w:val="24"/>
        </w:rPr>
        <w:t>1</w:t>
      </w:r>
      <w:r w:rsidR="00AA11E3" w:rsidRPr="00B92FE8">
        <w:rPr>
          <w:rFonts w:ascii="Calibri" w:hAnsi="Calibri" w:cs="Calibri"/>
          <w:color w:val="131413"/>
          <w:sz w:val="24"/>
          <w:szCs w:val="24"/>
        </w:rPr>
        <w:t>]</w:t>
      </w:r>
      <w:r w:rsidR="00E3591A" w:rsidRPr="00B92FE8">
        <w:rPr>
          <w:rFonts w:ascii="Calibri" w:hAnsi="Calibri" w:cs="Calibri"/>
          <w:color w:val="131413"/>
          <w:sz w:val="24"/>
          <w:szCs w:val="24"/>
        </w:rPr>
        <w:t>.</w:t>
      </w:r>
      <w:r w:rsidR="009F6DEF" w:rsidRPr="008E6009">
        <w:rPr>
          <w:rFonts w:ascii="Calibri" w:hAnsi="Calibri" w:cs="Calibri"/>
          <w:color w:val="131413"/>
          <w:sz w:val="24"/>
          <w:szCs w:val="24"/>
        </w:rPr>
        <w:t xml:space="preserve"> </w:t>
      </w:r>
      <w:r w:rsidR="00262A4B" w:rsidRPr="008E6009">
        <w:rPr>
          <w:rFonts w:ascii="Calibri" w:hAnsi="Calibri" w:cs="Calibri"/>
          <w:color w:val="131413"/>
          <w:sz w:val="24"/>
          <w:szCs w:val="24"/>
        </w:rPr>
        <w:t xml:space="preserve"> </w:t>
      </w:r>
      <w:r w:rsidR="00B21D0D" w:rsidRPr="008E6009">
        <w:rPr>
          <w:rFonts w:ascii="Calibri" w:hAnsi="Calibri" w:cs="Calibri"/>
          <w:color w:val="131413"/>
          <w:sz w:val="24"/>
          <w:szCs w:val="24"/>
        </w:rPr>
        <w:t>The</w:t>
      </w:r>
      <w:r w:rsidR="00B21D0D" w:rsidRPr="00B21D0D">
        <w:rPr>
          <w:rFonts w:ascii="Calibri" w:hAnsi="Calibri" w:cs="Calibri"/>
          <w:color w:val="131413"/>
          <w:sz w:val="24"/>
          <w:szCs w:val="24"/>
        </w:rPr>
        <w:t xml:space="preserve"> </w:t>
      </w:r>
      <w:r w:rsidR="00E36855">
        <w:rPr>
          <w:rFonts w:ascii="Calibri" w:hAnsi="Calibri" w:cs="Calibri"/>
          <w:color w:val="131413"/>
          <w:sz w:val="24"/>
          <w:szCs w:val="24"/>
        </w:rPr>
        <w:t>upper intervention</w:t>
      </w:r>
      <w:r w:rsidR="00B21D0D" w:rsidRPr="00B21D0D">
        <w:rPr>
          <w:rFonts w:ascii="Calibri" w:hAnsi="Calibri" w:cs="Calibri"/>
          <w:color w:val="131413"/>
          <w:sz w:val="24"/>
          <w:szCs w:val="24"/>
        </w:rPr>
        <w:t xml:space="preserve"> thresholds examined in this</w:t>
      </w:r>
      <w:r w:rsidR="00E36855">
        <w:rPr>
          <w:rFonts w:ascii="Calibri" w:hAnsi="Calibri" w:cs="Calibri"/>
          <w:color w:val="131413"/>
          <w:sz w:val="24"/>
          <w:szCs w:val="24"/>
        </w:rPr>
        <w:t xml:space="preserve"> report require</w:t>
      </w:r>
      <w:r w:rsidR="00654149">
        <w:rPr>
          <w:rFonts w:ascii="Calibri" w:hAnsi="Calibri" w:cs="Calibri"/>
          <w:color w:val="131413"/>
          <w:sz w:val="24"/>
          <w:szCs w:val="24"/>
        </w:rPr>
        <w:t xml:space="preserve"> health economic validation</w:t>
      </w:r>
      <w:r w:rsidR="00252E79">
        <w:rPr>
          <w:rFonts w:ascii="Calibri" w:hAnsi="Calibri" w:cs="Calibri"/>
          <w:color w:val="131413"/>
          <w:sz w:val="24"/>
          <w:szCs w:val="24"/>
        </w:rPr>
        <w:t xml:space="preserve"> using models that</w:t>
      </w:r>
      <w:r w:rsidR="00FD57F5">
        <w:rPr>
          <w:rFonts w:ascii="Calibri" w:hAnsi="Calibri" w:cs="Calibri"/>
          <w:color w:val="131413"/>
          <w:sz w:val="24"/>
          <w:szCs w:val="24"/>
        </w:rPr>
        <w:t xml:space="preserve"> can accommodate the </w:t>
      </w:r>
      <w:r w:rsidR="003734F7">
        <w:rPr>
          <w:rFonts w:ascii="Calibri" w:hAnsi="Calibri" w:cs="Calibri"/>
          <w:color w:val="131413"/>
          <w:sz w:val="24"/>
          <w:szCs w:val="24"/>
        </w:rPr>
        <w:t xml:space="preserve">heightened </w:t>
      </w:r>
      <w:r w:rsidR="00FD57F5">
        <w:rPr>
          <w:rFonts w:ascii="Calibri" w:hAnsi="Calibri" w:cs="Calibri"/>
          <w:color w:val="131413"/>
          <w:sz w:val="24"/>
          <w:szCs w:val="24"/>
        </w:rPr>
        <w:t xml:space="preserve">risk associated with </w:t>
      </w:r>
      <w:r w:rsidR="003734F7">
        <w:rPr>
          <w:rFonts w:ascii="Calibri" w:hAnsi="Calibri" w:cs="Calibri"/>
          <w:color w:val="131413"/>
          <w:sz w:val="24"/>
          <w:szCs w:val="24"/>
        </w:rPr>
        <w:t xml:space="preserve">the recency of </w:t>
      </w:r>
      <w:r w:rsidR="003734F7" w:rsidRPr="00B92FE8">
        <w:rPr>
          <w:rFonts w:ascii="Calibri" w:hAnsi="Calibri" w:cs="Calibri"/>
          <w:color w:val="131413"/>
          <w:sz w:val="24"/>
          <w:szCs w:val="24"/>
        </w:rPr>
        <w:t>fracture</w:t>
      </w:r>
      <w:r w:rsidR="00A77FFB" w:rsidRPr="00B92FE8">
        <w:rPr>
          <w:rFonts w:ascii="Calibri" w:hAnsi="Calibri" w:cs="Calibri"/>
          <w:color w:val="131413"/>
          <w:sz w:val="24"/>
          <w:szCs w:val="24"/>
        </w:rPr>
        <w:t xml:space="preserve"> [</w:t>
      </w:r>
      <w:r w:rsidR="00062E18" w:rsidRPr="00B92FE8">
        <w:rPr>
          <w:rFonts w:ascii="Calibri" w:hAnsi="Calibri" w:cs="Calibri"/>
          <w:color w:val="131413"/>
          <w:sz w:val="24"/>
          <w:szCs w:val="24"/>
        </w:rPr>
        <w:t>3</w:t>
      </w:r>
      <w:r w:rsidR="00B92FE8" w:rsidRPr="00B92FE8">
        <w:rPr>
          <w:rFonts w:ascii="Calibri" w:hAnsi="Calibri" w:cs="Calibri"/>
          <w:color w:val="131413"/>
          <w:sz w:val="24"/>
          <w:szCs w:val="24"/>
        </w:rPr>
        <w:t>2</w:t>
      </w:r>
      <w:r w:rsidR="00062E18" w:rsidRPr="00B92FE8">
        <w:rPr>
          <w:rFonts w:ascii="Calibri" w:hAnsi="Calibri" w:cs="Calibri"/>
          <w:color w:val="131413"/>
          <w:sz w:val="24"/>
          <w:szCs w:val="24"/>
        </w:rPr>
        <w:t>]</w:t>
      </w:r>
      <w:r w:rsidR="00947651" w:rsidRPr="00B92FE8">
        <w:rPr>
          <w:rFonts w:ascii="Calibri" w:hAnsi="Calibri" w:cs="Calibri"/>
          <w:color w:val="131413"/>
          <w:sz w:val="24"/>
          <w:szCs w:val="24"/>
        </w:rPr>
        <w:t>.</w:t>
      </w:r>
      <w:r w:rsidR="00252E79" w:rsidRPr="00B642E5">
        <w:rPr>
          <w:rFonts w:ascii="Calibri" w:hAnsi="Calibri" w:cs="Calibri"/>
          <w:color w:val="131413"/>
          <w:sz w:val="24"/>
          <w:szCs w:val="24"/>
        </w:rPr>
        <w:t xml:space="preserve"> </w:t>
      </w:r>
    </w:p>
    <w:p w14:paraId="053DCE9C" w14:textId="2F2BF9E2" w:rsidR="000D53B8" w:rsidRDefault="000D53B8" w:rsidP="00F323B1">
      <w:pPr>
        <w:autoSpaceDE w:val="0"/>
        <w:autoSpaceDN w:val="0"/>
        <w:adjustRightInd w:val="0"/>
        <w:spacing w:after="0" w:line="276" w:lineRule="auto"/>
        <w:rPr>
          <w:rFonts w:ascii="Calibri" w:hAnsi="Calibri" w:cs="Calibri"/>
          <w:color w:val="131413"/>
          <w:sz w:val="24"/>
          <w:szCs w:val="24"/>
        </w:rPr>
      </w:pPr>
    </w:p>
    <w:p w14:paraId="451E2A51" w14:textId="3A9A7C1A" w:rsidR="000D53B8" w:rsidRDefault="005B77FD" w:rsidP="00F323B1">
      <w:pPr>
        <w:autoSpaceDE w:val="0"/>
        <w:autoSpaceDN w:val="0"/>
        <w:adjustRightInd w:val="0"/>
        <w:spacing w:after="0" w:line="276" w:lineRule="auto"/>
        <w:rPr>
          <w:rFonts w:ascii="Calibri" w:hAnsi="Calibri" w:cs="Calibri"/>
          <w:color w:val="131413"/>
          <w:sz w:val="24"/>
          <w:szCs w:val="24"/>
        </w:rPr>
      </w:pPr>
      <w:bookmarkStart w:id="9" w:name="_Hlk63981565"/>
      <w:r>
        <w:rPr>
          <w:rFonts w:ascii="Calibri" w:hAnsi="Calibri" w:cs="Calibri"/>
          <w:color w:val="131413"/>
          <w:sz w:val="24"/>
          <w:szCs w:val="24"/>
        </w:rPr>
        <w:t>These p</w:t>
      </w:r>
      <w:r w:rsidR="00A26604" w:rsidRPr="00A26604">
        <w:rPr>
          <w:rFonts w:ascii="Calibri" w:hAnsi="Calibri" w:cs="Calibri"/>
          <w:color w:val="131413"/>
          <w:sz w:val="24"/>
          <w:szCs w:val="24"/>
        </w:rPr>
        <w:t xml:space="preserve">roposals for FRAX based criteria for very high risk categorise a small proportion of women age 50 years or more (10%) </w:t>
      </w:r>
      <w:r w:rsidR="00D72229">
        <w:rPr>
          <w:rFonts w:ascii="Calibri" w:hAnsi="Calibri" w:cs="Calibri"/>
          <w:color w:val="131413"/>
          <w:sz w:val="24"/>
          <w:szCs w:val="24"/>
        </w:rPr>
        <w:t xml:space="preserve">identifying a population with a level of risk </w:t>
      </w:r>
      <w:r w:rsidR="00D72229" w:rsidRPr="00A26604">
        <w:rPr>
          <w:rFonts w:ascii="Calibri" w:hAnsi="Calibri" w:cs="Calibri"/>
          <w:color w:val="131413"/>
          <w:sz w:val="24"/>
          <w:szCs w:val="24"/>
        </w:rPr>
        <w:t xml:space="preserve">comparable </w:t>
      </w:r>
      <w:r w:rsidR="00D72229">
        <w:rPr>
          <w:rFonts w:ascii="Calibri" w:hAnsi="Calibri" w:cs="Calibri"/>
          <w:color w:val="131413"/>
          <w:sz w:val="24"/>
          <w:szCs w:val="24"/>
        </w:rPr>
        <w:t xml:space="preserve">to </w:t>
      </w:r>
      <w:r w:rsidR="00D72229" w:rsidRPr="00A26604">
        <w:rPr>
          <w:rFonts w:ascii="Calibri" w:hAnsi="Calibri" w:cs="Calibri"/>
          <w:color w:val="131413"/>
          <w:sz w:val="24"/>
          <w:szCs w:val="24"/>
        </w:rPr>
        <w:t xml:space="preserve">that of women enrolled in </w:t>
      </w:r>
      <w:r w:rsidR="00D72229">
        <w:rPr>
          <w:rFonts w:ascii="Calibri" w:hAnsi="Calibri" w:cs="Calibri"/>
          <w:color w:val="131413"/>
          <w:sz w:val="24"/>
          <w:szCs w:val="24"/>
        </w:rPr>
        <w:t xml:space="preserve">previous </w:t>
      </w:r>
      <w:r w:rsidR="00D72229" w:rsidRPr="00A26604">
        <w:rPr>
          <w:rFonts w:ascii="Calibri" w:hAnsi="Calibri" w:cs="Calibri"/>
          <w:color w:val="131413"/>
          <w:sz w:val="24"/>
          <w:szCs w:val="24"/>
        </w:rPr>
        <w:t>trials of anabolic agents.</w:t>
      </w:r>
    </w:p>
    <w:bookmarkEnd w:id="9"/>
    <w:p w14:paraId="027EBE92" w14:textId="2733509B" w:rsidR="005C0E81" w:rsidRDefault="005C0E81" w:rsidP="00F323B1">
      <w:pPr>
        <w:autoSpaceDE w:val="0"/>
        <w:autoSpaceDN w:val="0"/>
        <w:adjustRightInd w:val="0"/>
        <w:spacing w:after="0" w:line="276" w:lineRule="auto"/>
        <w:rPr>
          <w:rFonts w:ascii="Calibri" w:hAnsi="Calibri" w:cs="Calibri"/>
          <w:color w:val="131413"/>
          <w:sz w:val="24"/>
          <w:szCs w:val="24"/>
        </w:rPr>
      </w:pPr>
    </w:p>
    <w:p w14:paraId="50DBB6D1" w14:textId="1BAD73C2" w:rsidR="0003219B" w:rsidRDefault="0003219B" w:rsidP="00F323B1">
      <w:pPr>
        <w:autoSpaceDE w:val="0"/>
        <w:autoSpaceDN w:val="0"/>
        <w:adjustRightInd w:val="0"/>
        <w:spacing w:after="0" w:line="276" w:lineRule="auto"/>
        <w:rPr>
          <w:rFonts w:ascii="Calibri" w:hAnsi="Calibri" w:cs="Calibri"/>
          <w:b/>
          <w:bCs/>
          <w:color w:val="131413"/>
          <w:sz w:val="24"/>
          <w:szCs w:val="24"/>
        </w:rPr>
      </w:pPr>
      <w:r>
        <w:rPr>
          <w:rFonts w:ascii="Calibri" w:hAnsi="Calibri" w:cs="Calibri"/>
          <w:b/>
          <w:bCs/>
          <w:color w:val="131413"/>
          <w:sz w:val="24"/>
          <w:szCs w:val="24"/>
        </w:rPr>
        <w:t>Acknowle</w:t>
      </w:r>
      <w:r w:rsidR="00DA5D0A">
        <w:rPr>
          <w:rFonts w:ascii="Calibri" w:hAnsi="Calibri" w:cs="Calibri"/>
          <w:b/>
          <w:bCs/>
          <w:color w:val="131413"/>
          <w:sz w:val="24"/>
          <w:szCs w:val="24"/>
        </w:rPr>
        <w:t>dgements</w:t>
      </w:r>
    </w:p>
    <w:p w14:paraId="683EAD52" w14:textId="44728577" w:rsidR="00DA5D0A" w:rsidRDefault="00EB1F9E" w:rsidP="00F323B1">
      <w:pPr>
        <w:autoSpaceDE w:val="0"/>
        <w:autoSpaceDN w:val="0"/>
        <w:adjustRightInd w:val="0"/>
        <w:spacing w:after="0" w:line="276" w:lineRule="auto"/>
        <w:rPr>
          <w:rFonts w:ascii="Calibri" w:hAnsi="Calibri" w:cs="Calibri"/>
          <w:color w:val="131413"/>
          <w:sz w:val="24"/>
          <w:szCs w:val="24"/>
        </w:rPr>
      </w:pPr>
      <w:r w:rsidRPr="00EB1F9E">
        <w:rPr>
          <w:rFonts w:ascii="Calibri" w:hAnsi="Calibri" w:cs="Calibri"/>
          <w:color w:val="131413"/>
          <w:sz w:val="24"/>
          <w:szCs w:val="24"/>
        </w:rPr>
        <w:t>We</w:t>
      </w:r>
      <w:r w:rsidR="00DA5D0A" w:rsidRPr="00EB1F9E">
        <w:rPr>
          <w:rFonts w:ascii="Calibri" w:hAnsi="Calibri" w:cs="Calibri"/>
          <w:color w:val="131413"/>
          <w:sz w:val="24"/>
          <w:szCs w:val="24"/>
        </w:rPr>
        <w:t xml:space="preserve"> are grateful to Russell Burge</w:t>
      </w:r>
      <w:r w:rsidR="00483044">
        <w:rPr>
          <w:rFonts w:ascii="Calibri" w:hAnsi="Calibri" w:cs="Calibri"/>
          <w:color w:val="131413"/>
          <w:sz w:val="24"/>
          <w:szCs w:val="24"/>
        </w:rPr>
        <w:t xml:space="preserve"> (</w:t>
      </w:r>
      <w:r w:rsidR="00A43457" w:rsidRPr="00A43457">
        <w:rPr>
          <w:rFonts w:ascii="Calibri" w:hAnsi="Calibri" w:cs="Calibri"/>
          <w:color w:val="131413"/>
          <w:sz w:val="24"/>
          <w:szCs w:val="24"/>
        </w:rPr>
        <w:t>Eli Lilly and Company</w:t>
      </w:r>
      <w:r w:rsidR="00E328D6">
        <w:rPr>
          <w:rFonts w:ascii="Calibri" w:hAnsi="Calibri" w:cs="Calibri"/>
          <w:color w:val="131413"/>
          <w:sz w:val="24"/>
          <w:szCs w:val="24"/>
        </w:rPr>
        <w:t xml:space="preserve">) </w:t>
      </w:r>
      <w:r w:rsidR="00A266B5">
        <w:rPr>
          <w:rFonts w:ascii="Calibri" w:hAnsi="Calibri" w:cs="Calibri"/>
          <w:color w:val="131413"/>
          <w:sz w:val="24"/>
          <w:szCs w:val="24"/>
        </w:rPr>
        <w:t>and Tatsuhiko</w:t>
      </w:r>
      <w:r w:rsidR="00E328D6" w:rsidRPr="00E328D6">
        <w:rPr>
          <w:rFonts w:ascii="Calibri" w:hAnsi="Calibri" w:cs="Calibri"/>
          <w:color w:val="131413"/>
          <w:sz w:val="24"/>
          <w:szCs w:val="24"/>
        </w:rPr>
        <w:t xml:space="preserve"> Kuroda</w:t>
      </w:r>
      <w:r w:rsidR="00E328D6">
        <w:rPr>
          <w:rFonts w:ascii="Calibri" w:hAnsi="Calibri" w:cs="Calibri"/>
          <w:color w:val="131413"/>
          <w:sz w:val="24"/>
          <w:szCs w:val="24"/>
        </w:rPr>
        <w:t xml:space="preserve"> (</w:t>
      </w:r>
      <w:r w:rsidR="00B8078F" w:rsidRPr="00B8078F">
        <w:rPr>
          <w:rFonts w:ascii="Calibri" w:hAnsi="Calibri" w:cs="Calibri"/>
          <w:color w:val="131413"/>
          <w:sz w:val="24"/>
          <w:szCs w:val="24"/>
        </w:rPr>
        <w:t>Asahi Kasei Pharma Corporation</w:t>
      </w:r>
      <w:r w:rsidR="00E328D6">
        <w:rPr>
          <w:rFonts w:ascii="Calibri" w:hAnsi="Calibri" w:cs="Calibri"/>
          <w:color w:val="131413"/>
          <w:sz w:val="24"/>
          <w:szCs w:val="24"/>
        </w:rPr>
        <w:t xml:space="preserve">) </w:t>
      </w:r>
      <w:r w:rsidR="00CE195E">
        <w:rPr>
          <w:rFonts w:ascii="Calibri" w:hAnsi="Calibri" w:cs="Calibri"/>
          <w:color w:val="131413"/>
          <w:sz w:val="24"/>
          <w:szCs w:val="24"/>
        </w:rPr>
        <w:t>and Amgen</w:t>
      </w:r>
      <w:r w:rsidR="004663F0">
        <w:rPr>
          <w:rFonts w:ascii="Calibri" w:hAnsi="Calibri" w:cs="Calibri"/>
          <w:color w:val="131413"/>
          <w:sz w:val="24"/>
          <w:szCs w:val="24"/>
        </w:rPr>
        <w:t xml:space="preserve"> </w:t>
      </w:r>
      <w:r w:rsidR="00E328D6">
        <w:rPr>
          <w:rFonts w:ascii="Calibri" w:hAnsi="Calibri" w:cs="Calibri"/>
          <w:color w:val="131413"/>
          <w:sz w:val="24"/>
          <w:szCs w:val="24"/>
        </w:rPr>
        <w:t>for</w:t>
      </w:r>
      <w:r w:rsidR="00EA52C1">
        <w:rPr>
          <w:rFonts w:ascii="Calibri" w:hAnsi="Calibri" w:cs="Calibri"/>
          <w:color w:val="131413"/>
          <w:sz w:val="24"/>
          <w:szCs w:val="24"/>
        </w:rPr>
        <w:t xml:space="preserve"> permitting us to use FRAX calculations as a </w:t>
      </w:r>
      <w:r w:rsidR="00A266B5">
        <w:rPr>
          <w:rFonts w:ascii="Calibri" w:hAnsi="Calibri" w:cs="Calibri"/>
          <w:color w:val="131413"/>
          <w:sz w:val="24"/>
          <w:szCs w:val="24"/>
        </w:rPr>
        <w:t>proportion of intervention thresholds.</w:t>
      </w:r>
    </w:p>
    <w:p w14:paraId="0A1DD072" w14:textId="77777777" w:rsidR="00A266B5" w:rsidRPr="00EB1F9E" w:rsidRDefault="00A266B5" w:rsidP="00F323B1">
      <w:pPr>
        <w:autoSpaceDE w:val="0"/>
        <w:autoSpaceDN w:val="0"/>
        <w:adjustRightInd w:val="0"/>
        <w:spacing w:after="0" w:line="276" w:lineRule="auto"/>
        <w:rPr>
          <w:rFonts w:ascii="Calibri" w:hAnsi="Calibri" w:cs="Calibri"/>
          <w:color w:val="131413"/>
          <w:sz w:val="24"/>
          <w:szCs w:val="24"/>
        </w:rPr>
      </w:pPr>
    </w:p>
    <w:p w14:paraId="7E5A1805" w14:textId="6CB758EF" w:rsidR="00B763B4" w:rsidRDefault="00B763B4" w:rsidP="00F323B1">
      <w:pPr>
        <w:autoSpaceDE w:val="0"/>
        <w:autoSpaceDN w:val="0"/>
        <w:adjustRightInd w:val="0"/>
        <w:spacing w:after="0" w:line="276" w:lineRule="auto"/>
        <w:rPr>
          <w:rFonts w:ascii="Calibri" w:hAnsi="Calibri" w:cs="Calibri"/>
          <w:b/>
          <w:bCs/>
          <w:color w:val="131413"/>
          <w:sz w:val="24"/>
          <w:szCs w:val="24"/>
        </w:rPr>
      </w:pPr>
      <w:r w:rsidRPr="00FA1A0D">
        <w:rPr>
          <w:rFonts w:ascii="Calibri" w:hAnsi="Calibri" w:cs="Calibri"/>
          <w:b/>
          <w:bCs/>
          <w:color w:val="131413"/>
          <w:sz w:val="24"/>
          <w:szCs w:val="24"/>
        </w:rPr>
        <w:t>Compliance with ethical standards</w:t>
      </w:r>
    </w:p>
    <w:p w14:paraId="3D9D7898" w14:textId="77777777" w:rsidR="00FA1A0D" w:rsidRPr="00FA1A0D" w:rsidRDefault="00FA1A0D" w:rsidP="00F323B1">
      <w:pPr>
        <w:autoSpaceDE w:val="0"/>
        <w:autoSpaceDN w:val="0"/>
        <w:adjustRightInd w:val="0"/>
        <w:spacing w:after="0" w:line="276" w:lineRule="auto"/>
        <w:rPr>
          <w:rFonts w:ascii="Calibri" w:hAnsi="Calibri" w:cs="Calibri"/>
          <w:b/>
          <w:bCs/>
          <w:color w:val="131413"/>
          <w:sz w:val="24"/>
          <w:szCs w:val="24"/>
        </w:rPr>
      </w:pPr>
    </w:p>
    <w:p w14:paraId="2707D963" w14:textId="5F2415AA" w:rsidR="00494106" w:rsidRDefault="000510DF" w:rsidP="00F323B1">
      <w:pPr>
        <w:autoSpaceDE w:val="0"/>
        <w:autoSpaceDN w:val="0"/>
        <w:adjustRightInd w:val="0"/>
        <w:spacing w:after="0" w:line="276" w:lineRule="auto"/>
        <w:rPr>
          <w:rFonts w:ascii="Calibri" w:hAnsi="Calibri" w:cs="Calibri"/>
          <w:color w:val="131413"/>
          <w:sz w:val="24"/>
          <w:szCs w:val="24"/>
        </w:rPr>
      </w:pPr>
      <w:r>
        <w:rPr>
          <w:rFonts w:ascii="Calibri" w:hAnsi="Calibri" w:cs="Calibri"/>
          <w:b/>
          <w:bCs/>
          <w:color w:val="131413"/>
          <w:sz w:val="24"/>
          <w:szCs w:val="24"/>
        </w:rPr>
        <w:t>Competing</w:t>
      </w:r>
      <w:r w:rsidR="00B763B4" w:rsidRPr="00FA1A0D">
        <w:rPr>
          <w:rFonts w:ascii="Calibri" w:hAnsi="Calibri" w:cs="Calibri"/>
          <w:b/>
          <w:bCs/>
          <w:color w:val="131413"/>
          <w:sz w:val="24"/>
          <w:szCs w:val="24"/>
        </w:rPr>
        <w:t xml:space="preserve"> interest</w:t>
      </w:r>
      <w:r>
        <w:rPr>
          <w:rFonts w:ascii="Calibri" w:hAnsi="Calibri" w:cs="Calibri"/>
          <w:color w:val="131413"/>
          <w:sz w:val="24"/>
          <w:szCs w:val="24"/>
        </w:rPr>
        <w:t>s</w:t>
      </w:r>
    </w:p>
    <w:p w14:paraId="2F121371" w14:textId="77777777" w:rsidR="00A72E78" w:rsidRDefault="00A72E78" w:rsidP="00F323B1">
      <w:pPr>
        <w:autoSpaceDE w:val="0"/>
        <w:autoSpaceDN w:val="0"/>
        <w:adjustRightInd w:val="0"/>
        <w:spacing w:after="0" w:line="276" w:lineRule="auto"/>
        <w:rPr>
          <w:rFonts w:ascii="Calibri" w:hAnsi="Calibri" w:cs="Calibri"/>
          <w:color w:val="131413"/>
          <w:sz w:val="24"/>
          <w:szCs w:val="24"/>
        </w:rPr>
      </w:pPr>
    </w:p>
    <w:p w14:paraId="7D52BD41" w14:textId="5D71870D" w:rsidR="00E44096" w:rsidRDefault="00B763B4" w:rsidP="00F323B1">
      <w:pPr>
        <w:autoSpaceDE w:val="0"/>
        <w:autoSpaceDN w:val="0"/>
        <w:adjustRightInd w:val="0"/>
        <w:spacing w:after="0" w:line="276" w:lineRule="auto"/>
        <w:rPr>
          <w:rFonts w:ascii="Calibri" w:hAnsi="Calibri" w:cs="Calibri"/>
          <w:color w:val="131413"/>
          <w:sz w:val="24"/>
          <w:szCs w:val="24"/>
        </w:rPr>
      </w:pPr>
      <w:r w:rsidRPr="00FA1A0D">
        <w:rPr>
          <w:rFonts w:ascii="Calibri" w:hAnsi="Calibri" w:cs="Calibri"/>
          <w:color w:val="131413"/>
          <w:sz w:val="24"/>
          <w:szCs w:val="24"/>
        </w:rPr>
        <w:t>Dr. McCloskey reports grants and/or personal fees</w:t>
      </w:r>
      <w:r w:rsidR="00494106">
        <w:rPr>
          <w:rFonts w:ascii="Calibri" w:hAnsi="Calibri" w:cs="Calibri"/>
          <w:color w:val="131413"/>
          <w:sz w:val="24"/>
          <w:szCs w:val="24"/>
        </w:rPr>
        <w:t xml:space="preserve"> </w:t>
      </w:r>
      <w:r w:rsidRPr="00FA1A0D">
        <w:rPr>
          <w:rFonts w:ascii="Calibri" w:hAnsi="Calibri" w:cs="Calibri"/>
          <w:color w:val="131413"/>
          <w:sz w:val="24"/>
          <w:szCs w:val="24"/>
        </w:rPr>
        <w:t>from Amgen, Consilient Health, Fresenius Kabi, MSD, Novartis, Roche,</w:t>
      </w:r>
      <w:r w:rsidR="00494106">
        <w:rPr>
          <w:rFonts w:ascii="Calibri" w:hAnsi="Calibri" w:cs="Calibri"/>
          <w:color w:val="131413"/>
          <w:sz w:val="24"/>
          <w:szCs w:val="24"/>
        </w:rPr>
        <w:t xml:space="preserve"> </w:t>
      </w:r>
      <w:r w:rsidRPr="00FA1A0D">
        <w:rPr>
          <w:rFonts w:ascii="Calibri" w:hAnsi="Calibri" w:cs="Calibri"/>
          <w:color w:val="131413"/>
          <w:sz w:val="24"/>
          <w:szCs w:val="24"/>
        </w:rPr>
        <w:t>AgNovos, Internis, and REDX Pharma, all outside the submitted work.</w:t>
      </w:r>
      <w:r w:rsidR="00494106">
        <w:rPr>
          <w:rFonts w:ascii="Calibri" w:hAnsi="Calibri" w:cs="Calibri"/>
          <w:color w:val="131413"/>
          <w:sz w:val="24"/>
          <w:szCs w:val="24"/>
        </w:rPr>
        <w:t xml:space="preserve"> </w:t>
      </w:r>
      <w:r w:rsidRPr="00FA1A0D">
        <w:rPr>
          <w:rFonts w:ascii="Calibri" w:hAnsi="Calibri" w:cs="Calibri"/>
          <w:color w:val="131413"/>
          <w:sz w:val="24"/>
          <w:szCs w:val="24"/>
        </w:rPr>
        <w:t>Dr. Harvey reports personal fees, consultancy, lecture fees and honoraria</w:t>
      </w:r>
      <w:r w:rsidR="00494106">
        <w:rPr>
          <w:rFonts w:ascii="Calibri" w:hAnsi="Calibri" w:cs="Calibri"/>
          <w:color w:val="131413"/>
          <w:sz w:val="24"/>
          <w:szCs w:val="24"/>
        </w:rPr>
        <w:t xml:space="preserve"> </w:t>
      </w:r>
      <w:r w:rsidRPr="00FA1A0D">
        <w:rPr>
          <w:rFonts w:ascii="Calibri" w:hAnsi="Calibri" w:cs="Calibri"/>
          <w:color w:val="131413"/>
          <w:sz w:val="24"/>
          <w:szCs w:val="24"/>
        </w:rPr>
        <w:t>from Alliance for Better Bone Health, AMGEN, MSD, Eli Lilly, Servier,</w:t>
      </w:r>
      <w:r w:rsidR="00494106">
        <w:rPr>
          <w:rFonts w:ascii="Calibri" w:hAnsi="Calibri" w:cs="Calibri"/>
          <w:color w:val="131413"/>
          <w:sz w:val="24"/>
          <w:szCs w:val="24"/>
        </w:rPr>
        <w:t xml:space="preserve"> </w:t>
      </w:r>
      <w:r w:rsidRPr="00FA1A0D">
        <w:rPr>
          <w:rFonts w:ascii="Calibri" w:hAnsi="Calibri" w:cs="Calibri"/>
          <w:color w:val="131413"/>
          <w:sz w:val="24"/>
          <w:szCs w:val="24"/>
        </w:rPr>
        <w:t>Shire, UCB, Consilient Healthcare, Kyowa Kirin and Internis Pharma, all</w:t>
      </w:r>
      <w:r w:rsidR="00494106">
        <w:rPr>
          <w:rFonts w:ascii="Calibri" w:hAnsi="Calibri" w:cs="Calibri"/>
          <w:color w:val="131413"/>
          <w:sz w:val="24"/>
          <w:szCs w:val="24"/>
        </w:rPr>
        <w:t xml:space="preserve"> </w:t>
      </w:r>
      <w:r w:rsidRPr="00FA1A0D">
        <w:rPr>
          <w:rFonts w:ascii="Calibri" w:hAnsi="Calibri" w:cs="Calibri"/>
          <w:color w:val="131413"/>
          <w:sz w:val="24"/>
          <w:szCs w:val="24"/>
        </w:rPr>
        <w:t>outside the submitted work. Dr. Lorentzon reports personal</w:t>
      </w:r>
      <w:r w:rsidR="00815CFC">
        <w:rPr>
          <w:rFonts w:ascii="Calibri" w:hAnsi="Calibri" w:cs="Calibri"/>
          <w:color w:val="131413"/>
          <w:sz w:val="24"/>
          <w:szCs w:val="24"/>
        </w:rPr>
        <w:t xml:space="preserve"> </w:t>
      </w:r>
      <w:r w:rsidRPr="00FA1A0D">
        <w:rPr>
          <w:rFonts w:ascii="Calibri" w:hAnsi="Calibri" w:cs="Calibri"/>
          <w:color w:val="131413"/>
          <w:sz w:val="24"/>
          <w:szCs w:val="24"/>
        </w:rPr>
        <w:t>fees from Amgen, UCB Pharma, Radius Health, Renapharma,</w:t>
      </w:r>
      <w:r w:rsidR="00815CFC">
        <w:rPr>
          <w:rFonts w:ascii="Calibri" w:hAnsi="Calibri" w:cs="Calibri"/>
          <w:color w:val="131413"/>
          <w:sz w:val="24"/>
          <w:szCs w:val="24"/>
        </w:rPr>
        <w:t xml:space="preserve"> </w:t>
      </w:r>
      <w:r w:rsidRPr="00FA1A0D">
        <w:rPr>
          <w:rFonts w:ascii="Calibri" w:hAnsi="Calibri" w:cs="Calibri"/>
          <w:color w:val="131413"/>
          <w:sz w:val="24"/>
          <w:szCs w:val="24"/>
        </w:rPr>
        <w:t>Consilient Health and Meda/Mylan, all outside the submitted work. Drs</w:t>
      </w:r>
      <w:r w:rsidR="00815CFC">
        <w:rPr>
          <w:rFonts w:ascii="Calibri" w:hAnsi="Calibri" w:cs="Calibri"/>
          <w:color w:val="131413"/>
          <w:sz w:val="24"/>
          <w:szCs w:val="24"/>
        </w:rPr>
        <w:t xml:space="preserve"> Kanis</w:t>
      </w:r>
      <w:r w:rsidR="00EA5662">
        <w:rPr>
          <w:rFonts w:ascii="Calibri" w:hAnsi="Calibri" w:cs="Calibri"/>
          <w:color w:val="131413"/>
          <w:sz w:val="24"/>
          <w:szCs w:val="24"/>
        </w:rPr>
        <w:t xml:space="preserve"> </w:t>
      </w:r>
      <w:r w:rsidRPr="00FA1A0D">
        <w:rPr>
          <w:rFonts w:ascii="Calibri" w:hAnsi="Calibri" w:cs="Calibri"/>
          <w:color w:val="131413"/>
          <w:sz w:val="24"/>
          <w:szCs w:val="24"/>
        </w:rPr>
        <w:t>Johannson, Liu and Vandenput declare no conflicts.</w:t>
      </w:r>
      <w:r w:rsidR="00A72E78">
        <w:rPr>
          <w:rFonts w:ascii="Calibri" w:hAnsi="Calibri" w:cs="Calibri"/>
          <w:color w:val="131413"/>
          <w:sz w:val="24"/>
          <w:szCs w:val="24"/>
        </w:rPr>
        <w:t xml:space="preserve">  Drs</w:t>
      </w:r>
      <w:r w:rsidR="004C7F91">
        <w:rPr>
          <w:rFonts w:ascii="Calibri" w:hAnsi="Calibri" w:cs="Calibri"/>
          <w:color w:val="131413"/>
          <w:sz w:val="24"/>
          <w:szCs w:val="24"/>
        </w:rPr>
        <w:t>.</w:t>
      </w:r>
      <w:r w:rsidR="00A72E78">
        <w:rPr>
          <w:rFonts w:ascii="Calibri" w:hAnsi="Calibri" w:cs="Calibri"/>
          <w:color w:val="131413"/>
          <w:sz w:val="24"/>
          <w:szCs w:val="24"/>
        </w:rPr>
        <w:t xml:space="preserve"> </w:t>
      </w:r>
      <w:r w:rsidR="003348C2">
        <w:rPr>
          <w:rFonts w:ascii="Calibri" w:hAnsi="Calibri" w:cs="Calibri"/>
          <w:color w:val="131413"/>
          <w:sz w:val="24"/>
          <w:szCs w:val="24"/>
        </w:rPr>
        <w:t xml:space="preserve">Harvey, Kanis and </w:t>
      </w:r>
      <w:r w:rsidR="004C7F91">
        <w:rPr>
          <w:rFonts w:ascii="Calibri" w:hAnsi="Calibri" w:cs="Calibri"/>
          <w:color w:val="131413"/>
          <w:sz w:val="24"/>
          <w:szCs w:val="24"/>
        </w:rPr>
        <w:t>McCloskey</w:t>
      </w:r>
      <w:r w:rsidR="003348C2">
        <w:rPr>
          <w:rFonts w:ascii="Calibri" w:hAnsi="Calibri" w:cs="Calibri"/>
          <w:color w:val="131413"/>
          <w:sz w:val="24"/>
          <w:szCs w:val="24"/>
        </w:rPr>
        <w:t xml:space="preserve"> are members of the </w:t>
      </w:r>
      <w:r w:rsidR="000D63A8">
        <w:rPr>
          <w:rFonts w:ascii="Calibri" w:hAnsi="Calibri" w:cs="Calibri"/>
          <w:color w:val="131413"/>
          <w:sz w:val="24"/>
          <w:szCs w:val="24"/>
        </w:rPr>
        <w:t>National Osteoporosis Guideline Group.</w:t>
      </w:r>
    </w:p>
    <w:p w14:paraId="494931AB" w14:textId="18034B3C" w:rsidR="00494106" w:rsidRDefault="00494106" w:rsidP="00F323B1">
      <w:pPr>
        <w:autoSpaceDE w:val="0"/>
        <w:autoSpaceDN w:val="0"/>
        <w:adjustRightInd w:val="0"/>
        <w:spacing w:after="0" w:line="276" w:lineRule="auto"/>
        <w:rPr>
          <w:rFonts w:ascii="Calibri" w:hAnsi="Calibri" w:cs="Calibri"/>
          <w:color w:val="131413"/>
          <w:sz w:val="24"/>
          <w:szCs w:val="24"/>
        </w:rPr>
      </w:pPr>
    </w:p>
    <w:p w14:paraId="2D686775" w14:textId="77777777" w:rsidR="001A4DE6" w:rsidRDefault="001A4DE6" w:rsidP="00B21D0D">
      <w:pPr>
        <w:autoSpaceDE w:val="0"/>
        <w:autoSpaceDN w:val="0"/>
        <w:adjustRightInd w:val="0"/>
        <w:spacing w:after="0" w:line="276" w:lineRule="auto"/>
        <w:rPr>
          <w:rFonts w:ascii="Calibri" w:hAnsi="Calibri" w:cs="Calibri"/>
          <w:b/>
          <w:bCs/>
          <w:color w:val="131413"/>
          <w:sz w:val="24"/>
          <w:szCs w:val="24"/>
        </w:rPr>
      </w:pPr>
    </w:p>
    <w:p w14:paraId="01A9D748" w14:textId="77777777" w:rsidR="001A4DE6" w:rsidRDefault="001A4DE6" w:rsidP="00B21D0D">
      <w:pPr>
        <w:autoSpaceDE w:val="0"/>
        <w:autoSpaceDN w:val="0"/>
        <w:adjustRightInd w:val="0"/>
        <w:spacing w:after="0" w:line="276" w:lineRule="auto"/>
        <w:rPr>
          <w:rFonts w:ascii="Calibri" w:hAnsi="Calibri" w:cs="Calibri"/>
          <w:b/>
          <w:bCs/>
          <w:color w:val="131413"/>
          <w:sz w:val="24"/>
          <w:szCs w:val="24"/>
        </w:rPr>
      </w:pPr>
    </w:p>
    <w:p w14:paraId="76A808CC" w14:textId="6A334F23" w:rsidR="006419A9" w:rsidRPr="00701112" w:rsidRDefault="006419A9" w:rsidP="00B21D0D">
      <w:pPr>
        <w:autoSpaceDE w:val="0"/>
        <w:autoSpaceDN w:val="0"/>
        <w:adjustRightInd w:val="0"/>
        <w:spacing w:after="0" w:line="276" w:lineRule="auto"/>
        <w:rPr>
          <w:rFonts w:ascii="Calibri" w:hAnsi="Calibri" w:cs="Calibri"/>
          <w:b/>
          <w:bCs/>
          <w:color w:val="131413"/>
          <w:sz w:val="24"/>
          <w:szCs w:val="24"/>
        </w:rPr>
      </w:pPr>
      <w:r w:rsidRPr="00701112">
        <w:rPr>
          <w:rFonts w:ascii="Calibri" w:hAnsi="Calibri" w:cs="Calibri"/>
          <w:b/>
          <w:bCs/>
          <w:color w:val="131413"/>
          <w:sz w:val="24"/>
          <w:szCs w:val="24"/>
        </w:rPr>
        <w:t>References</w:t>
      </w:r>
    </w:p>
    <w:p w14:paraId="2CB55F29" w14:textId="138C3ACD" w:rsidR="007E1F41" w:rsidRDefault="007E1F41" w:rsidP="00E123CC">
      <w:pPr>
        <w:autoSpaceDE w:val="0"/>
        <w:autoSpaceDN w:val="0"/>
        <w:adjustRightInd w:val="0"/>
        <w:spacing w:after="0" w:line="276" w:lineRule="auto"/>
        <w:rPr>
          <w:rFonts w:ascii="Calibri" w:hAnsi="Calibri" w:cs="Calibri"/>
          <w:color w:val="131413"/>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
        <w:gridCol w:w="7970"/>
      </w:tblGrid>
      <w:tr w:rsidR="00B92FE8" w:rsidRPr="00C27279" w14:paraId="61EDA990" w14:textId="77777777" w:rsidTr="00E123CC">
        <w:tc>
          <w:tcPr>
            <w:tcW w:w="501" w:type="dxa"/>
          </w:tcPr>
          <w:p w14:paraId="6D74D058" w14:textId="37337270"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1.</w:t>
            </w:r>
          </w:p>
        </w:tc>
        <w:tc>
          <w:tcPr>
            <w:tcW w:w="7970" w:type="dxa"/>
          </w:tcPr>
          <w:p w14:paraId="169B613A" w14:textId="77777777" w:rsidR="00B92FE8" w:rsidRPr="001573CC" w:rsidRDefault="00B92FE8" w:rsidP="00E123CC">
            <w:pPr>
              <w:autoSpaceDE w:val="0"/>
              <w:autoSpaceDN w:val="0"/>
              <w:adjustRightInd w:val="0"/>
              <w:spacing w:before="240" w:line="276" w:lineRule="auto"/>
              <w:rPr>
                <w:rFonts w:ascii="Calibri" w:hAnsi="Calibri" w:cs="Calibri"/>
                <w:color w:val="131413"/>
                <w:sz w:val="20"/>
                <w:szCs w:val="20"/>
              </w:rPr>
            </w:pPr>
            <w:r w:rsidRPr="001573CC">
              <w:rPr>
                <w:rFonts w:ascii="Calibri" w:hAnsi="Calibri" w:cs="Calibri"/>
                <w:color w:val="131413"/>
                <w:sz w:val="20"/>
                <w:szCs w:val="20"/>
              </w:rPr>
              <w:t>Kanis JA, Harvey NC, Cooper C, Johansson H, Odén A, McCloskey EV, the Advisory Board of the National Osteoporosis Guideline Group (2016) A systematic review of intervention thresholds based on FRAX. A report prepared for the National Osteoporosis Guideline Group and the International Osteoporosis Foundation. Arch Osteoporos 11:25</w:t>
            </w:r>
          </w:p>
        </w:tc>
      </w:tr>
      <w:tr w:rsidR="00B92FE8" w:rsidRPr="00C27279" w14:paraId="7D504907" w14:textId="77777777" w:rsidTr="00E123CC">
        <w:tc>
          <w:tcPr>
            <w:tcW w:w="501" w:type="dxa"/>
          </w:tcPr>
          <w:p w14:paraId="0200549D" w14:textId="4BB9F692"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2.</w:t>
            </w:r>
          </w:p>
        </w:tc>
        <w:tc>
          <w:tcPr>
            <w:tcW w:w="7970" w:type="dxa"/>
          </w:tcPr>
          <w:p w14:paraId="048F021A" w14:textId="77777777" w:rsidR="00B92FE8" w:rsidRPr="00C27279" w:rsidRDefault="00B92FE8" w:rsidP="00E123CC">
            <w:pPr>
              <w:autoSpaceDE w:val="0"/>
              <w:autoSpaceDN w:val="0"/>
              <w:adjustRightInd w:val="0"/>
              <w:spacing w:before="240" w:line="276" w:lineRule="auto"/>
              <w:rPr>
                <w:rFonts w:ascii="Calibri" w:hAnsi="Calibri" w:cs="Calibri"/>
                <w:color w:val="131413"/>
                <w:sz w:val="20"/>
                <w:szCs w:val="20"/>
              </w:rPr>
            </w:pPr>
            <w:r w:rsidRPr="00C27279">
              <w:rPr>
                <w:rFonts w:ascii="Calibri" w:hAnsi="Calibri" w:cs="Calibri"/>
                <w:color w:val="131413"/>
                <w:sz w:val="20"/>
                <w:szCs w:val="20"/>
              </w:rPr>
              <w:t>Cosman F, de Beur SJ, LeBoff MS, Lewiecki EM, Tanner B, Randall S, Lindsay R; National Osteoporosis Foundation (2014) Clinician’s guide to prevention and treatment of osteoporosis. Osteoporos Int 25: 2359–2381</w:t>
            </w:r>
          </w:p>
        </w:tc>
      </w:tr>
      <w:tr w:rsidR="00B92FE8" w:rsidRPr="00C27279" w14:paraId="3EB79F30" w14:textId="77777777" w:rsidTr="00E123CC">
        <w:tc>
          <w:tcPr>
            <w:tcW w:w="501" w:type="dxa"/>
          </w:tcPr>
          <w:p w14:paraId="1BAF894E" w14:textId="38352E9C"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3.</w:t>
            </w:r>
          </w:p>
        </w:tc>
        <w:tc>
          <w:tcPr>
            <w:tcW w:w="7970" w:type="dxa"/>
          </w:tcPr>
          <w:p w14:paraId="24E34AC1" w14:textId="77777777" w:rsidR="00B92FE8" w:rsidRPr="00C27279" w:rsidRDefault="00B92FE8" w:rsidP="00E123CC">
            <w:pPr>
              <w:autoSpaceDE w:val="0"/>
              <w:autoSpaceDN w:val="0"/>
              <w:adjustRightInd w:val="0"/>
              <w:spacing w:before="240" w:line="276" w:lineRule="auto"/>
              <w:rPr>
                <w:rFonts w:ascii="Calibri" w:hAnsi="Calibri" w:cs="Calibri"/>
                <w:b/>
                <w:bCs/>
                <w:color w:val="131413"/>
                <w:sz w:val="20"/>
                <w:szCs w:val="20"/>
              </w:rPr>
            </w:pPr>
            <w:r w:rsidRPr="00C27279">
              <w:rPr>
                <w:rFonts w:ascii="Calibri" w:hAnsi="Calibri" w:cs="Calibri"/>
                <w:color w:val="131413"/>
                <w:sz w:val="20"/>
                <w:szCs w:val="20"/>
              </w:rPr>
              <w:t>Orimo H, Nakamura T, Hosoi T, Iki M, Uenishi K, Endo N, Ohta H, Shiraki M, Sugimoto T, Suzuki T, Soen S, Nishizawa Y, Hagino H, Fukunaga M, Fujiwara S (2012) Japanese 2011 guidelines for prevention and treatment of osteoporosis—executive summary. Arch Osteoporos 7: 3–20</w:t>
            </w:r>
          </w:p>
        </w:tc>
      </w:tr>
      <w:tr w:rsidR="00B92FE8" w:rsidRPr="00C27279" w14:paraId="67357BA4" w14:textId="77777777" w:rsidTr="00E123CC">
        <w:tc>
          <w:tcPr>
            <w:tcW w:w="501" w:type="dxa"/>
          </w:tcPr>
          <w:p w14:paraId="6DD050A8" w14:textId="6B49DBE7"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4.</w:t>
            </w:r>
          </w:p>
        </w:tc>
        <w:tc>
          <w:tcPr>
            <w:tcW w:w="7970" w:type="dxa"/>
          </w:tcPr>
          <w:p w14:paraId="57E42A3E" w14:textId="77777777" w:rsidR="00B92FE8" w:rsidRPr="00C27279" w:rsidRDefault="00B92FE8" w:rsidP="00E123CC">
            <w:pPr>
              <w:autoSpaceDE w:val="0"/>
              <w:autoSpaceDN w:val="0"/>
              <w:adjustRightInd w:val="0"/>
              <w:spacing w:before="240" w:line="276" w:lineRule="auto"/>
              <w:rPr>
                <w:rFonts w:ascii="Calibri" w:hAnsi="Calibri" w:cs="Calibri"/>
                <w:color w:val="131413"/>
                <w:sz w:val="20"/>
                <w:szCs w:val="20"/>
              </w:rPr>
            </w:pPr>
            <w:r w:rsidRPr="00C27279">
              <w:rPr>
                <w:rFonts w:ascii="Calibri" w:hAnsi="Calibri" w:cs="Calibri"/>
                <w:color w:val="131413"/>
                <w:sz w:val="20"/>
                <w:szCs w:val="20"/>
              </w:rPr>
              <w:t>Lekamwasam S, Adachi JD, Agnusdei D, Bilezikian J, Boonen S, Borgström F, Cooper C, Diez Perez A, Eastell R, Hofbauer L, Kanis JA, Langdahl BL, Lesnyak O, Lorenc R,  McCloskey E, Messina OD, Napoli N, Obermayer-Pietsch B, Ralston SH, Sambrook PN, Silverman S, Sosa M, Stepan J, Suppan G, Wahl DA, Compston JE for the Joint IOF-ECTS GIO Guidelines Working Group (2012) A framework for the development of guidelines for the management of glucocorticoid-induced osteoporosis. Osteoporos Int 23: 2257-76.</w:t>
            </w:r>
          </w:p>
        </w:tc>
      </w:tr>
      <w:tr w:rsidR="00B92FE8" w:rsidRPr="00C27279" w14:paraId="7580DD00" w14:textId="77777777" w:rsidTr="00E123CC">
        <w:tc>
          <w:tcPr>
            <w:tcW w:w="501" w:type="dxa"/>
          </w:tcPr>
          <w:p w14:paraId="740F2C8B" w14:textId="0B8626D4" w:rsidR="00B92FE8" w:rsidRDefault="00B92FE8" w:rsidP="00E123CC">
            <w:pPr>
              <w:autoSpaceDE w:val="0"/>
              <w:autoSpaceDN w:val="0"/>
              <w:adjustRightInd w:val="0"/>
              <w:spacing w:before="240" w:line="276" w:lineRule="auto"/>
              <w:jc w:val="right"/>
              <w:rPr>
                <w:rFonts w:ascii="Calibri" w:eastAsia="Times New Roman" w:hAnsi="Calibri" w:cs="Calibri"/>
                <w:bCs/>
                <w:iCs/>
                <w:sz w:val="20"/>
                <w:szCs w:val="20"/>
              </w:rPr>
            </w:pPr>
            <w:r>
              <w:rPr>
                <w:rFonts w:ascii="Calibri" w:eastAsia="Times New Roman" w:hAnsi="Calibri" w:cs="Calibri"/>
                <w:bCs/>
                <w:iCs/>
                <w:sz w:val="20"/>
                <w:szCs w:val="20"/>
              </w:rPr>
              <w:t>5.</w:t>
            </w:r>
          </w:p>
        </w:tc>
        <w:tc>
          <w:tcPr>
            <w:tcW w:w="7970" w:type="dxa"/>
          </w:tcPr>
          <w:p w14:paraId="51D50DD7" w14:textId="77777777" w:rsidR="00B92FE8" w:rsidRPr="00C27279" w:rsidRDefault="00B92FE8" w:rsidP="00E123CC">
            <w:pPr>
              <w:autoSpaceDE w:val="0"/>
              <w:autoSpaceDN w:val="0"/>
              <w:adjustRightInd w:val="0"/>
              <w:spacing w:before="240" w:line="276" w:lineRule="auto"/>
              <w:rPr>
                <w:rFonts w:ascii="Calibri" w:eastAsia="Times New Roman" w:hAnsi="Calibri" w:cs="Calibri"/>
                <w:bCs/>
                <w:iCs/>
                <w:sz w:val="20"/>
                <w:szCs w:val="20"/>
              </w:rPr>
            </w:pPr>
            <w:r w:rsidRPr="00C27279">
              <w:rPr>
                <w:rFonts w:ascii="Calibri" w:eastAsia="Times New Roman" w:hAnsi="Calibri" w:cs="Calibri"/>
                <w:bCs/>
                <w:iCs/>
                <w:sz w:val="20"/>
                <w:szCs w:val="20"/>
              </w:rPr>
              <w:t>Clark P, Denova-Gutiérrez E, Zerbini C, Sanchez A, Messina O, Jaller JJ, Campusano C, Orces CH, Riera G, Johansson H, Kanis JA (2018) FRAX-based intervention and assessment thresholds in seven Latin American countries. Osteoporos Int 29: 707-715.</w:t>
            </w:r>
          </w:p>
        </w:tc>
      </w:tr>
      <w:tr w:rsidR="00B92FE8" w:rsidRPr="00C27279" w14:paraId="788EA323" w14:textId="77777777" w:rsidTr="00E123CC">
        <w:tc>
          <w:tcPr>
            <w:tcW w:w="501" w:type="dxa"/>
          </w:tcPr>
          <w:p w14:paraId="424FF095" w14:textId="348C5ADF"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6.</w:t>
            </w:r>
          </w:p>
        </w:tc>
        <w:tc>
          <w:tcPr>
            <w:tcW w:w="7970" w:type="dxa"/>
          </w:tcPr>
          <w:p w14:paraId="22A03E9C" w14:textId="5DEDCCCB" w:rsidR="00B92FE8" w:rsidRPr="00C27279" w:rsidRDefault="00B92FE8" w:rsidP="00E123CC">
            <w:pPr>
              <w:autoSpaceDE w:val="0"/>
              <w:autoSpaceDN w:val="0"/>
              <w:adjustRightInd w:val="0"/>
              <w:spacing w:before="240" w:line="276" w:lineRule="auto"/>
              <w:rPr>
                <w:rFonts w:ascii="Calibri" w:hAnsi="Calibri" w:cs="Calibri"/>
                <w:color w:val="131413"/>
                <w:sz w:val="20"/>
                <w:szCs w:val="20"/>
              </w:rPr>
            </w:pPr>
            <w:r w:rsidRPr="00AF5153">
              <w:rPr>
                <w:rFonts w:ascii="Calibri" w:hAnsi="Calibri" w:cs="Calibri"/>
                <w:color w:val="131413"/>
                <w:sz w:val="20"/>
                <w:szCs w:val="20"/>
              </w:rPr>
              <w:t>Lesnyak O, Zakroyeva A, Babalyan V, Cazac V, Gabdulina G, Ismailov S, Lobanchenko O, Rudenka E,  Tsagareli M,  Johansson H, Harvey NC, McCloskey E, Kanis JA (2021) FRAX-based intervention thresholds in eight Eurasian countries: Armenia, Belarus, Georgia, Kazakhstan, the Kyrgyz Republic, Moldova, the Russian Federation, and Uzbekistan</w:t>
            </w:r>
            <w:r>
              <w:rPr>
                <w:rFonts w:ascii="Calibri" w:hAnsi="Calibri" w:cs="Calibri"/>
                <w:color w:val="131413"/>
                <w:sz w:val="20"/>
                <w:szCs w:val="20"/>
              </w:rPr>
              <w:t>.  Arch Osteoporos,</w:t>
            </w:r>
            <w:r w:rsidRPr="00AF5153">
              <w:rPr>
                <w:rFonts w:ascii="Calibri" w:hAnsi="Calibri" w:cs="Calibri"/>
                <w:color w:val="131413"/>
                <w:sz w:val="20"/>
                <w:szCs w:val="20"/>
              </w:rPr>
              <w:t xml:space="preserve"> </w:t>
            </w:r>
            <w:r>
              <w:rPr>
                <w:rFonts w:ascii="Calibri" w:hAnsi="Calibri" w:cs="Calibri"/>
                <w:color w:val="131413"/>
                <w:sz w:val="20"/>
                <w:szCs w:val="20"/>
                <w:highlight w:val="yellow"/>
              </w:rPr>
              <w:t>under review</w:t>
            </w:r>
            <w:r w:rsidRPr="00C4064C">
              <w:rPr>
                <w:rFonts w:ascii="Calibri" w:hAnsi="Calibri" w:cs="Calibri"/>
                <w:color w:val="131413"/>
                <w:sz w:val="20"/>
                <w:szCs w:val="20"/>
                <w:highlight w:val="yellow"/>
              </w:rPr>
              <w:t xml:space="preserve"> </w:t>
            </w:r>
            <w:r w:rsidR="00500595">
              <w:rPr>
                <w:rFonts w:ascii="Calibri" w:hAnsi="Calibri" w:cs="Calibri"/>
                <w:color w:val="131413"/>
                <w:sz w:val="20"/>
                <w:szCs w:val="20"/>
                <w:highlight w:val="yellow"/>
              </w:rPr>
              <w:t>March</w:t>
            </w:r>
            <w:r w:rsidRPr="00C4064C">
              <w:rPr>
                <w:rFonts w:ascii="Calibri" w:hAnsi="Calibri" w:cs="Calibri"/>
                <w:color w:val="131413"/>
                <w:sz w:val="20"/>
                <w:szCs w:val="20"/>
                <w:highlight w:val="yellow"/>
              </w:rPr>
              <w:t xml:space="preserve"> 2021</w:t>
            </w:r>
          </w:p>
        </w:tc>
      </w:tr>
      <w:tr w:rsidR="00B92FE8" w:rsidRPr="00C27279" w14:paraId="7A81466A" w14:textId="77777777" w:rsidTr="00E123CC">
        <w:tc>
          <w:tcPr>
            <w:tcW w:w="501" w:type="dxa"/>
          </w:tcPr>
          <w:p w14:paraId="0479EF67" w14:textId="0786FE46"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7.</w:t>
            </w:r>
          </w:p>
        </w:tc>
        <w:tc>
          <w:tcPr>
            <w:tcW w:w="7970" w:type="dxa"/>
          </w:tcPr>
          <w:p w14:paraId="36F545BD" w14:textId="77777777" w:rsidR="00B92FE8" w:rsidRPr="00C27279" w:rsidRDefault="00B92FE8" w:rsidP="00E123CC">
            <w:pPr>
              <w:autoSpaceDE w:val="0"/>
              <w:autoSpaceDN w:val="0"/>
              <w:adjustRightInd w:val="0"/>
              <w:spacing w:before="240" w:line="276" w:lineRule="auto"/>
              <w:rPr>
                <w:rFonts w:ascii="Calibri" w:hAnsi="Calibri" w:cs="Calibri"/>
                <w:color w:val="131413"/>
                <w:sz w:val="20"/>
                <w:szCs w:val="20"/>
              </w:rPr>
            </w:pPr>
            <w:r w:rsidRPr="00C27279">
              <w:rPr>
                <w:rFonts w:ascii="Calibri" w:hAnsi="Calibri" w:cs="Calibri"/>
                <w:color w:val="131413"/>
                <w:sz w:val="20"/>
                <w:szCs w:val="20"/>
              </w:rPr>
              <w:t>McCloskey E, Kanis JA, Johansson Harvey N Odén A, Cooper A, Cooper C, Francis R, Reid D, Selby P, Davies C, Bowring C, Compston (2015) FRAX-based assessment and intervention thresholds-an exploration of thresholds in women aged 50 years and older in the UK.  Osteoporos Int 26: 2091-9.</w:t>
            </w:r>
          </w:p>
        </w:tc>
      </w:tr>
      <w:tr w:rsidR="00B92FE8" w:rsidRPr="00C27279" w14:paraId="6BBB9719" w14:textId="77777777" w:rsidTr="00E123CC">
        <w:tc>
          <w:tcPr>
            <w:tcW w:w="501" w:type="dxa"/>
          </w:tcPr>
          <w:p w14:paraId="24A19CE0" w14:textId="60D56E10" w:rsidR="00B92FE8" w:rsidRDefault="00B92FE8" w:rsidP="00E123CC">
            <w:pPr>
              <w:autoSpaceDE w:val="0"/>
              <w:autoSpaceDN w:val="0"/>
              <w:adjustRightInd w:val="0"/>
              <w:spacing w:before="240" w:line="276" w:lineRule="auto"/>
              <w:jc w:val="right"/>
              <w:rPr>
                <w:rFonts w:ascii="Calibri" w:eastAsia="Times New Roman" w:hAnsi="Calibri" w:cs="Calibri"/>
                <w:bCs/>
                <w:iCs/>
                <w:sz w:val="20"/>
                <w:szCs w:val="20"/>
              </w:rPr>
            </w:pPr>
            <w:r>
              <w:rPr>
                <w:rFonts w:ascii="Calibri" w:eastAsia="Times New Roman" w:hAnsi="Calibri" w:cs="Calibri"/>
                <w:bCs/>
                <w:iCs/>
                <w:sz w:val="20"/>
                <w:szCs w:val="20"/>
              </w:rPr>
              <w:t>8.</w:t>
            </w:r>
          </w:p>
        </w:tc>
        <w:tc>
          <w:tcPr>
            <w:tcW w:w="7970" w:type="dxa"/>
          </w:tcPr>
          <w:p w14:paraId="14F08F71" w14:textId="77777777" w:rsidR="00B92FE8" w:rsidRPr="00C27279" w:rsidRDefault="00B92FE8" w:rsidP="00E123CC">
            <w:pPr>
              <w:autoSpaceDE w:val="0"/>
              <w:autoSpaceDN w:val="0"/>
              <w:adjustRightInd w:val="0"/>
              <w:spacing w:before="240" w:line="276" w:lineRule="auto"/>
              <w:rPr>
                <w:rFonts w:ascii="Calibri" w:hAnsi="Calibri" w:cs="Calibri"/>
                <w:color w:val="131413"/>
                <w:sz w:val="20"/>
                <w:szCs w:val="20"/>
              </w:rPr>
            </w:pPr>
            <w:r w:rsidRPr="00C27279">
              <w:rPr>
                <w:rFonts w:ascii="Calibri" w:eastAsia="Times New Roman" w:hAnsi="Calibri" w:cs="Calibri"/>
                <w:bCs/>
                <w:iCs/>
                <w:sz w:val="20"/>
                <w:szCs w:val="20"/>
              </w:rPr>
              <w:t xml:space="preserve">Compston J, Cooper A, Cooper C, Gittoes N, Gregson C, Harvey N, </w:t>
            </w:r>
            <w:r w:rsidRPr="002448AF">
              <w:rPr>
                <w:rFonts w:ascii="Calibri" w:eastAsia="Times New Roman" w:hAnsi="Calibri" w:cs="Calibri"/>
                <w:bCs/>
                <w:iCs/>
                <w:sz w:val="20"/>
                <w:szCs w:val="20"/>
              </w:rPr>
              <w:t>Hope S, Kanis JA, McCloskey</w:t>
            </w:r>
            <w:r w:rsidRPr="00C27279">
              <w:rPr>
                <w:rFonts w:ascii="Calibri" w:eastAsia="Times New Roman" w:hAnsi="Calibri" w:cs="Calibri"/>
                <w:bCs/>
                <w:iCs/>
                <w:sz w:val="20"/>
                <w:szCs w:val="20"/>
              </w:rPr>
              <w:t xml:space="preserve"> EV, Poole KES, Reid DM, Selby P, Thompson F, Thurston A, Vine N: The National Osteoporosis Guideline Group (NOGG) (2017) UK clinical guideline for the prevention and treatment of osteoporosis.  Arch Osteoporos</w:t>
            </w:r>
            <w:bookmarkStart w:id="10" w:name="_Hlk480572272"/>
            <w:r w:rsidRPr="00C27279">
              <w:rPr>
                <w:rFonts w:ascii="Calibri" w:eastAsia="Times New Roman" w:hAnsi="Calibri" w:cs="Calibri"/>
                <w:bCs/>
                <w:iCs/>
                <w:sz w:val="20"/>
                <w:szCs w:val="20"/>
              </w:rPr>
              <w:t xml:space="preserve"> 12: 43</w:t>
            </w:r>
            <w:bookmarkEnd w:id="10"/>
            <w:r w:rsidRPr="00C27279">
              <w:rPr>
                <w:rFonts w:ascii="Calibri" w:eastAsia="Times New Roman" w:hAnsi="Calibri" w:cs="Calibri"/>
                <w:bCs/>
                <w:iCs/>
                <w:sz w:val="20"/>
                <w:szCs w:val="20"/>
              </w:rPr>
              <w:t>.</w:t>
            </w:r>
          </w:p>
        </w:tc>
      </w:tr>
      <w:tr w:rsidR="00B92FE8" w:rsidRPr="00C27279" w14:paraId="5533135D" w14:textId="77777777" w:rsidTr="00E123CC">
        <w:tc>
          <w:tcPr>
            <w:tcW w:w="501" w:type="dxa"/>
          </w:tcPr>
          <w:p w14:paraId="5F5C4F40" w14:textId="76EC4336"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9.</w:t>
            </w:r>
          </w:p>
        </w:tc>
        <w:tc>
          <w:tcPr>
            <w:tcW w:w="7970" w:type="dxa"/>
          </w:tcPr>
          <w:p w14:paraId="28014EA7" w14:textId="46802AE8" w:rsidR="00B92FE8" w:rsidRPr="001573CC" w:rsidRDefault="00B92FE8" w:rsidP="00E123CC">
            <w:pPr>
              <w:autoSpaceDE w:val="0"/>
              <w:autoSpaceDN w:val="0"/>
              <w:adjustRightInd w:val="0"/>
              <w:spacing w:before="240" w:line="276" w:lineRule="auto"/>
              <w:rPr>
                <w:rFonts w:ascii="Calibri" w:hAnsi="Calibri" w:cs="Calibri"/>
                <w:color w:val="131413"/>
                <w:sz w:val="20"/>
                <w:szCs w:val="20"/>
              </w:rPr>
            </w:pPr>
            <w:r w:rsidRPr="001573CC">
              <w:rPr>
                <w:rFonts w:ascii="Calibri" w:hAnsi="Calibri" w:cs="Calibri"/>
                <w:color w:val="131413"/>
                <w:sz w:val="20"/>
                <w:szCs w:val="20"/>
              </w:rPr>
              <w:t xml:space="preserve">Kanis JA, Harvey NC, McCloskey E, Bruyère O, Veronese N, Lorentzon M, Cooper C, Rizzoli R, Adib G, Al-Daghri N, Campusano C, Chandran M, Dawson-Hughes B, Javaid K, F Jiwa F, Johansson H, Lee JK, Liu E, Messina D, Mkinsi O, Pinto </w:t>
            </w:r>
            <w:r w:rsidR="00A21E24" w:rsidRPr="001573CC">
              <w:rPr>
                <w:rFonts w:ascii="Calibri" w:hAnsi="Calibri" w:cs="Calibri"/>
                <w:color w:val="131413"/>
                <w:sz w:val="20"/>
                <w:szCs w:val="20"/>
              </w:rPr>
              <w:t>D, Prieto</w:t>
            </w:r>
            <w:r w:rsidRPr="001573CC">
              <w:rPr>
                <w:rFonts w:ascii="Calibri" w:hAnsi="Calibri" w:cs="Calibri"/>
                <w:color w:val="131413"/>
                <w:sz w:val="20"/>
                <w:szCs w:val="20"/>
              </w:rPr>
              <w:t xml:space="preserve">-Alhambra D, Saag K, Xia W, Zakraoui L,  Reginster J-Y (2020) Algorithm for the management of patients at low, high and very high risk of osteoporotic fracture.  Osteoporos Int 31: 1-12.  </w:t>
            </w:r>
          </w:p>
        </w:tc>
      </w:tr>
      <w:tr w:rsidR="00B92FE8" w:rsidRPr="00C27279" w14:paraId="7D19ED0A" w14:textId="77777777" w:rsidTr="00E123CC">
        <w:tc>
          <w:tcPr>
            <w:tcW w:w="501" w:type="dxa"/>
          </w:tcPr>
          <w:p w14:paraId="73120E63" w14:textId="60DB61EE"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10.</w:t>
            </w:r>
          </w:p>
        </w:tc>
        <w:tc>
          <w:tcPr>
            <w:tcW w:w="7970" w:type="dxa"/>
          </w:tcPr>
          <w:p w14:paraId="38465439" w14:textId="63CE46FE" w:rsidR="00B92FE8" w:rsidRPr="00C27279" w:rsidRDefault="00B92FE8" w:rsidP="00E123CC">
            <w:pPr>
              <w:autoSpaceDE w:val="0"/>
              <w:autoSpaceDN w:val="0"/>
              <w:adjustRightInd w:val="0"/>
              <w:spacing w:before="240" w:line="276" w:lineRule="auto"/>
              <w:rPr>
                <w:rFonts w:ascii="Calibri" w:hAnsi="Calibri" w:cs="Calibri"/>
                <w:color w:val="131413"/>
                <w:sz w:val="20"/>
                <w:szCs w:val="20"/>
              </w:rPr>
            </w:pPr>
            <w:r w:rsidRPr="00C27279">
              <w:rPr>
                <w:rFonts w:ascii="Calibri" w:hAnsi="Calibri" w:cs="Calibri"/>
                <w:color w:val="131413"/>
                <w:sz w:val="20"/>
                <w:szCs w:val="20"/>
              </w:rPr>
              <w:t>Cosman, F., D. B. Crittenden, J. D. Adachi, N. Binkley, E. Czerwinski, S. Ferrari, L. C. Hofbauer, E. Lau, E. M. Lewiecki, A. Miyauchi, C. A. Zerbini, C. E. Milmont, L. Chen, J. Maddox, P. D. Meisner, C. Libanati and A. Grauer (2016)</w:t>
            </w:r>
            <w:r w:rsidR="00A21E24">
              <w:rPr>
                <w:rFonts w:ascii="Calibri" w:hAnsi="Calibri" w:cs="Calibri"/>
                <w:color w:val="131413"/>
                <w:sz w:val="20"/>
                <w:szCs w:val="20"/>
              </w:rPr>
              <w:t xml:space="preserve"> </w:t>
            </w:r>
            <w:r w:rsidRPr="00C27279">
              <w:rPr>
                <w:rFonts w:ascii="Calibri" w:hAnsi="Calibri" w:cs="Calibri"/>
                <w:color w:val="131413"/>
                <w:sz w:val="20"/>
                <w:szCs w:val="20"/>
              </w:rPr>
              <w:t xml:space="preserve">Romosozumab </w:t>
            </w:r>
            <w:r w:rsidR="00A21E24">
              <w:rPr>
                <w:rFonts w:ascii="Calibri" w:hAnsi="Calibri" w:cs="Calibri"/>
                <w:color w:val="131413"/>
                <w:sz w:val="20"/>
                <w:szCs w:val="20"/>
              </w:rPr>
              <w:t>t</w:t>
            </w:r>
            <w:r w:rsidRPr="00C27279">
              <w:rPr>
                <w:rFonts w:ascii="Calibri" w:hAnsi="Calibri" w:cs="Calibri"/>
                <w:color w:val="131413"/>
                <w:sz w:val="20"/>
                <w:szCs w:val="20"/>
              </w:rPr>
              <w:t xml:space="preserve">reatment in </w:t>
            </w:r>
            <w:r w:rsidR="00A21E24">
              <w:rPr>
                <w:rFonts w:ascii="Calibri" w:hAnsi="Calibri" w:cs="Calibri"/>
                <w:color w:val="131413"/>
                <w:sz w:val="20"/>
                <w:szCs w:val="20"/>
              </w:rPr>
              <w:t>p</w:t>
            </w:r>
            <w:r w:rsidRPr="00C27279">
              <w:rPr>
                <w:rFonts w:ascii="Calibri" w:hAnsi="Calibri" w:cs="Calibri"/>
                <w:color w:val="131413"/>
                <w:sz w:val="20"/>
                <w:szCs w:val="20"/>
              </w:rPr>
              <w:t xml:space="preserve">ostmenopausal </w:t>
            </w:r>
            <w:r w:rsidR="00A21E24">
              <w:rPr>
                <w:rFonts w:ascii="Calibri" w:hAnsi="Calibri" w:cs="Calibri"/>
                <w:color w:val="131413"/>
                <w:sz w:val="20"/>
                <w:szCs w:val="20"/>
              </w:rPr>
              <w:t>w</w:t>
            </w:r>
            <w:r w:rsidRPr="00C27279">
              <w:rPr>
                <w:rFonts w:ascii="Calibri" w:hAnsi="Calibri" w:cs="Calibri"/>
                <w:color w:val="131413"/>
                <w:sz w:val="20"/>
                <w:szCs w:val="20"/>
              </w:rPr>
              <w:t xml:space="preserve">omen with </w:t>
            </w:r>
            <w:r w:rsidR="00A21E24">
              <w:rPr>
                <w:rFonts w:ascii="Calibri" w:hAnsi="Calibri" w:cs="Calibri"/>
                <w:color w:val="131413"/>
                <w:sz w:val="20"/>
                <w:szCs w:val="20"/>
              </w:rPr>
              <w:t>o</w:t>
            </w:r>
            <w:r w:rsidRPr="00C27279">
              <w:rPr>
                <w:rFonts w:ascii="Calibri" w:hAnsi="Calibri" w:cs="Calibri"/>
                <w:color w:val="131413"/>
                <w:sz w:val="20"/>
                <w:szCs w:val="20"/>
              </w:rPr>
              <w:t>steoporosis. N Engl J Med 375: 1532-1543.</w:t>
            </w:r>
          </w:p>
        </w:tc>
      </w:tr>
      <w:tr w:rsidR="00B92FE8" w:rsidRPr="00C27279" w14:paraId="06A8B23F" w14:textId="77777777" w:rsidTr="00E123CC">
        <w:tc>
          <w:tcPr>
            <w:tcW w:w="501" w:type="dxa"/>
          </w:tcPr>
          <w:p w14:paraId="7BAF29B3" w14:textId="5B48D647"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11.</w:t>
            </w:r>
          </w:p>
        </w:tc>
        <w:tc>
          <w:tcPr>
            <w:tcW w:w="7970" w:type="dxa"/>
          </w:tcPr>
          <w:p w14:paraId="44D05063" w14:textId="77777777" w:rsidR="00B92FE8" w:rsidRPr="00C27279" w:rsidRDefault="00B92FE8" w:rsidP="00E123CC">
            <w:pPr>
              <w:autoSpaceDE w:val="0"/>
              <w:autoSpaceDN w:val="0"/>
              <w:adjustRightInd w:val="0"/>
              <w:spacing w:before="240" w:line="276" w:lineRule="auto"/>
              <w:rPr>
                <w:rFonts w:ascii="Calibri" w:hAnsi="Calibri" w:cs="Calibri"/>
                <w:color w:val="131413"/>
                <w:sz w:val="20"/>
                <w:szCs w:val="20"/>
              </w:rPr>
            </w:pPr>
            <w:r w:rsidRPr="00C27279">
              <w:rPr>
                <w:rFonts w:ascii="Calibri" w:hAnsi="Calibri" w:cs="Calibri"/>
                <w:color w:val="131413"/>
                <w:sz w:val="20"/>
                <w:szCs w:val="20"/>
              </w:rPr>
              <w:t>Saag KG, Petersen J, Brandi ML Karaplis AC, Lorentzon M, Thomas T, Maddox J, Fan M, Meisner PD, Grauer A (2017) Romosozumab or alendronate for fracture prevention in women with osteoporosis. N Engl J Med 377: 1417–1427</w:t>
            </w:r>
          </w:p>
        </w:tc>
      </w:tr>
      <w:tr w:rsidR="00B92FE8" w:rsidRPr="00C27279" w14:paraId="372735EC" w14:textId="77777777" w:rsidTr="00E123CC">
        <w:tc>
          <w:tcPr>
            <w:tcW w:w="501" w:type="dxa"/>
          </w:tcPr>
          <w:p w14:paraId="6797022C" w14:textId="14515470"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12.</w:t>
            </w:r>
          </w:p>
        </w:tc>
        <w:tc>
          <w:tcPr>
            <w:tcW w:w="7970" w:type="dxa"/>
          </w:tcPr>
          <w:p w14:paraId="4ED75D68" w14:textId="77777777" w:rsidR="00B92FE8" w:rsidRPr="00C27279" w:rsidRDefault="00B92FE8" w:rsidP="00E123CC">
            <w:pPr>
              <w:autoSpaceDE w:val="0"/>
              <w:autoSpaceDN w:val="0"/>
              <w:adjustRightInd w:val="0"/>
              <w:spacing w:before="240" w:line="276" w:lineRule="auto"/>
              <w:rPr>
                <w:rFonts w:ascii="Calibri" w:hAnsi="Calibri" w:cs="Calibri"/>
                <w:color w:val="131413"/>
                <w:sz w:val="20"/>
                <w:szCs w:val="20"/>
              </w:rPr>
            </w:pPr>
            <w:r w:rsidRPr="00783D46">
              <w:rPr>
                <w:rFonts w:ascii="Calibri" w:hAnsi="Calibri" w:cs="Calibri"/>
                <w:color w:val="131413"/>
                <w:sz w:val="20"/>
                <w:szCs w:val="20"/>
              </w:rPr>
              <w:t xml:space="preserve">Kendler DL, Marin F, Zerbini CAF, Russo LA, Greenspan SL, Zikan V, Bagur A, Malouf-Sierra J, Lakatos P, Fahrleitner-Pammer A, Lespessailles E, Minisola S, Body JJ, Geusens P, Möricke R, López-Romero P </w:t>
            </w:r>
            <w:r w:rsidRPr="00C27279">
              <w:rPr>
                <w:rFonts w:ascii="Calibri" w:hAnsi="Calibri" w:cs="Calibri"/>
                <w:color w:val="131413"/>
                <w:sz w:val="20"/>
                <w:szCs w:val="20"/>
              </w:rPr>
              <w:t>(2018) Effects of teriparatide and risedronate on new fractures in post-menopausal women with severe osteoporosis (VERO): a multicentre, double-blind, double-dummy, randomised controlled trial. Lancet 391:230–240 (Erratum Lancet 2018; 392: 2352)</w:t>
            </w:r>
          </w:p>
        </w:tc>
      </w:tr>
      <w:tr w:rsidR="00B92FE8" w:rsidRPr="00C27279" w14:paraId="367F477B" w14:textId="77777777" w:rsidTr="00E123CC">
        <w:tc>
          <w:tcPr>
            <w:tcW w:w="501" w:type="dxa"/>
          </w:tcPr>
          <w:p w14:paraId="3C21C3DD" w14:textId="0F20FCB8"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13.</w:t>
            </w:r>
          </w:p>
        </w:tc>
        <w:tc>
          <w:tcPr>
            <w:tcW w:w="7970" w:type="dxa"/>
          </w:tcPr>
          <w:p w14:paraId="702780A6" w14:textId="77777777" w:rsidR="00B92FE8" w:rsidRPr="001573CC" w:rsidRDefault="00B92FE8" w:rsidP="00E123CC">
            <w:pPr>
              <w:autoSpaceDE w:val="0"/>
              <w:autoSpaceDN w:val="0"/>
              <w:adjustRightInd w:val="0"/>
              <w:spacing w:before="240" w:line="276" w:lineRule="auto"/>
              <w:rPr>
                <w:rFonts w:ascii="Calibri" w:hAnsi="Calibri" w:cs="Calibri"/>
                <w:color w:val="131413"/>
                <w:sz w:val="20"/>
                <w:szCs w:val="20"/>
              </w:rPr>
            </w:pPr>
            <w:r w:rsidRPr="001573CC">
              <w:rPr>
                <w:rFonts w:ascii="Calibri" w:hAnsi="Calibri" w:cs="Calibri"/>
                <w:color w:val="131413"/>
                <w:sz w:val="20"/>
                <w:szCs w:val="20"/>
              </w:rPr>
              <w:t xml:space="preserve">Kanis JA, Cooper C, Rizzoli R, Reginster J-Y; Scientific Advisory Board of the European Society for Clinical and Economic Aspects of Osteoporosis (ESCEO) and the Committees of Scientific Advisors and National Societies of the International Osteoporosis Foundation (IOF) (2019) European guidance for the diagnosis and management of osteoporosis in postmenopausal women.  Osteoporos Int 30: 3-44.   </w:t>
            </w:r>
          </w:p>
        </w:tc>
      </w:tr>
      <w:tr w:rsidR="00B92FE8" w:rsidRPr="00C27279" w14:paraId="2DEB744F" w14:textId="77777777" w:rsidTr="00E123CC">
        <w:tc>
          <w:tcPr>
            <w:tcW w:w="501" w:type="dxa"/>
          </w:tcPr>
          <w:p w14:paraId="04B51971" w14:textId="7F8BE2E0"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14.</w:t>
            </w:r>
          </w:p>
        </w:tc>
        <w:tc>
          <w:tcPr>
            <w:tcW w:w="7970" w:type="dxa"/>
          </w:tcPr>
          <w:p w14:paraId="553A0555" w14:textId="02F409FC" w:rsidR="00B92FE8" w:rsidRPr="001573CC" w:rsidRDefault="00B92FE8" w:rsidP="00E123CC">
            <w:pPr>
              <w:autoSpaceDE w:val="0"/>
              <w:autoSpaceDN w:val="0"/>
              <w:adjustRightInd w:val="0"/>
              <w:spacing w:before="240" w:line="276" w:lineRule="auto"/>
              <w:rPr>
                <w:rFonts w:ascii="Calibri" w:hAnsi="Calibri" w:cs="Calibri"/>
                <w:color w:val="131413"/>
                <w:sz w:val="20"/>
                <w:szCs w:val="20"/>
              </w:rPr>
            </w:pPr>
            <w:r w:rsidRPr="001573CC">
              <w:rPr>
                <w:rFonts w:ascii="Calibri" w:hAnsi="Calibri" w:cs="Calibri"/>
                <w:color w:val="131413"/>
                <w:sz w:val="20"/>
                <w:szCs w:val="20"/>
              </w:rPr>
              <w:t>Kanis JA, Johansson H, Harvey NC, Gudnason V, Sigurdsson G, Siggeirsdottir K, Lorentzon M, Liu M, Vandenput L, McCloskey E (2020) Adjusting conventional FRAX estimates of fracture probability according to the recency of sentinel fractures.  Osteoporos Int 31: 1817-1828.</w:t>
            </w:r>
          </w:p>
        </w:tc>
      </w:tr>
      <w:tr w:rsidR="00B92FE8" w:rsidRPr="00C27279" w14:paraId="6B8AA442" w14:textId="77777777" w:rsidTr="00E123CC">
        <w:tc>
          <w:tcPr>
            <w:tcW w:w="501" w:type="dxa"/>
          </w:tcPr>
          <w:p w14:paraId="6CB79D83" w14:textId="348BA8E2"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15.</w:t>
            </w:r>
          </w:p>
        </w:tc>
        <w:tc>
          <w:tcPr>
            <w:tcW w:w="7970" w:type="dxa"/>
          </w:tcPr>
          <w:p w14:paraId="07B951FA" w14:textId="6EB2C346" w:rsidR="00B92FE8" w:rsidRPr="001573CC" w:rsidRDefault="00B92FE8" w:rsidP="00E123CC">
            <w:pPr>
              <w:autoSpaceDE w:val="0"/>
              <w:autoSpaceDN w:val="0"/>
              <w:adjustRightInd w:val="0"/>
              <w:spacing w:before="240" w:line="276" w:lineRule="auto"/>
              <w:rPr>
                <w:rFonts w:ascii="Calibri" w:hAnsi="Calibri" w:cs="Calibri"/>
                <w:color w:val="131413"/>
                <w:sz w:val="20"/>
                <w:szCs w:val="20"/>
              </w:rPr>
            </w:pPr>
            <w:r w:rsidRPr="001573CC">
              <w:rPr>
                <w:rFonts w:ascii="Calibri" w:hAnsi="Calibri" w:cs="Calibri"/>
                <w:color w:val="131413"/>
                <w:sz w:val="20"/>
                <w:szCs w:val="20"/>
              </w:rPr>
              <w:t>Kanis JA, Johansson H, Harvey NC, Gudnason V, Sigurdsson G, Siggeirsdottir K, Lorentzon M, Liu M, Vandenput L, McCloskey E (2020) The use of two-, five- and 10-year probabilities to characterise fracture risk after a recent sentinel fracture. Osteoporos Int</w:t>
            </w:r>
            <w:r w:rsidR="00270D23">
              <w:rPr>
                <w:rFonts w:ascii="Calibri" w:hAnsi="Calibri" w:cs="Calibri"/>
                <w:color w:val="131413"/>
                <w:sz w:val="20"/>
                <w:szCs w:val="20"/>
              </w:rPr>
              <w:t xml:space="preserve"> </w:t>
            </w:r>
            <w:r w:rsidR="00270D23" w:rsidRPr="00270D23">
              <w:rPr>
                <w:rFonts w:ascii="Calibri" w:hAnsi="Calibri" w:cs="Calibri"/>
                <w:color w:val="131413"/>
                <w:sz w:val="20"/>
                <w:szCs w:val="20"/>
              </w:rPr>
              <w:t>32: 47-54</w:t>
            </w:r>
            <w:r w:rsidR="00270D23">
              <w:rPr>
                <w:rFonts w:ascii="Calibri" w:hAnsi="Calibri" w:cs="Calibri"/>
                <w:color w:val="131413"/>
                <w:sz w:val="20"/>
                <w:szCs w:val="20"/>
              </w:rPr>
              <w:t>.</w:t>
            </w:r>
          </w:p>
        </w:tc>
      </w:tr>
      <w:tr w:rsidR="00B92FE8" w:rsidRPr="00C27279" w14:paraId="314D10C1" w14:textId="77777777" w:rsidTr="00E123CC">
        <w:tc>
          <w:tcPr>
            <w:tcW w:w="501" w:type="dxa"/>
          </w:tcPr>
          <w:p w14:paraId="4F68DAAE" w14:textId="3FBF1875"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16.</w:t>
            </w:r>
          </w:p>
        </w:tc>
        <w:tc>
          <w:tcPr>
            <w:tcW w:w="7970" w:type="dxa"/>
          </w:tcPr>
          <w:p w14:paraId="47A57382" w14:textId="618A10FB" w:rsidR="00B92FE8" w:rsidRPr="001573CC" w:rsidRDefault="00B92FE8" w:rsidP="00E123CC">
            <w:pPr>
              <w:autoSpaceDE w:val="0"/>
              <w:autoSpaceDN w:val="0"/>
              <w:adjustRightInd w:val="0"/>
              <w:spacing w:before="240" w:line="276" w:lineRule="auto"/>
              <w:rPr>
                <w:rFonts w:ascii="Calibri" w:hAnsi="Calibri" w:cs="Calibri"/>
                <w:color w:val="131413"/>
                <w:sz w:val="20"/>
                <w:szCs w:val="20"/>
              </w:rPr>
            </w:pPr>
            <w:r w:rsidRPr="0087180D">
              <w:rPr>
                <w:rFonts w:ascii="Calibri" w:hAnsi="Calibri" w:cs="Calibri"/>
                <w:color w:val="131413"/>
                <w:sz w:val="20"/>
                <w:szCs w:val="20"/>
              </w:rPr>
              <w:t xml:space="preserve">Kanis JA on behalf of the World Health Organization Scientific Group (2008) Assessment of osteoporosis at the primary health-care level. Technical Report.  WHO Collaborating Centre, University of Sheffield, UK. : Available at </w:t>
            </w:r>
            <w:hyperlink r:id="rId15" w:history="1">
              <w:r w:rsidRPr="00771FBB">
                <w:rPr>
                  <w:rStyle w:val="Hyperlink"/>
                  <w:rFonts w:ascii="Calibri" w:hAnsi="Calibri" w:cs="Calibri"/>
                  <w:sz w:val="20"/>
                  <w:szCs w:val="20"/>
                </w:rPr>
                <w:t>https://www.sheffield.ac.uk/FRAX/pdfs/WHO_Technical_Report.pdf</w:t>
              </w:r>
            </w:hyperlink>
            <w:r>
              <w:rPr>
                <w:rFonts w:ascii="Calibri" w:hAnsi="Calibri" w:cs="Calibri"/>
                <w:color w:val="131413"/>
                <w:sz w:val="20"/>
                <w:szCs w:val="20"/>
              </w:rPr>
              <w:t xml:space="preserve"> accessed 21st March 2021</w:t>
            </w:r>
          </w:p>
        </w:tc>
      </w:tr>
      <w:tr w:rsidR="00B92FE8" w:rsidRPr="00C27279" w14:paraId="344EA309" w14:textId="77777777" w:rsidTr="00E123CC">
        <w:tc>
          <w:tcPr>
            <w:tcW w:w="501" w:type="dxa"/>
          </w:tcPr>
          <w:p w14:paraId="50EC72BE" w14:textId="03476E8A"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17.</w:t>
            </w:r>
          </w:p>
        </w:tc>
        <w:tc>
          <w:tcPr>
            <w:tcW w:w="7970" w:type="dxa"/>
          </w:tcPr>
          <w:p w14:paraId="7AA202B4" w14:textId="77777777" w:rsidR="00B92FE8" w:rsidRPr="00C27279" w:rsidRDefault="00B92FE8" w:rsidP="00E123CC">
            <w:pPr>
              <w:autoSpaceDE w:val="0"/>
              <w:autoSpaceDN w:val="0"/>
              <w:adjustRightInd w:val="0"/>
              <w:spacing w:before="240" w:line="276" w:lineRule="auto"/>
              <w:rPr>
                <w:rFonts w:ascii="Calibri" w:hAnsi="Calibri" w:cs="Calibri"/>
                <w:color w:val="131413"/>
                <w:sz w:val="20"/>
                <w:szCs w:val="20"/>
              </w:rPr>
            </w:pPr>
            <w:r w:rsidRPr="00C27279">
              <w:rPr>
                <w:rFonts w:ascii="Calibri" w:hAnsi="Calibri" w:cs="Calibri"/>
                <w:color w:val="131413"/>
                <w:sz w:val="20"/>
                <w:szCs w:val="20"/>
              </w:rPr>
              <w:t>National Institute for Health and Care Excellence (2012) NICE Clinical Guideline 146. Osteoporosis: assessing the risk of fragility fracture. NICE, London.</w:t>
            </w:r>
          </w:p>
        </w:tc>
      </w:tr>
      <w:tr w:rsidR="00B92FE8" w:rsidRPr="00C27279" w14:paraId="01F9148B" w14:textId="77777777" w:rsidTr="00E123CC">
        <w:tc>
          <w:tcPr>
            <w:tcW w:w="501" w:type="dxa"/>
          </w:tcPr>
          <w:p w14:paraId="4B804BDC" w14:textId="492CED6B"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eastAsia="Times New Roman" w:hAnsi="Calibri" w:cs="Calibri"/>
                <w:bCs/>
                <w:iCs/>
                <w:sz w:val="20"/>
                <w:szCs w:val="20"/>
              </w:rPr>
              <w:t>18.</w:t>
            </w:r>
          </w:p>
        </w:tc>
        <w:tc>
          <w:tcPr>
            <w:tcW w:w="7970" w:type="dxa"/>
          </w:tcPr>
          <w:p w14:paraId="45DB1D1F" w14:textId="3B976DCF" w:rsidR="00B92FE8" w:rsidRPr="00DB3878" w:rsidRDefault="00B92FE8" w:rsidP="00E123CC">
            <w:pPr>
              <w:autoSpaceDE w:val="0"/>
              <w:autoSpaceDN w:val="0"/>
              <w:adjustRightInd w:val="0"/>
              <w:spacing w:before="240" w:line="276" w:lineRule="auto"/>
              <w:rPr>
                <w:rFonts w:ascii="Calibri" w:hAnsi="Calibri" w:cs="Calibri"/>
                <w:color w:val="131413"/>
                <w:sz w:val="20"/>
                <w:szCs w:val="20"/>
              </w:rPr>
            </w:pPr>
            <w:r w:rsidRPr="003664BC">
              <w:rPr>
                <w:rFonts w:ascii="Calibri" w:hAnsi="Calibri" w:cs="Calibri"/>
                <w:color w:val="131413"/>
                <w:sz w:val="20"/>
                <w:szCs w:val="20"/>
              </w:rPr>
              <w:t>Neer RM, Arnaud CD, Zanchetta JR</w:t>
            </w:r>
            <w:r w:rsidR="00E1382A">
              <w:rPr>
                <w:rFonts w:ascii="Calibri" w:hAnsi="Calibri" w:cs="Calibri"/>
                <w:color w:val="131413"/>
                <w:sz w:val="20"/>
                <w:szCs w:val="20"/>
              </w:rPr>
              <w:t xml:space="preserve">, </w:t>
            </w:r>
            <w:r w:rsidR="00E1382A" w:rsidRPr="00E1382A">
              <w:rPr>
                <w:rFonts w:ascii="Calibri" w:hAnsi="Calibri" w:cs="Calibri"/>
                <w:color w:val="131413"/>
                <w:sz w:val="20"/>
                <w:szCs w:val="20"/>
              </w:rPr>
              <w:t xml:space="preserve">Prince R, Gaich GA, Reginster JY, Hodsman AB, Eriksen EF, Ish-Shalom S, Genant HK, Wang O, Mitlak BH </w:t>
            </w:r>
            <w:r w:rsidRPr="003664BC">
              <w:rPr>
                <w:rFonts w:ascii="Calibri" w:hAnsi="Calibri" w:cs="Calibri"/>
                <w:color w:val="131413"/>
                <w:sz w:val="20"/>
                <w:szCs w:val="20"/>
              </w:rPr>
              <w:t>(2001) Effect of parathyroid hormone (1–34) on fractures and bone mineral density in postmenopausal women with osteoporosis. N Engl J Med 344:1434–1441</w:t>
            </w:r>
          </w:p>
        </w:tc>
      </w:tr>
      <w:tr w:rsidR="00B92FE8" w:rsidRPr="00C27279" w14:paraId="7748CCC4" w14:textId="77777777" w:rsidTr="00E123CC">
        <w:tc>
          <w:tcPr>
            <w:tcW w:w="501" w:type="dxa"/>
          </w:tcPr>
          <w:p w14:paraId="75A64096" w14:textId="31C197A9" w:rsidR="00B92FE8" w:rsidRDefault="00B92FE8" w:rsidP="00E123CC">
            <w:pPr>
              <w:autoSpaceDE w:val="0"/>
              <w:autoSpaceDN w:val="0"/>
              <w:adjustRightInd w:val="0"/>
              <w:spacing w:before="240" w:line="276" w:lineRule="auto"/>
              <w:jc w:val="right"/>
              <w:rPr>
                <w:rFonts w:ascii="Calibri" w:eastAsia="Times New Roman" w:hAnsi="Calibri" w:cs="Calibri"/>
                <w:bCs/>
                <w:iCs/>
                <w:sz w:val="20"/>
                <w:szCs w:val="20"/>
              </w:rPr>
            </w:pPr>
            <w:r>
              <w:rPr>
                <w:rFonts w:ascii="Calibri" w:hAnsi="Calibri" w:cs="Calibri"/>
                <w:color w:val="131413"/>
                <w:sz w:val="20"/>
                <w:szCs w:val="20"/>
              </w:rPr>
              <w:t>19.</w:t>
            </w:r>
          </w:p>
        </w:tc>
        <w:tc>
          <w:tcPr>
            <w:tcW w:w="7970" w:type="dxa"/>
          </w:tcPr>
          <w:p w14:paraId="4C65C524" w14:textId="0144DD43" w:rsidR="00B92FE8" w:rsidRPr="00C27279" w:rsidRDefault="00B92FE8" w:rsidP="00E123CC">
            <w:pPr>
              <w:autoSpaceDE w:val="0"/>
              <w:autoSpaceDN w:val="0"/>
              <w:adjustRightInd w:val="0"/>
              <w:spacing w:before="240" w:line="276" w:lineRule="auto"/>
              <w:rPr>
                <w:rFonts w:ascii="Calibri" w:eastAsia="Times New Roman" w:hAnsi="Calibri" w:cs="Calibri"/>
                <w:bCs/>
                <w:iCs/>
                <w:sz w:val="20"/>
                <w:szCs w:val="20"/>
              </w:rPr>
            </w:pPr>
            <w:r w:rsidRPr="00302CAE">
              <w:rPr>
                <w:rFonts w:ascii="Calibri" w:eastAsia="Times New Roman" w:hAnsi="Calibri" w:cs="Calibri"/>
                <w:bCs/>
                <w:iCs/>
                <w:sz w:val="20"/>
                <w:szCs w:val="20"/>
              </w:rPr>
              <w:t>Harvey NC, Kanis JA, Odén A, Burge RT, Mitlak BH, Johansson H, McCloskey EV (2015) FRAX and the effect of teriparatide on vertebral and non-vertebral fracture.  Osteoporos Int 26: 2347-53.</w:t>
            </w:r>
          </w:p>
        </w:tc>
      </w:tr>
      <w:tr w:rsidR="00B92FE8" w:rsidRPr="00C27279" w14:paraId="32EA450E" w14:textId="77777777" w:rsidTr="00E123CC">
        <w:tc>
          <w:tcPr>
            <w:tcW w:w="501" w:type="dxa"/>
          </w:tcPr>
          <w:p w14:paraId="406FA09C" w14:textId="45C6FDE1"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eastAsia="Times New Roman" w:hAnsi="Calibri" w:cs="Calibri"/>
                <w:bCs/>
                <w:iCs/>
                <w:sz w:val="20"/>
                <w:szCs w:val="20"/>
              </w:rPr>
              <w:t>20.</w:t>
            </w:r>
          </w:p>
        </w:tc>
        <w:tc>
          <w:tcPr>
            <w:tcW w:w="7970" w:type="dxa"/>
          </w:tcPr>
          <w:p w14:paraId="6534BAAC" w14:textId="6EA85435" w:rsidR="00B92FE8" w:rsidRPr="00C27279" w:rsidRDefault="00B92FE8" w:rsidP="00E123CC">
            <w:pPr>
              <w:autoSpaceDE w:val="0"/>
              <w:autoSpaceDN w:val="0"/>
              <w:adjustRightInd w:val="0"/>
              <w:spacing w:before="240" w:line="276" w:lineRule="auto"/>
              <w:rPr>
                <w:rFonts w:ascii="Calibri" w:hAnsi="Calibri" w:cs="Calibri"/>
                <w:color w:val="131413"/>
                <w:sz w:val="20"/>
                <w:szCs w:val="20"/>
              </w:rPr>
            </w:pPr>
            <w:r w:rsidRPr="00291FCF">
              <w:rPr>
                <w:rFonts w:ascii="Calibri" w:hAnsi="Calibri" w:cs="Calibri"/>
                <w:color w:val="131413"/>
                <w:sz w:val="20"/>
                <w:szCs w:val="20"/>
              </w:rPr>
              <w:t>Nakamura T, Sugimoto T, Nakano T, Kishimoto H, Ito M, Fukunaga M, Hagino H, Sone T, Yoshikawa H, Nishizawa Y,</w:t>
            </w:r>
            <w:r>
              <w:rPr>
                <w:rFonts w:ascii="Calibri" w:hAnsi="Calibri" w:cs="Calibri"/>
                <w:color w:val="131413"/>
                <w:sz w:val="20"/>
                <w:szCs w:val="20"/>
              </w:rPr>
              <w:t xml:space="preserve"> </w:t>
            </w:r>
            <w:r w:rsidRPr="00291FCF">
              <w:rPr>
                <w:rFonts w:ascii="Calibri" w:hAnsi="Calibri" w:cs="Calibri"/>
                <w:color w:val="131413"/>
                <w:sz w:val="20"/>
                <w:szCs w:val="20"/>
              </w:rPr>
              <w:t>Fujita T, Shiraki M (2012) Randomized Teriparatide [human parathyroid hormone (TERIPARATIDE) 1-34] Once-Weekly Efficacy Research (TOWER) trial for examining the reduction in new vertebral fractures in subjects with primary osteoporosis and high fracture risk. J Clin Endocrinol Metab 97:3097–3106</w:t>
            </w:r>
          </w:p>
        </w:tc>
      </w:tr>
      <w:tr w:rsidR="00B92FE8" w:rsidRPr="00C27279" w14:paraId="630061E9" w14:textId="77777777" w:rsidTr="00E123CC">
        <w:tc>
          <w:tcPr>
            <w:tcW w:w="501" w:type="dxa"/>
          </w:tcPr>
          <w:p w14:paraId="42635C29" w14:textId="58FE186B" w:rsidR="00B92FE8" w:rsidRDefault="00B92FE8" w:rsidP="00E123CC">
            <w:pPr>
              <w:autoSpaceDE w:val="0"/>
              <w:autoSpaceDN w:val="0"/>
              <w:adjustRightInd w:val="0"/>
              <w:spacing w:before="240" w:line="276" w:lineRule="auto"/>
              <w:jc w:val="right"/>
              <w:rPr>
                <w:rFonts w:ascii="Calibri" w:eastAsia="Times New Roman" w:hAnsi="Calibri" w:cs="Calibri"/>
                <w:bCs/>
                <w:iCs/>
                <w:sz w:val="20"/>
                <w:szCs w:val="20"/>
              </w:rPr>
            </w:pPr>
            <w:r>
              <w:rPr>
                <w:rFonts w:ascii="Calibri" w:hAnsi="Calibri" w:cs="Calibri"/>
                <w:color w:val="131413"/>
                <w:sz w:val="20"/>
                <w:szCs w:val="20"/>
              </w:rPr>
              <w:t>21.</w:t>
            </w:r>
          </w:p>
        </w:tc>
        <w:tc>
          <w:tcPr>
            <w:tcW w:w="7970" w:type="dxa"/>
          </w:tcPr>
          <w:p w14:paraId="128DBFB6" w14:textId="7A5A3528" w:rsidR="00B92FE8" w:rsidRPr="00302CAE" w:rsidRDefault="00B92FE8" w:rsidP="00E123CC">
            <w:pPr>
              <w:autoSpaceDE w:val="0"/>
              <w:autoSpaceDN w:val="0"/>
              <w:adjustRightInd w:val="0"/>
              <w:spacing w:before="240" w:line="276" w:lineRule="auto"/>
              <w:rPr>
                <w:rFonts w:ascii="Calibri" w:eastAsia="Times New Roman" w:hAnsi="Calibri" w:cs="Calibri"/>
                <w:bCs/>
                <w:iCs/>
                <w:sz w:val="20"/>
                <w:szCs w:val="20"/>
              </w:rPr>
            </w:pPr>
            <w:r w:rsidRPr="006078C4">
              <w:rPr>
                <w:rFonts w:ascii="Calibri" w:eastAsia="Times New Roman" w:hAnsi="Calibri" w:cs="Calibri"/>
                <w:bCs/>
                <w:iCs/>
                <w:sz w:val="20"/>
                <w:szCs w:val="20"/>
              </w:rPr>
              <w:t>Harvey NC, Kanis JA, Odén A, Nakamura T, Shiraki M, Sugimoto T, Kuroda T, Johansson H, McCloskey EV (2015) Efficacy of weekly teriparatide does not vary by baseline fracture probability calculated using FRAX.  Osteoporos Int</w:t>
            </w:r>
            <w:r w:rsidR="005C6604">
              <w:rPr>
                <w:rFonts w:ascii="Calibri" w:eastAsia="Times New Roman" w:hAnsi="Calibri" w:cs="Calibri"/>
                <w:bCs/>
                <w:iCs/>
                <w:sz w:val="20"/>
                <w:szCs w:val="20"/>
              </w:rPr>
              <w:t xml:space="preserve"> </w:t>
            </w:r>
            <w:r w:rsidRPr="006078C4">
              <w:rPr>
                <w:rFonts w:ascii="Calibri" w:eastAsia="Times New Roman" w:hAnsi="Calibri" w:cs="Calibri"/>
                <w:bCs/>
                <w:iCs/>
                <w:sz w:val="20"/>
                <w:szCs w:val="20"/>
              </w:rPr>
              <w:t>26: 2347-2354.</w:t>
            </w:r>
          </w:p>
        </w:tc>
      </w:tr>
      <w:tr w:rsidR="00B92FE8" w:rsidRPr="00C27279" w14:paraId="68F808F7" w14:textId="77777777" w:rsidTr="00E123CC">
        <w:tc>
          <w:tcPr>
            <w:tcW w:w="501" w:type="dxa"/>
          </w:tcPr>
          <w:p w14:paraId="36B382C9" w14:textId="21F4558B"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22.</w:t>
            </w:r>
          </w:p>
        </w:tc>
        <w:tc>
          <w:tcPr>
            <w:tcW w:w="7970" w:type="dxa"/>
          </w:tcPr>
          <w:p w14:paraId="7868D674" w14:textId="30D8525D" w:rsidR="00B92FE8" w:rsidRPr="00DB3878" w:rsidRDefault="00B92FE8" w:rsidP="00E123CC">
            <w:pPr>
              <w:autoSpaceDE w:val="0"/>
              <w:autoSpaceDN w:val="0"/>
              <w:adjustRightInd w:val="0"/>
              <w:spacing w:before="240" w:line="276" w:lineRule="auto"/>
              <w:rPr>
                <w:rFonts w:ascii="Calibri" w:hAnsi="Calibri" w:cs="Calibri"/>
                <w:color w:val="131413"/>
                <w:sz w:val="20"/>
                <w:szCs w:val="20"/>
              </w:rPr>
            </w:pPr>
            <w:r w:rsidRPr="001207A8">
              <w:rPr>
                <w:rFonts w:ascii="Calibri" w:hAnsi="Calibri" w:cs="Calibri"/>
                <w:color w:val="131413"/>
                <w:sz w:val="20"/>
                <w:szCs w:val="20"/>
              </w:rPr>
              <w:t>National Institute for Health and Care Excellence</w:t>
            </w:r>
            <w:r w:rsidRPr="00171582">
              <w:rPr>
                <w:rFonts w:ascii="Calibri" w:hAnsi="Calibri" w:cs="Calibri"/>
                <w:color w:val="131413"/>
                <w:sz w:val="20"/>
                <w:szCs w:val="20"/>
              </w:rPr>
              <w:t xml:space="preserve"> (2020a) British National Formulary (BNF): Cardiovascular disease risk assessment and prevention. https://bnf.nice.org.uk/treatment-summary/cardiovascular-disease-risk-assessment-and-prevention.html accessed 16 November 2020</w:t>
            </w:r>
          </w:p>
        </w:tc>
      </w:tr>
      <w:tr w:rsidR="00B92FE8" w:rsidRPr="00C27279" w14:paraId="6E1747F2" w14:textId="77777777" w:rsidTr="00E123CC">
        <w:tc>
          <w:tcPr>
            <w:tcW w:w="501" w:type="dxa"/>
          </w:tcPr>
          <w:p w14:paraId="320E762D" w14:textId="6A660312"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23.</w:t>
            </w:r>
          </w:p>
        </w:tc>
        <w:tc>
          <w:tcPr>
            <w:tcW w:w="7970" w:type="dxa"/>
          </w:tcPr>
          <w:p w14:paraId="6460BBF3" w14:textId="2CD62C73" w:rsidR="00B92FE8" w:rsidRPr="00171582" w:rsidRDefault="00B92FE8" w:rsidP="00E123CC">
            <w:pPr>
              <w:autoSpaceDE w:val="0"/>
              <w:autoSpaceDN w:val="0"/>
              <w:adjustRightInd w:val="0"/>
              <w:spacing w:before="240" w:line="276" w:lineRule="auto"/>
              <w:rPr>
                <w:rFonts w:ascii="Calibri" w:hAnsi="Calibri" w:cs="Calibri"/>
                <w:color w:val="131413"/>
                <w:sz w:val="20"/>
                <w:szCs w:val="20"/>
              </w:rPr>
            </w:pPr>
            <w:r w:rsidRPr="00C27279">
              <w:rPr>
                <w:rFonts w:ascii="Calibri" w:hAnsi="Calibri" w:cs="Calibri"/>
                <w:color w:val="131413"/>
                <w:sz w:val="20"/>
                <w:szCs w:val="20"/>
              </w:rPr>
              <w:t>National Institute for Health and Care Excellence</w:t>
            </w:r>
            <w:r w:rsidRPr="00DC07E9">
              <w:rPr>
                <w:rFonts w:ascii="Calibri" w:hAnsi="Calibri" w:cs="Calibri"/>
                <w:color w:val="131413"/>
                <w:sz w:val="20"/>
                <w:szCs w:val="20"/>
              </w:rPr>
              <w:t xml:space="preserve"> (2020b) British National Formulary (BNF): Hypertension https://bnf.nice.org.uk/treatment-summary/hypertension.html accessed 16 November 2020</w:t>
            </w:r>
          </w:p>
        </w:tc>
      </w:tr>
      <w:tr w:rsidR="00B92FE8" w:rsidRPr="00C27279" w14:paraId="3B29C38E" w14:textId="77777777" w:rsidTr="00E123CC">
        <w:tc>
          <w:tcPr>
            <w:tcW w:w="501" w:type="dxa"/>
          </w:tcPr>
          <w:p w14:paraId="28020149" w14:textId="58FD6DB3"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24.</w:t>
            </w:r>
          </w:p>
        </w:tc>
        <w:tc>
          <w:tcPr>
            <w:tcW w:w="7970" w:type="dxa"/>
          </w:tcPr>
          <w:p w14:paraId="60A1D308" w14:textId="1AA85E4D" w:rsidR="00B92FE8" w:rsidRPr="00C27279" w:rsidRDefault="00B92FE8" w:rsidP="00E123CC">
            <w:pPr>
              <w:autoSpaceDE w:val="0"/>
              <w:autoSpaceDN w:val="0"/>
              <w:adjustRightInd w:val="0"/>
              <w:spacing w:before="240" w:line="276" w:lineRule="auto"/>
              <w:rPr>
                <w:rFonts w:ascii="Calibri" w:hAnsi="Calibri" w:cs="Calibri"/>
                <w:color w:val="131413"/>
                <w:sz w:val="20"/>
                <w:szCs w:val="20"/>
              </w:rPr>
            </w:pPr>
            <w:r w:rsidRPr="00C27279">
              <w:rPr>
                <w:rFonts w:ascii="Calibri" w:hAnsi="Calibri" w:cs="Calibri"/>
                <w:color w:val="131413"/>
                <w:sz w:val="20"/>
                <w:szCs w:val="20"/>
              </w:rPr>
              <w:t>National Institute for Health and Care Excellence</w:t>
            </w:r>
            <w:r w:rsidRPr="0087120F">
              <w:rPr>
                <w:rFonts w:ascii="Calibri" w:hAnsi="Calibri" w:cs="Calibri"/>
                <w:color w:val="131413"/>
                <w:sz w:val="20"/>
                <w:szCs w:val="20"/>
              </w:rPr>
              <w:t xml:space="preserve"> (2012b) Type 2 diabetes: prevention in people at high risk. Public health guideline [PH38] updated 2017 https://www.nice.org.uk/guidance/ph38 accessed 16 November 2020</w:t>
            </w:r>
          </w:p>
        </w:tc>
      </w:tr>
      <w:tr w:rsidR="00B92FE8" w:rsidRPr="00C27279" w14:paraId="64BE111D" w14:textId="77777777" w:rsidTr="00E123CC">
        <w:tc>
          <w:tcPr>
            <w:tcW w:w="501" w:type="dxa"/>
          </w:tcPr>
          <w:p w14:paraId="3D25F6FE" w14:textId="270EED45"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25.</w:t>
            </w:r>
          </w:p>
        </w:tc>
        <w:tc>
          <w:tcPr>
            <w:tcW w:w="7970" w:type="dxa"/>
          </w:tcPr>
          <w:p w14:paraId="4DD0F7C5" w14:textId="77777777" w:rsidR="00B92FE8" w:rsidRPr="001573CC" w:rsidRDefault="00B92FE8" w:rsidP="00E123CC">
            <w:pPr>
              <w:autoSpaceDE w:val="0"/>
              <w:autoSpaceDN w:val="0"/>
              <w:adjustRightInd w:val="0"/>
              <w:spacing w:before="240" w:line="276" w:lineRule="auto"/>
              <w:rPr>
                <w:rFonts w:ascii="Calibri" w:hAnsi="Calibri" w:cs="Calibri"/>
                <w:color w:val="131413"/>
                <w:sz w:val="20"/>
                <w:szCs w:val="20"/>
              </w:rPr>
            </w:pPr>
            <w:r w:rsidRPr="003D0E72">
              <w:rPr>
                <w:rFonts w:ascii="Calibri" w:hAnsi="Calibri" w:cs="Calibri"/>
                <w:color w:val="131413"/>
                <w:sz w:val="20"/>
                <w:szCs w:val="20"/>
              </w:rPr>
              <w:t>Kanis JA, Johansson H, Odén A, Harvey NC, Gudnason V, Sanders K, Sigurdsson G, Siggeirsdottir K, Borgström F, McCloskey EV (2018) Characteristics of recurrent fractures.  Osteoporos Int 29: 1747-1757.</w:t>
            </w:r>
          </w:p>
        </w:tc>
      </w:tr>
      <w:tr w:rsidR="00B92FE8" w:rsidRPr="00C27279" w14:paraId="5D46267D" w14:textId="77777777" w:rsidTr="00E123CC">
        <w:tc>
          <w:tcPr>
            <w:tcW w:w="501" w:type="dxa"/>
          </w:tcPr>
          <w:p w14:paraId="21CE1030" w14:textId="66059F9B"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26.</w:t>
            </w:r>
          </w:p>
        </w:tc>
        <w:tc>
          <w:tcPr>
            <w:tcW w:w="7970" w:type="dxa"/>
          </w:tcPr>
          <w:p w14:paraId="1A12C617" w14:textId="12675882" w:rsidR="00B92FE8" w:rsidRPr="00C27279" w:rsidRDefault="00B92FE8" w:rsidP="00E123CC">
            <w:pPr>
              <w:autoSpaceDE w:val="0"/>
              <w:autoSpaceDN w:val="0"/>
              <w:adjustRightInd w:val="0"/>
              <w:spacing w:before="240" w:line="276" w:lineRule="auto"/>
              <w:rPr>
                <w:rFonts w:ascii="Calibri" w:hAnsi="Calibri" w:cs="Calibri"/>
                <w:color w:val="131413"/>
                <w:sz w:val="20"/>
                <w:szCs w:val="20"/>
              </w:rPr>
            </w:pPr>
            <w:r w:rsidRPr="00F95FE2">
              <w:rPr>
                <w:rFonts w:ascii="Calibri" w:hAnsi="Calibri" w:cs="Calibri"/>
                <w:color w:val="131413"/>
                <w:sz w:val="20"/>
                <w:szCs w:val="20"/>
              </w:rPr>
              <w:t>National Institute for Health and Care Excellence (NICE) (2017) Osteoporosis</w:t>
            </w:r>
            <w:r>
              <w:rPr>
                <w:rFonts w:ascii="Calibri" w:hAnsi="Calibri" w:cs="Calibri"/>
                <w:color w:val="131413"/>
                <w:sz w:val="20"/>
                <w:szCs w:val="20"/>
              </w:rPr>
              <w:t xml:space="preserve"> </w:t>
            </w:r>
            <w:r w:rsidRPr="00F95FE2">
              <w:rPr>
                <w:rFonts w:ascii="Calibri" w:hAnsi="Calibri" w:cs="Calibri"/>
                <w:color w:val="131413"/>
                <w:sz w:val="20"/>
                <w:szCs w:val="20"/>
              </w:rPr>
              <w:t>Quality standard 149. National Institute for Health and Care Excellence,</w:t>
            </w:r>
            <w:r>
              <w:rPr>
                <w:rFonts w:ascii="Calibri" w:hAnsi="Calibri" w:cs="Calibri"/>
                <w:color w:val="131413"/>
                <w:sz w:val="20"/>
                <w:szCs w:val="20"/>
              </w:rPr>
              <w:t xml:space="preserve"> </w:t>
            </w:r>
            <w:r w:rsidRPr="00F95FE2">
              <w:rPr>
                <w:rFonts w:ascii="Calibri" w:hAnsi="Calibri" w:cs="Calibri"/>
                <w:color w:val="131413"/>
                <w:sz w:val="20"/>
                <w:szCs w:val="20"/>
              </w:rPr>
              <w:t xml:space="preserve">London. </w:t>
            </w:r>
            <w:hyperlink r:id="rId16" w:history="1">
              <w:r w:rsidRPr="005770AD">
                <w:rPr>
                  <w:rStyle w:val="Hyperlink"/>
                  <w:rFonts w:ascii="Calibri" w:hAnsi="Calibri" w:cs="Calibri"/>
                  <w:sz w:val="20"/>
                  <w:szCs w:val="20"/>
                </w:rPr>
                <w:t>www.nice.org.uk/guidance/qs149</w:t>
              </w:r>
            </w:hyperlink>
            <w:r>
              <w:rPr>
                <w:rFonts w:ascii="Calibri" w:hAnsi="Calibri" w:cs="Calibri"/>
                <w:color w:val="131413"/>
                <w:sz w:val="20"/>
                <w:szCs w:val="20"/>
              </w:rPr>
              <w:t xml:space="preserve">. </w:t>
            </w:r>
            <w:r w:rsidRPr="00F95FE2">
              <w:rPr>
                <w:rFonts w:ascii="Calibri" w:hAnsi="Calibri" w:cs="Calibri"/>
                <w:color w:val="131413"/>
                <w:sz w:val="20"/>
                <w:szCs w:val="20"/>
              </w:rPr>
              <w:t xml:space="preserve"> Accessed 14 November 2020</w:t>
            </w:r>
          </w:p>
        </w:tc>
      </w:tr>
      <w:tr w:rsidR="00B92FE8" w:rsidRPr="00C27279" w14:paraId="71D3093F" w14:textId="77777777" w:rsidTr="00E123CC">
        <w:tc>
          <w:tcPr>
            <w:tcW w:w="501" w:type="dxa"/>
          </w:tcPr>
          <w:p w14:paraId="0AD8D366" w14:textId="38DDBCD6"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27.</w:t>
            </w:r>
          </w:p>
        </w:tc>
        <w:tc>
          <w:tcPr>
            <w:tcW w:w="7970" w:type="dxa"/>
          </w:tcPr>
          <w:p w14:paraId="05E65EE4" w14:textId="77777777" w:rsidR="00B92FE8" w:rsidRPr="00C27279" w:rsidRDefault="00B92FE8" w:rsidP="00E123CC">
            <w:pPr>
              <w:autoSpaceDE w:val="0"/>
              <w:autoSpaceDN w:val="0"/>
              <w:adjustRightInd w:val="0"/>
              <w:spacing w:before="240" w:line="276" w:lineRule="auto"/>
              <w:rPr>
                <w:rFonts w:ascii="Calibri" w:hAnsi="Calibri" w:cs="Calibri"/>
                <w:color w:val="131413"/>
                <w:sz w:val="20"/>
                <w:szCs w:val="20"/>
              </w:rPr>
            </w:pPr>
            <w:r w:rsidRPr="00DB3878">
              <w:rPr>
                <w:rFonts w:ascii="Calibri" w:hAnsi="Calibri" w:cs="Calibri"/>
                <w:color w:val="131413"/>
                <w:sz w:val="20"/>
                <w:szCs w:val="20"/>
              </w:rPr>
              <w:t>National Institute for Health and Care Excellence (NICE) (20</w:t>
            </w:r>
            <w:r>
              <w:rPr>
                <w:rFonts w:ascii="Calibri" w:hAnsi="Calibri" w:cs="Calibri"/>
                <w:color w:val="131413"/>
                <w:sz w:val="20"/>
                <w:szCs w:val="20"/>
              </w:rPr>
              <w:t xml:space="preserve">08) </w:t>
            </w:r>
            <w:r w:rsidRPr="00DB3878">
              <w:rPr>
                <w:rFonts w:ascii="Calibri" w:hAnsi="Calibri" w:cs="Calibri"/>
                <w:color w:val="131413"/>
                <w:sz w:val="20"/>
                <w:szCs w:val="20"/>
              </w:rPr>
              <w:t>Raloxifene and teriparatide for the</w:t>
            </w:r>
            <w:r>
              <w:rPr>
                <w:rFonts w:ascii="Calibri" w:hAnsi="Calibri" w:cs="Calibri"/>
                <w:color w:val="131413"/>
                <w:sz w:val="20"/>
                <w:szCs w:val="20"/>
              </w:rPr>
              <w:t xml:space="preserve"> </w:t>
            </w:r>
            <w:r w:rsidRPr="00DB3878">
              <w:rPr>
                <w:rFonts w:ascii="Calibri" w:hAnsi="Calibri" w:cs="Calibri"/>
                <w:color w:val="131413"/>
                <w:sz w:val="20"/>
                <w:szCs w:val="20"/>
              </w:rPr>
              <w:t>secondary prevention of osteoporotic</w:t>
            </w:r>
            <w:r>
              <w:rPr>
                <w:rFonts w:ascii="Calibri" w:hAnsi="Calibri" w:cs="Calibri"/>
                <w:color w:val="131413"/>
                <w:sz w:val="20"/>
                <w:szCs w:val="20"/>
              </w:rPr>
              <w:t xml:space="preserve"> </w:t>
            </w:r>
            <w:r w:rsidRPr="00DB3878">
              <w:rPr>
                <w:rFonts w:ascii="Calibri" w:hAnsi="Calibri" w:cs="Calibri"/>
                <w:color w:val="131413"/>
                <w:sz w:val="20"/>
                <w:szCs w:val="20"/>
              </w:rPr>
              <w:t>fragility fractures in postmenopausal</w:t>
            </w:r>
            <w:r>
              <w:rPr>
                <w:rFonts w:ascii="Calibri" w:hAnsi="Calibri" w:cs="Calibri"/>
                <w:color w:val="131413"/>
                <w:sz w:val="20"/>
                <w:szCs w:val="20"/>
              </w:rPr>
              <w:t xml:space="preserve"> </w:t>
            </w:r>
            <w:r w:rsidRPr="00DB3878">
              <w:rPr>
                <w:rFonts w:ascii="Calibri" w:hAnsi="Calibri" w:cs="Calibri"/>
                <w:color w:val="131413"/>
                <w:sz w:val="20"/>
                <w:szCs w:val="20"/>
              </w:rPr>
              <w:t>women</w:t>
            </w:r>
            <w:r>
              <w:rPr>
                <w:rFonts w:ascii="Calibri" w:hAnsi="Calibri" w:cs="Calibri"/>
                <w:color w:val="131413"/>
                <w:sz w:val="20"/>
                <w:szCs w:val="20"/>
              </w:rPr>
              <w:t xml:space="preserve">. </w:t>
            </w:r>
            <w:r w:rsidRPr="00DB3878">
              <w:rPr>
                <w:rFonts w:ascii="Calibri" w:hAnsi="Calibri" w:cs="Calibri"/>
                <w:color w:val="131413"/>
                <w:sz w:val="20"/>
                <w:szCs w:val="20"/>
              </w:rPr>
              <w:t>Technology appraisal guidance</w:t>
            </w:r>
            <w:r>
              <w:rPr>
                <w:rFonts w:ascii="Calibri" w:hAnsi="Calibri" w:cs="Calibri"/>
                <w:color w:val="131413"/>
                <w:sz w:val="20"/>
                <w:szCs w:val="20"/>
              </w:rPr>
              <w:t xml:space="preserve"> 161.</w:t>
            </w:r>
            <w:r>
              <w:t xml:space="preserve"> </w:t>
            </w:r>
            <w:r w:rsidRPr="00863696">
              <w:rPr>
                <w:rFonts w:ascii="Calibri" w:hAnsi="Calibri" w:cs="Calibri"/>
                <w:color w:val="131413"/>
                <w:sz w:val="20"/>
                <w:szCs w:val="20"/>
              </w:rPr>
              <w:t>National Institute for Health and Care Excellence,</w:t>
            </w:r>
            <w:r>
              <w:rPr>
                <w:rFonts w:ascii="Calibri" w:hAnsi="Calibri" w:cs="Calibri"/>
                <w:color w:val="131413"/>
                <w:sz w:val="20"/>
                <w:szCs w:val="20"/>
              </w:rPr>
              <w:t xml:space="preserve"> </w:t>
            </w:r>
            <w:r w:rsidRPr="00863696">
              <w:rPr>
                <w:rFonts w:ascii="Calibri" w:hAnsi="Calibri" w:cs="Calibri"/>
                <w:color w:val="131413"/>
                <w:sz w:val="20"/>
                <w:szCs w:val="20"/>
              </w:rPr>
              <w:t>London</w:t>
            </w:r>
            <w:r>
              <w:rPr>
                <w:rFonts w:ascii="Calibri" w:hAnsi="Calibri" w:cs="Calibri"/>
                <w:color w:val="131413"/>
                <w:sz w:val="20"/>
                <w:szCs w:val="20"/>
              </w:rPr>
              <w:t xml:space="preserve">. </w:t>
            </w:r>
            <w:hyperlink r:id="rId17" w:history="1">
              <w:r w:rsidRPr="005770AD">
                <w:rPr>
                  <w:rStyle w:val="Hyperlink"/>
                  <w:rFonts w:ascii="Calibri" w:hAnsi="Calibri" w:cs="Calibri"/>
                  <w:sz w:val="20"/>
                  <w:szCs w:val="20"/>
                </w:rPr>
                <w:t>www.nice.org.uk/guidance/ta161</w:t>
              </w:r>
            </w:hyperlink>
            <w:r>
              <w:rPr>
                <w:rFonts w:ascii="Calibri" w:hAnsi="Calibri" w:cs="Calibri"/>
                <w:color w:val="131413"/>
                <w:sz w:val="20"/>
                <w:szCs w:val="20"/>
              </w:rPr>
              <w:t xml:space="preserve">. Accessed </w:t>
            </w:r>
            <w:r w:rsidRPr="004A2432">
              <w:rPr>
                <w:rFonts w:ascii="Calibri" w:hAnsi="Calibri" w:cs="Calibri"/>
                <w:color w:val="131413"/>
                <w:sz w:val="20"/>
                <w:szCs w:val="20"/>
              </w:rPr>
              <w:t>14 November 2020</w:t>
            </w:r>
          </w:p>
        </w:tc>
      </w:tr>
      <w:tr w:rsidR="00B92FE8" w:rsidRPr="00C27279" w14:paraId="789FEE81" w14:textId="77777777" w:rsidTr="00E123CC">
        <w:tc>
          <w:tcPr>
            <w:tcW w:w="501" w:type="dxa"/>
          </w:tcPr>
          <w:p w14:paraId="7CBC40C1" w14:textId="4183600D"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28.</w:t>
            </w:r>
          </w:p>
        </w:tc>
        <w:tc>
          <w:tcPr>
            <w:tcW w:w="7970" w:type="dxa"/>
          </w:tcPr>
          <w:p w14:paraId="2909D0E7" w14:textId="77777777" w:rsidR="00B92FE8" w:rsidRPr="00C27279" w:rsidRDefault="00B92FE8" w:rsidP="00E123CC">
            <w:pPr>
              <w:autoSpaceDE w:val="0"/>
              <w:autoSpaceDN w:val="0"/>
              <w:adjustRightInd w:val="0"/>
              <w:spacing w:before="240" w:line="276" w:lineRule="auto"/>
              <w:rPr>
                <w:rFonts w:ascii="Calibri" w:hAnsi="Calibri" w:cs="Calibri"/>
                <w:color w:val="131413"/>
                <w:sz w:val="20"/>
                <w:szCs w:val="20"/>
              </w:rPr>
            </w:pPr>
            <w:r w:rsidRPr="00D4057C">
              <w:rPr>
                <w:rFonts w:ascii="Calibri" w:hAnsi="Calibri" w:cs="Calibri"/>
                <w:color w:val="131413"/>
                <w:sz w:val="20"/>
                <w:szCs w:val="20"/>
              </w:rPr>
              <w:t>Body JJ, Marin F, Kendler DL, Zerbini CAF, López-Romero P, Möricke R, Casado E, Fahrleitner-Pammer A, Stepan JJ, Lespessailles E, Minisola S, Geusens P (2020) Efficacy of teriparatide compared with risedronate on FRAX®-defined major osteoporotic fractures: results of the VERO clinical trial. Osteoporos Int 31: 1935-1942.</w:t>
            </w:r>
          </w:p>
        </w:tc>
      </w:tr>
      <w:tr w:rsidR="00B92FE8" w:rsidRPr="00C27279" w14:paraId="5CD03DED" w14:textId="77777777" w:rsidTr="00E123CC">
        <w:tc>
          <w:tcPr>
            <w:tcW w:w="501" w:type="dxa"/>
          </w:tcPr>
          <w:p w14:paraId="49628BEC" w14:textId="310D13C2"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29.</w:t>
            </w:r>
          </w:p>
        </w:tc>
        <w:tc>
          <w:tcPr>
            <w:tcW w:w="7970" w:type="dxa"/>
          </w:tcPr>
          <w:p w14:paraId="1A41791E" w14:textId="21BB3038" w:rsidR="00B92FE8" w:rsidRPr="00C27279" w:rsidRDefault="00B92FE8" w:rsidP="00E123CC">
            <w:pPr>
              <w:autoSpaceDE w:val="0"/>
              <w:autoSpaceDN w:val="0"/>
              <w:adjustRightInd w:val="0"/>
              <w:spacing w:before="240" w:line="276" w:lineRule="auto"/>
              <w:rPr>
                <w:rFonts w:ascii="Calibri" w:hAnsi="Calibri" w:cs="Calibri"/>
                <w:color w:val="131413"/>
                <w:sz w:val="20"/>
                <w:szCs w:val="20"/>
              </w:rPr>
            </w:pPr>
            <w:r w:rsidRPr="004E6119">
              <w:rPr>
                <w:rFonts w:ascii="Calibri" w:hAnsi="Calibri" w:cs="Calibri"/>
                <w:color w:val="131413"/>
                <w:sz w:val="20"/>
                <w:szCs w:val="20"/>
              </w:rPr>
              <w:t>National Institute for Health and Care Excellence (NICE) (2017)</w:t>
            </w:r>
            <w:r>
              <w:rPr>
                <w:rFonts w:ascii="Calibri" w:hAnsi="Calibri" w:cs="Calibri"/>
                <w:color w:val="131413"/>
                <w:sz w:val="20"/>
                <w:szCs w:val="20"/>
              </w:rPr>
              <w:t xml:space="preserve"> </w:t>
            </w:r>
            <w:r w:rsidRPr="004E6119">
              <w:rPr>
                <w:rFonts w:ascii="Calibri" w:hAnsi="Calibri" w:cs="Calibri"/>
                <w:color w:val="131413"/>
                <w:sz w:val="20"/>
                <w:szCs w:val="20"/>
              </w:rPr>
              <w:t>Bisphosphonates for treating osteoporosis. Technology appraisal</w:t>
            </w:r>
            <w:r>
              <w:rPr>
                <w:rFonts w:ascii="Calibri" w:hAnsi="Calibri" w:cs="Calibri"/>
                <w:color w:val="131413"/>
                <w:sz w:val="20"/>
                <w:szCs w:val="20"/>
              </w:rPr>
              <w:t xml:space="preserve"> </w:t>
            </w:r>
            <w:r w:rsidRPr="004E6119">
              <w:rPr>
                <w:rFonts w:ascii="Calibri" w:hAnsi="Calibri" w:cs="Calibri"/>
                <w:color w:val="131413"/>
                <w:sz w:val="20"/>
                <w:szCs w:val="20"/>
              </w:rPr>
              <w:t>Guidance  464. National Institute for Health and Care Excellence,</w:t>
            </w:r>
            <w:r>
              <w:rPr>
                <w:rFonts w:ascii="Calibri" w:hAnsi="Calibri" w:cs="Calibri"/>
                <w:color w:val="131413"/>
                <w:sz w:val="20"/>
                <w:szCs w:val="20"/>
              </w:rPr>
              <w:t xml:space="preserve"> </w:t>
            </w:r>
            <w:r w:rsidRPr="004E6119">
              <w:rPr>
                <w:rFonts w:ascii="Calibri" w:hAnsi="Calibri" w:cs="Calibri"/>
                <w:color w:val="131413"/>
                <w:sz w:val="20"/>
                <w:szCs w:val="20"/>
              </w:rPr>
              <w:t xml:space="preserve">London </w:t>
            </w:r>
            <w:hyperlink r:id="rId18" w:history="1">
              <w:r w:rsidRPr="005770AD">
                <w:rPr>
                  <w:rStyle w:val="Hyperlink"/>
                  <w:rFonts w:ascii="Calibri" w:hAnsi="Calibri" w:cs="Calibri"/>
                  <w:sz w:val="20"/>
                  <w:szCs w:val="20"/>
                </w:rPr>
                <w:t>https://www.nice.org.uk/guidance/ta464</w:t>
              </w:r>
            </w:hyperlink>
            <w:r>
              <w:rPr>
                <w:rFonts w:ascii="Calibri" w:hAnsi="Calibri" w:cs="Calibri"/>
                <w:color w:val="131413"/>
                <w:sz w:val="20"/>
                <w:szCs w:val="20"/>
              </w:rPr>
              <w:t xml:space="preserve">. </w:t>
            </w:r>
            <w:r w:rsidRPr="004E6119">
              <w:rPr>
                <w:rFonts w:ascii="Calibri" w:hAnsi="Calibri" w:cs="Calibri"/>
                <w:color w:val="131413"/>
                <w:sz w:val="20"/>
                <w:szCs w:val="20"/>
              </w:rPr>
              <w:t xml:space="preserve"> Accessed 14 November 2020</w:t>
            </w:r>
          </w:p>
        </w:tc>
      </w:tr>
      <w:tr w:rsidR="00B92FE8" w:rsidRPr="00C27279" w14:paraId="19DB4D83" w14:textId="77777777" w:rsidTr="00E123CC">
        <w:tc>
          <w:tcPr>
            <w:tcW w:w="501" w:type="dxa"/>
          </w:tcPr>
          <w:p w14:paraId="2931FCC0" w14:textId="0AA390B8"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30.</w:t>
            </w:r>
          </w:p>
        </w:tc>
        <w:tc>
          <w:tcPr>
            <w:tcW w:w="7970" w:type="dxa"/>
          </w:tcPr>
          <w:p w14:paraId="4BBFD857" w14:textId="3895C866" w:rsidR="00B92FE8" w:rsidRPr="00C27279" w:rsidRDefault="00B92FE8" w:rsidP="00E123CC">
            <w:pPr>
              <w:autoSpaceDE w:val="0"/>
              <w:autoSpaceDN w:val="0"/>
              <w:adjustRightInd w:val="0"/>
              <w:spacing w:before="240" w:line="276" w:lineRule="auto"/>
              <w:rPr>
                <w:rFonts w:ascii="Calibri" w:hAnsi="Calibri" w:cs="Calibri"/>
                <w:color w:val="131413"/>
                <w:sz w:val="20"/>
                <w:szCs w:val="20"/>
              </w:rPr>
            </w:pPr>
            <w:r w:rsidRPr="00C27279">
              <w:rPr>
                <w:rFonts w:ascii="Calibri" w:hAnsi="Calibri" w:cs="Calibri"/>
                <w:color w:val="131413"/>
                <w:sz w:val="20"/>
                <w:szCs w:val="20"/>
              </w:rPr>
              <w:t>Kanis JA, McCloskey EV, Johansson H, Strom O, Borgstrom F, Oden A (2008) Case finding for the management of osteoporosis with FRAX—assessment and intervention thresholds for the UK.</w:t>
            </w:r>
            <w:r>
              <w:rPr>
                <w:rFonts w:ascii="Calibri" w:hAnsi="Calibri" w:cs="Calibri"/>
                <w:color w:val="131413"/>
                <w:sz w:val="20"/>
                <w:szCs w:val="20"/>
              </w:rPr>
              <w:t xml:space="preserve"> </w:t>
            </w:r>
            <w:r w:rsidRPr="00C27279">
              <w:rPr>
                <w:rFonts w:ascii="Calibri" w:hAnsi="Calibri" w:cs="Calibri"/>
                <w:color w:val="131413"/>
                <w:sz w:val="20"/>
                <w:szCs w:val="20"/>
              </w:rPr>
              <w:t>Osteoporos Int 19: 1395–1408.</w:t>
            </w:r>
          </w:p>
        </w:tc>
      </w:tr>
      <w:tr w:rsidR="00B92FE8" w:rsidRPr="00C27279" w14:paraId="086ACF1E" w14:textId="77777777" w:rsidTr="00E123CC">
        <w:tc>
          <w:tcPr>
            <w:tcW w:w="501" w:type="dxa"/>
          </w:tcPr>
          <w:p w14:paraId="1BA55C56" w14:textId="3FF3AADA" w:rsidR="00B92FE8" w:rsidRDefault="00B92FE8" w:rsidP="00E123CC">
            <w:pPr>
              <w:spacing w:before="240"/>
              <w:jc w:val="right"/>
              <w:rPr>
                <w:rFonts w:ascii="Calibri" w:hAnsi="Calibri" w:cs="Calibri"/>
                <w:color w:val="131413"/>
                <w:sz w:val="20"/>
                <w:szCs w:val="20"/>
              </w:rPr>
            </w:pPr>
            <w:r>
              <w:rPr>
                <w:rFonts w:ascii="Calibri" w:hAnsi="Calibri" w:cs="Calibri"/>
                <w:color w:val="131413"/>
                <w:sz w:val="20"/>
                <w:szCs w:val="20"/>
              </w:rPr>
              <w:t>31.</w:t>
            </w:r>
          </w:p>
        </w:tc>
        <w:tc>
          <w:tcPr>
            <w:tcW w:w="7970" w:type="dxa"/>
          </w:tcPr>
          <w:p w14:paraId="6A7793B7" w14:textId="6535BED4" w:rsidR="00B92FE8" w:rsidRPr="00C27279" w:rsidRDefault="00B92FE8" w:rsidP="00E123CC">
            <w:pPr>
              <w:spacing w:before="240"/>
              <w:rPr>
                <w:rFonts w:ascii="Calibri" w:hAnsi="Calibri" w:cs="Calibri"/>
                <w:color w:val="131413"/>
                <w:sz w:val="20"/>
                <w:szCs w:val="20"/>
              </w:rPr>
            </w:pPr>
            <w:r w:rsidRPr="00C27279">
              <w:rPr>
                <w:rFonts w:ascii="Calibri" w:hAnsi="Calibri" w:cs="Calibri"/>
                <w:color w:val="131413"/>
                <w:sz w:val="20"/>
                <w:szCs w:val="20"/>
              </w:rPr>
              <w:t>Kanis JA, Adams J, Borgstrom F, Cooper C, Jönsson B</w:t>
            </w:r>
            <w:r>
              <w:rPr>
                <w:rFonts w:ascii="Calibri" w:hAnsi="Calibri" w:cs="Calibri"/>
                <w:color w:val="131413"/>
                <w:sz w:val="20"/>
                <w:szCs w:val="20"/>
              </w:rPr>
              <w:t>,</w:t>
            </w:r>
            <w:r w:rsidRPr="00C27279">
              <w:rPr>
                <w:rFonts w:ascii="Calibri" w:hAnsi="Calibri" w:cs="Calibri"/>
                <w:color w:val="131413"/>
                <w:sz w:val="20"/>
                <w:szCs w:val="20"/>
              </w:rPr>
              <w:t xml:space="preserve"> Preedy D, Selby P, Compston J (2008) The cost-effectiveness of alendronate in the management of osteoporosis. Bone 42: 4-15.</w:t>
            </w:r>
          </w:p>
        </w:tc>
      </w:tr>
      <w:tr w:rsidR="00B92FE8" w:rsidRPr="00C27279" w14:paraId="59B1F9A6" w14:textId="77777777" w:rsidTr="00E123CC">
        <w:tc>
          <w:tcPr>
            <w:tcW w:w="501" w:type="dxa"/>
          </w:tcPr>
          <w:p w14:paraId="41E7C862" w14:textId="12489165" w:rsidR="00B92FE8" w:rsidRDefault="00B92FE8" w:rsidP="00E123CC">
            <w:pPr>
              <w:autoSpaceDE w:val="0"/>
              <w:autoSpaceDN w:val="0"/>
              <w:adjustRightInd w:val="0"/>
              <w:spacing w:before="240" w:line="276" w:lineRule="auto"/>
              <w:jc w:val="right"/>
              <w:rPr>
                <w:rFonts w:ascii="Calibri" w:hAnsi="Calibri" w:cs="Calibri"/>
                <w:color w:val="131413"/>
                <w:sz w:val="20"/>
                <w:szCs w:val="20"/>
              </w:rPr>
            </w:pPr>
            <w:r>
              <w:rPr>
                <w:rFonts w:ascii="Calibri" w:hAnsi="Calibri" w:cs="Calibri"/>
                <w:color w:val="131413"/>
                <w:sz w:val="20"/>
                <w:szCs w:val="20"/>
              </w:rPr>
              <w:t>32.</w:t>
            </w:r>
          </w:p>
        </w:tc>
        <w:tc>
          <w:tcPr>
            <w:tcW w:w="7970" w:type="dxa"/>
          </w:tcPr>
          <w:p w14:paraId="63C6B8F2" w14:textId="7D0A4692" w:rsidR="00B92FE8" w:rsidRPr="00C27279" w:rsidRDefault="00B92FE8" w:rsidP="00E123CC">
            <w:pPr>
              <w:autoSpaceDE w:val="0"/>
              <w:autoSpaceDN w:val="0"/>
              <w:adjustRightInd w:val="0"/>
              <w:spacing w:before="240" w:line="276" w:lineRule="auto"/>
              <w:rPr>
                <w:rFonts w:ascii="Calibri" w:hAnsi="Calibri" w:cs="Calibri"/>
                <w:color w:val="131413"/>
                <w:sz w:val="20"/>
                <w:szCs w:val="20"/>
              </w:rPr>
            </w:pPr>
            <w:r w:rsidRPr="00540FE8">
              <w:rPr>
                <w:rFonts w:ascii="Calibri" w:hAnsi="Calibri" w:cs="Calibri"/>
                <w:color w:val="131413"/>
                <w:sz w:val="20"/>
                <w:szCs w:val="20"/>
              </w:rPr>
              <w:t xml:space="preserve">Söreskog E, Lindberg I, Kanis JA, Åkesson K, Willems D, Lorentzon M, Ström O, Berling P, Borgström F (2021) Cost-effectiveness of romosozumab for the treatment of postmenopausal women with severe osteoporosis at high risk of fracture in Sweden.  Osteoporos Int </w:t>
            </w:r>
            <w:r w:rsidR="0037783F" w:rsidRPr="0037783F">
              <w:rPr>
                <w:rFonts w:ascii="Calibri" w:hAnsi="Calibri" w:cs="Calibri"/>
                <w:color w:val="131413"/>
                <w:sz w:val="20"/>
                <w:szCs w:val="20"/>
              </w:rPr>
              <w:t>32</w:t>
            </w:r>
            <w:r w:rsidR="0037783F">
              <w:rPr>
                <w:rFonts w:ascii="Calibri" w:hAnsi="Calibri" w:cs="Calibri"/>
                <w:color w:val="131413"/>
                <w:sz w:val="20"/>
                <w:szCs w:val="20"/>
              </w:rPr>
              <w:t xml:space="preserve">: </w:t>
            </w:r>
            <w:r w:rsidR="0037783F" w:rsidRPr="0037783F">
              <w:rPr>
                <w:rFonts w:ascii="Calibri" w:hAnsi="Calibri" w:cs="Calibri"/>
                <w:color w:val="131413"/>
                <w:sz w:val="20"/>
                <w:szCs w:val="20"/>
              </w:rPr>
              <w:t xml:space="preserve"> 585-594.</w:t>
            </w:r>
          </w:p>
        </w:tc>
      </w:tr>
    </w:tbl>
    <w:p w14:paraId="6A7D3503" w14:textId="77777777" w:rsidR="006E5295" w:rsidRDefault="006E5295" w:rsidP="00E123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97416E" w:rsidRPr="00C27279" w14:paraId="69CB966C" w14:textId="77777777" w:rsidTr="000D6C27">
        <w:tc>
          <w:tcPr>
            <w:tcW w:w="562" w:type="dxa"/>
          </w:tcPr>
          <w:p w14:paraId="6E1E1CFF" w14:textId="77777777" w:rsidR="0097416E" w:rsidRPr="00C27279" w:rsidRDefault="0097416E" w:rsidP="00B0791B">
            <w:pPr>
              <w:autoSpaceDE w:val="0"/>
              <w:autoSpaceDN w:val="0"/>
              <w:adjustRightInd w:val="0"/>
              <w:spacing w:before="240" w:line="276" w:lineRule="auto"/>
              <w:rPr>
                <w:rFonts w:ascii="Calibri" w:hAnsi="Calibri" w:cs="Calibri"/>
                <w:b/>
                <w:bCs/>
                <w:color w:val="131413"/>
                <w:sz w:val="20"/>
                <w:szCs w:val="20"/>
              </w:rPr>
            </w:pPr>
          </w:p>
        </w:tc>
        <w:tc>
          <w:tcPr>
            <w:tcW w:w="8454" w:type="dxa"/>
          </w:tcPr>
          <w:p w14:paraId="59429143" w14:textId="721D6E51" w:rsidR="0097416E" w:rsidRPr="00C27279" w:rsidRDefault="0097416E" w:rsidP="00B0791B">
            <w:pPr>
              <w:autoSpaceDE w:val="0"/>
              <w:autoSpaceDN w:val="0"/>
              <w:adjustRightInd w:val="0"/>
              <w:spacing w:before="240" w:line="276" w:lineRule="auto"/>
              <w:rPr>
                <w:rFonts w:ascii="Calibri" w:hAnsi="Calibri" w:cs="Calibri"/>
                <w:b/>
                <w:bCs/>
                <w:color w:val="131413"/>
                <w:sz w:val="20"/>
                <w:szCs w:val="20"/>
              </w:rPr>
            </w:pPr>
          </w:p>
        </w:tc>
      </w:tr>
      <w:tr w:rsidR="0097416E" w:rsidRPr="00C27279" w14:paraId="285AEFB2" w14:textId="77777777" w:rsidTr="000D6C27">
        <w:tc>
          <w:tcPr>
            <w:tcW w:w="562" w:type="dxa"/>
          </w:tcPr>
          <w:p w14:paraId="586347A2" w14:textId="77777777" w:rsidR="0097416E" w:rsidRPr="00C27681" w:rsidRDefault="0097416E" w:rsidP="00091255">
            <w:pPr>
              <w:rPr>
                <w:b/>
                <w:bCs/>
              </w:rPr>
            </w:pPr>
          </w:p>
        </w:tc>
        <w:tc>
          <w:tcPr>
            <w:tcW w:w="8454" w:type="dxa"/>
          </w:tcPr>
          <w:p w14:paraId="64D6F4EB" w14:textId="7C0FD4B0" w:rsidR="0097416E" w:rsidRDefault="0097416E" w:rsidP="00091255">
            <w:pPr>
              <w:rPr>
                <w:b/>
                <w:bCs/>
              </w:rPr>
            </w:pPr>
            <w:r w:rsidRPr="00C27681">
              <w:rPr>
                <w:b/>
                <w:bCs/>
              </w:rPr>
              <w:t>Appendix: Examples of the categorisation of risk</w:t>
            </w:r>
          </w:p>
          <w:p w14:paraId="065F583B" w14:textId="77777777" w:rsidR="00BA33D0" w:rsidRDefault="00BA33D0" w:rsidP="00091255">
            <w:pPr>
              <w:rPr>
                <w:b/>
                <w:bCs/>
              </w:rPr>
            </w:pPr>
          </w:p>
          <w:p w14:paraId="3A68263A" w14:textId="4F5F2484" w:rsidR="0097416E" w:rsidRDefault="0097416E" w:rsidP="00091255">
            <w:pPr>
              <w:rPr>
                <w:rFonts w:ascii="Calibri" w:hAnsi="Calibri" w:cs="Calibri"/>
                <w:color w:val="131413"/>
                <w:sz w:val="24"/>
                <w:szCs w:val="24"/>
              </w:rPr>
            </w:pPr>
            <w:r w:rsidRPr="002B1384">
              <w:rPr>
                <w:rFonts w:ascii="Calibri" w:hAnsi="Calibri" w:cs="Calibri"/>
                <w:color w:val="131413"/>
                <w:sz w:val="24"/>
                <w:szCs w:val="24"/>
              </w:rPr>
              <w:t>Examples are for women with a BMI of 25kg/m</w:t>
            </w:r>
            <w:r w:rsidRPr="005647E1">
              <w:rPr>
                <w:rFonts w:ascii="Calibri" w:hAnsi="Calibri" w:cs="Calibri"/>
                <w:color w:val="131413"/>
                <w:sz w:val="24"/>
                <w:szCs w:val="24"/>
                <w:vertAlign w:val="superscript"/>
              </w:rPr>
              <w:t>2</w:t>
            </w:r>
            <w:r>
              <w:rPr>
                <w:rFonts w:ascii="Calibri" w:hAnsi="Calibri" w:cs="Calibri"/>
                <w:color w:val="131413"/>
                <w:sz w:val="24"/>
                <w:szCs w:val="24"/>
              </w:rPr>
              <w:t>.</w:t>
            </w:r>
            <w:r w:rsidRPr="002B1384">
              <w:rPr>
                <w:rFonts w:ascii="Calibri" w:hAnsi="Calibri" w:cs="Calibri"/>
                <w:color w:val="131413"/>
                <w:sz w:val="24"/>
                <w:szCs w:val="24"/>
              </w:rPr>
              <w:t xml:space="preserve"> </w:t>
            </w:r>
            <w:r>
              <w:rPr>
                <w:rFonts w:ascii="Calibri" w:hAnsi="Calibri" w:cs="Calibri"/>
                <w:color w:val="131413"/>
                <w:sz w:val="24"/>
                <w:szCs w:val="24"/>
              </w:rPr>
              <w:t xml:space="preserve"> </w:t>
            </w:r>
            <w:r w:rsidRPr="006E4E0D">
              <w:rPr>
                <w:rFonts w:ascii="Calibri" w:hAnsi="Calibri" w:cs="Calibri"/>
                <w:color w:val="131413"/>
                <w:sz w:val="24"/>
                <w:szCs w:val="24"/>
              </w:rPr>
              <w:t>Each table gives the 10-year probabilities of a major osteoporotic fracture calculated using the UK FRAX model.  Cells highlighted in green and orange denote low and high risk, respectively, according to current NOGG guidance.  Red highlights denote very high risk using a threshold 1.6 times the current intervention threshold.</w:t>
            </w:r>
          </w:p>
          <w:p w14:paraId="1008BBF1" w14:textId="15F1D5CA" w:rsidR="0097416E" w:rsidRDefault="0097416E" w:rsidP="00091255">
            <w:pPr>
              <w:rPr>
                <w:rFonts w:ascii="Calibri" w:hAnsi="Calibri" w:cs="Calibri"/>
                <w:color w:val="131413"/>
                <w:sz w:val="24"/>
                <w:szCs w:val="24"/>
              </w:rPr>
            </w:pPr>
            <w:r>
              <w:rPr>
                <w:noProof/>
              </w:rPr>
              <mc:AlternateContent>
                <mc:Choice Requires="wps">
                  <w:drawing>
                    <wp:anchor distT="0" distB="0" distL="114300" distR="114300" simplePos="0" relativeHeight="251663360" behindDoc="0" locked="0" layoutInCell="1" allowOverlap="1" wp14:anchorId="3641C3F7" wp14:editId="4E032B2E">
                      <wp:simplePos x="0" y="0"/>
                      <wp:positionH relativeFrom="margin">
                        <wp:posOffset>3214688</wp:posOffset>
                      </wp:positionH>
                      <wp:positionV relativeFrom="paragraph">
                        <wp:posOffset>249872</wp:posOffset>
                      </wp:positionV>
                      <wp:extent cx="2614612" cy="742950"/>
                      <wp:effectExtent l="0" t="0" r="0" b="0"/>
                      <wp:wrapNone/>
                      <wp:docPr id="15" name="Rectangle 16"/>
                      <wp:cNvGraphicFramePr/>
                      <a:graphic xmlns:a="http://schemas.openxmlformats.org/drawingml/2006/main">
                        <a:graphicData uri="http://schemas.microsoft.com/office/word/2010/wordprocessingShape">
                          <wps:wsp>
                            <wps:cNvSpPr/>
                            <wps:spPr>
                              <a:xfrm>
                                <a:off x="0" y="0"/>
                                <a:ext cx="2614612" cy="742950"/>
                              </a:xfrm>
                              <a:prstGeom prst="rect">
                                <a:avLst/>
                              </a:prstGeom>
                              <a:noFill/>
                              <a:ln>
                                <a:solidFill>
                                  <a:srgbClr val="B2B2B2">
                                    <a:alpha val="0"/>
                                  </a:srgbClr>
                                </a:solidFill>
                              </a:ln>
                            </wps:spPr>
                            <wps:txbx>
                              <w:txbxContent>
                                <w:p w14:paraId="08FE190C" w14:textId="294983A7" w:rsidR="008A27D8" w:rsidRPr="00771D71" w:rsidRDefault="008A27D8" w:rsidP="00977FA0">
                                  <w:pPr>
                                    <w:jc w:val="center"/>
                                    <w:rPr>
                                      <w:sz w:val="36"/>
                                      <w:szCs w:val="36"/>
                                    </w:rPr>
                                  </w:pPr>
                                  <w:r w:rsidRPr="00771D71">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 xml:space="preserve">Copy </w:t>
                                  </w:r>
                                  <w:r w:rsidR="00375A10">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w:t>
                                  </w:r>
                                  <w:r w:rsidRPr="00771D71">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 xml:space="preserve"> </w:t>
                                  </w:r>
                                  <w:r w:rsidR="00375A10">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for review</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3641C3F7" id="_x0000_s1029" style="position:absolute;margin-left:253.15pt;margin-top:19.65pt;width:205.85pt;height:5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" filled="f" strokecolor="#b2b2b2">
                      <v:stroke opacity="0"/>
                      <v:textbox>
                        <w:txbxContent>
                          <w:p w14:paraId="08FE190C" w14:textId="294983A7" w:rsidR="008A27D8" w:rsidRPr="00771D71" w:rsidRDefault="008A27D8" w:rsidP="00977FA0">
                            <w:pPr>
                              <w:jc w:val="center"/>
                              <w:rPr>
                                <w:sz w:val="36"/>
                                <w:szCs w:val="36"/>
                              </w:rPr>
                            </w:pPr>
                            <w:r w:rsidRPr="00771D71">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 xml:space="preserve">Copy </w:t>
                            </w:r>
                            <w:r w:rsidR="00375A10">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w:t>
                            </w:r>
                            <w:r w:rsidRPr="00771D71">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 xml:space="preserve"> </w:t>
                            </w:r>
                            <w:r w:rsidR="00375A10">
                              <w:rPr>
                                <w:rFonts w:ascii="Calibri" w:eastAsia="+mn-ea" w:hAnsi="Calibri" w:cs="+mn-cs"/>
                                <w:b/>
                                <w:bCs/>
                                <w:color w:val="E7E6E6"/>
                                <w:spacing w:val="10"/>
                                <w:kern w:val="24"/>
                                <w:sz w:val="36"/>
                                <w:szCs w:val="36"/>
                                <w:lang w:val="en-US"/>
                                <w14:shadow w14:blurRad="63500" w14:dist="50800" w14:dir="13500000" w14:sx="0" w14:sy="0" w14:kx="0" w14:ky="0" w14:algn="none">
                                  <w14:srgbClr w14:val="000000">
                                    <w14:alpha w14:val="50000"/>
                                  </w14:srgbClr>
                                </w14:shadow>
                              </w:rPr>
                              <w:t>for review</w:t>
                            </w:r>
                          </w:p>
                        </w:txbxContent>
                      </v:textbox>
                      <w10:wrap anchorx="margin"/>
                    </v:rect>
                  </w:pict>
                </mc:Fallback>
              </mc:AlternateContent>
            </w:r>
            <w:r>
              <w:rPr>
                <w:noProof/>
              </w:rPr>
              <w:drawing>
                <wp:inline distT="0" distB="0" distL="0" distR="0" wp14:anchorId="14EE1B90" wp14:editId="20AFD678">
                  <wp:extent cx="3890963" cy="189484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96DAC541-7B7A-43D3-8B79-37D633B846F1}">
                                <asvg:svgBlip xmlns:asvg="http://schemas.microsoft.com/office/drawing/2016/SVG/main" r:embed="rId20"/>
                              </a:ext>
                            </a:extLst>
                          </a:blip>
                          <a:srcRect l="8976" t="14329" r="23106" b="26869"/>
                          <a:stretch/>
                        </pic:blipFill>
                        <pic:spPr bwMode="auto">
                          <a:xfrm>
                            <a:off x="0" y="0"/>
                            <a:ext cx="3892715" cy="1895693"/>
                          </a:xfrm>
                          <a:prstGeom prst="rect">
                            <a:avLst/>
                          </a:prstGeom>
                          <a:ln>
                            <a:noFill/>
                          </a:ln>
                          <a:extLst>
                            <a:ext uri="{53640926-AAD7-44D8-BBD7-CCE9431645EC}">
                              <a14:shadowObscured xmlns:a14="http://schemas.microsoft.com/office/drawing/2010/main"/>
                            </a:ext>
                          </a:extLst>
                        </pic:spPr>
                      </pic:pic>
                    </a:graphicData>
                  </a:graphic>
                </wp:inline>
              </w:drawing>
            </w:r>
          </w:p>
          <w:p w14:paraId="1B2C7E41" w14:textId="22781ACC" w:rsidR="0097416E" w:rsidRDefault="0097416E" w:rsidP="00091255">
            <w:pPr>
              <w:rPr>
                <w:b/>
                <w:bCs/>
              </w:rPr>
            </w:pPr>
            <w:r w:rsidRPr="006E4E0D">
              <w:rPr>
                <w:rFonts w:ascii="Calibri" w:hAnsi="Calibri" w:cs="Calibri"/>
                <w:color w:val="131413"/>
                <w:sz w:val="24"/>
                <w:szCs w:val="24"/>
              </w:rPr>
              <w:t xml:space="preserve">  </w:t>
            </w:r>
            <w:r>
              <w:rPr>
                <w:noProof/>
              </w:rPr>
              <w:drawing>
                <wp:inline distT="0" distB="0" distL="0" distR="0" wp14:anchorId="594B064E" wp14:editId="2E3DB1BC">
                  <wp:extent cx="3905250" cy="1917848"/>
                  <wp:effectExtent l="0" t="0" r="0" b="635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96DAC541-7B7A-43D3-8B79-37D633B846F1}">
                                <asvg:svgBlip xmlns:asvg="http://schemas.microsoft.com/office/drawing/2016/SVG/main" r:embed="rId22"/>
                              </a:ext>
                            </a:extLst>
                          </a:blip>
                          <a:srcRect l="9641" t="15363" r="24202" b="26876"/>
                          <a:stretch/>
                        </pic:blipFill>
                        <pic:spPr bwMode="auto">
                          <a:xfrm>
                            <a:off x="0" y="0"/>
                            <a:ext cx="3912396" cy="1921357"/>
                          </a:xfrm>
                          <a:prstGeom prst="rect">
                            <a:avLst/>
                          </a:prstGeom>
                          <a:ln>
                            <a:noFill/>
                          </a:ln>
                          <a:extLst>
                            <a:ext uri="{53640926-AAD7-44D8-BBD7-CCE9431645EC}">
                              <a14:shadowObscured xmlns:a14="http://schemas.microsoft.com/office/drawing/2010/main"/>
                            </a:ext>
                          </a:extLst>
                        </pic:spPr>
                      </pic:pic>
                    </a:graphicData>
                  </a:graphic>
                </wp:inline>
              </w:drawing>
            </w:r>
          </w:p>
          <w:p w14:paraId="14F45224" w14:textId="68802A44" w:rsidR="0097416E" w:rsidRDefault="0097416E" w:rsidP="00091255">
            <w:pPr>
              <w:rPr>
                <w:b/>
                <w:bCs/>
              </w:rPr>
            </w:pPr>
          </w:p>
          <w:p w14:paraId="297FD631" w14:textId="79E454B7" w:rsidR="0097416E" w:rsidRDefault="0097416E" w:rsidP="00091255">
            <w:pPr>
              <w:rPr>
                <w:b/>
                <w:bCs/>
              </w:rPr>
            </w:pPr>
            <w:r>
              <w:rPr>
                <w:noProof/>
              </w:rPr>
              <w:drawing>
                <wp:inline distT="0" distB="0" distL="0" distR="0" wp14:anchorId="4792E0CC" wp14:editId="3E4E50E3">
                  <wp:extent cx="3922763" cy="1638300"/>
                  <wp:effectExtent l="0" t="0" r="1905" b="0"/>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extLst>
                              <a:ext uri="{96DAC541-7B7A-43D3-8B79-37D633B846F1}">
                                <asvg:svgBlip xmlns:asvg="http://schemas.microsoft.com/office/drawing/2016/SVG/main" r:embed="rId24"/>
                              </a:ext>
                            </a:extLst>
                          </a:blip>
                          <a:srcRect l="14292" t="10636" r="21643" b="41796"/>
                          <a:stretch/>
                        </pic:blipFill>
                        <pic:spPr bwMode="auto">
                          <a:xfrm>
                            <a:off x="0" y="0"/>
                            <a:ext cx="3934728" cy="1643297"/>
                          </a:xfrm>
                          <a:prstGeom prst="rect">
                            <a:avLst/>
                          </a:prstGeom>
                          <a:ln>
                            <a:noFill/>
                          </a:ln>
                          <a:extLst>
                            <a:ext uri="{53640926-AAD7-44D8-BBD7-CCE9431645EC}">
                              <a14:shadowObscured xmlns:a14="http://schemas.microsoft.com/office/drawing/2010/main"/>
                            </a:ext>
                          </a:extLst>
                        </pic:spPr>
                      </pic:pic>
                    </a:graphicData>
                  </a:graphic>
                </wp:inline>
              </w:drawing>
            </w:r>
          </w:p>
          <w:p w14:paraId="7BFFF056" w14:textId="26CA0F77" w:rsidR="0097416E" w:rsidRDefault="0097416E" w:rsidP="00091255">
            <w:pPr>
              <w:rPr>
                <w:b/>
                <w:bCs/>
              </w:rPr>
            </w:pPr>
            <w:r>
              <w:rPr>
                <w:noProof/>
              </w:rPr>
              <w:drawing>
                <wp:inline distT="0" distB="0" distL="0" distR="0" wp14:anchorId="42B90B0B" wp14:editId="32BBA7C2">
                  <wp:extent cx="3863915" cy="1638300"/>
                  <wp:effectExtent l="0" t="0" r="3810" b="0"/>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extLst>
                              <a:ext uri="{96DAC541-7B7A-43D3-8B79-37D633B846F1}">
                                <asvg:svgBlip xmlns:asvg="http://schemas.microsoft.com/office/drawing/2016/SVG/main" r:embed="rId26"/>
                              </a:ext>
                            </a:extLst>
                          </a:blip>
                          <a:srcRect l="15788" t="11818" r="21892" b="41205"/>
                          <a:stretch/>
                        </pic:blipFill>
                        <pic:spPr bwMode="auto">
                          <a:xfrm>
                            <a:off x="0" y="0"/>
                            <a:ext cx="3871316" cy="1641438"/>
                          </a:xfrm>
                          <a:prstGeom prst="rect">
                            <a:avLst/>
                          </a:prstGeom>
                          <a:ln>
                            <a:noFill/>
                          </a:ln>
                          <a:extLst>
                            <a:ext uri="{53640926-AAD7-44D8-BBD7-CCE9431645EC}">
                              <a14:shadowObscured xmlns:a14="http://schemas.microsoft.com/office/drawing/2010/main"/>
                            </a:ext>
                          </a:extLst>
                        </pic:spPr>
                      </pic:pic>
                    </a:graphicData>
                  </a:graphic>
                </wp:inline>
              </w:drawing>
            </w:r>
          </w:p>
          <w:p w14:paraId="30C007C5" w14:textId="77777777" w:rsidR="0097416E" w:rsidRDefault="0097416E" w:rsidP="00091255">
            <w:pPr>
              <w:rPr>
                <w:b/>
                <w:bCs/>
              </w:rPr>
            </w:pPr>
          </w:p>
          <w:p w14:paraId="24B41B77" w14:textId="77777777" w:rsidR="0097416E" w:rsidRPr="00C27681" w:rsidRDefault="0097416E" w:rsidP="00091255">
            <w:pPr>
              <w:rPr>
                <w:b/>
                <w:bCs/>
              </w:rPr>
            </w:pPr>
            <w:r>
              <w:rPr>
                <w:noProof/>
              </w:rPr>
              <w:drawing>
                <wp:inline distT="0" distB="0" distL="0" distR="0" wp14:anchorId="4901C874" wp14:editId="4A4EB84A">
                  <wp:extent cx="3843338" cy="1672316"/>
                  <wp:effectExtent l="0" t="0" r="5080" b="4445"/>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96DAC541-7B7A-43D3-8B79-37D633B846F1}">
                                <asvg:svgBlip xmlns:asvg="http://schemas.microsoft.com/office/drawing/2016/SVG/main" r:embed="rId28"/>
                              </a:ext>
                            </a:extLst>
                          </a:blip>
                          <a:srcRect l="15712" t="11966" r="22789" b="40462"/>
                          <a:stretch/>
                        </pic:blipFill>
                        <pic:spPr bwMode="auto">
                          <a:xfrm>
                            <a:off x="0" y="0"/>
                            <a:ext cx="3847657" cy="1674195"/>
                          </a:xfrm>
                          <a:prstGeom prst="rect">
                            <a:avLst/>
                          </a:prstGeom>
                          <a:ln>
                            <a:noFill/>
                          </a:ln>
                          <a:extLst>
                            <a:ext uri="{53640926-AAD7-44D8-BBD7-CCE9431645EC}">
                              <a14:shadowObscured xmlns:a14="http://schemas.microsoft.com/office/drawing/2010/main"/>
                            </a:ext>
                          </a:extLst>
                        </pic:spPr>
                      </pic:pic>
                    </a:graphicData>
                  </a:graphic>
                </wp:inline>
              </w:drawing>
            </w:r>
          </w:p>
          <w:p w14:paraId="0F6B7457" w14:textId="77777777" w:rsidR="0097416E" w:rsidRPr="00C27279" w:rsidRDefault="0097416E" w:rsidP="00B0791B">
            <w:pPr>
              <w:autoSpaceDE w:val="0"/>
              <w:autoSpaceDN w:val="0"/>
              <w:adjustRightInd w:val="0"/>
              <w:spacing w:before="240" w:line="276" w:lineRule="auto"/>
              <w:rPr>
                <w:rFonts w:ascii="Calibri" w:hAnsi="Calibri" w:cs="Calibri"/>
                <w:b/>
                <w:bCs/>
                <w:color w:val="131413"/>
                <w:sz w:val="20"/>
                <w:szCs w:val="20"/>
              </w:rPr>
            </w:pPr>
          </w:p>
        </w:tc>
      </w:tr>
      <w:tr w:rsidR="0097416E" w:rsidRPr="00C27279" w14:paraId="233C208D" w14:textId="77777777" w:rsidTr="000D6C27">
        <w:tc>
          <w:tcPr>
            <w:tcW w:w="562" w:type="dxa"/>
          </w:tcPr>
          <w:p w14:paraId="3FFDBF9B" w14:textId="77777777" w:rsidR="0097416E" w:rsidRPr="00C27279" w:rsidRDefault="0097416E" w:rsidP="00B0791B">
            <w:pPr>
              <w:autoSpaceDE w:val="0"/>
              <w:autoSpaceDN w:val="0"/>
              <w:adjustRightInd w:val="0"/>
              <w:spacing w:before="240" w:line="276" w:lineRule="auto"/>
              <w:rPr>
                <w:rFonts w:ascii="Calibri" w:hAnsi="Calibri" w:cs="Calibri"/>
                <w:b/>
                <w:bCs/>
                <w:color w:val="131413"/>
                <w:sz w:val="20"/>
                <w:szCs w:val="20"/>
              </w:rPr>
            </w:pPr>
          </w:p>
        </w:tc>
        <w:tc>
          <w:tcPr>
            <w:tcW w:w="8454" w:type="dxa"/>
          </w:tcPr>
          <w:p w14:paraId="74A9700A" w14:textId="3FF89F22" w:rsidR="0097416E" w:rsidRPr="00C27279" w:rsidRDefault="0097416E" w:rsidP="00B0791B">
            <w:pPr>
              <w:autoSpaceDE w:val="0"/>
              <w:autoSpaceDN w:val="0"/>
              <w:adjustRightInd w:val="0"/>
              <w:spacing w:before="240" w:line="276" w:lineRule="auto"/>
              <w:rPr>
                <w:rFonts w:ascii="Calibri" w:hAnsi="Calibri" w:cs="Calibri"/>
                <w:b/>
                <w:bCs/>
                <w:color w:val="131413"/>
                <w:sz w:val="20"/>
                <w:szCs w:val="20"/>
              </w:rPr>
            </w:pPr>
          </w:p>
        </w:tc>
      </w:tr>
    </w:tbl>
    <w:p w14:paraId="6FBB9302" w14:textId="77777777" w:rsidR="006D5A52" w:rsidRPr="00E0088F" w:rsidRDefault="006D5A52" w:rsidP="00E0088F">
      <w:pPr>
        <w:autoSpaceDE w:val="0"/>
        <w:autoSpaceDN w:val="0"/>
        <w:adjustRightInd w:val="0"/>
        <w:spacing w:after="0" w:line="276" w:lineRule="auto"/>
        <w:rPr>
          <w:rFonts w:ascii="Calibri" w:hAnsi="Calibri" w:cs="Calibri"/>
          <w:sz w:val="20"/>
          <w:szCs w:val="20"/>
        </w:rPr>
      </w:pPr>
    </w:p>
    <w:sectPr w:rsidR="006D5A52" w:rsidRPr="00E0088F">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94436" w14:textId="77777777" w:rsidR="008E59A9" w:rsidRDefault="008E59A9" w:rsidP="001129E7">
      <w:pPr>
        <w:spacing w:after="0" w:line="240" w:lineRule="auto"/>
      </w:pPr>
      <w:r>
        <w:separator/>
      </w:r>
    </w:p>
  </w:endnote>
  <w:endnote w:type="continuationSeparator" w:id="0">
    <w:p w14:paraId="1D2A4507" w14:textId="77777777" w:rsidR="008E59A9" w:rsidRDefault="008E59A9" w:rsidP="00112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DgyhscAdvTT3713a231">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2FF0B" w14:textId="77777777" w:rsidR="008A27D8" w:rsidRDefault="008A2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935415"/>
      <w:docPartObj>
        <w:docPartGallery w:val="Page Numbers (Bottom of Page)"/>
        <w:docPartUnique/>
      </w:docPartObj>
    </w:sdtPr>
    <w:sdtEndPr>
      <w:rPr>
        <w:noProof/>
      </w:rPr>
    </w:sdtEndPr>
    <w:sdtContent>
      <w:p w14:paraId="7AEC9C9F" w14:textId="5163CF69" w:rsidR="008A27D8" w:rsidRDefault="008A27D8">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3BA47AAE" w14:textId="77777777" w:rsidR="008A27D8" w:rsidRDefault="008A27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72BBB" w14:textId="77777777" w:rsidR="008A27D8" w:rsidRDefault="008A2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1EDE9" w14:textId="77777777" w:rsidR="008E59A9" w:rsidRDefault="008E59A9" w:rsidP="001129E7">
      <w:pPr>
        <w:spacing w:after="0" w:line="240" w:lineRule="auto"/>
      </w:pPr>
      <w:r>
        <w:separator/>
      </w:r>
    </w:p>
  </w:footnote>
  <w:footnote w:type="continuationSeparator" w:id="0">
    <w:p w14:paraId="6C5EA88D" w14:textId="77777777" w:rsidR="008E59A9" w:rsidRDefault="008E59A9" w:rsidP="00112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BB3AF" w14:textId="77777777" w:rsidR="008A27D8" w:rsidRDefault="008A2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4B222" w14:textId="2D144726" w:rsidR="008A27D8" w:rsidRDefault="008A2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B5D99" w14:textId="77777777" w:rsidR="008A27D8" w:rsidRDefault="008A27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88F"/>
    <w:rsid w:val="00002578"/>
    <w:rsid w:val="000039FA"/>
    <w:rsid w:val="00003E5F"/>
    <w:rsid w:val="00004191"/>
    <w:rsid w:val="00006AF3"/>
    <w:rsid w:val="00006E8E"/>
    <w:rsid w:val="000071D2"/>
    <w:rsid w:val="00011734"/>
    <w:rsid w:val="00012ACB"/>
    <w:rsid w:val="0001567A"/>
    <w:rsid w:val="00016A9C"/>
    <w:rsid w:val="000172E0"/>
    <w:rsid w:val="00021354"/>
    <w:rsid w:val="00021591"/>
    <w:rsid w:val="00021F9B"/>
    <w:rsid w:val="00024559"/>
    <w:rsid w:val="00025751"/>
    <w:rsid w:val="00030ABC"/>
    <w:rsid w:val="00030B18"/>
    <w:rsid w:val="0003219B"/>
    <w:rsid w:val="0003560C"/>
    <w:rsid w:val="00043445"/>
    <w:rsid w:val="0004464E"/>
    <w:rsid w:val="000462B1"/>
    <w:rsid w:val="000506C6"/>
    <w:rsid w:val="000510DF"/>
    <w:rsid w:val="000559D3"/>
    <w:rsid w:val="00057229"/>
    <w:rsid w:val="000574BF"/>
    <w:rsid w:val="000574FE"/>
    <w:rsid w:val="00060CD2"/>
    <w:rsid w:val="0006268D"/>
    <w:rsid w:val="00062E18"/>
    <w:rsid w:val="00064AED"/>
    <w:rsid w:val="0006642C"/>
    <w:rsid w:val="00076ED2"/>
    <w:rsid w:val="00084A46"/>
    <w:rsid w:val="000857CC"/>
    <w:rsid w:val="000858B2"/>
    <w:rsid w:val="0009045E"/>
    <w:rsid w:val="0009065C"/>
    <w:rsid w:val="00090F44"/>
    <w:rsid w:val="00091170"/>
    <w:rsid w:val="00091255"/>
    <w:rsid w:val="0009289F"/>
    <w:rsid w:val="00093E9D"/>
    <w:rsid w:val="00095BD2"/>
    <w:rsid w:val="00095C6A"/>
    <w:rsid w:val="000971CD"/>
    <w:rsid w:val="000979BF"/>
    <w:rsid w:val="000A3A72"/>
    <w:rsid w:val="000A42EA"/>
    <w:rsid w:val="000B02D9"/>
    <w:rsid w:val="000B0548"/>
    <w:rsid w:val="000B0C3A"/>
    <w:rsid w:val="000B2055"/>
    <w:rsid w:val="000B388B"/>
    <w:rsid w:val="000B4A7D"/>
    <w:rsid w:val="000B5711"/>
    <w:rsid w:val="000C1F50"/>
    <w:rsid w:val="000C3281"/>
    <w:rsid w:val="000C37A5"/>
    <w:rsid w:val="000C4809"/>
    <w:rsid w:val="000C6794"/>
    <w:rsid w:val="000C76D9"/>
    <w:rsid w:val="000C7F18"/>
    <w:rsid w:val="000D0419"/>
    <w:rsid w:val="000D0A6B"/>
    <w:rsid w:val="000D29E6"/>
    <w:rsid w:val="000D3A3B"/>
    <w:rsid w:val="000D53B8"/>
    <w:rsid w:val="000D542D"/>
    <w:rsid w:val="000D5E6A"/>
    <w:rsid w:val="000D63A8"/>
    <w:rsid w:val="000D6C27"/>
    <w:rsid w:val="000D6D0E"/>
    <w:rsid w:val="000E2791"/>
    <w:rsid w:val="000E3A00"/>
    <w:rsid w:val="000E3DAB"/>
    <w:rsid w:val="000E5320"/>
    <w:rsid w:val="000E5969"/>
    <w:rsid w:val="000E6489"/>
    <w:rsid w:val="000F04B3"/>
    <w:rsid w:val="000F2010"/>
    <w:rsid w:val="000F3BE5"/>
    <w:rsid w:val="000F569B"/>
    <w:rsid w:val="00100EA8"/>
    <w:rsid w:val="00101D5A"/>
    <w:rsid w:val="00101FD7"/>
    <w:rsid w:val="00102EC8"/>
    <w:rsid w:val="00103CA2"/>
    <w:rsid w:val="00103EDD"/>
    <w:rsid w:val="001041B1"/>
    <w:rsid w:val="00106FF5"/>
    <w:rsid w:val="00107897"/>
    <w:rsid w:val="001129E7"/>
    <w:rsid w:val="00113D55"/>
    <w:rsid w:val="001207A8"/>
    <w:rsid w:val="001214DE"/>
    <w:rsid w:val="001331FD"/>
    <w:rsid w:val="0013331E"/>
    <w:rsid w:val="0014025B"/>
    <w:rsid w:val="001433F4"/>
    <w:rsid w:val="00143840"/>
    <w:rsid w:val="00146062"/>
    <w:rsid w:val="00150D5C"/>
    <w:rsid w:val="001512C1"/>
    <w:rsid w:val="001548D1"/>
    <w:rsid w:val="00155DCB"/>
    <w:rsid w:val="00156AE3"/>
    <w:rsid w:val="001573CC"/>
    <w:rsid w:val="00161631"/>
    <w:rsid w:val="00161F67"/>
    <w:rsid w:val="00164023"/>
    <w:rsid w:val="00166B28"/>
    <w:rsid w:val="00170449"/>
    <w:rsid w:val="00171582"/>
    <w:rsid w:val="00171AB2"/>
    <w:rsid w:val="0017318F"/>
    <w:rsid w:val="001743DC"/>
    <w:rsid w:val="00175676"/>
    <w:rsid w:val="0018077F"/>
    <w:rsid w:val="001811E9"/>
    <w:rsid w:val="001822E3"/>
    <w:rsid w:val="001831FA"/>
    <w:rsid w:val="00184019"/>
    <w:rsid w:val="00186C84"/>
    <w:rsid w:val="00187AD1"/>
    <w:rsid w:val="00192E9F"/>
    <w:rsid w:val="00193428"/>
    <w:rsid w:val="001939E8"/>
    <w:rsid w:val="00195939"/>
    <w:rsid w:val="00197B0D"/>
    <w:rsid w:val="00197BBC"/>
    <w:rsid w:val="001A09A7"/>
    <w:rsid w:val="001A0AFF"/>
    <w:rsid w:val="001A188E"/>
    <w:rsid w:val="001A1BD7"/>
    <w:rsid w:val="001A3006"/>
    <w:rsid w:val="001A3899"/>
    <w:rsid w:val="001A4DE6"/>
    <w:rsid w:val="001A5539"/>
    <w:rsid w:val="001A5883"/>
    <w:rsid w:val="001A786E"/>
    <w:rsid w:val="001B0E62"/>
    <w:rsid w:val="001B192E"/>
    <w:rsid w:val="001B3649"/>
    <w:rsid w:val="001B37E0"/>
    <w:rsid w:val="001B5213"/>
    <w:rsid w:val="001B599A"/>
    <w:rsid w:val="001B75A2"/>
    <w:rsid w:val="001B75B6"/>
    <w:rsid w:val="001B7CCA"/>
    <w:rsid w:val="001C1CEB"/>
    <w:rsid w:val="001C2EB0"/>
    <w:rsid w:val="001C57DD"/>
    <w:rsid w:val="001C64D5"/>
    <w:rsid w:val="001C689E"/>
    <w:rsid w:val="001D0CFD"/>
    <w:rsid w:val="001D136F"/>
    <w:rsid w:val="001D5F76"/>
    <w:rsid w:val="001E1031"/>
    <w:rsid w:val="001E1446"/>
    <w:rsid w:val="001E34C1"/>
    <w:rsid w:val="001E3507"/>
    <w:rsid w:val="001E45B0"/>
    <w:rsid w:val="001E5C15"/>
    <w:rsid w:val="001E76C6"/>
    <w:rsid w:val="001E7C30"/>
    <w:rsid w:val="001E7D7E"/>
    <w:rsid w:val="001F01BE"/>
    <w:rsid w:val="001F01EE"/>
    <w:rsid w:val="001F4891"/>
    <w:rsid w:val="001F5732"/>
    <w:rsid w:val="00200E10"/>
    <w:rsid w:val="00201A1E"/>
    <w:rsid w:val="002030B1"/>
    <w:rsid w:val="00203706"/>
    <w:rsid w:val="00203F3C"/>
    <w:rsid w:val="00204698"/>
    <w:rsid w:val="002047D9"/>
    <w:rsid w:val="002079FB"/>
    <w:rsid w:val="00211759"/>
    <w:rsid w:val="00212D33"/>
    <w:rsid w:val="002163EC"/>
    <w:rsid w:val="00216FF5"/>
    <w:rsid w:val="00220226"/>
    <w:rsid w:val="002220AD"/>
    <w:rsid w:val="00222A5B"/>
    <w:rsid w:val="002230E5"/>
    <w:rsid w:val="002241E6"/>
    <w:rsid w:val="00225B2D"/>
    <w:rsid w:val="00225E3D"/>
    <w:rsid w:val="0022629A"/>
    <w:rsid w:val="002267BC"/>
    <w:rsid w:val="00226E23"/>
    <w:rsid w:val="00231265"/>
    <w:rsid w:val="0023163C"/>
    <w:rsid w:val="00234530"/>
    <w:rsid w:val="002355C7"/>
    <w:rsid w:val="00236E95"/>
    <w:rsid w:val="00237030"/>
    <w:rsid w:val="0023776A"/>
    <w:rsid w:val="002377A2"/>
    <w:rsid w:val="00241771"/>
    <w:rsid w:val="00241C65"/>
    <w:rsid w:val="00242610"/>
    <w:rsid w:val="002438F2"/>
    <w:rsid w:val="002442A9"/>
    <w:rsid w:val="002443E4"/>
    <w:rsid w:val="002448AF"/>
    <w:rsid w:val="00246761"/>
    <w:rsid w:val="00246A1C"/>
    <w:rsid w:val="00247B27"/>
    <w:rsid w:val="00247C0B"/>
    <w:rsid w:val="00251475"/>
    <w:rsid w:val="00252E79"/>
    <w:rsid w:val="00254712"/>
    <w:rsid w:val="00257074"/>
    <w:rsid w:val="0026113D"/>
    <w:rsid w:val="00262A4B"/>
    <w:rsid w:val="00263E0A"/>
    <w:rsid w:val="00264EE1"/>
    <w:rsid w:val="00266642"/>
    <w:rsid w:val="002678D0"/>
    <w:rsid w:val="00270D23"/>
    <w:rsid w:val="00270F86"/>
    <w:rsid w:val="00271DC1"/>
    <w:rsid w:val="0027297B"/>
    <w:rsid w:val="00273A62"/>
    <w:rsid w:val="0027539C"/>
    <w:rsid w:val="00281DF4"/>
    <w:rsid w:val="00283F6F"/>
    <w:rsid w:val="00284131"/>
    <w:rsid w:val="002869C7"/>
    <w:rsid w:val="00286F08"/>
    <w:rsid w:val="00287692"/>
    <w:rsid w:val="00291FCF"/>
    <w:rsid w:val="00292DB2"/>
    <w:rsid w:val="00292FB4"/>
    <w:rsid w:val="002A07D0"/>
    <w:rsid w:val="002A15E6"/>
    <w:rsid w:val="002A1CBF"/>
    <w:rsid w:val="002A2605"/>
    <w:rsid w:val="002A6E2D"/>
    <w:rsid w:val="002A6EC6"/>
    <w:rsid w:val="002B0A65"/>
    <w:rsid w:val="002B0EE8"/>
    <w:rsid w:val="002B1384"/>
    <w:rsid w:val="002B1DE1"/>
    <w:rsid w:val="002B20AA"/>
    <w:rsid w:val="002B246B"/>
    <w:rsid w:val="002B368A"/>
    <w:rsid w:val="002B4BDA"/>
    <w:rsid w:val="002C00A3"/>
    <w:rsid w:val="002C0E1A"/>
    <w:rsid w:val="002C1B9D"/>
    <w:rsid w:val="002C31E5"/>
    <w:rsid w:val="002C7420"/>
    <w:rsid w:val="002D0950"/>
    <w:rsid w:val="002D3996"/>
    <w:rsid w:val="002D51CB"/>
    <w:rsid w:val="002D6203"/>
    <w:rsid w:val="002D6B9C"/>
    <w:rsid w:val="002E0120"/>
    <w:rsid w:val="002E14A3"/>
    <w:rsid w:val="002E1BEB"/>
    <w:rsid w:val="002E296F"/>
    <w:rsid w:val="002E3BC2"/>
    <w:rsid w:val="002E4905"/>
    <w:rsid w:val="002E6B7A"/>
    <w:rsid w:val="002F3802"/>
    <w:rsid w:val="002F5732"/>
    <w:rsid w:val="002F57A3"/>
    <w:rsid w:val="002F5832"/>
    <w:rsid w:val="002F627A"/>
    <w:rsid w:val="002F73AA"/>
    <w:rsid w:val="002F7BF8"/>
    <w:rsid w:val="00300EFD"/>
    <w:rsid w:val="003013A3"/>
    <w:rsid w:val="003017BC"/>
    <w:rsid w:val="00302CAE"/>
    <w:rsid w:val="00303D03"/>
    <w:rsid w:val="00305545"/>
    <w:rsid w:val="00305BB6"/>
    <w:rsid w:val="003075AE"/>
    <w:rsid w:val="00307D10"/>
    <w:rsid w:val="00307DC0"/>
    <w:rsid w:val="00310D76"/>
    <w:rsid w:val="003121C7"/>
    <w:rsid w:val="00312781"/>
    <w:rsid w:val="00314A64"/>
    <w:rsid w:val="00316236"/>
    <w:rsid w:val="00320B4C"/>
    <w:rsid w:val="00321640"/>
    <w:rsid w:val="00321D61"/>
    <w:rsid w:val="003221D7"/>
    <w:rsid w:val="00324788"/>
    <w:rsid w:val="003262A3"/>
    <w:rsid w:val="003321B2"/>
    <w:rsid w:val="003339E1"/>
    <w:rsid w:val="00334637"/>
    <w:rsid w:val="003348C2"/>
    <w:rsid w:val="00343624"/>
    <w:rsid w:val="00343DCB"/>
    <w:rsid w:val="00343F7B"/>
    <w:rsid w:val="0034650B"/>
    <w:rsid w:val="00347027"/>
    <w:rsid w:val="003471A3"/>
    <w:rsid w:val="003524A2"/>
    <w:rsid w:val="00353237"/>
    <w:rsid w:val="0035585B"/>
    <w:rsid w:val="003601A8"/>
    <w:rsid w:val="003634D0"/>
    <w:rsid w:val="00363EA7"/>
    <w:rsid w:val="0036487A"/>
    <w:rsid w:val="003664BC"/>
    <w:rsid w:val="003679E2"/>
    <w:rsid w:val="003719FE"/>
    <w:rsid w:val="00372333"/>
    <w:rsid w:val="003733E5"/>
    <w:rsid w:val="003734F7"/>
    <w:rsid w:val="00373E85"/>
    <w:rsid w:val="0037533C"/>
    <w:rsid w:val="00375A10"/>
    <w:rsid w:val="003776DD"/>
    <w:rsid w:val="0037783F"/>
    <w:rsid w:val="00377B51"/>
    <w:rsid w:val="0038187D"/>
    <w:rsid w:val="00381B04"/>
    <w:rsid w:val="00382D98"/>
    <w:rsid w:val="0038319D"/>
    <w:rsid w:val="003858B2"/>
    <w:rsid w:val="00385E68"/>
    <w:rsid w:val="003873EE"/>
    <w:rsid w:val="003905B1"/>
    <w:rsid w:val="00390629"/>
    <w:rsid w:val="00392DF8"/>
    <w:rsid w:val="00393551"/>
    <w:rsid w:val="003966F1"/>
    <w:rsid w:val="003A00CC"/>
    <w:rsid w:val="003A122A"/>
    <w:rsid w:val="003A1F5B"/>
    <w:rsid w:val="003A29DE"/>
    <w:rsid w:val="003A3B1F"/>
    <w:rsid w:val="003A401E"/>
    <w:rsid w:val="003A4583"/>
    <w:rsid w:val="003A575D"/>
    <w:rsid w:val="003B059B"/>
    <w:rsid w:val="003B2137"/>
    <w:rsid w:val="003B2E1D"/>
    <w:rsid w:val="003B2F0B"/>
    <w:rsid w:val="003B4D58"/>
    <w:rsid w:val="003B4F2F"/>
    <w:rsid w:val="003B594F"/>
    <w:rsid w:val="003B6B54"/>
    <w:rsid w:val="003B7BAD"/>
    <w:rsid w:val="003C16CF"/>
    <w:rsid w:val="003C634F"/>
    <w:rsid w:val="003C6A73"/>
    <w:rsid w:val="003D0E72"/>
    <w:rsid w:val="003D0F8D"/>
    <w:rsid w:val="003D2DDD"/>
    <w:rsid w:val="003D5372"/>
    <w:rsid w:val="003D678A"/>
    <w:rsid w:val="003D7EC9"/>
    <w:rsid w:val="003E1B74"/>
    <w:rsid w:val="003E49EC"/>
    <w:rsid w:val="003E5CFE"/>
    <w:rsid w:val="003E6750"/>
    <w:rsid w:val="003F2199"/>
    <w:rsid w:val="003F42F4"/>
    <w:rsid w:val="004041D5"/>
    <w:rsid w:val="0040596F"/>
    <w:rsid w:val="00405A85"/>
    <w:rsid w:val="00407840"/>
    <w:rsid w:val="00410E0B"/>
    <w:rsid w:val="00411C7E"/>
    <w:rsid w:val="00413A53"/>
    <w:rsid w:val="00414985"/>
    <w:rsid w:val="0041550C"/>
    <w:rsid w:val="00415C18"/>
    <w:rsid w:val="0041707F"/>
    <w:rsid w:val="00417A62"/>
    <w:rsid w:val="00417C3F"/>
    <w:rsid w:val="00420250"/>
    <w:rsid w:val="00421A0D"/>
    <w:rsid w:val="0042597F"/>
    <w:rsid w:val="00425BA4"/>
    <w:rsid w:val="0043110A"/>
    <w:rsid w:val="00432517"/>
    <w:rsid w:val="004325A8"/>
    <w:rsid w:val="00436BE7"/>
    <w:rsid w:val="004371C2"/>
    <w:rsid w:val="00440CB3"/>
    <w:rsid w:val="00442429"/>
    <w:rsid w:val="00445698"/>
    <w:rsid w:val="00446F97"/>
    <w:rsid w:val="00452116"/>
    <w:rsid w:val="00453A08"/>
    <w:rsid w:val="004545E8"/>
    <w:rsid w:val="00455D4E"/>
    <w:rsid w:val="00457018"/>
    <w:rsid w:val="004604DF"/>
    <w:rsid w:val="00460679"/>
    <w:rsid w:val="00461D12"/>
    <w:rsid w:val="00462427"/>
    <w:rsid w:val="00463558"/>
    <w:rsid w:val="00464CFE"/>
    <w:rsid w:val="00465D3E"/>
    <w:rsid w:val="004663F0"/>
    <w:rsid w:val="00467333"/>
    <w:rsid w:val="004675F7"/>
    <w:rsid w:val="0048007E"/>
    <w:rsid w:val="0048078D"/>
    <w:rsid w:val="00481A13"/>
    <w:rsid w:val="004825E8"/>
    <w:rsid w:val="00482D33"/>
    <w:rsid w:val="00483044"/>
    <w:rsid w:val="004838CE"/>
    <w:rsid w:val="004846F2"/>
    <w:rsid w:val="00484C34"/>
    <w:rsid w:val="00485638"/>
    <w:rsid w:val="004923D9"/>
    <w:rsid w:val="0049253E"/>
    <w:rsid w:val="00493766"/>
    <w:rsid w:val="00494106"/>
    <w:rsid w:val="004947F2"/>
    <w:rsid w:val="00494C8E"/>
    <w:rsid w:val="004961CD"/>
    <w:rsid w:val="004963A2"/>
    <w:rsid w:val="00496AA3"/>
    <w:rsid w:val="004A11EA"/>
    <w:rsid w:val="004A1D38"/>
    <w:rsid w:val="004A2432"/>
    <w:rsid w:val="004B0524"/>
    <w:rsid w:val="004B0A98"/>
    <w:rsid w:val="004B21EF"/>
    <w:rsid w:val="004B222A"/>
    <w:rsid w:val="004B292B"/>
    <w:rsid w:val="004B3729"/>
    <w:rsid w:val="004B42E9"/>
    <w:rsid w:val="004B5443"/>
    <w:rsid w:val="004B7108"/>
    <w:rsid w:val="004C4527"/>
    <w:rsid w:val="004C5E45"/>
    <w:rsid w:val="004C624A"/>
    <w:rsid w:val="004C6AC9"/>
    <w:rsid w:val="004C799E"/>
    <w:rsid w:val="004C7F91"/>
    <w:rsid w:val="004D0CB0"/>
    <w:rsid w:val="004D10AF"/>
    <w:rsid w:val="004D3C21"/>
    <w:rsid w:val="004D6503"/>
    <w:rsid w:val="004E0656"/>
    <w:rsid w:val="004E14DB"/>
    <w:rsid w:val="004E2AF5"/>
    <w:rsid w:val="004E6119"/>
    <w:rsid w:val="004E61D0"/>
    <w:rsid w:val="004E6266"/>
    <w:rsid w:val="004E7BD9"/>
    <w:rsid w:val="004F044C"/>
    <w:rsid w:val="004F3DDC"/>
    <w:rsid w:val="004F41A8"/>
    <w:rsid w:val="004F54E5"/>
    <w:rsid w:val="0050023A"/>
    <w:rsid w:val="00500595"/>
    <w:rsid w:val="005008A7"/>
    <w:rsid w:val="0050642E"/>
    <w:rsid w:val="00507A0D"/>
    <w:rsid w:val="005117A7"/>
    <w:rsid w:val="005122F7"/>
    <w:rsid w:val="00513237"/>
    <w:rsid w:val="005158CE"/>
    <w:rsid w:val="00515BF4"/>
    <w:rsid w:val="00516C63"/>
    <w:rsid w:val="00516E71"/>
    <w:rsid w:val="00520D20"/>
    <w:rsid w:val="00522B16"/>
    <w:rsid w:val="005239EA"/>
    <w:rsid w:val="00523D01"/>
    <w:rsid w:val="00524A95"/>
    <w:rsid w:val="00525F3B"/>
    <w:rsid w:val="00527F4A"/>
    <w:rsid w:val="00530E2A"/>
    <w:rsid w:val="00531179"/>
    <w:rsid w:val="005326CF"/>
    <w:rsid w:val="005329EA"/>
    <w:rsid w:val="00534635"/>
    <w:rsid w:val="00535144"/>
    <w:rsid w:val="00536F46"/>
    <w:rsid w:val="00540FE8"/>
    <w:rsid w:val="00541E4D"/>
    <w:rsid w:val="00541F56"/>
    <w:rsid w:val="00543A70"/>
    <w:rsid w:val="00544231"/>
    <w:rsid w:val="0054484E"/>
    <w:rsid w:val="0055030A"/>
    <w:rsid w:val="00550503"/>
    <w:rsid w:val="00550545"/>
    <w:rsid w:val="00550FE3"/>
    <w:rsid w:val="00555A18"/>
    <w:rsid w:val="00556DBC"/>
    <w:rsid w:val="00560503"/>
    <w:rsid w:val="00561420"/>
    <w:rsid w:val="0056154D"/>
    <w:rsid w:val="00561939"/>
    <w:rsid w:val="00562869"/>
    <w:rsid w:val="00563CDF"/>
    <w:rsid w:val="0056425B"/>
    <w:rsid w:val="005647E1"/>
    <w:rsid w:val="005648C6"/>
    <w:rsid w:val="00567EB1"/>
    <w:rsid w:val="00567F1D"/>
    <w:rsid w:val="005706CC"/>
    <w:rsid w:val="00570E40"/>
    <w:rsid w:val="00571AEA"/>
    <w:rsid w:val="00572B26"/>
    <w:rsid w:val="005730B0"/>
    <w:rsid w:val="00576FB0"/>
    <w:rsid w:val="00577626"/>
    <w:rsid w:val="005813F6"/>
    <w:rsid w:val="00581573"/>
    <w:rsid w:val="00583C06"/>
    <w:rsid w:val="005850C4"/>
    <w:rsid w:val="005854F9"/>
    <w:rsid w:val="005927D3"/>
    <w:rsid w:val="005931D0"/>
    <w:rsid w:val="0059434A"/>
    <w:rsid w:val="005963DC"/>
    <w:rsid w:val="0059644D"/>
    <w:rsid w:val="005A0AA5"/>
    <w:rsid w:val="005A15DB"/>
    <w:rsid w:val="005A1C42"/>
    <w:rsid w:val="005A29C9"/>
    <w:rsid w:val="005A2E26"/>
    <w:rsid w:val="005A323B"/>
    <w:rsid w:val="005A3986"/>
    <w:rsid w:val="005A46D8"/>
    <w:rsid w:val="005A54D4"/>
    <w:rsid w:val="005A5D82"/>
    <w:rsid w:val="005A609C"/>
    <w:rsid w:val="005A6EF8"/>
    <w:rsid w:val="005B05C5"/>
    <w:rsid w:val="005B0936"/>
    <w:rsid w:val="005B1A22"/>
    <w:rsid w:val="005B3E8C"/>
    <w:rsid w:val="005B419C"/>
    <w:rsid w:val="005B59C4"/>
    <w:rsid w:val="005B6657"/>
    <w:rsid w:val="005B70B8"/>
    <w:rsid w:val="005B77FD"/>
    <w:rsid w:val="005B7845"/>
    <w:rsid w:val="005C0E81"/>
    <w:rsid w:val="005C21A6"/>
    <w:rsid w:val="005C57A4"/>
    <w:rsid w:val="005C589D"/>
    <w:rsid w:val="005C6604"/>
    <w:rsid w:val="005C768F"/>
    <w:rsid w:val="005D12F3"/>
    <w:rsid w:val="005D1727"/>
    <w:rsid w:val="005D19B2"/>
    <w:rsid w:val="005D31D6"/>
    <w:rsid w:val="005D3EB3"/>
    <w:rsid w:val="005D6260"/>
    <w:rsid w:val="005D7C69"/>
    <w:rsid w:val="005E1457"/>
    <w:rsid w:val="005E3751"/>
    <w:rsid w:val="005E3882"/>
    <w:rsid w:val="005E55CF"/>
    <w:rsid w:val="005E7738"/>
    <w:rsid w:val="005F0BF4"/>
    <w:rsid w:val="005F1201"/>
    <w:rsid w:val="005F392C"/>
    <w:rsid w:val="005F5119"/>
    <w:rsid w:val="005F60D2"/>
    <w:rsid w:val="00602434"/>
    <w:rsid w:val="00602467"/>
    <w:rsid w:val="006047B8"/>
    <w:rsid w:val="0060527E"/>
    <w:rsid w:val="006057BC"/>
    <w:rsid w:val="006076FA"/>
    <w:rsid w:val="006078C4"/>
    <w:rsid w:val="006079DE"/>
    <w:rsid w:val="0061075F"/>
    <w:rsid w:val="006107D0"/>
    <w:rsid w:val="0061171E"/>
    <w:rsid w:val="006141BA"/>
    <w:rsid w:val="006148AA"/>
    <w:rsid w:val="0062141E"/>
    <w:rsid w:val="006234BE"/>
    <w:rsid w:val="00624350"/>
    <w:rsid w:val="00625AD6"/>
    <w:rsid w:val="006266E7"/>
    <w:rsid w:val="00626746"/>
    <w:rsid w:val="00627AB7"/>
    <w:rsid w:val="00627D57"/>
    <w:rsid w:val="00630433"/>
    <w:rsid w:val="00632CE1"/>
    <w:rsid w:val="00633E2A"/>
    <w:rsid w:val="00636BD5"/>
    <w:rsid w:val="006419A9"/>
    <w:rsid w:val="00641F5A"/>
    <w:rsid w:val="00644A00"/>
    <w:rsid w:val="00644D1B"/>
    <w:rsid w:val="0064540A"/>
    <w:rsid w:val="0064727A"/>
    <w:rsid w:val="006512E1"/>
    <w:rsid w:val="00653B43"/>
    <w:rsid w:val="00654149"/>
    <w:rsid w:val="00654AEE"/>
    <w:rsid w:val="00655049"/>
    <w:rsid w:val="00663163"/>
    <w:rsid w:val="00671021"/>
    <w:rsid w:val="00671E35"/>
    <w:rsid w:val="0067309D"/>
    <w:rsid w:val="006770C6"/>
    <w:rsid w:val="00677989"/>
    <w:rsid w:val="00680094"/>
    <w:rsid w:val="00681B0B"/>
    <w:rsid w:val="00682679"/>
    <w:rsid w:val="006828C2"/>
    <w:rsid w:val="00684AD7"/>
    <w:rsid w:val="00684B9A"/>
    <w:rsid w:val="00684F9E"/>
    <w:rsid w:val="00685A73"/>
    <w:rsid w:val="00685B30"/>
    <w:rsid w:val="00687484"/>
    <w:rsid w:val="00694013"/>
    <w:rsid w:val="00694FB9"/>
    <w:rsid w:val="006A0A8B"/>
    <w:rsid w:val="006A1F19"/>
    <w:rsid w:val="006A2230"/>
    <w:rsid w:val="006A7A22"/>
    <w:rsid w:val="006B180D"/>
    <w:rsid w:val="006B3C4A"/>
    <w:rsid w:val="006B42F6"/>
    <w:rsid w:val="006B437B"/>
    <w:rsid w:val="006B55DF"/>
    <w:rsid w:val="006B594B"/>
    <w:rsid w:val="006B5B39"/>
    <w:rsid w:val="006B6E6A"/>
    <w:rsid w:val="006B71C4"/>
    <w:rsid w:val="006B726D"/>
    <w:rsid w:val="006C258A"/>
    <w:rsid w:val="006C37E7"/>
    <w:rsid w:val="006C63FD"/>
    <w:rsid w:val="006C6CFF"/>
    <w:rsid w:val="006C7379"/>
    <w:rsid w:val="006D3AF2"/>
    <w:rsid w:val="006D3FC3"/>
    <w:rsid w:val="006D5A52"/>
    <w:rsid w:val="006E0E71"/>
    <w:rsid w:val="006E4E0D"/>
    <w:rsid w:val="006E5295"/>
    <w:rsid w:val="006F1240"/>
    <w:rsid w:val="006F28ED"/>
    <w:rsid w:val="006F3D8F"/>
    <w:rsid w:val="006F7B40"/>
    <w:rsid w:val="007008F5"/>
    <w:rsid w:val="00700F41"/>
    <w:rsid w:val="00701112"/>
    <w:rsid w:val="00701918"/>
    <w:rsid w:val="00701C09"/>
    <w:rsid w:val="00702D5C"/>
    <w:rsid w:val="00703A7A"/>
    <w:rsid w:val="00703E7A"/>
    <w:rsid w:val="007044D9"/>
    <w:rsid w:val="00704736"/>
    <w:rsid w:val="00705A91"/>
    <w:rsid w:val="00706A19"/>
    <w:rsid w:val="00710A4B"/>
    <w:rsid w:val="0071536C"/>
    <w:rsid w:val="00715430"/>
    <w:rsid w:val="007208B7"/>
    <w:rsid w:val="00720E3A"/>
    <w:rsid w:val="007210B8"/>
    <w:rsid w:val="007210B9"/>
    <w:rsid w:val="0072144F"/>
    <w:rsid w:val="00722965"/>
    <w:rsid w:val="00722FFA"/>
    <w:rsid w:val="00723362"/>
    <w:rsid w:val="00723C76"/>
    <w:rsid w:val="007252E7"/>
    <w:rsid w:val="00725BB0"/>
    <w:rsid w:val="007265C9"/>
    <w:rsid w:val="00726632"/>
    <w:rsid w:val="007276CA"/>
    <w:rsid w:val="00730503"/>
    <w:rsid w:val="007312C6"/>
    <w:rsid w:val="0073479F"/>
    <w:rsid w:val="00735777"/>
    <w:rsid w:val="00736C4A"/>
    <w:rsid w:val="00740D07"/>
    <w:rsid w:val="00742205"/>
    <w:rsid w:val="0074233D"/>
    <w:rsid w:val="007424E1"/>
    <w:rsid w:val="007424ED"/>
    <w:rsid w:val="00745767"/>
    <w:rsid w:val="007475E2"/>
    <w:rsid w:val="00750DC9"/>
    <w:rsid w:val="007512F7"/>
    <w:rsid w:val="007573D9"/>
    <w:rsid w:val="00761EA3"/>
    <w:rsid w:val="00763344"/>
    <w:rsid w:val="0076526E"/>
    <w:rsid w:val="007654A2"/>
    <w:rsid w:val="00767B9F"/>
    <w:rsid w:val="00771D71"/>
    <w:rsid w:val="00772EBA"/>
    <w:rsid w:val="007733E4"/>
    <w:rsid w:val="0077459C"/>
    <w:rsid w:val="00774B19"/>
    <w:rsid w:val="00776738"/>
    <w:rsid w:val="0077772F"/>
    <w:rsid w:val="00777955"/>
    <w:rsid w:val="007803CB"/>
    <w:rsid w:val="007834AA"/>
    <w:rsid w:val="00783D46"/>
    <w:rsid w:val="00786E39"/>
    <w:rsid w:val="00792113"/>
    <w:rsid w:val="0079297B"/>
    <w:rsid w:val="0079372A"/>
    <w:rsid w:val="00793C62"/>
    <w:rsid w:val="007952EB"/>
    <w:rsid w:val="007A0011"/>
    <w:rsid w:val="007A0B10"/>
    <w:rsid w:val="007A2B75"/>
    <w:rsid w:val="007A3435"/>
    <w:rsid w:val="007A382D"/>
    <w:rsid w:val="007A3B5F"/>
    <w:rsid w:val="007A5A01"/>
    <w:rsid w:val="007A5E27"/>
    <w:rsid w:val="007B2806"/>
    <w:rsid w:val="007B3723"/>
    <w:rsid w:val="007B5601"/>
    <w:rsid w:val="007B5DFB"/>
    <w:rsid w:val="007B646E"/>
    <w:rsid w:val="007B7248"/>
    <w:rsid w:val="007B7885"/>
    <w:rsid w:val="007C2CCD"/>
    <w:rsid w:val="007C55DC"/>
    <w:rsid w:val="007C79E8"/>
    <w:rsid w:val="007D0DCB"/>
    <w:rsid w:val="007D0FCA"/>
    <w:rsid w:val="007D2ABD"/>
    <w:rsid w:val="007D5915"/>
    <w:rsid w:val="007D77B6"/>
    <w:rsid w:val="007D78F8"/>
    <w:rsid w:val="007E1EDF"/>
    <w:rsid w:val="007E1EFB"/>
    <w:rsid w:val="007E1F41"/>
    <w:rsid w:val="007E2445"/>
    <w:rsid w:val="007E5FA0"/>
    <w:rsid w:val="007E6509"/>
    <w:rsid w:val="007E7EBB"/>
    <w:rsid w:val="007F0D02"/>
    <w:rsid w:val="007F1721"/>
    <w:rsid w:val="007F2077"/>
    <w:rsid w:val="007F2882"/>
    <w:rsid w:val="007F39CC"/>
    <w:rsid w:val="007F7C8C"/>
    <w:rsid w:val="00800417"/>
    <w:rsid w:val="0080044A"/>
    <w:rsid w:val="008014EF"/>
    <w:rsid w:val="0080224E"/>
    <w:rsid w:val="008108D1"/>
    <w:rsid w:val="00810ADA"/>
    <w:rsid w:val="00810C35"/>
    <w:rsid w:val="00810FBE"/>
    <w:rsid w:val="00812044"/>
    <w:rsid w:val="00812E22"/>
    <w:rsid w:val="0081560A"/>
    <w:rsid w:val="00815CFC"/>
    <w:rsid w:val="008167C2"/>
    <w:rsid w:val="0081714A"/>
    <w:rsid w:val="00817F36"/>
    <w:rsid w:val="00825681"/>
    <w:rsid w:val="00826AF7"/>
    <w:rsid w:val="0083019A"/>
    <w:rsid w:val="00831B71"/>
    <w:rsid w:val="008331AE"/>
    <w:rsid w:val="00836FA1"/>
    <w:rsid w:val="00837B53"/>
    <w:rsid w:val="00837D15"/>
    <w:rsid w:val="00840068"/>
    <w:rsid w:val="00841596"/>
    <w:rsid w:val="0084384F"/>
    <w:rsid w:val="00847D32"/>
    <w:rsid w:val="00851BA3"/>
    <w:rsid w:val="008522E7"/>
    <w:rsid w:val="00854367"/>
    <w:rsid w:val="008564B2"/>
    <w:rsid w:val="00857CB1"/>
    <w:rsid w:val="008631CA"/>
    <w:rsid w:val="00863696"/>
    <w:rsid w:val="00865117"/>
    <w:rsid w:val="00866390"/>
    <w:rsid w:val="0086690E"/>
    <w:rsid w:val="008700CD"/>
    <w:rsid w:val="00870509"/>
    <w:rsid w:val="008705AC"/>
    <w:rsid w:val="00870807"/>
    <w:rsid w:val="0087120F"/>
    <w:rsid w:val="0087180D"/>
    <w:rsid w:val="00872675"/>
    <w:rsid w:val="00872BDF"/>
    <w:rsid w:val="0087377E"/>
    <w:rsid w:val="00873B7C"/>
    <w:rsid w:val="008753E4"/>
    <w:rsid w:val="00875A63"/>
    <w:rsid w:val="00875AAF"/>
    <w:rsid w:val="00875C5C"/>
    <w:rsid w:val="00876398"/>
    <w:rsid w:val="0088052F"/>
    <w:rsid w:val="0088302D"/>
    <w:rsid w:val="0088349F"/>
    <w:rsid w:val="00885AE6"/>
    <w:rsid w:val="00887F7A"/>
    <w:rsid w:val="008902F1"/>
    <w:rsid w:val="00892E34"/>
    <w:rsid w:val="0089537C"/>
    <w:rsid w:val="008A0D27"/>
    <w:rsid w:val="008A0D7F"/>
    <w:rsid w:val="008A18D5"/>
    <w:rsid w:val="008A27D8"/>
    <w:rsid w:val="008A72D6"/>
    <w:rsid w:val="008A7399"/>
    <w:rsid w:val="008B0471"/>
    <w:rsid w:val="008B30E9"/>
    <w:rsid w:val="008B340E"/>
    <w:rsid w:val="008B3684"/>
    <w:rsid w:val="008B3C93"/>
    <w:rsid w:val="008B3F9C"/>
    <w:rsid w:val="008B4AE1"/>
    <w:rsid w:val="008B6E67"/>
    <w:rsid w:val="008B6FA9"/>
    <w:rsid w:val="008B7E2B"/>
    <w:rsid w:val="008C05BA"/>
    <w:rsid w:val="008C1019"/>
    <w:rsid w:val="008C2A12"/>
    <w:rsid w:val="008C3C29"/>
    <w:rsid w:val="008D012D"/>
    <w:rsid w:val="008D1ED5"/>
    <w:rsid w:val="008D250F"/>
    <w:rsid w:val="008D2C8C"/>
    <w:rsid w:val="008D3708"/>
    <w:rsid w:val="008D41A1"/>
    <w:rsid w:val="008D426D"/>
    <w:rsid w:val="008D5763"/>
    <w:rsid w:val="008D5CF2"/>
    <w:rsid w:val="008D6CB2"/>
    <w:rsid w:val="008E0D5E"/>
    <w:rsid w:val="008E372A"/>
    <w:rsid w:val="008E3A42"/>
    <w:rsid w:val="008E3AFC"/>
    <w:rsid w:val="008E4E6B"/>
    <w:rsid w:val="008E59A9"/>
    <w:rsid w:val="008E5CF6"/>
    <w:rsid w:val="008E5D6F"/>
    <w:rsid w:val="008E6009"/>
    <w:rsid w:val="008E6591"/>
    <w:rsid w:val="008E7CF9"/>
    <w:rsid w:val="008F1B89"/>
    <w:rsid w:val="008F26B6"/>
    <w:rsid w:val="008F2D69"/>
    <w:rsid w:val="008F4D0D"/>
    <w:rsid w:val="008F66D8"/>
    <w:rsid w:val="008F682B"/>
    <w:rsid w:val="008F73E0"/>
    <w:rsid w:val="00900187"/>
    <w:rsid w:val="00900A32"/>
    <w:rsid w:val="00901500"/>
    <w:rsid w:val="009023BD"/>
    <w:rsid w:val="009038DB"/>
    <w:rsid w:val="00910EA8"/>
    <w:rsid w:val="00913FDE"/>
    <w:rsid w:val="00915226"/>
    <w:rsid w:val="0091595F"/>
    <w:rsid w:val="00916956"/>
    <w:rsid w:val="009173D7"/>
    <w:rsid w:val="00917830"/>
    <w:rsid w:val="0092038A"/>
    <w:rsid w:val="009224F0"/>
    <w:rsid w:val="00922A87"/>
    <w:rsid w:val="00923EEC"/>
    <w:rsid w:val="009270A4"/>
    <w:rsid w:val="0092741C"/>
    <w:rsid w:val="00930138"/>
    <w:rsid w:val="00930F9E"/>
    <w:rsid w:val="00934116"/>
    <w:rsid w:val="009348B3"/>
    <w:rsid w:val="00935FF3"/>
    <w:rsid w:val="009403CB"/>
    <w:rsid w:val="00941013"/>
    <w:rsid w:val="00941C65"/>
    <w:rsid w:val="00941FF9"/>
    <w:rsid w:val="00943BAF"/>
    <w:rsid w:val="00944DB3"/>
    <w:rsid w:val="00944FEE"/>
    <w:rsid w:val="00945043"/>
    <w:rsid w:val="00945B74"/>
    <w:rsid w:val="00947651"/>
    <w:rsid w:val="0095113F"/>
    <w:rsid w:val="00951FB6"/>
    <w:rsid w:val="00952ADE"/>
    <w:rsid w:val="00956177"/>
    <w:rsid w:val="00957C59"/>
    <w:rsid w:val="00960333"/>
    <w:rsid w:val="009639A2"/>
    <w:rsid w:val="00964B0C"/>
    <w:rsid w:val="0096595C"/>
    <w:rsid w:val="00967A0E"/>
    <w:rsid w:val="009701A1"/>
    <w:rsid w:val="009730BC"/>
    <w:rsid w:val="0097416E"/>
    <w:rsid w:val="00976896"/>
    <w:rsid w:val="00977EB1"/>
    <w:rsid w:val="00977FA0"/>
    <w:rsid w:val="00980A9C"/>
    <w:rsid w:val="009820F0"/>
    <w:rsid w:val="00982E3B"/>
    <w:rsid w:val="00983842"/>
    <w:rsid w:val="00986776"/>
    <w:rsid w:val="00987229"/>
    <w:rsid w:val="00987A7C"/>
    <w:rsid w:val="00987B63"/>
    <w:rsid w:val="00990023"/>
    <w:rsid w:val="00993276"/>
    <w:rsid w:val="00993BF6"/>
    <w:rsid w:val="00994E7A"/>
    <w:rsid w:val="00996A01"/>
    <w:rsid w:val="009A13AA"/>
    <w:rsid w:val="009A252F"/>
    <w:rsid w:val="009A50E7"/>
    <w:rsid w:val="009A5B6B"/>
    <w:rsid w:val="009A763A"/>
    <w:rsid w:val="009A798F"/>
    <w:rsid w:val="009A7F45"/>
    <w:rsid w:val="009B0993"/>
    <w:rsid w:val="009B52FB"/>
    <w:rsid w:val="009B7379"/>
    <w:rsid w:val="009C35AD"/>
    <w:rsid w:val="009C4BFD"/>
    <w:rsid w:val="009C5C53"/>
    <w:rsid w:val="009C60D1"/>
    <w:rsid w:val="009C68EB"/>
    <w:rsid w:val="009D0FE3"/>
    <w:rsid w:val="009E0492"/>
    <w:rsid w:val="009E37AA"/>
    <w:rsid w:val="009E6165"/>
    <w:rsid w:val="009E65CB"/>
    <w:rsid w:val="009E7E33"/>
    <w:rsid w:val="009F0248"/>
    <w:rsid w:val="009F0D36"/>
    <w:rsid w:val="009F4341"/>
    <w:rsid w:val="009F43B8"/>
    <w:rsid w:val="009F5A5F"/>
    <w:rsid w:val="009F6788"/>
    <w:rsid w:val="009F6DEF"/>
    <w:rsid w:val="00A02E97"/>
    <w:rsid w:val="00A03120"/>
    <w:rsid w:val="00A03F76"/>
    <w:rsid w:val="00A05BA9"/>
    <w:rsid w:val="00A07493"/>
    <w:rsid w:val="00A11C4E"/>
    <w:rsid w:val="00A11DE2"/>
    <w:rsid w:val="00A12A4D"/>
    <w:rsid w:val="00A12D15"/>
    <w:rsid w:val="00A12DCB"/>
    <w:rsid w:val="00A1348E"/>
    <w:rsid w:val="00A1487E"/>
    <w:rsid w:val="00A14D58"/>
    <w:rsid w:val="00A163DF"/>
    <w:rsid w:val="00A21E24"/>
    <w:rsid w:val="00A23252"/>
    <w:rsid w:val="00A23681"/>
    <w:rsid w:val="00A23DDD"/>
    <w:rsid w:val="00A245E6"/>
    <w:rsid w:val="00A262CC"/>
    <w:rsid w:val="00A26604"/>
    <w:rsid w:val="00A266B5"/>
    <w:rsid w:val="00A26BB4"/>
    <w:rsid w:val="00A30764"/>
    <w:rsid w:val="00A30AB8"/>
    <w:rsid w:val="00A31E8A"/>
    <w:rsid w:val="00A32ED1"/>
    <w:rsid w:val="00A348D7"/>
    <w:rsid w:val="00A37356"/>
    <w:rsid w:val="00A37653"/>
    <w:rsid w:val="00A37CF3"/>
    <w:rsid w:val="00A37EC6"/>
    <w:rsid w:val="00A40082"/>
    <w:rsid w:val="00A404D6"/>
    <w:rsid w:val="00A41947"/>
    <w:rsid w:val="00A41A75"/>
    <w:rsid w:val="00A41A9D"/>
    <w:rsid w:val="00A425B7"/>
    <w:rsid w:val="00A42F64"/>
    <w:rsid w:val="00A43457"/>
    <w:rsid w:val="00A43E7B"/>
    <w:rsid w:val="00A50D7B"/>
    <w:rsid w:val="00A5138D"/>
    <w:rsid w:val="00A51C63"/>
    <w:rsid w:val="00A52723"/>
    <w:rsid w:val="00A52CB7"/>
    <w:rsid w:val="00A531EB"/>
    <w:rsid w:val="00A5357F"/>
    <w:rsid w:val="00A5491D"/>
    <w:rsid w:val="00A54B9B"/>
    <w:rsid w:val="00A56DED"/>
    <w:rsid w:val="00A57DA6"/>
    <w:rsid w:val="00A60934"/>
    <w:rsid w:val="00A60A87"/>
    <w:rsid w:val="00A60CDB"/>
    <w:rsid w:val="00A611AD"/>
    <w:rsid w:val="00A615EA"/>
    <w:rsid w:val="00A66095"/>
    <w:rsid w:val="00A6611B"/>
    <w:rsid w:val="00A672CD"/>
    <w:rsid w:val="00A67AF2"/>
    <w:rsid w:val="00A702EC"/>
    <w:rsid w:val="00A71AF0"/>
    <w:rsid w:val="00A72E78"/>
    <w:rsid w:val="00A72E7D"/>
    <w:rsid w:val="00A734CF"/>
    <w:rsid w:val="00A73E9C"/>
    <w:rsid w:val="00A740DF"/>
    <w:rsid w:val="00A7585A"/>
    <w:rsid w:val="00A774E3"/>
    <w:rsid w:val="00A7761D"/>
    <w:rsid w:val="00A77FFB"/>
    <w:rsid w:val="00A81818"/>
    <w:rsid w:val="00A83420"/>
    <w:rsid w:val="00A83425"/>
    <w:rsid w:val="00A83DD7"/>
    <w:rsid w:val="00A867CA"/>
    <w:rsid w:val="00A86D70"/>
    <w:rsid w:val="00A870D8"/>
    <w:rsid w:val="00A90084"/>
    <w:rsid w:val="00A90325"/>
    <w:rsid w:val="00AA11E3"/>
    <w:rsid w:val="00AA1754"/>
    <w:rsid w:val="00AA2164"/>
    <w:rsid w:val="00AA2495"/>
    <w:rsid w:val="00AB100C"/>
    <w:rsid w:val="00AB2670"/>
    <w:rsid w:val="00AB4FCE"/>
    <w:rsid w:val="00AB54D9"/>
    <w:rsid w:val="00AB557E"/>
    <w:rsid w:val="00AB6296"/>
    <w:rsid w:val="00AB63C8"/>
    <w:rsid w:val="00AB6F3E"/>
    <w:rsid w:val="00AB7E05"/>
    <w:rsid w:val="00AC7F0A"/>
    <w:rsid w:val="00AD2CD4"/>
    <w:rsid w:val="00AD36DF"/>
    <w:rsid w:val="00AD4269"/>
    <w:rsid w:val="00AD5D9B"/>
    <w:rsid w:val="00AD6FBB"/>
    <w:rsid w:val="00AD73E6"/>
    <w:rsid w:val="00AE248D"/>
    <w:rsid w:val="00AE455F"/>
    <w:rsid w:val="00AE5873"/>
    <w:rsid w:val="00AE6AE0"/>
    <w:rsid w:val="00AE6DAA"/>
    <w:rsid w:val="00AE7715"/>
    <w:rsid w:val="00AF2B08"/>
    <w:rsid w:val="00AF366E"/>
    <w:rsid w:val="00AF5153"/>
    <w:rsid w:val="00AF6CA6"/>
    <w:rsid w:val="00AF7047"/>
    <w:rsid w:val="00AF7D8E"/>
    <w:rsid w:val="00B046D7"/>
    <w:rsid w:val="00B063A6"/>
    <w:rsid w:val="00B07190"/>
    <w:rsid w:val="00B0791B"/>
    <w:rsid w:val="00B109BB"/>
    <w:rsid w:val="00B13AC3"/>
    <w:rsid w:val="00B1507B"/>
    <w:rsid w:val="00B16715"/>
    <w:rsid w:val="00B2036A"/>
    <w:rsid w:val="00B208A4"/>
    <w:rsid w:val="00B21D0D"/>
    <w:rsid w:val="00B22249"/>
    <w:rsid w:val="00B23E6A"/>
    <w:rsid w:val="00B25207"/>
    <w:rsid w:val="00B25C17"/>
    <w:rsid w:val="00B26C9A"/>
    <w:rsid w:val="00B27D1F"/>
    <w:rsid w:val="00B30A96"/>
    <w:rsid w:val="00B31790"/>
    <w:rsid w:val="00B326E4"/>
    <w:rsid w:val="00B33DD3"/>
    <w:rsid w:val="00B4054B"/>
    <w:rsid w:val="00B42015"/>
    <w:rsid w:val="00B43315"/>
    <w:rsid w:val="00B44573"/>
    <w:rsid w:val="00B46D90"/>
    <w:rsid w:val="00B473D4"/>
    <w:rsid w:val="00B47ACA"/>
    <w:rsid w:val="00B50B18"/>
    <w:rsid w:val="00B5111A"/>
    <w:rsid w:val="00B54B11"/>
    <w:rsid w:val="00B57BE9"/>
    <w:rsid w:val="00B60196"/>
    <w:rsid w:val="00B614F9"/>
    <w:rsid w:val="00B61F89"/>
    <w:rsid w:val="00B6351E"/>
    <w:rsid w:val="00B63FA1"/>
    <w:rsid w:val="00B642E5"/>
    <w:rsid w:val="00B6664D"/>
    <w:rsid w:val="00B66BA1"/>
    <w:rsid w:val="00B70268"/>
    <w:rsid w:val="00B72CA2"/>
    <w:rsid w:val="00B763B4"/>
    <w:rsid w:val="00B773ED"/>
    <w:rsid w:val="00B8078F"/>
    <w:rsid w:val="00B8251A"/>
    <w:rsid w:val="00B840E8"/>
    <w:rsid w:val="00B84A8E"/>
    <w:rsid w:val="00B8501B"/>
    <w:rsid w:val="00B8679E"/>
    <w:rsid w:val="00B86863"/>
    <w:rsid w:val="00B904D4"/>
    <w:rsid w:val="00B90560"/>
    <w:rsid w:val="00B911B1"/>
    <w:rsid w:val="00B91C7F"/>
    <w:rsid w:val="00B92FE8"/>
    <w:rsid w:val="00B9358A"/>
    <w:rsid w:val="00B95237"/>
    <w:rsid w:val="00B96532"/>
    <w:rsid w:val="00BA0415"/>
    <w:rsid w:val="00BA33D0"/>
    <w:rsid w:val="00BA5721"/>
    <w:rsid w:val="00BA6B7F"/>
    <w:rsid w:val="00BB13D4"/>
    <w:rsid w:val="00BB4A65"/>
    <w:rsid w:val="00BB50BC"/>
    <w:rsid w:val="00BC0A83"/>
    <w:rsid w:val="00BC22CA"/>
    <w:rsid w:val="00BC2407"/>
    <w:rsid w:val="00BC3AA2"/>
    <w:rsid w:val="00BC3B83"/>
    <w:rsid w:val="00BC5D43"/>
    <w:rsid w:val="00BC773E"/>
    <w:rsid w:val="00BC7D04"/>
    <w:rsid w:val="00BD0EA2"/>
    <w:rsid w:val="00BD390F"/>
    <w:rsid w:val="00BD5745"/>
    <w:rsid w:val="00BD603E"/>
    <w:rsid w:val="00BE080A"/>
    <w:rsid w:val="00BE0956"/>
    <w:rsid w:val="00BE31DC"/>
    <w:rsid w:val="00BE3348"/>
    <w:rsid w:val="00BE3A9E"/>
    <w:rsid w:val="00BE547D"/>
    <w:rsid w:val="00BE63A6"/>
    <w:rsid w:val="00BE66D5"/>
    <w:rsid w:val="00BE6D18"/>
    <w:rsid w:val="00BF14D6"/>
    <w:rsid w:val="00BF1ACA"/>
    <w:rsid w:val="00BF1DEE"/>
    <w:rsid w:val="00BF6203"/>
    <w:rsid w:val="00BF66F7"/>
    <w:rsid w:val="00BF7C09"/>
    <w:rsid w:val="00C01BB8"/>
    <w:rsid w:val="00C01D2F"/>
    <w:rsid w:val="00C0277D"/>
    <w:rsid w:val="00C06AA3"/>
    <w:rsid w:val="00C1039A"/>
    <w:rsid w:val="00C111C7"/>
    <w:rsid w:val="00C1123A"/>
    <w:rsid w:val="00C11C59"/>
    <w:rsid w:val="00C1252F"/>
    <w:rsid w:val="00C13CF5"/>
    <w:rsid w:val="00C13E6E"/>
    <w:rsid w:val="00C15FDF"/>
    <w:rsid w:val="00C17A01"/>
    <w:rsid w:val="00C20E16"/>
    <w:rsid w:val="00C210F0"/>
    <w:rsid w:val="00C22C22"/>
    <w:rsid w:val="00C24D8B"/>
    <w:rsid w:val="00C25438"/>
    <w:rsid w:val="00C25E90"/>
    <w:rsid w:val="00C266AB"/>
    <w:rsid w:val="00C27279"/>
    <w:rsid w:val="00C31D1E"/>
    <w:rsid w:val="00C32F9F"/>
    <w:rsid w:val="00C34275"/>
    <w:rsid w:val="00C34EF8"/>
    <w:rsid w:val="00C353CB"/>
    <w:rsid w:val="00C357F3"/>
    <w:rsid w:val="00C35C23"/>
    <w:rsid w:val="00C378E1"/>
    <w:rsid w:val="00C37F7F"/>
    <w:rsid w:val="00C4064C"/>
    <w:rsid w:val="00C41A4A"/>
    <w:rsid w:val="00C426FF"/>
    <w:rsid w:val="00C46524"/>
    <w:rsid w:val="00C51875"/>
    <w:rsid w:val="00C52DB5"/>
    <w:rsid w:val="00C55D2C"/>
    <w:rsid w:val="00C56FC1"/>
    <w:rsid w:val="00C5785E"/>
    <w:rsid w:val="00C607BF"/>
    <w:rsid w:val="00C62504"/>
    <w:rsid w:val="00C63AE2"/>
    <w:rsid w:val="00C6594A"/>
    <w:rsid w:val="00C71F6B"/>
    <w:rsid w:val="00C75BAD"/>
    <w:rsid w:val="00C7736D"/>
    <w:rsid w:val="00C77717"/>
    <w:rsid w:val="00C8704B"/>
    <w:rsid w:val="00C90361"/>
    <w:rsid w:val="00C94EA3"/>
    <w:rsid w:val="00C95F84"/>
    <w:rsid w:val="00CA270E"/>
    <w:rsid w:val="00CA352F"/>
    <w:rsid w:val="00CA37B1"/>
    <w:rsid w:val="00CA758F"/>
    <w:rsid w:val="00CA79E6"/>
    <w:rsid w:val="00CA7B18"/>
    <w:rsid w:val="00CB338A"/>
    <w:rsid w:val="00CB3466"/>
    <w:rsid w:val="00CB6F25"/>
    <w:rsid w:val="00CC0F1C"/>
    <w:rsid w:val="00CC11E0"/>
    <w:rsid w:val="00CC3D00"/>
    <w:rsid w:val="00CC43CD"/>
    <w:rsid w:val="00CC5EC5"/>
    <w:rsid w:val="00CC678B"/>
    <w:rsid w:val="00CC7622"/>
    <w:rsid w:val="00CC7656"/>
    <w:rsid w:val="00CC7DE5"/>
    <w:rsid w:val="00CD3E98"/>
    <w:rsid w:val="00CD504F"/>
    <w:rsid w:val="00CD7482"/>
    <w:rsid w:val="00CD7D17"/>
    <w:rsid w:val="00CE0D51"/>
    <w:rsid w:val="00CE195E"/>
    <w:rsid w:val="00CE19B3"/>
    <w:rsid w:val="00CE21FA"/>
    <w:rsid w:val="00CE290F"/>
    <w:rsid w:val="00CE362A"/>
    <w:rsid w:val="00CE380E"/>
    <w:rsid w:val="00CE585E"/>
    <w:rsid w:val="00CE64B6"/>
    <w:rsid w:val="00CE7230"/>
    <w:rsid w:val="00CF18D0"/>
    <w:rsid w:val="00CF3A2E"/>
    <w:rsid w:val="00CF4459"/>
    <w:rsid w:val="00CF79E5"/>
    <w:rsid w:val="00D00012"/>
    <w:rsid w:val="00D02438"/>
    <w:rsid w:val="00D03F55"/>
    <w:rsid w:val="00D12DD5"/>
    <w:rsid w:val="00D135F0"/>
    <w:rsid w:val="00D203F6"/>
    <w:rsid w:val="00D21A37"/>
    <w:rsid w:val="00D21C53"/>
    <w:rsid w:val="00D30EA9"/>
    <w:rsid w:val="00D317A1"/>
    <w:rsid w:val="00D32F5C"/>
    <w:rsid w:val="00D3475F"/>
    <w:rsid w:val="00D34EFC"/>
    <w:rsid w:val="00D36345"/>
    <w:rsid w:val="00D36580"/>
    <w:rsid w:val="00D4057C"/>
    <w:rsid w:val="00D44198"/>
    <w:rsid w:val="00D4615C"/>
    <w:rsid w:val="00D47243"/>
    <w:rsid w:val="00D505B9"/>
    <w:rsid w:val="00D50FAD"/>
    <w:rsid w:val="00D51C84"/>
    <w:rsid w:val="00D538F8"/>
    <w:rsid w:val="00D53A19"/>
    <w:rsid w:val="00D53E63"/>
    <w:rsid w:val="00D574CA"/>
    <w:rsid w:val="00D577E1"/>
    <w:rsid w:val="00D65595"/>
    <w:rsid w:val="00D70EF7"/>
    <w:rsid w:val="00D72229"/>
    <w:rsid w:val="00D73500"/>
    <w:rsid w:val="00D7445B"/>
    <w:rsid w:val="00D76A41"/>
    <w:rsid w:val="00D80AB4"/>
    <w:rsid w:val="00D81111"/>
    <w:rsid w:val="00D82011"/>
    <w:rsid w:val="00D8383D"/>
    <w:rsid w:val="00D843A0"/>
    <w:rsid w:val="00D857DD"/>
    <w:rsid w:val="00D86B32"/>
    <w:rsid w:val="00D90C43"/>
    <w:rsid w:val="00DA2F8E"/>
    <w:rsid w:val="00DA3F8A"/>
    <w:rsid w:val="00DA5D0A"/>
    <w:rsid w:val="00DA6375"/>
    <w:rsid w:val="00DA7FCF"/>
    <w:rsid w:val="00DB0CA7"/>
    <w:rsid w:val="00DB0D2E"/>
    <w:rsid w:val="00DB1C48"/>
    <w:rsid w:val="00DB21FC"/>
    <w:rsid w:val="00DB3040"/>
    <w:rsid w:val="00DB3878"/>
    <w:rsid w:val="00DB5169"/>
    <w:rsid w:val="00DC07E9"/>
    <w:rsid w:val="00DC0920"/>
    <w:rsid w:val="00DC1163"/>
    <w:rsid w:val="00DC192D"/>
    <w:rsid w:val="00DC2EA6"/>
    <w:rsid w:val="00DC5AE6"/>
    <w:rsid w:val="00DC5B5A"/>
    <w:rsid w:val="00DC72AF"/>
    <w:rsid w:val="00DC7469"/>
    <w:rsid w:val="00DD015D"/>
    <w:rsid w:val="00DD073E"/>
    <w:rsid w:val="00DD1F12"/>
    <w:rsid w:val="00DD4D25"/>
    <w:rsid w:val="00DD622A"/>
    <w:rsid w:val="00DD74CF"/>
    <w:rsid w:val="00DD7E25"/>
    <w:rsid w:val="00DE03F6"/>
    <w:rsid w:val="00DE375B"/>
    <w:rsid w:val="00DE3CED"/>
    <w:rsid w:val="00DE54EA"/>
    <w:rsid w:val="00DE5E0E"/>
    <w:rsid w:val="00DF209B"/>
    <w:rsid w:val="00DF291C"/>
    <w:rsid w:val="00DF2B59"/>
    <w:rsid w:val="00DF2B90"/>
    <w:rsid w:val="00DF2D82"/>
    <w:rsid w:val="00DF40B6"/>
    <w:rsid w:val="00DF53AB"/>
    <w:rsid w:val="00E0088F"/>
    <w:rsid w:val="00E04B3D"/>
    <w:rsid w:val="00E04CEF"/>
    <w:rsid w:val="00E05E08"/>
    <w:rsid w:val="00E069BA"/>
    <w:rsid w:val="00E11C82"/>
    <w:rsid w:val="00E123CC"/>
    <w:rsid w:val="00E13746"/>
    <w:rsid w:val="00E1382A"/>
    <w:rsid w:val="00E15879"/>
    <w:rsid w:val="00E22ABD"/>
    <w:rsid w:val="00E249F0"/>
    <w:rsid w:val="00E26235"/>
    <w:rsid w:val="00E26352"/>
    <w:rsid w:val="00E328D6"/>
    <w:rsid w:val="00E33B81"/>
    <w:rsid w:val="00E356B0"/>
    <w:rsid w:val="00E3591A"/>
    <w:rsid w:val="00E36855"/>
    <w:rsid w:val="00E36F15"/>
    <w:rsid w:val="00E37773"/>
    <w:rsid w:val="00E41520"/>
    <w:rsid w:val="00E43C82"/>
    <w:rsid w:val="00E44096"/>
    <w:rsid w:val="00E45440"/>
    <w:rsid w:val="00E46366"/>
    <w:rsid w:val="00E4726F"/>
    <w:rsid w:val="00E476AD"/>
    <w:rsid w:val="00E5342E"/>
    <w:rsid w:val="00E54143"/>
    <w:rsid w:val="00E541A5"/>
    <w:rsid w:val="00E579F2"/>
    <w:rsid w:val="00E61ECB"/>
    <w:rsid w:val="00E64D2D"/>
    <w:rsid w:val="00E6595D"/>
    <w:rsid w:val="00E65A9F"/>
    <w:rsid w:val="00E67BDC"/>
    <w:rsid w:val="00E737D6"/>
    <w:rsid w:val="00E763A5"/>
    <w:rsid w:val="00E772DE"/>
    <w:rsid w:val="00E8075B"/>
    <w:rsid w:val="00E80E88"/>
    <w:rsid w:val="00E82845"/>
    <w:rsid w:val="00E876BE"/>
    <w:rsid w:val="00E87A16"/>
    <w:rsid w:val="00E87BFA"/>
    <w:rsid w:val="00E903C1"/>
    <w:rsid w:val="00E9104E"/>
    <w:rsid w:val="00E925BF"/>
    <w:rsid w:val="00E92F67"/>
    <w:rsid w:val="00E93E10"/>
    <w:rsid w:val="00E941BD"/>
    <w:rsid w:val="00E950C7"/>
    <w:rsid w:val="00EA09ED"/>
    <w:rsid w:val="00EA10C4"/>
    <w:rsid w:val="00EA28DA"/>
    <w:rsid w:val="00EA319C"/>
    <w:rsid w:val="00EA4B20"/>
    <w:rsid w:val="00EA52C1"/>
    <w:rsid w:val="00EA5662"/>
    <w:rsid w:val="00EA75EA"/>
    <w:rsid w:val="00EB03A6"/>
    <w:rsid w:val="00EB0DC0"/>
    <w:rsid w:val="00EB1F9E"/>
    <w:rsid w:val="00EB608B"/>
    <w:rsid w:val="00EB7708"/>
    <w:rsid w:val="00EC00A9"/>
    <w:rsid w:val="00EC1678"/>
    <w:rsid w:val="00EC2A24"/>
    <w:rsid w:val="00EC320A"/>
    <w:rsid w:val="00EC34B0"/>
    <w:rsid w:val="00EC4119"/>
    <w:rsid w:val="00EC4FC4"/>
    <w:rsid w:val="00EC5352"/>
    <w:rsid w:val="00ED692D"/>
    <w:rsid w:val="00ED733F"/>
    <w:rsid w:val="00EE02E3"/>
    <w:rsid w:val="00EE1632"/>
    <w:rsid w:val="00EE2F2E"/>
    <w:rsid w:val="00EE3A9D"/>
    <w:rsid w:val="00EE4F9B"/>
    <w:rsid w:val="00EE7808"/>
    <w:rsid w:val="00EE7BB0"/>
    <w:rsid w:val="00EF0C89"/>
    <w:rsid w:val="00EF1ACD"/>
    <w:rsid w:val="00EF3F99"/>
    <w:rsid w:val="00EF4B40"/>
    <w:rsid w:val="00EF7B38"/>
    <w:rsid w:val="00F016C2"/>
    <w:rsid w:val="00F03A9D"/>
    <w:rsid w:val="00F04A0D"/>
    <w:rsid w:val="00F05803"/>
    <w:rsid w:val="00F061C5"/>
    <w:rsid w:val="00F107C5"/>
    <w:rsid w:val="00F11BF6"/>
    <w:rsid w:val="00F12375"/>
    <w:rsid w:val="00F147D3"/>
    <w:rsid w:val="00F17356"/>
    <w:rsid w:val="00F2066D"/>
    <w:rsid w:val="00F22310"/>
    <w:rsid w:val="00F2485C"/>
    <w:rsid w:val="00F258B5"/>
    <w:rsid w:val="00F25A37"/>
    <w:rsid w:val="00F323B1"/>
    <w:rsid w:val="00F352EB"/>
    <w:rsid w:val="00F36541"/>
    <w:rsid w:val="00F36703"/>
    <w:rsid w:val="00F369FB"/>
    <w:rsid w:val="00F447FE"/>
    <w:rsid w:val="00F54D02"/>
    <w:rsid w:val="00F613C5"/>
    <w:rsid w:val="00F63360"/>
    <w:rsid w:val="00F64BD9"/>
    <w:rsid w:val="00F67B74"/>
    <w:rsid w:val="00F72F99"/>
    <w:rsid w:val="00F74AB8"/>
    <w:rsid w:val="00F75326"/>
    <w:rsid w:val="00F76288"/>
    <w:rsid w:val="00F802F6"/>
    <w:rsid w:val="00F808C5"/>
    <w:rsid w:val="00F80A9F"/>
    <w:rsid w:val="00F81A8A"/>
    <w:rsid w:val="00F81E5E"/>
    <w:rsid w:val="00F8357B"/>
    <w:rsid w:val="00F8377A"/>
    <w:rsid w:val="00F83814"/>
    <w:rsid w:val="00F859C2"/>
    <w:rsid w:val="00F86A78"/>
    <w:rsid w:val="00F86E4E"/>
    <w:rsid w:val="00F87F99"/>
    <w:rsid w:val="00F90445"/>
    <w:rsid w:val="00F910A2"/>
    <w:rsid w:val="00F91158"/>
    <w:rsid w:val="00F9193E"/>
    <w:rsid w:val="00F92540"/>
    <w:rsid w:val="00F92576"/>
    <w:rsid w:val="00F93CA4"/>
    <w:rsid w:val="00F95FE2"/>
    <w:rsid w:val="00FA0BD2"/>
    <w:rsid w:val="00FA1A0D"/>
    <w:rsid w:val="00FA3412"/>
    <w:rsid w:val="00FA348B"/>
    <w:rsid w:val="00FA706B"/>
    <w:rsid w:val="00FA76CE"/>
    <w:rsid w:val="00FA7BF7"/>
    <w:rsid w:val="00FB1D8B"/>
    <w:rsid w:val="00FB53F7"/>
    <w:rsid w:val="00FB5BEC"/>
    <w:rsid w:val="00FC0C3C"/>
    <w:rsid w:val="00FC30C5"/>
    <w:rsid w:val="00FC3695"/>
    <w:rsid w:val="00FC3EBE"/>
    <w:rsid w:val="00FC4EDC"/>
    <w:rsid w:val="00FC5645"/>
    <w:rsid w:val="00FC643F"/>
    <w:rsid w:val="00FC6598"/>
    <w:rsid w:val="00FC67A2"/>
    <w:rsid w:val="00FD03A2"/>
    <w:rsid w:val="00FD1974"/>
    <w:rsid w:val="00FD41DC"/>
    <w:rsid w:val="00FD56A6"/>
    <w:rsid w:val="00FD57F5"/>
    <w:rsid w:val="00FD5F79"/>
    <w:rsid w:val="00FD7FF9"/>
    <w:rsid w:val="00FE041F"/>
    <w:rsid w:val="00FE0950"/>
    <w:rsid w:val="00FE15B6"/>
    <w:rsid w:val="00FE38B7"/>
    <w:rsid w:val="00FE4FF0"/>
    <w:rsid w:val="00FE6613"/>
    <w:rsid w:val="00FE689D"/>
    <w:rsid w:val="00FF6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BA5AB"/>
  <w15:chartTrackingRefBased/>
  <w15:docId w15:val="{326E2024-60B7-4E1B-9D19-2AAEBAD6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1F41"/>
    <w:rPr>
      <w:color w:val="0563C1" w:themeColor="hyperlink"/>
      <w:u w:val="single"/>
    </w:rPr>
  </w:style>
  <w:style w:type="character" w:customStyle="1" w:styleId="UnresolvedMention1">
    <w:name w:val="Unresolved Mention1"/>
    <w:basedOn w:val="DefaultParagraphFont"/>
    <w:uiPriority w:val="99"/>
    <w:semiHidden/>
    <w:unhideWhenUsed/>
    <w:rsid w:val="007E1F41"/>
    <w:rPr>
      <w:color w:val="605E5C"/>
      <w:shd w:val="clear" w:color="auto" w:fill="E1DFDD"/>
    </w:rPr>
  </w:style>
  <w:style w:type="paragraph" w:styleId="Header">
    <w:name w:val="header"/>
    <w:basedOn w:val="Normal"/>
    <w:link w:val="HeaderChar"/>
    <w:uiPriority w:val="99"/>
    <w:unhideWhenUsed/>
    <w:rsid w:val="00112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9E7"/>
  </w:style>
  <w:style w:type="paragraph" w:styleId="Footer">
    <w:name w:val="footer"/>
    <w:basedOn w:val="Normal"/>
    <w:link w:val="FooterChar"/>
    <w:uiPriority w:val="99"/>
    <w:unhideWhenUsed/>
    <w:rsid w:val="00112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9E7"/>
  </w:style>
  <w:style w:type="character" w:styleId="UnresolvedMention">
    <w:name w:val="Unresolved Mention"/>
    <w:basedOn w:val="DefaultParagraphFont"/>
    <w:uiPriority w:val="99"/>
    <w:semiHidden/>
    <w:unhideWhenUsed/>
    <w:rsid w:val="00E80E88"/>
    <w:rPr>
      <w:color w:val="605E5C"/>
      <w:shd w:val="clear" w:color="auto" w:fill="E1DFDD"/>
    </w:rPr>
  </w:style>
  <w:style w:type="paragraph" w:styleId="BalloonText">
    <w:name w:val="Balloon Text"/>
    <w:basedOn w:val="Normal"/>
    <w:link w:val="BalloonTextChar"/>
    <w:uiPriority w:val="99"/>
    <w:semiHidden/>
    <w:unhideWhenUsed/>
    <w:rsid w:val="00E80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E88"/>
    <w:rPr>
      <w:rFonts w:ascii="Segoe UI" w:hAnsi="Segoe UI" w:cs="Segoe UI"/>
      <w:sz w:val="18"/>
      <w:szCs w:val="18"/>
    </w:rPr>
  </w:style>
  <w:style w:type="character" w:styleId="CommentReference">
    <w:name w:val="annotation reference"/>
    <w:basedOn w:val="DefaultParagraphFont"/>
    <w:uiPriority w:val="99"/>
    <w:semiHidden/>
    <w:unhideWhenUsed/>
    <w:rsid w:val="009E65CB"/>
    <w:rPr>
      <w:sz w:val="16"/>
      <w:szCs w:val="16"/>
    </w:rPr>
  </w:style>
  <w:style w:type="paragraph" w:styleId="CommentText">
    <w:name w:val="annotation text"/>
    <w:basedOn w:val="Normal"/>
    <w:link w:val="CommentTextChar"/>
    <w:uiPriority w:val="99"/>
    <w:unhideWhenUsed/>
    <w:rsid w:val="009E65CB"/>
    <w:pPr>
      <w:spacing w:line="240" w:lineRule="auto"/>
    </w:pPr>
    <w:rPr>
      <w:sz w:val="20"/>
      <w:szCs w:val="20"/>
    </w:rPr>
  </w:style>
  <w:style w:type="character" w:customStyle="1" w:styleId="CommentTextChar">
    <w:name w:val="Comment Text Char"/>
    <w:basedOn w:val="DefaultParagraphFont"/>
    <w:link w:val="CommentText"/>
    <w:uiPriority w:val="99"/>
    <w:rsid w:val="009E65CB"/>
    <w:rPr>
      <w:sz w:val="20"/>
      <w:szCs w:val="20"/>
    </w:rPr>
  </w:style>
  <w:style w:type="paragraph" w:styleId="CommentSubject">
    <w:name w:val="annotation subject"/>
    <w:basedOn w:val="CommentText"/>
    <w:next w:val="CommentText"/>
    <w:link w:val="CommentSubjectChar"/>
    <w:uiPriority w:val="99"/>
    <w:semiHidden/>
    <w:unhideWhenUsed/>
    <w:rsid w:val="009E65CB"/>
    <w:rPr>
      <w:b/>
      <w:bCs/>
    </w:rPr>
  </w:style>
  <w:style w:type="character" w:customStyle="1" w:styleId="CommentSubjectChar">
    <w:name w:val="Comment Subject Char"/>
    <w:basedOn w:val="CommentTextChar"/>
    <w:link w:val="CommentSubject"/>
    <w:uiPriority w:val="99"/>
    <w:semiHidden/>
    <w:rsid w:val="009E65CB"/>
    <w:rPr>
      <w:b/>
      <w:bCs/>
      <w:sz w:val="20"/>
      <w:szCs w:val="20"/>
    </w:rPr>
  </w:style>
  <w:style w:type="paragraph" w:styleId="BodyText">
    <w:name w:val="Body Text"/>
    <w:basedOn w:val="Normal"/>
    <w:link w:val="BodyTextChar"/>
    <w:uiPriority w:val="99"/>
    <w:semiHidden/>
    <w:unhideWhenUsed/>
    <w:rsid w:val="00561420"/>
    <w:pPr>
      <w:spacing w:after="120"/>
    </w:pPr>
  </w:style>
  <w:style w:type="character" w:customStyle="1" w:styleId="BodyTextChar">
    <w:name w:val="Body Text Char"/>
    <w:basedOn w:val="DefaultParagraphFont"/>
    <w:link w:val="BodyText"/>
    <w:uiPriority w:val="99"/>
    <w:semiHidden/>
    <w:rsid w:val="00561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935498">
      <w:bodyDiv w:val="1"/>
      <w:marLeft w:val="0"/>
      <w:marRight w:val="0"/>
      <w:marTop w:val="0"/>
      <w:marBottom w:val="0"/>
      <w:divBdr>
        <w:top w:val="none" w:sz="0" w:space="0" w:color="auto"/>
        <w:left w:val="none" w:sz="0" w:space="0" w:color="auto"/>
        <w:bottom w:val="none" w:sz="0" w:space="0" w:color="auto"/>
        <w:right w:val="none" w:sz="0" w:space="0" w:color="auto"/>
      </w:divBdr>
    </w:div>
    <w:div w:id="648902184">
      <w:bodyDiv w:val="1"/>
      <w:marLeft w:val="0"/>
      <w:marRight w:val="0"/>
      <w:marTop w:val="0"/>
      <w:marBottom w:val="0"/>
      <w:divBdr>
        <w:top w:val="none" w:sz="0" w:space="0" w:color="auto"/>
        <w:left w:val="none" w:sz="0" w:space="0" w:color="auto"/>
        <w:bottom w:val="none" w:sz="0" w:space="0" w:color="auto"/>
        <w:right w:val="none" w:sz="0" w:space="0" w:color="auto"/>
      </w:divBdr>
    </w:div>
    <w:div w:id="833381011">
      <w:bodyDiv w:val="1"/>
      <w:marLeft w:val="0"/>
      <w:marRight w:val="0"/>
      <w:marTop w:val="0"/>
      <w:marBottom w:val="0"/>
      <w:divBdr>
        <w:top w:val="none" w:sz="0" w:space="0" w:color="auto"/>
        <w:left w:val="none" w:sz="0" w:space="0" w:color="auto"/>
        <w:bottom w:val="none" w:sz="0" w:space="0" w:color="auto"/>
        <w:right w:val="none" w:sz="0" w:space="0" w:color="auto"/>
      </w:divBdr>
    </w:div>
    <w:div w:id="1130325248">
      <w:bodyDiv w:val="1"/>
      <w:marLeft w:val="0"/>
      <w:marRight w:val="0"/>
      <w:marTop w:val="0"/>
      <w:marBottom w:val="0"/>
      <w:divBdr>
        <w:top w:val="none" w:sz="0" w:space="0" w:color="auto"/>
        <w:left w:val="none" w:sz="0" w:space="0" w:color="auto"/>
        <w:bottom w:val="none" w:sz="0" w:space="0" w:color="auto"/>
        <w:right w:val="none" w:sz="0" w:space="0" w:color="auto"/>
      </w:divBdr>
      <w:divsChild>
        <w:div w:id="861938258">
          <w:marLeft w:val="0"/>
          <w:marRight w:val="0"/>
          <w:marTop w:val="0"/>
          <w:marBottom w:val="0"/>
          <w:divBdr>
            <w:top w:val="none" w:sz="0" w:space="0" w:color="auto"/>
            <w:left w:val="none" w:sz="0" w:space="0" w:color="auto"/>
            <w:bottom w:val="none" w:sz="0" w:space="0" w:color="auto"/>
            <w:right w:val="none" w:sz="0" w:space="0" w:color="auto"/>
          </w:divBdr>
          <w:divsChild>
            <w:div w:id="41551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nice.org.uk/guidance/ta464" TargetMode="External"/><Relationship Id="rId26" Type="http://schemas.openxmlformats.org/officeDocument/2006/relationships/image" Target="media/image15.svg"/><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footer" Target="footer3.xml"/><Relationship Id="rId7" Type="http://schemas.openxmlformats.org/officeDocument/2006/relationships/hyperlink" Target="mailto:w.j.pontefract@shef.ac.uk" TargetMode="External"/><Relationship Id="rId12" Type="http://schemas.openxmlformats.org/officeDocument/2006/relationships/image" Target="media/image5.png"/><Relationship Id="rId17" Type="http://schemas.openxmlformats.org/officeDocument/2006/relationships/hyperlink" Target="http://www.nice.org.uk/guidance/ta161" TargetMode="External"/><Relationship Id="rId25" Type="http://schemas.openxmlformats.org/officeDocument/2006/relationships/image" Target="media/image14.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nice.org.uk/guidance/qs149" TargetMode="External"/><Relationship Id="rId20" Type="http://schemas.openxmlformats.org/officeDocument/2006/relationships/image" Target="media/image9.sv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3.sv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heffield.ac.uk/FRAX/pdfs/WHO_Technical_Report.pdf" TargetMode="External"/><Relationship Id="rId23" Type="http://schemas.openxmlformats.org/officeDocument/2006/relationships/image" Target="media/image12.png"/><Relationship Id="rId28" Type="http://schemas.openxmlformats.org/officeDocument/2006/relationships/image" Target="media/image17.sv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svg"/><Relationship Id="rId22" Type="http://schemas.openxmlformats.org/officeDocument/2006/relationships/image" Target="media/image11.svg"/><Relationship Id="rId27" Type="http://schemas.openxmlformats.org/officeDocument/2006/relationships/image" Target="media/image16.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36ED0-1789-4748-A64A-F0066CBE4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5820</Words>
  <Characters>33178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Kanis</dc:creator>
  <cp:keywords/>
  <dc:description/>
  <cp:lastModifiedBy>Karen Drake</cp:lastModifiedBy>
  <cp:revision>2</cp:revision>
  <dcterms:created xsi:type="dcterms:W3CDTF">2021-04-06T13:17:00Z</dcterms:created>
  <dcterms:modified xsi:type="dcterms:W3CDTF">2021-04-06T13:17:00Z</dcterms:modified>
</cp:coreProperties>
</file>