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A3CF0" w14:textId="77777777" w:rsidR="00DD1225" w:rsidRPr="0099234A" w:rsidRDefault="00DD1225" w:rsidP="00DD1225">
      <w:pPr>
        <w:spacing w:after="0" w:line="360" w:lineRule="auto"/>
        <w:jc w:val="center"/>
        <w:rPr>
          <w:rFonts w:ascii="CMU Serif" w:hAnsi="CMU Serif" w:cs="CMU Serif"/>
          <w:b/>
          <w:lang w:val="en-US"/>
        </w:rPr>
      </w:pPr>
    </w:p>
    <w:p w14:paraId="56B085DF" w14:textId="77777777" w:rsidR="00DD1225" w:rsidRPr="00DD1225" w:rsidRDefault="00DD1225" w:rsidP="00DD1225">
      <w:pPr>
        <w:spacing w:after="0" w:line="360" w:lineRule="auto"/>
        <w:jc w:val="center"/>
        <w:rPr>
          <w:rFonts w:ascii="CMU Serif" w:hAnsi="CMU Serif" w:cs="CMU Serif"/>
          <w:b/>
          <w:sz w:val="28"/>
          <w:szCs w:val="28"/>
          <w:lang w:val="en-ZA"/>
        </w:rPr>
      </w:pPr>
      <w:r w:rsidRPr="00DD1225">
        <w:rPr>
          <w:rFonts w:ascii="CMU Serif" w:hAnsi="CMU Serif" w:cs="CMU Serif"/>
          <w:b/>
          <w:sz w:val="28"/>
          <w:szCs w:val="28"/>
          <w:lang w:val="en-ZA"/>
        </w:rPr>
        <w:t>Term Spreads and the COVID-19 Pandemic: Evidence from International Sovereign Bond Markets</w:t>
      </w:r>
      <w:r w:rsidRPr="00DD1225">
        <w:rPr>
          <w:rFonts w:ascii="CMU Serif" w:hAnsi="CMU Serif" w:cs="CMU Serif"/>
          <w:b/>
          <w:sz w:val="2"/>
          <w:szCs w:val="2"/>
          <w:vertAlign w:val="superscript"/>
          <w:lang w:val="en-ZA"/>
        </w:rPr>
        <w:t xml:space="preserve"> </w:t>
      </w:r>
      <w:r w:rsidRPr="00DD1225">
        <w:rPr>
          <w:rFonts w:ascii="CMU Serif" w:hAnsi="CMU Serif" w:cs="CMU Serif"/>
          <w:b/>
          <w:sz w:val="28"/>
          <w:szCs w:val="28"/>
          <w:vertAlign w:val="superscript"/>
          <w:lang w:val="en-ZA"/>
        </w:rPr>
        <w:t>*</w:t>
      </w:r>
    </w:p>
    <w:p w14:paraId="4D0CAF2D" w14:textId="77777777" w:rsidR="00DD1225" w:rsidRPr="00DD1225" w:rsidRDefault="00DD1225" w:rsidP="00DD1225">
      <w:pPr>
        <w:spacing w:after="0" w:line="360" w:lineRule="auto"/>
        <w:jc w:val="center"/>
        <w:rPr>
          <w:rFonts w:ascii="CMU Serif" w:hAnsi="CMU Serif" w:cs="CMU Serif"/>
          <w:b/>
          <w:lang w:val="en-ZA"/>
        </w:rPr>
      </w:pPr>
    </w:p>
    <w:p w14:paraId="7AA93227" w14:textId="77777777" w:rsidR="00DD1225" w:rsidRPr="00DD1225" w:rsidRDefault="00DD1225" w:rsidP="00DD1225">
      <w:pPr>
        <w:pStyle w:val="Default"/>
        <w:spacing w:line="360" w:lineRule="auto"/>
        <w:jc w:val="center"/>
        <w:rPr>
          <w:rFonts w:ascii="CMU Serif" w:hAnsi="CMU Serif" w:cs="CMU Serif"/>
          <w:i/>
          <w:color w:val="auto"/>
          <w:sz w:val="22"/>
          <w:szCs w:val="22"/>
        </w:rPr>
      </w:pPr>
      <w:r w:rsidRPr="00DD1225">
        <w:rPr>
          <w:rFonts w:ascii="CMU Serif" w:hAnsi="CMU Serif" w:cs="CMU Serif"/>
          <w:i/>
          <w:color w:val="auto"/>
          <w:sz w:val="22"/>
          <w:szCs w:val="22"/>
        </w:rPr>
        <w:t>Adam Zaremba</w:t>
      </w:r>
      <w:r w:rsidRPr="00DD1225">
        <w:rPr>
          <w:rFonts w:ascii="CMU Serif" w:hAnsi="CMU Serif" w:cs="CMU Serif"/>
          <w:i/>
          <w:color w:val="auto"/>
          <w:sz w:val="4"/>
          <w:szCs w:val="22"/>
          <w:vertAlign w:val="superscript"/>
        </w:rPr>
        <w:t xml:space="preserve"> </w:t>
      </w:r>
      <w:r w:rsidRPr="00DD1225">
        <w:rPr>
          <w:rFonts w:ascii="CMU Serif" w:hAnsi="CMU Serif" w:cs="CMU Serif"/>
          <w:i/>
          <w:color w:val="auto"/>
          <w:sz w:val="22"/>
          <w:szCs w:val="22"/>
          <w:vertAlign w:val="superscript"/>
        </w:rPr>
        <w:t>†</w:t>
      </w:r>
      <w:r w:rsidRPr="00DD1225">
        <w:rPr>
          <w:i/>
          <w:color w:val="auto"/>
          <w:sz w:val="22"/>
          <w:szCs w:val="22"/>
          <w:vertAlign w:val="superscript"/>
        </w:rPr>
        <w:t>⁑</w:t>
      </w:r>
      <w:r w:rsidRPr="00DD1225">
        <w:rPr>
          <w:rFonts w:ascii="CMU Serif" w:hAnsi="CMU Serif" w:cs="CMU Serif"/>
          <w:i/>
          <w:iCs/>
          <w:color w:val="auto"/>
          <w:sz w:val="22"/>
          <w:szCs w:val="22"/>
        </w:rPr>
        <w:t>,</w:t>
      </w:r>
      <w:r w:rsidRPr="00DD1225">
        <w:rPr>
          <w:rFonts w:ascii="CMU Serif" w:hAnsi="CMU Serif" w:cs="CMU Serif"/>
          <w:i/>
          <w:color w:val="auto"/>
          <w:sz w:val="22"/>
          <w:szCs w:val="22"/>
        </w:rPr>
        <w:t xml:space="preserve"> Renatas Kizys</w:t>
      </w:r>
      <w:r w:rsidRPr="00DD1225">
        <w:rPr>
          <w:rFonts w:ascii="CMU Serif" w:hAnsi="CMU Serif" w:cs="CMU Serif"/>
          <w:i/>
          <w:color w:val="auto"/>
          <w:sz w:val="4"/>
          <w:szCs w:val="22"/>
          <w:vertAlign w:val="superscript"/>
        </w:rPr>
        <w:t xml:space="preserve"> </w:t>
      </w:r>
      <w:r w:rsidRPr="00DD1225">
        <w:rPr>
          <w:rFonts w:ascii="CMU Serif" w:hAnsi="CMU Serif" w:cs="CMU Serif"/>
          <w:i/>
          <w:color w:val="auto"/>
          <w:sz w:val="22"/>
          <w:szCs w:val="22"/>
          <w:vertAlign w:val="superscript"/>
        </w:rPr>
        <w:t>§</w:t>
      </w:r>
      <w:r w:rsidRPr="00DD1225">
        <w:rPr>
          <w:rFonts w:ascii="CMU Serif" w:hAnsi="CMU Serif" w:cs="CMU Serif"/>
          <w:i/>
          <w:color w:val="auto"/>
          <w:sz w:val="22"/>
          <w:szCs w:val="22"/>
        </w:rPr>
        <w:t>, David Y. Aharon</w:t>
      </w:r>
      <w:r w:rsidRPr="00DD1225">
        <w:rPr>
          <w:rFonts w:ascii="CMU Serif" w:hAnsi="CMU Serif" w:cs="CMU Serif"/>
          <w:i/>
          <w:color w:val="auto"/>
          <w:sz w:val="6"/>
          <w:szCs w:val="22"/>
          <w:vertAlign w:val="superscript"/>
        </w:rPr>
        <w:t xml:space="preserve"> </w:t>
      </w:r>
      <w:r w:rsidRPr="00DD1225">
        <w:rPr>
          <w:rFonts w:ascii="CMU Serif" w:hAnsi="CMU Serif" w:cs="CMU Serif"/>
          <w:i/>
          <w:color w:val="auto"/>
          <w:sz w:val="22"/>
          <w:szCs w:val="22"/>
          <w:vertAlign w:val="superscript"/>
        </w:rPr>
        <w:t>‡</w:t>
      </w:r>
      <w:r w:rsidRPr="00DD1225">
        <w:rPr>
          <w:rFonts w:ascii="CMU Serif" w:hAnsi="CMU Serif" w:cs="CMU Serif"/>
          <w:i/>
          <w:color w:val="auto"/>
          <w:sz w:val="22"/>
          <w:szCs w:val="22"/>
        </w:rPr>
        <w:t>, Zaghum Umar</w:t>
      </w:r>
      <w:r w:rsidRPr="00DD1225">
        <w:rPr>
          <w:rFonts w:ascii="CMU Serif" w:hAnsi="CMU Serif" w:cs="CMU Serif"/>
          <w:i/>
          <w:color w:val="auto"/>
          <w:sz w:val="8"/>
          <w:szCs w:val="22"/>
          <w:vertAlign w:val="superscript"/>
        </w:rPr>
        <w:t xml:space="preserve"> </w:t>
      </w:r>
      <w:r w:rsidRPr="00DD1225">
        <w:rPr>
          <w:rFonts w:ascii="CMU Serif" w:hAnsi="CMU Serif" w:cs="CMU Serif"/>
          <w:i/>
          <w:color w:val="auto"/>
          <w:sz w:val="22"/>
          <w:szCs w:val="22"/>
          <w:vertAlign w:val="superscript"/>
        </w:rPr>
        <w:t>δ</w:t>
      </w:r>
    </w:p>
    <w:p w14:paraId="47F5F615" w14:textId="77777777" w:rsidR="00DD1225" w:rsidRPr="00DD1225" w:rsidRDefault="00DD1225" w:rsidP="00DD1225">
      <w:pPr>
        <w:spacing w:after="0" w:line="360" w:lineRule="auto"/>
        <w:jc w:val="center"/>
        <w:rPr>
          <w:rFonts w:ascii="CMU Serif" w:hAnsi="CMU Serif" w:cs="CMU Serif"/>
          <w:b/>
        </w:rPr>
      </w:pPr>
    </w:p>
    <w:p w14:paraId="41EE5D78" w14:textId="77777777" w:rsidR="00DD1225" w:rsidRPr="00DD1225" w:rsidRDefault="00DD1225" w:rsidP="00DD1225">
      <w:pPr>
        <w:spacing w:after="0" w:line="360" w:lineRule="auto"/>
        <w:jc w:val="center"/>
        <w:rPr>
          <w:rFonts w:ascii="CMU Serif" w:hAnsi="CMU Serif" w:cs="CMU Serif"/>
          <w:b/>
        </w:rPr>
      </w:pPr>
    </w:p>
    <w:p w14:paraId="70849643" w14:textId="77777777" w:rsidR="00DD1225" w:rsidRPr="00DD1225" w:rsidRDefault="00DD1225" w:rsidP="00DD1225">
      <w:pPr>
        <w:spacing w:after="0" w:line="360" w:lineRule="auto"/>
        <w:jc w:val="center"/>
        <w:rPr>
          <w:rFonts w:ascii="CMU Serif" w:hAnsi="CMU Serif" w:cs="CMU Serif"/>
          <w:b/>
          <w:lang w:val="en-ZA"/>
        </w:rPr>
      </w:pPr>
      <w:r w:rsidRPr="00DD1225">
        <w:rPr>
          <w:rFonts w:ascii="CMU Serif" w:hAnsi="CMU Serif" w:cs="CMU Serif"/>
          <w:b/>
          <w:lang w:val="en-ZA"/>
        </w:rPr>
        <w:t>Abstract</w:t>
      </w:r>
    </w:p>
    <w:p w14:paraId="29858818" w14:textId="77777777" w:rsidR="00DD1225" w:rsidRPr="00DD1225" w:rsidRDefault="00DD1225" w:rsidP="00DD1225">
      <w:pPr>
        <w:spacing w:after="0" w:line="360" w:lineRule="auto"/>
        <w:jc w:val="both"/>
        <w:rPr>
          <w:rFonts w:ascii="CMU Serif" w:hAnsi="CMU Serif" w:cs="CMU Serif"/>
          <w:lang w:val="en-ZA"/>
        </w:rPr>
      </w:pPr>
      <w:r w:rsidRPr="00DD1225">
        <w:rPr>
          <w:rFonts w:ascii="CMU Serif" w:hAnsi="CMU Serif" w:cs="CMU Serif"/>
          <w:lang w:val="en-ZA"/>
        </w:rPr>
        <w:t>We explore the impact of the COVID-19 pandemic on the term structure of interest rates. Using data from developed and emerging countries, we demonstrate that the expansion of the disease significantly affects sovereign bond markets. The growth of confirmed cases significantly widens the term spreads of government bonds. The effect is independent of government policy and monetary responses to COVID-19 and robust to many considerations.</w:t>
      </w:r>
    </w:p>
    <w:p w14:paraId="02C2CF06" w14:textId="77777777" w:rsidR="00DD1225" w:rsidRPr="00DD1225" w:rsidRDefault="00DD1225" w:rsidP="00DD1225">
      <w:pPr>
        <w:spacing w:after="0" w:line="360" w:lineRule="auto"/>
        <w:jc w:val="both"/>
        <w:rPr>
          <w:rFonts w:ascii="CMU Serif" w:hAnsi="CMU Serif" w:cs="CMU Serif"/>
          <w:color w:val="FF0000"/>
          <w:lang w:val="en-ZA"/>
        </w:rPr>
      </w:pPr>
      <w:r w:rsidRPr="00DD1225">
        <w:rPr>
          <w:rFonts w:ascii="CMU Serif" w:hAnsi="CMU Serif" w:cs="CMU Serif"/>
          <w:color w:val="FF0000"/>
          <w:lang w:val="en-ZA"/>
        </w:rPr>
        <w:t xml:space="preserve"> </w:t>
      </w:r>
    </w:p>
    <w:p w14:paraId="068CC58B" w14:textId="77777777" w:rsidR="00DD1225" w:rsidRPr="00DD1225" w:rsidRDefault="00DD1225" w:rsidP="00DD1225">
      <w:pPr>
        <w:spacing w:after="0" w:line="360" w:lineRule="auto"/>
        <w:jc w:val="both"/>
        <w:rPr>
          <w:rFonts w:ascii="CMU Serif" w:hAnsi="CMU Serif" w:cs="CMU Serif"/>
          <w:lang w:val="en-ZA"/>
        </w:rPr>
      </w:pPr>
      <w:r w:rsidRPr="00DD1225">
        <w:rPr>
          <w:rFonts w:ascii="CMU Serif" w:hAnsi="CMU Serif" w:cs="CMU Serif"/>
          <w:i/>
          <w:lang w:val="en-ZA"/>
        </w:rPr>
        <w:t>Keywords</w:t>
      </w:r>
      <w:r w:rsidRPr="00DD1225">
        <w:rPr>
          <w:rFonts w:ascii="CMU Serif" w:hAnsi="CMU Serif" w:cs="CMU Serif"/>
          <w:lang w:val="en-ZA"/>
        </w:rPr>
        <w:t>: COVID-19 pandemic, coronavirus, policy responses, government bonds, sovereign bond, term spread, term structure, interest rates.</w:t>
      </w:r>
    </w:p>
    <w:p w14:paraId="618306FD" w14:textId="77777777" w:rsidR="00DD1225" w:rsidRPr="00DD1225" w:rsidRDefault="00DD1225" w:rsidP="00DD1225">
      <w:pPr>
        <w:spacing w:after="0" w:line="360" w:lineRule="auto"/>
        <w:jc w:val="both"/>
        <w:rPr>
          <w:rFonts w:ascii="CMU Serif" w:hAnsi="CMU Serif" w:cs="CMU Serif"/>
          <w:lang w:val="en-ZA"/>
        </w:rPr>
      </w:pPr>
    </w:p>
    <w:p w14:paraId="7AB01028" w14:textId="77777777" w:rsidR="00DD1225" w:rsidRPr="00DD1225" w:rsidRDefault="00DD1225" w:rsidP="00DD1225">
      <w:pPr>
        <w:spacing w:after="0" w:line="360" w:lineRule="auto"/>
        <w:jc w:val="both"/>
        <w:rPr>
          <w:rFonts w:ascii="CMU Serif" w:hAnsi="CMU Serif" w:cs="CMU Serif"/>
          <w:lang w:val="de-DE"/>
        </w:rPr>
      </w:pPr>
      <w:r w:rsidRPr="00DD1225">
        <w:rPr>
          <w:rFonts w:ascii="CMU Serif" w:hAnsi="CMU Serif" w:cs="CMU Serif"/>
          <w:i/>
          <w:lang w:val="de-DE"/>
        </w:rPr>
        <w:t xml:space="preserve">JEL Codes: </w:t>
      </w:r>
      <w:r w:rsidRPr="00DD1225">
        <w:rPr>
          <w:rFonts w:ascii="CMU Serif" w:hAnsi="CMU Serif" w:cs="CMU Serif"/>
          <w:lang w:val="de-DE"/>
        </w:rPr>
        <w:t>G01, G12, G15, G18, E43.</w:t>
      </w:r>
    </w:p>
    <w:p w14:paraId="4F68D3E7" w14:textId="77777777" w:rsidR="00DD1225" w:rsidRPr="00DD1225" w:rsidRDefault="00DD1225" w:rsidP="00DD1225">
      <w:pPr>
        <w:spacing w:after="0" w:line="360" w:lineRule="auto"/>
        <w:jc w:val="both"/>
        <w:rPr>
          <w:rFonts w:ascii="CMU Serif" w:hAnsi="CMU Serif" w:cs="CMU Serif"/>
          <w:i/>
          <w:lang w:val="de-DE"/>
        </w:rPr>
      </w:pPr>
    </w:p>
    <w:p w14:paraId="03962B0D" w14:textId="77777777" w:rsidR="00DD1225" w:rsidRPr="00DD1225" w:rsidRDefault="00DD1225" w:rsidP="00DD1225">
      <w:pPr>
        <w:pBdr>
          <w:bottom w:val="single" w:sz="6" w:space="1" w:color="auto"/>
        </w:pBdr>
        <w:spacing w:after="0" w:line="360" w:lineRule="auto"/>
        <w:contextualSpacing/>
        <w:jc w:val="center"/>
        <w:rPr>
          <w:rFonts w:ascii="CMU Serif" w:hAnsi="CMU Serif" w:cs="CMU Serif"/>
          <w:lang w:val="de-DE"/>
        </w:rPr>
      </w:pPr>
    </w:p>
    <w:p w14:paraId="32FE34F1" w14:textId="77777777" w:rsidR="00DD1225" w:rsidRPr="00DD1225" w:rsidRDefault="00DD1225" w:rsidP="00DD1225">
      <w:pPr>
        <w:pBdr>
          <w:bottom w:val="single" w:sz="6" w:space="1" w:color="auto"/>
        </w:pBdr>
        <w:spacing w:after="0" w:line="360" w:lineRule="auto"/>
        <w:contextualSpacing/>
        <w:jc w:val="center"/>
        <w:rPr>
          <w:rFonts w:ascii="CMU Serif" w:hAnsi="CMU Serif" w:cs="CMU Serif"/>
          <w:lang w:val="en-US"/>
        </w:rPr>
      </w:pPr>
      <w:r w:rsidRPr="00DD1225">
        <w:rPr>
          <w:rFonts w:ascii="CMU Serif" w:hAnsi="CMU Serif" w:cs="CMU Serif"/>
          <w:lang w:val="en-US"/>
        </w:rPr>
        <w:t>First draft: October 22, 2020</w:t>
      </w:r>
    </w:p>
    <w:p w14:paraId="5D41C343" w14:textId="77777777" w:rsidR="00DD1225" w:rsidRPr="00DD1225" w:rsidRDefault="00DD1225" w:rsidP="00DD1225">
      <w:pPr>
        <w:pBdr>
          <w:bottom w:val="single" w:sz="6" w:space="1" w:color="auto"/>
        </w:pBdr>
        <w:spacing w:after="0" w:line="360" w:lineRule="auto"/>
        <w:contextualSpacing/>
        <w:jc w:val="center"/>
        <w:rPr>
          <w:rFonts w:ascii="CMU Serif" w:hAnsi="CMU Serif" w:cs="CMU Serif"/>
          <w:lang w:val="en-US"/>
        </w:rPr>
      </w:pPr>
      <w:r w:rsidRPr="00DD1225">
        <w:rPr>
          <w:rFonts w:ascii="CMU Serif" w:hAnsi="CMU Serif" w:cs="CMU Serif"/>
          <w:lang w:val="en-US"/>
        </w:rPr>
        <w:t>This version: March 8, 2021</w:t>
      </w:r>
    </w:p>
    <w:p w14:paraId="3EECC6A5" w14:textId="77777777" w:rsidR="00DD1225" w:rsidRPr="00DD1225" w:rsidRDefault="00DD1225" w:rsidP="00DD1225">
      <w:pPr>
        <w:spacing w:after="0" w:line="240" w:lineRule="auto"/>
        <w:contextualSpacing/>
        <w:jc w:val="both"/>
        <w:rPr>
          <w:rFonts w:ascii="CMU Serif" w:hAnsi="CMU Serif" w:cs="CMU Serif"/>
          <w:sz w:val="19"/>
          <w:szCs w:val="19"/>
          <w:lang w:val="en-US"/>
        </w:rPr>
      </w:pPr>
      <w:r w:rsidRPr="00DD1225">
        <w:rPr>
          <w:rFonts w:ascii="Times New Roman" w:hAnsi="Times New Roman" w:cs="Times New Roman"/>
          <w:sz w:val="19"/>
          <w:szCs w:val="19"/>
          <w:vertAlign w:val="superscript"/>
          <w:lang w:val="en-US"/>
        </w:rPr>
        <w:t>⁑</w:t>
      </w:r>
      <w:r w:rsidRPr="00DD1225">
        <w:rPr>
          <w:rFonts w:ascii="CMU Serif" w:hAnsi="CMU Serif" w:cs="CMU Serif"/>
          <w:sz w:val="19"/>
          <w:szCs w:val="19"/>
          <w:vertAlign w:val="superscript"/>
          <w:lang w:val="en-US"/>
        </w:rPr>
        <w:t xml:space="preserve"> </w:t>
      </w:r>
      <w:r w:rsidRPr="00DD1225">
        <w:rPr>
          <w:rFonts w:ascii="CMU Serif" w:hAnsi="CMU Serif" w:cs="CMU Serif"/>
          <w:sz w:val="19"/>
          <w:szCs w:val="19"/>
          <w:lang w:val="en-US"/>
        </w:rPr>
        <w:t>Corresponding author.</w:t>
      </w:r>
    </w:p>
    <w:p w14:paraId="1C8D7199" w14:textId="77777777" w:rsidR="00DD1225" w:rsidRPr="00DD1225" w:rsidRDefault="00DD1225" w:rsidP="00DD1225">
      <w:pPr>
        <w:spacing w:after="0" w:line="240" w:lineRule="auto"/>
        <w:contextualSpacing/>
        <w:jc w:val="both"/>
        <w:rPr>
          <w:rFonts w:ascii="CMU Serif" w:hAnsi="CMU Serif" w:cs="CMU Serif"/>
          <w:sz w:val="19"/>
          <w:szCs w:val="19"/>
          <w:lang w:val="en-US"/>
        </w:rPr>
      </w:pPr>
      <w:r w:rsidRPr="00DD1225">
        <w:rPr>
          <w:rFonts w:ascii="CMU Serif" w:hAnsi="CMU Serif" w:cs="CMU Serif"/>
          <w:sz w:val="19"/>
          <w:szCs w:val="19"/>
          <w:vertAlign w:val="superscript"/>
          <w:lang w:val="en-US"/>
        </w:rPr>
        <w:t>†</w:t>
      </w:r>
      <w:r w:rsidRPr="00DD1225">
        <w:rPr>
          <w:rFonts w:ascii="CMU Serif" w:hAnsi="CMU Serif" w:cs="CMU Serif"/>
          <w:sz w:val="19"/>
          <w:szCs w:val="19"/>
          <w:lang w:val="en-US"/>
        </w:rPr>
        <w:t xml:space="preserve"> Adam Zaremba, 1) Montpellier Business School, 2300 Avenue des Moulins, 34185 Montpellier </w:t>
      </w:r>
      <w:proofErr w:type="spellStart"/>
      <w:r w:rsidRPr="00DD1225">
        <w:rPr>
          <w:rFonts w:ascii="CMU Serif" w:hAnsi="CMU Serif" w:cs="CMU Serif"/>
          <w:sz w:val="19"/>
          <w:szCs w:val="19"/>
          <w:lang w:val="en-US"/>
        </w:rPr>
        <w:t>cedex</w:t>
      </w:r>
      <w:proofErr w:type="spellEnd"/>
      <w:r w:rsidRPr="00DD1225">
        <w:rPr>
          <w:rFonts w:ascii="CMU Serif" w:hAnsi="CMU Serif" w:cs="CMU Serif"/>
          <w:sz w:val="19"/>
          <w:szCs w:val="19"/>
          <w:lang w:val="en-US"/>
        </w:rPr>
        <w:t xml:space="preserve"> 4, France, email: a.zaremba@montpellier-bs.com; 2) Montpellier Research in Management, University of Montpellier, Montpellier, France; 3) Poznan University of Economics and Business, Institute of Finance, Department of Investment and Financial Markets, al. </w:t>
      </w:r>
      <w:proofErr w:type="spellStart"/>
      <w:r w:rsidRPr="00DD1225">
        <w:rPr>
          <w:rFonts w:ascii="CMU Serif" w:hAnsi="CMU Serif" w:cs="CMU Serif"/>
          <w:sz w:val="19"/>
          <w:szCs w:val="19"/>
          <w:lang w:val="en-US"/>
        </w:rPr>
        <w:t>Niepodległości</w:t>
      </w:r>
      <w:proofErr w:type="spellEnd"/>
      <w:r w:rsidRPr="00DD1225">
        <w:rPr>
          <w:rFonts w:ascii="CMU Serif" w:hAnsi="CMU Serif" w:cs="CMU Serif"/>
          <w:sz w:val="19"/>
          <w:szCs w:val="19"/>
          <w:lang w:val="en-US"/>
        </w:rPr>
        <w:t xml:space="preserve"> 10, 61-875 </w:t>
      </w:r>
      <w:proofErr w:type="spellStart"/>
      <w:r w:rsidRPr="00DD1225">
        <w:rPr>
          <w:rFonts w:ascii="CMU Serif" w:hAnsi="CMU Serif" w:cs="CMU Serif"/>
          <w:sz w:val="19"/>
          <w:szCs w:val="19"/>
          <w:lang w:val="en-US"/>
        </w:rPr>
        <w:t>Poznań</w:t>
      </w:r>
      <w:proofErr w:type="spellEnd"/>
      <w:r w:rsidRPr="00DD1225">
        <w:rPr>
          <w:rFonts w:ascii="CMU Serif" w:hAnsi="CMU Serif" w:cs="CMU Serif"/>
          <w:sz w:val="19"/>
          <w:szCs w:val="19"/>
          <w:lang w:val="en-US"/>
        </w:rPr>
        <w:t>, Poland, email: adam.zaremba@ue.poznan.pl.</w:t>
      </w:r>
    </w:p>
    <w:p w14:paraId="794BC342" w14:textId="77777777" w:rsidR="00DD1225" w:rsidRPr="00DD1225" w:rsidRDefault="00DD1225" w:rsidP="00DD1225">
      <w:pPr>
        <w:spacing w:after="0" w:line="240" w:lineRule="auto"/>
        <w:contextualSpacing/>
        <w:jc w:val="both"/>
        <w:rPr>
          <w:rFonts w:ascii="CMU Serif" w:hAnsi="CMU Serif" w:cs="CMU Serif"/>
          <w:sz w:val="19"/>
          <w:szCs w:val="19"/>
          <w:lang w:val="en-US"/>
        </w:rPr>
      </w:pPr>
      <w:r w:rsidRPr="00DD1225">
        <w:rPr>
          <w:rFonts w:ascii="CMU Serif" w:hAnsi="CMU Serif" w:cs="CMU Serif"/>
          <w:sz w:val="19"/>
          <w:szCs w:val="19"/>
          <w:vertAlign w:val="superscript"/>
          <w:lang w:val="en-US"/>
        </w:rPr>
        <w:t xml:space="preserve">§ </w:t>
      </w:r>
      <w:r w:rsidRPr="00DD1225">
        <w:rPr>
          <w:rFonts w:ascii="CMU Serif" w:hAnsi="CMU Serif" w:cs="CMU Serif"/>
          <w:sz w:val="19"/>
          <w:szCs w:val="19"/>
          <w:lang w:val="en-US"/>
        </w:rPr>
        <w:t>Renatas Kizys, University of Southampton, Southampton Business School, Department of Banking and Finance, Room 1013, Building 4, Highfield Campus, Southampton SO17 1BJ, United Kingdom, email: r.kizys@soton.ac.uk.</w:t>
      </w:r>
    </w:p>
    <w:p w14:paraId="6A8EC285" w14:textId="77777777" w:rsidR="00DD1225" w:rsidRPr="00DD1225" w:rsidRDefault="00DD1225" w:rsidP="00DD1225">
      <w:pPr>
        <w:spacing w:after="0" w:line="240" w:lineRule="auto"/>
        <w:jc w:val="both"/>
        <w:rPr>
          <w:rFonts w:ascii="CMU Serif" w:hAnsi="CMU Serif" w:cs="CMU Serif"/>
          <w:sz w:val="19"/>
          <w:szCs w:val="19"/>
          <w:lang w:val="en-US"/>
        </w:rPr>
      </w:pPr>
      <w:r w:rsidRPr="00DD1225">
        <w:rPr>
          <w:rFonts w:ascii="CMU Serif" w:hAnsi="CMU Serif" w:cs="CMU Serif"/>
          <w:i/>
          <w:sz w:val="19"/>
          <w:szCs w:val="19"/>
          <w:vertAlign w:val="superscript"/>
          <w:lang w:val="en-US"/>
        </w:rPr>
        <w:t xml:space="preserve">‡ </w:t>
      </w:r>
      <w:r w:rsidRPr="00DD1225">
        <w:rPr>
          <w:rFonts w:ascii="CMU Serif" w:hAnsi="CMU Serif" w:cs="CMU Serif"/>
          <w:sz w:val="19"/>
          <w:szCs w:val="19"/>
          <w:lang w:val="en-US"/>
        </w:rPr>
        <w:t xml:space="preserve">David Y. </w:t>
      </w:r>
      <w:proofErr w:type="spellStart"/>
      <w:r w:rsidRPr="00DD1225">
        <w:rPr>
          <w:rFonts w:ascii="CMU Serif" w:hAnsi="CMU Serif" w:cs="CMU Serif"/>
          <w:sz w:val="19"/>
          <w:szCs w:val="19"/>
          <w:lang w:val="en-US"/>
        </w:rPr>
        <w:t>Aharon</w:t>
      </w:r>
      <w:proofErr w:type="spellEnd"/>
      <w:r w:rsidRPr="00DD1225">
        <w:rPr>
          <w:rFonts w:ascii="CMU Serif" w:hAnsi="CMU Serif" w:cs="CMU Serif"/>
          <w:sz w:val="19"/>
          <w:szCs w:val="19"/>
          <w:lang w:val="en-US"/>
        </w:rPr>
        <w:t xml:space="preserve">, Ono Academic College, Faculty of Business Administration, Tzahal St 104, </w:t>
      </w:r>
      <w:proofErr w:type="spellStart"/>
      <w:r w:rsidRPr="00DD1225">
        <w:rPr>
          <w:rFonts w:ascii="CMU Serif" w:hAnsi="CMU Serif" w:cs="CMU Serif"/>
          <w:sz w:val="19"/>
          <w:szCs w:val="19"/>
          <w:lang w:val="en-US"/>
        </w:rPr>
        <w:t>Kiryat</w:t>
      </w:r>
      <w:proofErr w:type="spellEnd"/>
      <w:r w:rsidRPr="00DD1225">
        <w:rPr>
          <w:rFonts w:ascii="CMU Serif" w:hAnsi="CMU Serif" w:cs="CMU Serif"/>
          <w:sz w:val="19"/>
          <w:szCs w:val="19"/>
          <w:lang w:val="en-US"/>
        </w:rPr>
        <w:t xml:space="preserve"> Ono, Israel, email: dudi.ah@ono.ac.il.</w:t>
      </w:r>
    </w:p>
    <w:p w14:paraId="01C958CA" w14:textId="77777777" w:rsidR="00DD1225" w:rsidRPr="00DD1225" w:rsidRDefault="00DD1225" w:rsidP="00DD1225">
      <w:pPr>
        <w:spacing w:after="0" w:line="240" w:lineRule="auto"/>
        <w:jc w:val="both"/>
        <w:rPr>
          <w:rFonts w:ascii="CMU Serif" w:hAnsi="CMU Serif" w:cs="CMU Serif"/>
          <w:sz w:val="19"/>
          <w:szCs w:val="19"/>
          <w:lang w:val="en-US"/>
        </w:rPr>
      </w:pPr>
      <w:r w:rsidRPr="00DD1225">
        <w:rPr>
          <w:rFonts w:ascii="CMU Serif" w:hAnsi="CMU Serif" w:cs="CMU Serif"/>
          <w:sz w:val="19"/>
          <w:szCs w:val="19"/>
          <w:vertAlign w:val="superscript"/>
          <w:lang w:val="en-US"/>
        </w:rPr>
        <w:t>δ</w:t>
      </w:r>
      <w:r w:rsidRPr="00DD1225">
        <w:rPr>
          <w:rFonts w:ascii="CMU Serif" w:hAnsi="CMU Serif" w:cs="CMU Serif"/>
          <w:sz w:val="19"/>
          <w:szCs w:val="19"/>
          <w:lang w:val="en-US"/>
        </w:rPr>
        <w:t xml:space="preserve"> </w:t>
      </w:r>
      <w:proofErr w:type="spellStart"/>
      <w:r w:rsidRPr="00DD1225">
        <w:rPr>
          <w:rFonts w:ascii="CMU Serif" w:hAnsi="CMU Serif" w:cs="CMU Serif"/>
          <w:sz w:val="19"/>
          <w:szCs w:val="19"/>
          <w:lang w:val="en-US"/>
        </w:rPr>
        <w:t>Zaghum</w:t>
      </w:r>
      <w:proofErr w:type="spellEnd"/>
      <w:r w:rsidRPr="00DD1225">
        <w:rPr>
          <w:rFonts w:ascii="CMU Serif" w:hAnsi="CMU Serif" w:cs="CMU Serif"/>
          <w:sz w:val="19"/>
          <w:szCs w:val="19"/>
          <w:lang w:val="en-US"/>
        </w:rPr>
        <w:t xml:space="preserve"> Umar, 1) Zayed University, College of Business, P.O. Box 144534. Abu Dhabi, United Arab Emirates; 2) South Ural State University, Chelyabinsk, Russian Federation. Email: </w:t>
      </w:r>
      <w:hyperlink r:id="rId8" w:history="1">
        <w:r w:rsidRPr="00DD1225">
          <w:rPr>
            <w:rStyle w:val="Hyperlink"/>
            <w:rFonts w:ascii="CMU Serif" w:hAnsi="CMU Serif" w:cs="CMU Serif"/>
            <w:sz w:val="19"/>
            <w:szCs w:val="19"/>
            <w:lang w:val="en-US"/>
          </w:rPr>
          <w:t>zaghum.umar@gmail.com</w:t>
        </w:r>
      </w:hyperlink>
      <w:r w:rsidRPr="00DD1225">
        <w:rPr>
          <w:rFonts w:ascii="CMU Serif" w:hAnsi="CMU Serif" w:cs="CMU Serif"/>
          <w:sz w:val="19"/>
          <w:szCs w:val="19"/>
          <w:lang w:val="en-US"/>
        </w:rPr>
        <w:t>.</w:t>
      </w:r>
    </w:p>
    <w:p w14:paraId="245FE326" w14:textId="77777777" w:rsidR="00DD1225" w:rsidRPr="00DD1225" w:rsidRDefault="00DD1225" w:rsidP="00DD1225">
      <w:pPr>
        <w:spacing w:after="0" w:line="240" w:lineRule="auto"/>
        <w:jc w:val="both"/>
        <w:rPr>
          <w:lang w:val="en-ZA"/>
        </w:rPr>
      </w:pPr>
      <w:r w:rsidRPr="00DD1225">
        <w:rPr>
          <w:rFonts w:ascii="CMU Serif" w:hAnsi="CMU Serif" w:cs="CMU Serif"/>
          <w:sz w:val="19"/>
          <w:szCs w:val="19"/>
          <w:lang w:val="en-US"/>
        </w:rPr>
        <w:t xml:space="preserve">* We thank Mouhamad M. </w:t>
      </w:r>
      <w:proofErr w:type="spellStart"/>
      <w:r w:rsidRPr="00DD1225">
        <w:rPr>
          <w:rFonts w:ascii="CMU Serif" w:hAnsi="CMU Serif" w:cs="CMU Serif"/>
          <w:sz w:val="19"/>
          <w:szCs w:val="19"/>
          <w:lang w:val="en-US"/>
        </w:rPr>
        <w:t>Allaya</w:t>
      </w:r>
      <w:proofErr w:type="spellEnd"/>
      <w:r w:rsidRPr="00DD1225">
        <w:rPr>
          <w:rFonts w:ascii="CMU Serif" w:hAnsi="CMU Serif" w:cs="CMU Serif"/>
          <w:sz w:val="19"/>
          <w:szCs w:val="19"/>
          <w:lang w:val="en-US"/>
        </w:rPr>
        <w:t xml:space="preserve">, </w:t>
      </w:r>
      <w:proofErr w:type="spellStart"/>
      <w:r w:rsidRPr="00DD1225">
        <w:rPr>
          <w:rFonts w:ascii="CMU Serif" w:hAnsi="CMU Serif" w:cs="CMU Serif"/>
          <w:sz w:val="19"/>
          <w:szCs w:val="19"/>
          <w:lang w:val="en-US"/>
        </w:rPr>
        <w:t>Badar</w:t>
      </w:r>
      <w:proofErr w:type="spellEnd"/>
      <w:r w:rsidRPr="00DD1225">
        <w:rPr>
          <w:rFonts w:ascii="CMU Serif" w:hAnsi="CMU Serif" w:cs="CMU Serif"/>
          <w:sz w:val="19"/>
          <w:szCs w:val="19"/>
          <w:lang w:val="en-US"/>
        </w:rPr>
        <w:t xml:space="preserve"> Nadeem Ashraf, Richard Kima, and Martin Martens for helpful comments and suggestions. All errors remain ours. Adam Zaremba acknowledges the support of the National Science Centre of Poland [Grant No. 2015/19/B/HS4/00378].</w:t>
      </w:r>
    </w:p>
    <w:p w14:paraId="53A6B4BB" w14:textId="5E0D6225" w:rsidR="000E6AB3" w:rsidRPr="00DD1225" w:rsidRDefault="00AE209A" w:rsidP="00C8448A">
      <w:pPr>
        <w:spacing w:after="0" w:line="360" w:lineRule="auto"/>
        <w:jc w:val="center"/>
        <w:rPr>
          <w:rFonts w:ascii="CMU Serif" w:hAnsi="CMU Serif" w:cs="CMU Serif"/>
          <w:b/>
          <w:lang w:val="en-ZA"/>
        </w:rPr>
      </w:pPr>
      <w:r w:rsidRPr="00DD1225">
        <w:rPr>
          <w:rFonts w:ascii="CMU Serif" w:hAnsi="CMU Serif" w:cs="CMU Serif"/>
          <w:b/>
          <w:lang w:val="en-GB"/>
        </w:rPr>
        <w:br w:type="column"/>
      </w:r>
      <w:r w:rsidRPr="00DD1225">
        <w:rPr>
          <w:rFonts w:ascii="CMU Serif" w:hAnsi="CMU Serif" w:cs="CMU Serif"/>
          <w:b/>
          <w:lang w:val="en-ZA"/>
        </w:rPr>
        <w:t>1</w:t>
      </w:r>
      <w:r w:rsidR="00871C34" w:rsidRPr="00DD1225">
        <w:rPr>
          <w:rFonts w:ascii="CMU Serif" w:hAnsi="CMU Serif" w:cs="CMU Serif"/>
          <w:b/>
          <w:lang w:val="en-ZA"/>
        </w:rPr>
        <w:t>. Introduction</w:t>
      </w:r>
    </w:p>
    <w:p w14:paraId="3D704FD6" w14:textId="45221786" w:rsidR="00AC0E00" w:rsidRPr="00DD1225" w:rsidRDefault="00AE209A">
      <w:pPr>
        <w:spacing w:after="0" w:line="360" w:lineRule="auto"/>
        <w:ind w:firstLine="708"/>
        <w:jc w:val="both"/>
        <w:rPr>
          <w:rFonts w:ascii="CMU Serif" w:hAnsi="CMU Serif" w:cs="CMU Serif"/>
          <w:lang w:val="en-ZA"/>
        </w:rPr>
      </w:pPr>
      <w:r w:rsidRPr="00DD1225">
        <w:rPr>
          <w:rFonts w:ascii="CMU Serif" w:hAnsi="CMU Serif" w:cs="CMU Serif"/>
          <w:lang w:val="en-ZA"/>
        </w:rPr>
        <w:t xml:space="preserve">The recent COVID-19 pandemic </w:t>
      </w:r>
      <w:r w:rsidR="00027D88" w:rsidRPr="00DD1225">
        <w:rPr>
          <w:rFonts w:ascii="CMU Serif" w:hAnsi="CMU Serif" w:cs="CMU Serif"/>
          <w:lang w:val="en-ZA"/>
        </w:rPr>
        <w:t>wreaked havoc</w:t>
      </w:r>
      <w:r w:rsidRPr="00DD1225">
        <w:rPr>
          <w:rFonts w:ascii="CMU Serif" w:hAnsi="CMU Serif" w:cs="CMU Serif"/>
          <w:lang w:val="en-ZA"/>
        </w:rPr>
        <w:t xml:space="preserve"> on global financial market</w:t>
      </w:r>
      <w:r w:rsidR="0089606E" w:rsidRPr="00DD1225">
        <w:rPr>
          <w:rFonts w:ascii="CMU Serif" w:hAnsi="CMU Serif" w:cs="CMU Serif"/>
          <w:lang w:val="en-ZA"/>
        </w:rPr>
        <w:t>s</w:t>
      </w:r>
      <w:r w:rsidRPr="00DD1225">
        <w:rPr>
          <w:rFonts w:ascii="CMU Serif" w:hAnsi="CMU Serif" w:cs="CMU Serif"/>
          <w:lang w:val="en-ZA"/>
        </w:rPr>
        <w:t xml:space="preserve"> (Baker et al. 2020</w:t>
      </w:r>
      <w:r w:rsidR="00FF7CBA" w:rsidRPr="00DD1225">
        <w:rPr>
          <w:rFonts w:ascii="CMU Serif" w:hAnsi="CMU Serif" w:cs="CMU Serif"/>
          <w:lang w:val="en-ZA"/>
        </w:rPr>
        <w:t>a</w:t>
      </w:r>
      <w:r w:rsidRPr="00DD1225">
        <w:rPr>
          <w:rFonts w:ascii="CMU Serif" w:hAnsi="CMU Serif" w:cs="CMU Serif"/>
          <w:lang w:val="en-ZA"/>
        </w:rPr>
        <w:t xml:space="preserve">). While its </w:t>
      </w:r>
      <w:r w:rsidR="000E6AB3" w:rsidRPr="00DD1225">
        <w:rPr>
          <w:rFonts w:ascii="CMU Serif" w:hAnsi="CMU Serif" w:cs="CMU Serif"/>
          <w:lang w:val="en-ZA"/>
        </w:rPr>
        <w:t>influence</w:t>
      </w:r>
      <w:r w:rsidRPr="00DD1225">
        <w:rPr>
          <w:rFonts w:ascii="CMU Serif" w:hAnsi="CMU Serif" w:cs="CMU Serif"/>
          <w:lang w:val="en-ZA"/>
        </w:rPr>
        <w:t xml:space="preserve"> on equities, commodities, </w:t>
      </w:r>
      <w:r w:rsidR="00EA0235" w:rsidRPr="00DD1225">
        <w:rPr>
          <w:rFonts w:ascii="CMU Serif" w:hAnsi="CMU Serif" w:cs="CMU Serif"/>
          <w:lang w:val="en-ZA"/>
        </w:rPr>
        <w:t>or</w:t>
      </w:r>
      <w:r w:rsidRPr="00DD1225">
        <w:rPr>
          <w:rFonts w:ascii="CMU Serif" w:hAnsi="CMU Serif" w:cs="CMU Serif"/>
          <w:lang w:val="en-ZA"/>
        </w:rPr>
        <w:t xml:space="preserve"> cryptocurrencies has been thoroughly </w:t>
      </w:r>
      <w:r w:rsidR="000E6AB3" w:rsidRPr="00DD1225">
        <w:rPr>
          <w:rFonts w:ascii="CMU Serif" w:hAnsi="CMU Serif" w:cs="CMU Serif"/>
          <w:lang w:val="en-ZA"/>
        </w:rPr>
        <w:t>scrutinized</w:t>
      </w:r>
      <w:r w:rsidRPr="00DD1225">
        <w:rPr>
          <w:rFonts w:ascii="CMU Serif" w:hAnsi="CMU Serif" w:cs="CMU Serif"/>
          <w:lang w:val="en-ZA"/>
        </w:rPr>
        <w:t>, government bond markets' response is an unchartered land</w:t>
      </w:r>
      <w:r w:rsidR="0094227E" w:rsidRPr="00DD1225">
        <w:rPr>
          <w:rFonts w:ascii="CMU Serif" w:hAnsi="CMU Serif" w:cs="CMU Serif"/>
          <w:lang w:val="en-ZA"/>
        </w:rPr>
        <w:t>—</w:t>
      </w:r>
      <w:r w:rsidR="00502F39" w:rsidRPr="00DD1225">
        <w:rPr>
          <w:rFonts w:ascii="CMU Serif" w:hAnsi="CMU Serif" w:cs="CMU Serif"/>
          <w:lang w:val="en-ZA"/>
        </w:rPr>
        <w:t>a mission we wish to rectify</w:t>
      </w:r>
      <w:r w:rsidRPr="00DD1225">
        <w:rPr>
          <w:rFonts w:ascii="CMU Serif" w:hAnsi="CMU Serif" w:cs="CMU Serif"/>
          <w:lang w:val="en-ZA"/>
        </w:rPr>
        <w:t xml:space="preserve">. </w:t>
      </w:r>
      <w:r w:rsidR="00480266" w:rsidRPr="00DD1225">
        <w:rPr>
          <w:rFonts w:ascii="CMU Serif" w:hAnsi="CMU Serif" w:cs="CMU Serif"/>
          <w:lang w:val="en-ZA"/>
        </w:rPr>
        <w:t xml:space="preserve">He et al. (2020), who examine U.S. Treasuries, Arellano et al. (2020), </w:t>
      </w:r>
      <w:proofErr w:type="spellStart"/>
      <w:r w:rsidR="00480266" w:rsidRPr="00DD1225">
        <w:rPr>
          <w:rFonts w:ascii="CMU Serif" w:hAnsi="CMU Serif" w:cs="CMU Serif"/>
          <w:lang w:val="en-ZA"/>
        </w:rPr>
        <w:t>Gubareva</w:t>
      </w:r>
      <w:proofErr w:type="spellEnd"/>
      <w:r w:rsidR="00480266" w:rsidRPr="00DD1225">
        <w:rPr>
          <w:rFonts w:ascii="CMU Serif" w:hAnsi="CMU Serif" w:cs="CMU Serif"/>
          <w:lang w:val="en-ZA"/>
        </w:rPr>
        <w:t xml:space="preserve"> (2020), and </w:t>
      </w:r>
      <w:proofErr w:type="spellStart"/>
      <w:r w:rsidR="00480266" w:rsidRPr="00DD1225">
        <w:rPr>
          <w:rFonts w:ascii="CMU Serif" w:hAnsi="CMU Serif" w:cs="CMU Serif"/>
          <w:lang w:val="en-ZA"/>
        </w:rPr>
        <w:t>Sène</w:t>
      </w:r>
      <w:proofErr w:type="spellEnd"/>
      <w:r w:rsidR="00480266" w:rsidRPr="00DD1225">
        <w:rPr>
          <w:rFonts w:ascii="CMU Serif" w:hAnsi="CMU Serif" w:cs="CMU Serif"/>
          <w:lang w:val="en-ZA"/>
        </w:rPr>
        <w:t xml:space="preserve"> et al. (2020), who focus on emerging market bonds, Hartley and </w:t>
      </w:r>
      <w:proofErr w:type="spellStart"/>
      <w:r w:rsidR="00480266" w:rsidRPr="00DD1225">
        <w:rPr>
          <w:rFonts w:ascii="CMU Serif" w:hAnsi="CMU Serif" w:cs="CMU Serif"/>
          <w:lang w:val="en-ZA"/>
        </w:rPr>
        <w:t>Rebucci</w:t>
      </w:r>
      <w:proofErr w:type="spellEnd"/>
      <w:r w:rsidR="00480266" w:rsidRPr="00DD1225">
        <w:rPr>
          <w:rFonts w:ascii="CMU Serif" w:hAnsi="CMU Serif" w:cs="CMU Serif"/>
          <w:lang w:val="en-ZA"/>
        </w:rPr>
        <w:t xml:space="preserve"> (2020), who examine the impact of the post-pandemic quantitative easing in 21 bond markets, and Zaremba et al. (202</w:t>
      </w:r>
      <w:r w:rsidR="00422B76" w:rsidRPr="00DD1225">
        <w:rPr>
          <w:rFonts w:ascii="CMU Serif" w:hAnsi="CMU Serif" w:cs="CMU Serif"/>
          <w:lang w:val="en-ZA"/>
        </w:rPr>
        <w:t>0</w:t>
      </w:r>
      <w:r w:rsidR="00480266" w:rsidRPr="00DD1225">
        <w:rPr>
          <w:rFonts w:ascii="CMU Serif" w:hAnsi="CMU Serif" w:cs="CMU Serif"/>
          <w:lang w:val="en-ZA"/>
        </w:rPr>
        <w:t>), who find that more stringent government responses are conducive to lower sovereign bond volatility, are exceptions</w:t>
      </w:r>
      <w:r w:rsidR="00502F39" w:rsidRPr="00DD1225">
        <w:rPr>
          <w:rFonts w:ascii="CMU Serif" w:hAnsi="CMU Serif" w:cs="CMU Serif"/>
          <w:lang w:val="en-ZA"/>
        </w:rPr>
        <w:t>.</w:t>
      </w:r>
      <w:r w:rsidR="00F73709" w:rsidRPr="00DD1225">
        <w:rPr>
          <w:rFonts w:ascii="CMU Serif" w:hAnsi="CMU Serif" w:cs="CMU Serif"/>
          <w:lang w:val="en-ZA"/>
        </w:rPr>
        <w:t xml:space="preserve"> Joining this line of very</w:t>
      </w:r>
      <w:r w:rsidR="00304D09" w:rsidRPr="00DD1225">
        <w:rPr>
          <w:rFonts w:ascii="CMU Serif" w:hAnsi="CMU Serif" w:cs="CMU Serif"/>
          <w:lang w:val="en-US"/>
        </w:rPr>
        <w:t xml:space="preserve"> scarce</w:t>
      </w:r>
      <w:r w:rsidR="00F73709" w:rsidRPr="00DD1225">
        <w:rPr>
          <w:rFonts w:ascii="CMU Serif" w:hAnsi="CMU Serif" w:cs="CMU Serif"/>
          <w:lang w:val="en-ZA"/>
        </w:rPr>
        <w:t xml:space="preserve"> </w:t>
      </w:r>
      <w:r w:rsidR="00304D09" w:rsidRPr="00DD1225">
        <w:rPr>
          <w:rFonts w:ascii="CMU Serif" w:hAnsi="CMU Serif" w:cs="CMU Serif"/>
          <w:lang w:val="en-ZA"/>
        </w:rPr>
        <w:t>studies</w:t>
      </w:r>
      <w:r w:rsidRPr="00DD1225">
        <w:rPr>
          <w:rFonts w:ascii="CMU Serif" w:hAnsi="CMU Serif" w:cs="CMU Serif"/>
          <w:lang w:val="en-ZA"/>
        </w:rPr>
        <w:t xml:space="preserve">, we </w:t>
      </w:r>
      <w:r w:rsidR="0089606E" w:rsidRPr="00DD1225">
        <w:rPr>
          <w:rFonts w:ascii="CMU Serif" w:hAnsi="CMU Serif" w:cs="CMU Serif"/>
          <w:lang w:val="en-ZA"/>
        </w:rPr>
        <w:t xml:space="preserve">are the first </w:t>
      </w:r>
      <w:r w:rsidR="000E6AB3" w:rsidRPr="00DD1225">
        <w:rPr>
          <w:rFonts w:ascii="CMU Serif" w:hAnsi="CMU Serif" w:cs="CMU Serif"/>
          <w:lang w:val="en-ZA"/>
        </w:rPr>
        <w:t xml:space="preserve">to investigate the effect of </w:t>
      </w:r>
      <w:r w:rsidR="00502F39" w:rsidRPr="00DD1225">
        <w:rPr>
          <w:rFonts w:ascii="CMU Serif" w:hAnsi="CMU Serif" w:cs="CMU Serif"/>
          <w:lang w:val="en-ZA"/>
        </w:rPr>
        <w:t>COVID-19</w:t>
      </w:r>
      <w:r w:rsidR="000E6AB3" w:rsidRPr="00DD1225">
        <w:rPr>
          <w:rFonts w:ascii="CMU Serif" w:hAnsi="CMU Serif" w:cs="CMU Serif"/>
          <w:lang w:val="en-ZA"/>
        </w:rPr>
        <w:t xml:space="preserve"> on government bond term spread</w:t>
      </w:r>
      <w:r w:rsidR="00AF7BD6" w:rsidRPr="00DD1225">
        <w:rPr>
          <w:rFonts w:ascii="CMU Serif" w:hAnsi="CMU Serif" w:cs="CMU Serif"/>
          <w:lang w:val="en-ZA"/>
        </w:rPr>
        <w:t xml:space="preserve"> (henceforth, spread)</w:t>
      </w:r>
      <w:r w:rsidR="000E6AB3" w:rsidRPr="00DD1225">
        <w:rPr>
          <w:rFonts w:ascii="CMU Serif" w:hAnsi="CMU Serif" w:cs="CMU Serif"/>
          <w:lang w:val="en-ZA"/>
        </w:rPr>
        <w:t xml:space="preserve"> around the world.</w:t>
      </w:r>
    </w:p>
    <w:p w14:paraId="7D1BC943" w14:textId="055654C2" w:rsidR="00CF39A2" w:rsidRPr="00DD1225" w:rsidRDefault="00AE209A">
      <w:pPr>
        <w:spacing w:after="0" w:line="360" w:lineRule="auto"/>
        <w:ind w:firstLine="708"/>
        <w:jc w:val="both"/>
        <w:rPr>
          <w:rFonts w:ascii="CMU Serif" w:hAnsi="CMU Serif" w:cs="CMU Serif"/>
          <w:lang w:val="en-ZA"/>
        </w:rPr>
      </w:pPr>
      <w:bookmarkStart w:id="0" w:name="_Hlk61340720"/>
      <w:bookmarkStart w:id="1" w:name="_Hlk61870197"/>
      <w:r w:rsidRPr="00DD1225">
        <w:rPr>
          <w:rFonts w:ascii="CMU Serif" w:hAnsi="CMU Serif" w:cs="CMU Serif"/>
          <w:lang w:val="en-ZA"/>
        </w:rPr>
        <w:t>The bond yield curve reflects the expectations about the future path of short-run rates (</w:t>
      </w:r>
      <w:r w:rsidR="00B7661A" w:rsidRPr="00DD1225">
        <w:rPr>
          <w:rFonts w:ascii="CMU Serif" w:hAnsi="CMU Serif" w:cs="CMU Serif"/>
          <w:iCs/>
          <w:lang w:val="en-ZA"/>
        </w:rPr>
        <w:t>Namely</w:t>
      </w:r>
      <w:r w:rsidR="00B7661A" w:rsidRPr="00DD1225">
        <w:rPr>
          <w:rFonts w:ascii="CMU Serif" w:hAnsi="CMU Serif" w:cs="CMU Serif"/>
          <w:i/>
          <w:lang w:val="en-ZA"/>
        </w:rPr>
        <w:t xml:space="preserve">, </w:t>
      </w:r>
      <w:r w:rsidR="00B83787" w:rsidRPr="00DD1225">
        <w:rPr>
          <w:rFonts w:ascii="CMU Serif" w:hAnsi="CMU Serif" w:cs="CMU Serif"/>
          <w:lang w:val="en-ZA"/>
        </w:rPr>
        <w:t>the</w:t>
      </w:r>
      <w:r w:rsidR="0063474F" w:rsidRPr="00DD1225">
        <w:rPr>
          <w:rFonts w:ascii="CMU Serif" w:hAnsi="CMU Serif" w:cs="CMU Serif"/>
          <w:lang w:val="en-ZA"/>
        </w:rPr>
        <w:t xml:space="preserve"> </w:t>
      </w:r>
      <w:r w:rsidRPr="00DD1225">
        <w:rPr>
          <w:rFonts w:ascii="CMU Serif" w:hAnsi="CMU Serif" w:cs="CMU Serif"/>
          <w:lang w:val="en-ZA"/>
        </w:rPr>
        <w:t xml:space="preserve">"Expectations Hypothesis") </w:t>
      </w:r>
      <w:r w:rsidR="0063474F" w:rsidRPr="00DD1225">
        <w:rPr>
          <w:rFonts w:ascii="CMU Serif" w:hAnsi="CMU Serif" w:cs="CMU Serif"/>
          <w:lang w:val="en-ZA"/>
        </w:rPr>
        <w:t xml:space="preserve">and perceived future risk contained in the risk premia. The link between term spread and uncertainty is also embedded in the Keynesian liquidity preference theory, dating back to Keynes (1936). High levels of uncertainty </w:t>
      </w:r>
      <w:r w:rsidR="00B83787" w:rsidRPr="00DD1225">
        <w:rPr>
          <w:rFonts w:ascii="CMU Serif" w:hAnsi="CMU Serif" w:cs="CMU Serif"/>
          <w:lang w:val="en-ZA"/>
        </w:rPr>
        <w:t>may</w:t>
      </w:r>
      <w:r w:rsidR="0063474F" w:rsidRPr="00DD1225">
        <w:rPr>
          <w:rFonts w:ascii="CMU Serif" w:hAnsi="CMU Serif" w:cs="CMU Serif"/>
          <w:lang w:val="en-ZA"/>
        </w:rPr>
        <w:t xml:space="preserve"> </w:t>
      </w:r>
      <w:r w:rsidR="00B7661A" w:rsidRPr="00DD1225">
        <w:rPr>
          <w:rFonts w:ascii="CMU Serif" w:hAnsi="CMU Serif" w:cs="CMU Serif"/>
          <w:lang w:val="en-ZA"/>
        </w:rPr>
        <w:t xml:space="preserve">induce </w:t>
      </w:r>
      <w:r w:rsidR="0063474F" w:rsidRPr="00DD1225">
        <w:rPr>
          <w:rFonts w:ascii="CMU Serif" w:hAnsi="CMU Serif" w:cs="CMU Serif"/>
          <w:lang w:val="en-ZA"/>
        </w:rPr>
        <w:t xml:space="preserve">growing demand for speculative and precautionary cash holdings </w:t>
      </w:r>
      <w:r w:rsidR="00B7661A" w:rsidRPr="00DD1225">
        <w:rPr>
          <w:rFonts w:ascii="CMU Serif" w:hAnsi="CMU Serif" w:cs="CMU Serif"/>
          <w:lang w:val="en-ZA"/>
        </w:rPr>
        <w:t xml:space="preserve">since </w:t>
      </w:r>
      <w:r w:rsidR="0063474F" w:rsidRPr="00DD1225">
        <w:rPr>
          <w:rFonts w:ascii="CMU Serif" w:hAnsi="CMU Serif" w:cs="CMU Serif"/>
          <w:lang w:val="en-ZA"/>
        </w:rPr>
        <w:t>liquidity provides a safety cushion and allows to react quickly to unforeseen market developments.</w:t>
      </w:r>
      <w:r w:rsidR="002543F0" w:rsidRPr="00DD1225">
        <w:rPr>
          <w:rFonts w:ascii="CMU Serif" w:hAnsi="CMU Serif" w:cs="CMU Serif"/>
          <w:lang w:val="en-ZA"/>
        </w:rPr>
        <w:t xml:space="preserve"> </w:t>
      </w:r>
      <w:r w:rsidR="00CF39A2" w:rsidRPr="00DD1225">
        <w:rPr>
          <w:rFonts w:ascii="CMU Serif" w:hAnsi="CMU Serif" w:cs="CMU Serif"/>
          <w:lang w:val="en-ZA"/>
        </w:rPr>
        <w:t>Empirical evidence lends support to the links between bond spreads, economic uncertainty, and global and local shocks (</w:t>
      </w:r>
      <w:proofErr w:type="spellStart"/>
      <w:r w:rsidR="00CF39A2" w:rsidRPr="00DD1225">
        <w:rPr>
          <w:rFonts w:ascii="CMU Serif" w:hAnsi="CMU Serif" w:cs="CMU Serif"/>
          <w:lang w:val="en-ZA"/>
        </w:rPr>
        <w:t>Beber</w:t>
      </w:r>
      <w:proofErr w:type="spellEnd"/>
      <w:r w:rsidR="00CF39A2" w:rsidRPr="00DD1225">
        <w:rPr>
          <w:rFonts w:ascii="CMU Serif" w:hAnsi="CMU Serif" w:cs="CMU Serif"/>
          <w:lang w:val="en-ZA"/>
        </w:rPr>
        <w:t xml:space="preserve"> et al. 2009; </w:t>
      </w:r>
      <w:proofErr w:type="spellStart"/>
      <w:r w:rsidR="00CF39A2" w:rsidRPr="00DD1225">
        <w:rPr>
          <w:rFonts w:ascii="CMU Serif" w:hAnsi="CMU Serif" w:cs="CMU Serif"/>
          <w:lang w:val="en-ZA"/>
        </w:rPr>
        <w:t>Sgherri</w:t>
      </w:r>
      <w:proofErr w:type="spellEnd"/>
      <w:r w:rsidR="00CF39A2" w:rsidRPr="00DD1225">
        <w:rPr>
          <w:rFonts w:ascii="CMU Serif" w:hAnsi="CMU Serif" w:cs="CMU Serif"/>
          <w:lang w:val="en-ZA"/>
        </w:rPr>
        <w:t xml:space="preserve"> and Zoli 2009; Augustin 2018). In consequence,</w:t>
      </w:r>
      <w:r w:rsidR="00460BC2" w:rsidRPr="00DD1225">
        <w:rPr>
          <w:rFonts w:ascii="CMU Serif" w:hAnsi="CMU Serif" w:cs="CMU Serif"/>
          <w:lang w:val="en-ZA"/>
        </w:rPr>
        <w:t xml:space="preserve"> the spread also contains information about expectations of future economic conditions, including output and growth (Ang et al., 2006; </w:t>
      </w:r>
      <w:proofErr w:type="spellStart"/>
      <w:r w:rsidR="00460BC2" w:rsidRPr="00DD1225">
        <w:rPr>
          <w:rFonts w:ascii="CMU Serif" w:hAnsi="CMU Serif" w:cs="CMU Serif"/>
          <w:lang w:val="en-ZA"/>
        </w:rPr>
        <w:t>Favero</w:t>
      </w:r>
      <w:proofErr w:type="spellEnd"/>
      <w:r w:rsidR="00460BC2" w:rsidRPr="00DD1225">
        <w:rPr>
          <w:rFonts w:ascii="CMU Serif" w:hAnsi="CMU Serif" w:cs="CMU Serif"/>
          <w:lang w:val="en-ZA"/>
        </w:rPr>
        <w:t xml:space="preserve"> et al., 2012; Rudebusch and Wu 2008). </w:t>
      </w:r>
    </w:p>
    <w:p w14:paraId="5D6BDF38" w14:textId="63CD6EC2" w:rsidR="000B62F7" w:rsidRPr="00DD1225" w:rsidRDefault="00AE209A">
      <w:pPr>
        <w:spacing w:after="0" w:line="360" w:lineRule="auto"/>
        <w:ind w:firstLine="708"/>
        <w:jc w:val="both"/>
        <w:rPr>
          <w:rFonts w:ascii="CMU Serif" w:hAnsi="CMU Serif" w:cs="CMU Serif"/>
          <w:lang w:val="en-ZA"/>
        </w:rPr>
      </w:pPr>
      <w:r w:rsidRPr="00DD1225">
        <w:rPr>
          <w:rFonts w:ascii="CMU Serif" w:hAnsi="CMU Serif" w:cs="CMU Serif"/>
          <w:lang w:val="en-ZA"/>
        </w:rPr>
        <w:t>The term spread</w:t>
      </w:r>
      <w:r w:rsidR="0094227E" w:rsidRPr="00DD1225">
        <w:rPr>
          <w:rFonts w:ascii="CMU Serif" w:hAnsi="CMU Serif" w:cs="CMU Serif"/>
          <w:lang w:val="en-ZA"/>
        </w:rPr>
        <w:t>/</w:t>
      </w:r>
      <w:r w:rsidR="00F43CD3" w:rsidRPr="00DD1225">
        <w:rPr>
          <w:rFonts w:ascii="CMU Serif" w:hAnsi="CMU Serif" w:cs="CMU Serif"/>
          <w:lang w:val="en-ZA"/>
        </w:rPr>
        <w:t>COVID-19</w:t>
      </w:r>
      <w:r w:rsidRPr="00DD1225">
        <w:rPr>
          <w:rFonts w:ascii="CMU Serif" w:hAnsi="CMU Serif" w:cs="CMU Serif"/>
          <w:lang w:val="en-ZA"/>
        </w:rPr>
        <w:t xml:space="preserve"> </w:t>
      </w:r>
      <w:r w:rsidR="00F43CD3" w:rsidRPr="00DD1225">
        <w:rPr>
          <w:rFonts w:ascii="CMU Serif" w:hAnsi="CMU Serif" w:cs="CMU Serif"/>
          <w:lang w:val="en-ZA"/>
        </w:rPr>
        <w:t xml:space="preserve">nexus can </w:t>
      </w:r>
      <w:r w:rsidR="00E73C41" w:rsidRPr="00DD1225">
        <w:rPr>
          <w:rFonts w:ascii="CMU Serif" w:hAnsi="CMU Serif" w:cs="CMU Serif"/>
          <w:lang w:val="en-ZA"/>
        </w:rPr>
        <w:t>manifest through</w:t>
      </w:r>
      <w:r w:rsidR="00F43CD3" w:rsidRPr="00DD1225">
        <w:rPr>
          <w:rFonts w:ascii="CMU Serif" w:hAnsi="CMU Serif" w:cs="CMU Serif"/>
          <w:lang w:val="en-ZA"/>
        </w:rPr>
        <w:t xml:space="preserve"> </w:t>
      </w:r>
      <w:r w:rsidR="00304D09" w:rsidRPr="00DD1225">
        <w:rPr>
          <w:rFonts w:ascii="CMU Serif" w:hAnsi="CMU Serif" w:cs="CMU Serif"/>
          <w:lang w:val="en-ZA"/>
        </w:rPr>
        <w:t>several</w:t>
      </w:r>
      <w:r w:rsidRPr="00DD1225">
        <w:rPr>
          <w:rFonts w:ascii="CMU Serif" w:hAnsi="CMU Serif" w:cs="CMU Serif"/>
          <w:lang w:val="en-ZA"/>
        </w:rPr>
        <w:t xml:space="preserve"> channels. First, enormous economic costs of COVID-19 may impa</w:t>
      </w:r>
      <w:r w:rsidR="00501F01" w:rsidRPr="00DD1225">
        <w:rPr>
          <w:rFonts w:ascii="CMU Serif" w:hAnsi="CMU Serif" w:cs="CMU Serif"/>
          <w:lang w:val="en-ZA"/>
        </w:rPr>
        <w:t xml:space="preserve">ir </w:t>
      </w:r>
      <w:r w:rsidR="0094227E" w:rsidRPr="00DD1225">
        <w:rPr>
          <w:rFonts w:ascii="CMU Serif" w:hAnsi="CMU Serif" w:cs="CMU Serif"/>
          <w:lang w:val="en-ZA"/>
        </w:rPr>
        <w:t>a</w:t>
      </w:r>
      <w:r w:rsidR="00501F01" w:rsidRPr="00DD1225">
        <w:rPr>
          <w:rFonts w:ascii="CMU Serif" w:hAnsi="CMU Serif" w:cs="CMU Serif"/>
          <w:lang w:val="en-ZA"/>
        </w:rPr>
        <w:t xml:space="preserve"> country</w:t>
      </w:r>
      <w:r w:rsidR="00DD02CD" w:rsidRPr="00DD1225">
        <w:rPr>
          <w:rFonts w:ascii="CMU Serif" w:hAnsi="CMU Serif" w:cs="CMU Serif"/>
          <w:lang w:val="en-ZA"/>
        </w:rPr>
        <w:t>'</w:t>
      </w:r>
      <w:r w:rsidR="00501F01" w:rsidRPr="00DD1225">
        <w:rPr>
          <w:rFonts w:ascii="CMU Serif" w:hAnsi="CMU Serif" w:cs="CMU Serif"/>
          <w:lang w:val="en-ZA"/>
        </w:rPr>
        <w:t xml:space="preserve">s financial position, </w:t>
      </w:r>
      <w:r w:rsidR="00885BB1" w:rsidRPr="00DD1225">
        <w:rPr>
          <w:rFonts w:ascii="CMU Serif" w:hAnsi="CMU Serif" w:cs="CMU Serif"/>
          <w:lang w:val="en-ZA"/>
        </w:rPr>
        <w:t xml:space="preserve">which </w:t>
      </w:r>
      <w:r w:rsidR="003C50DA" w:rsidRPr="00DD1225">
        <w:rPr>
          <w:rFonts w:ascii="CMU Serif" w:hAnsi="CMU Serif" w:cs="CMU Serif"/>
          <w:lang w:val="en-ZA"/>
        </w:rPr>
        <w:t>translates into</w:t>
      </w:r>
      <w:r w:rsidR="00885BB1" w:rsidRPr="00DD1225">
        <w:rPr>
          <w:rFonts w:ascii="CMU Serif" w:hAnsi="CMU Serif" w:cs="CMU Serif"/>
          <w:lang w:val="en-ZA"/>
        </w:rPr>
        <w:t xml:space="preserve"> higher</w:t>
      </w:r>
      <w:r w:rsidR="00501F01" w:rsidRPr="00DD1225">
        <w:rPr>
          <w:rFonts w:ascii="CMU Serif" w:hAnsi="CMU Serif" w:cs="CMU Serif"/>
          <w:lang w:val="en-ZA"/>
        </w:rPr>
        <w:t xml:space="preserve"> </w:t>
      </w:r>
      <w:r w:rsidRPr="00DD1225">
        <w:rPr>
          <w:rFonts w:ascii="CMU Serif" w:hAnsi="CMU Serif" w:cs="CMU Serif"/>
          <w:lang w:val="en-ZA"/>
        </w:rPr>
        <w:t>default risk (Arellano et al. 2020). This COVID-inflated economic uncertainty (Baker et al. 2020</w:t>
      </w:r>
      <w:r w:rsidR="00FF7CBA" w:rsidRPr="00DD1225">
        <w:rPr>
          <w:rFonts w:ascii="CMU Serif" w:hAnsi="CMU Serif" w:cs="CMU Serif"/>
          <w:lang w:val="en-ZA"/>
        </w:rPr>
        <w:t>b</w:t>
      </w:r>
      <w:r w:rsidRPr="00DD1225">
        <w:rPr>
          <w:rFonts w:ascii="CMU Serif" w:hAnsi="CMU Serif" w:cs="CMU Serif"/>
          <w:lang w:val="en-ZA"/>
        </w:rPr>
        <w:t xml:space="preserve">; </w:t>
      </w:r>
      <w:proofErr w:type="spellStart"/>
      <w:r w:rsidRPr="00DD1225">
        <w:rPr>
          <w:rFonts w:ascii="CMU Serif" w:hAnsi="CMU Serif" w:cs="CMU Serif"/>
          <w:lang w:val="en-ZA"/>
        </w:rPr>
        <w:t>Altig</w:t>
      </w:r>
      <w:proofErr w:type="spellEnd"/>
      <w:r w:rsidRPr="00DD1225">
        <w:rPr>
          <w:rFonts w:ascii="CMU Serif" w:hAnsi="CMU Serif" w:cs="CMU Serif"/>
          <w:lang w:val="en-ZA"/>
        </w:rPr>
        <w:t xml:space="preserve"> et al. 2020) may steep</w:t>
      </w:r>
      <w:r w:rsidR="00BA2035" w:rsidRPr="00DD1225">
        <w:rPr>
          <w:rFonts w:ascii="CMU Serif" w:hAnsi="CMU Serif" w:cs="CMU Serif"/>
          <w:lang w:val="en-ZA"/>
        </w:rPr>
        <w:t>en</w:t>
      </w:r>
      <w:r w:rsidRPr="00DD1225">
        <w:rPr>
          <w:rFonts w:ascii="CMU Serif" w:hAnsi="CMU Serif" w:cs="CMU Serif"/>
          <w:lang w:val="en-ZA"/>
        </w:rPr>
        <w:t xml:space="preserve"> the curve. </w:t>
      </w:r>
      <w:r w:rsidR="00825483" w:rsidRPr="00DD1225">
        <w:rPr>
          <w:rFonts w:ascii="CMU Serif" w:hAnsi="CMU Serif" w:cs="CMU Serif"/>
          <w:lang w:val="en-ZA"/>
        </w:rPr>
        <w:t>Thus</w:t>
      </w:r>
      <w:r w:rsidRPr="00DD1225">
        <w:rPr>
          <w:rFonts w:ascii="CMU Serif" w:hAnsi="CMU Serif" w:cs="CMU Serif"/>
          <w:lang w:val="en-ZA"/>
        </w:rPr>
        <w:t xml:space="preserve">, </w:t>
      </w:r>
      <w:r w:rsidR="00B71361" w:rsidRPr="00DD1225">
        <w:rPr>
          <w:rFonts w:ascii="CMU Serif" w:hAnsi="CMU Serif" w:cs="CMU Serif"/>
          <w:lang w:val="en-ZA"/>
        </w:rPr>
        <w:t>in the sovereign bond market</w:t>
      </w:r>
      <w:r w:rsidR="00501F01" w:rsidRPr="00DD1225">
        <w:rPr>
          <w:rFonts w:ascii="CMU Serif" w:hAnsi="CMU Serif" w:cs="CMU Serif"/>
          <w:lang w:val="en-ZA"/>
        </w:rPr>
        <w:t xml:space="preserve">, </w:t>
      </w:r>
      <w:r w:rsidR="00B71361" w:rsidRPr="00DD1225">
        <w:rPr>
          <w:rFonts w:ascii="CMU Serif" w:hAnsi="CMU Serif" w:cs="CMU Serif"/>
          <w:lang w:val="en-ZA"/>
        </w:rPr>
        <w:t>investors</w:t>
      </w:r>
      <w:r w:rsidR="00501F01" w:rsidRPr="00DD1225">
        <w:rPr>
          <w:rFonts w:ascii="CMU Serif" w:hAnsi="CMU Serif" w:cs="CMU Serif"/>
          <w:lang w:val="en-ZA"/>
        </w:rPr>
        <w:t xml:space="preserve"> may require a higher risk premium on </w:t>
      </w:r>
      <w:r w:rsidR="00BA2035" w:rsidRPr="00DD1225">
        <w:rPr>
          <w:rFonts w:ascii="CMU Serif" w:hAnsi="CMU Serif" w:cs="CMU Serif"/>
          <w:lang w:val="en-ZA"/>
        </w:rPr>
        <w:t xml:space="preserve">investment in the bonds of </w:t>
      </w:r>
      <w:r w:rsidR="00501F01" w:rsidRPr="00DD1225">
        <w:rPr>
          <w:rFonts w:ascii="CMU Serif" w:hAnsi="CMU Serif" w:cs="CMU Serif"/>
          <w:lang w:val="en-ZA"/>
        </w:rPr>
        <w:t xml:space="preserve">affected countries or overreact to </w:t>
      </w:r>
      <w:r w:rsidR="000B1901" w:rsidRPr="00DD1225">
        <w:rPr>
          <w:rFonts w:ascii="CMU Serif" w:hAnsi="CMU Serif" w:cs="CMU Serif"/>
          <w:lang w:val="en-ZA"/>
        </w:rPr>
        <w:t>pandemic</w:t>
      </w:r>
      <w:r w:rsidR="001C1E4E" w:rsidRPr="00DD1225">
        <w:rPr>
          <w:rFonts w:ascii="CMU Serif" w:hAnsi="CMU Serif" w:cs="CMU Serif"/>
          <w:lang w:val="en-ZA"/>
        </w:rPr>
        <w:t>-related</w:t>
      </w:r>
      <w:r w:rsidR="000B1901" w:rsidRPr="00DD1225">
        <w:rPr>
          <w:rFonts w:ascii="CMU Serif" w:hAnsi="CMU Serif" w:cs="CMU Serif"/>
          <w:lang w:val="en-ZA"/>
        </w:rPr>
        <w:t xml:space="preserve"> </w:t>
      </w:r>
      <w:r w:rsidR="00501F01" w:rsidRPr="00DD1225">
        <w:rPr>
          <w:rFonts w:ascii="CMU Serif" w:hAnsi="CMU Serif" w:cs="CMU Serif"/>
          <w:lang w:val="en-ZA"/>
        </w:rPr>
        <w:t>news (</w:t>
      </w:r>
      <w:proofErr w:type="spellStart"/>
      <w:r w:rsidR="00501F01" w:rsidRPr="00DD1225">
        <w:rPr>
          <w:rFonts w:ascii="CMU Serif" w:hAnsi="CMU Serif" w:cs="CMU Serif"/>
          <w:lang w:val="en-ZA"/>
        </w:rPr>
        <w:t>Sène</w:t>
      </w:r>
      <w:proofErr w:type="spellEnd"/>
      <w:r w:rsidR="00501F01" w:rsidRPr="00DD1225">
        <w:rPr>
          <w:rFonts w:ascii="CMU Serif" w:hAnsi="CMU Serif" w:cs="CMU Serif"/>
          <w:lang w:val="en-ZA"/>
        </w:rPr>
        <w:t xml:space="preserve"> et al. 2020).</w:t>
      </w:r>
      <w:r w:rsidR="000B62F7" w:rsidRPr="00DD1225">
        <w:rPr>
          <w:rFonts w:ascii="CMU Serif" w:hAnsi="CMU Serif" w:cs="CMU Serif"/>
          <w:lang w:val="en-ZA"/>
        </w:rPr>
        <w:t xml:space="preserve"> Second,</w:t>
      </w:r>
      <w:r w:rsidR="00825483" w:rsidRPr="00DD1225">
        <w:rPr>
          <w:rFonts w:ascii="CMU Serif" w:hAnsi="CMU Serif" w:cs="CMU Serif"/>
          <w:lang w:val="en-ZA"/>
        </w:rPr>
        <w:t xml:space="preserve"> the liquidity risk channel implies that bond market investors may rebalance their fixed income portfolio by increasing exposure to more liquid shorter</w:t>
      </w:r>
      <w:r w:rsidR="0048529D" w:rsidRPr="00DD1225">
        <w:rPr>
          <w:rFonts w:ascii="CMU Serif" w:hAnsi="CMU Serif" w:cs="CMU Serif"/>
          <w:lang w:val="en-ZA"/>
        </w:rPr>
        <w:t>-term Treasury securities</w:t>
      </w:r>
      <w:r w:rsidR="003B788E" w:rsidRPr="00DD1225">
        <w:rPr>
          <w:rFonts w:ascii="CMU Serif" w:hAnsi="CMU Serif" w:cs="CMU Serif"/>
          <w:lang w:val="en-ZA"/>
        </w:rPr>
        <w:t xml:space="preserve"> </w:t>
      </w:r>
      <w:r w:rsidR="00CD6AFA" w:rsidRPr="00DD1225">
        <w:rPr>
          <w:rFonts w:ascii="CMU Serif" w:hAnsi="CMU Serif" w:cs="CMU Serif"/>
          <w:lang w:val="en-ZA"/>
        </w:rPr>
        <w:t>(</w:t>
      </w:r>
      <w:proofErr w:type="spellStart"/>
      <w:r w:rsidR="0017110D" w:rsidRPr="00DD1225">
        <w:rPr>
          <w:rFonts w:ascii="CMU Serif" w:hAnsi="CMU Serif" w:cs="CMU Serif"/>
          <w:lang w:val="en-ZA"/>
        </w:rPr>
        <w:t>Vissing</w:t>
      </w:r>
      <w:proofErr w:type="spellEnd"/>
      <w:r w:rsidR="0017110D" w:rsidRPr="00DD1225">
        <w:rPr>
          <w:rFonts w:ascii="CMU Serif" w:hAnsi="CMU Serif" w:cs="CMU Serif"/>
          <w:lang w:val="en-ZA"/>
        </w:rPr>
        <w:t xml:space="preserve">-Jorgensen and </w:t>
      </w:r>
      <w:r w:rsidR="00CD6AFA" w:rsidRPr="00DD1225">
        <w:rPr>
          <w:rFonts w:ascii="CMU Serif" w:hAnsi="CMU Serif" w:cs="CMU Serif"/>
          <w:lang w:val="en-ZA"/>
        </w:rPr>
        <w:t>Krishnamurthy 2011)</w:t>
      </w:r>
      <w:r w:rsidR="00825483" w:rsidRPr="00DD1225">
        <w:rPr>
          <w:rFonts w:ascii="CMU Serif" w:hAnsi="CMU Serif" w:cs="CMU Serif"/>
          <w:lang w:val="en-ZA"/>
        </w:rPr>
        <w:t xml:space="preserve">. Specifically, the buying pressure may drive down the yields on short-term securities (Push 2012). The same argument may lead to liquidity-induced sales of long-term </w:t>
      </w:r>
      <w:r w:rsidR="003645B9" w:rsidRPr="00DD1225">
        <w:rPr>
          <w:rFonts w:ascii="CMU Serif" w:hAnsi="CMU Serif" w:cs="CMU Serif"/>
          <w:lang w:val="en-ZA"/>
        </w:rPr>
        <w:t xml:space="preserve">Treasury </w:t>
      </w:r>
      <w:r w:rsidR="00825483" w:rsidRPr="00DD1225">
        <w:rPr>
          <w:rFonts w:ascii="CMU Serif" w:hAnsi="CMU Serif" w:cs="CMU Serif"/>
          <w:lang w:val="en-ZA"/>
        </w:rPr>
        <w:t xml:space="preserve">securities, raising the yields on long-term bonds. The ensuing rise in the relative supply of longer-term government bonds can amplify the </w:t>
      </w:r>
      <w:r w:rsidR="0048529D" w:rsidRPr="00DD1225">
        <w:rPr>
          <w:rFonts w:ascii="CMU Serif" w:hAnsi="CMU Serif" w:cs="CMU Serif"/>
          <w:lang w:val="en-ZA"/>
        </w:rPr>
        <w:t>spread</w:t>
      </w:r>
      <w:r w:rsidR="00825483" w:rsidRPr="00DD1225">
        <w:rPr>
          <w:rFonts w:ascii="CMU Serif" w:hAnsi="CMU Serif" w:cs="CMU Serif"/>
          <w:lang w:val="en-ZA"/>
        </w:rPr>
        <w:t>.</w:t>
      </w:r>
      <w:r w:rsidR="003645B9" w:rsidRPr="00DD1225">
        <w:rPr>
          <w:rFonts w:ascii="CMU Serif" w:hAnsi="CMU Serif" w:cs="CMU Serif"/>
          <w:lang w:val="en-ZA"/>
        </w:rPr>
        <w:t xml:space="preserve"> </w:t>
      </w:r>
      <w:r w:rsidR="00CF39A2" w:rsidRPr="00DD1225">
        <w:rPr>
          <w:rFonts w:ascii="CMU Serif" w:hAnsi="CMU Serif" w:cs="CMU Serif"/>
          <w:lang w:val="en-ZA"/>
        </w:rPr>
        <w:t>Third, a</w:t>
      </w:r>
      <w:r w:rsidR="003645B9" w:rsidRPr="00DD1225">
        <w:rPr>
          <w:rFonts w:ascii="CMU Serif" w:hAnsi="CMU Serif" w:cs="CMU Serif"/>
          <w:lang w:val="en-ZA"/>
        </w:rPr>
        <w:t xml:space="preserve">ccording to the </w:t>
      </w:r>
      <w:r w:rsidR="00483E3D" w:rsidRPr="00DD1225">
        <w:rPr>
          <w:rFonts w:ascii="CMU Serif" w:hAnsi="CMU Serif" w:cs="CMU Serif"/>
          <w:lang w:val="en-ZA"/>
        </w:rPr>
        <w:t>preferred habitat/</w:t>
      </w:r>
      <w:r w:rsidR="003645B9" w:rsidRPr="00DD1225">
        <w:rPr>
          <w:rFonts w:ascii="CMU Serif" w:hAnsi="CMU Serif" w:cs="CMU Serif"/>
          <w:lang w:val="en-ZA"/>
        </w:rPr>
        <w:t>duration risk channel</w:t>
      </w:r>
      <w:r w:rsidR="00F831C7" w:rsidRPr="00DD1225">
        <w:rPr>
          <w:rFonts w:ascii="CMU Serif" w:hAnsi="CMU Serif" w:cs="CMU Serif"/>
          <w:lang w:val="en-ZA"/>
        </w:rPr>
        <w:t xml:space="preserve"> (</w:t>
      </w:r>
      <w:proofErr w:type="spellStart"/>
      <w:r w:rsidR="00F831C7" w:rsidRPr="00DD1225">
        <w:rPr>
          <w:rFonts w:ascii="CMU Serif" w:hAnsi="CMU Serif" w:cs="CMU Serif"/>
          <w:lang w:val="en-ZA"/>
        </w:rPr>
        <w:t>Vayanos</w:t>
      </w:r>
      <w:proofErr w:type="spellEnd"/>
      <w:r w:rsidR="00F831C7" w:rsidRPr="00DD1225">
        <w:rPr>
          <w:rFonts w:ascii="CMU Serif" w:hAnsi="CMU Serif" w:cs="CMU Serif"/>
          <w:lang w:val="en-ZA"/>
        </w:rPr>
        <w:t xml:space="preserve"> and Vila 2021)</w:t>
      </w:r>
      <w:r w:rsidR="003645B9" w:rsidRPr="00DD1225">
        <w:rPr>
          <w:rFonts w:ascii="CMU Serif" w:hAnsi="CMU Serif" w:cs="CMU Serif"/>
          <w:lang w:val="en-ZA"/>
        </w:rPr>
        <w:t>, a decrease in the short rate should trigger purc</w:t>
      </w:r>
      <w:r w:rsidR="00F831C7" w:rsidRPr="00DD1225">
        <w:rPr>
          <w:rFonts w:ascii="CMU Serif" w:hAnsi="CMU Serif" w:cs="CMU Serif"/>
          <w:lang w:val="en-ZA"/>
        </w:rPr>
        <w:t xml:space="preserve">hases of longer-term securities by arbitrageurs, which translates into higher prices, hence lower yields and term premia on these securities. However, due to short-selling restrictions or </w:t>
      </w:r>
      <w:r w:rsidR="0048529D" w:rsidRPr="00DD1225">
        <w:rPr>
          <w:rFonts w:ascii="CMU Serif" w:hAnsi="CMU Serif" w:cs="CMU Serif"/>
          <w:lang w:val="en-ZA"/>
        </w:rPr>
        <w:t>a credit crunch in the market for short-term loanable funds</w:t>
      </w:r>
      <w:r w:rsidR="00F831C7" w:rsidRPr="00DD1225">
        <w:rPr>
          <w:rFonts w:ascii="CMU Serif" w:hAnsi="CMU Serif" w:cs="CMU Serif"/>
          <w:lang w:val="en-ZA"/>
        </w:rPr>
        <w:t xml:space="preserve">, the moderating </w:t>
      </w:r>
      <w:r w:rsidR="000D1BD0" w:rsidRPr="00DD1225">
        <w:rPr>
          <w:rFonts w:ascii="CMU Serif" w:hAnsi="CMU Serif" w:cs="CMU Serif"/>
          <w:lang w:val="en-ZA"/>
        </w:rPr>
        <w:t xml:space="preserve">term premium </w:t>
      </w:r>
      <w:r w:rsidR="00F831C7" w:rsidRPr="00DD1225">
        <w:rPr>
          <w:rFonts w:ascii="CMU Serif" w:hAnsi="CMU Serif" w:cs="CMU Serif"/>
          <w:lang w:val="en-ZA"/>
        </w:rPr>
        <w:t>effects of the duration risk channel can be limited.</w:t>
      </w:r>
      <w:r w:rsidR="000D1BD0" w:rsidRPr="00DD1225">
        <w:rPr>
          <w:rFonts w:ascii="CMU Serif" w:hAnsi="CMU Serif" w:cs="CMU Serif"/>
          <w:lang w:val="en-ZA"/>
        </w:rPr>
        <w:t xml:space="preserve"> Fourth, if bond market investors anticipate an unconventional monetary expansion in response to the COVID-19-induced business-cycle recession, they may revise up their inflationary expectations. They will be willing to invest </w:t>
      </w:r>
      <w:r w:rsidR="0048529D" w:rsidRPr="00DD1225">
        <w:rPr>
          <w:rFonts w:ascii="CMU Serif" w:hAnsi="CMU Serif" w:cs="CMU Serif"/>
          <w:lang w:val="en-ZA"/>
        </w:rPr>
        <w:t xml:space="preserve">in </w:t>
      </w:r>
      <w:r w:rsidR="000D1BD0" w:rsidRPr="00DD1225">
        <w:rPr>
          <w:rFonts w:ascii="CMU Serif" w:hAnsi="CMU Serif" w:cs="CMU Serif"/>
          <w:lang w:val="en-ZA"/>
        </w:rPr>
        <w:t>longer-term Treasury</w:t>
      </w:r>
      <w:r w:rsidR="00F831C7" w:rsidRPr="00DD1225">
        <w:rPr>
          <w:rFonts w:ascii="CMU Serif" w:hAnsi="CMU Serif" w:cs="CMU Serif"/>
          <w:lang w:val="en-ZA"/>
        </w:rPr>
        <w:t xml:space="preserve"> </w:t>
      </w:r>
      <w:r w:rsidR="000D1BD0" w:rsidRPr="00DD1225">
        <w:rPr>
          <w:rFonts w:ascii="CMU Serif" w:hAnsi="CMU Serif" w:cs="CMU Serif"/>
          <w:lang w:val="en-ZA"/>
        </w:rPr>
        <w:t>securities only if the</w:t>
      </w:r>
      <w:r w:rsidR="002C301F" w:rsidRPr="00DD1225">
        <w:rPr>
          <w:rFonts w:ascii="CMU Serif" w:hAnsi="CMU Serif" w:cs="CMU Serif"/>
          <w:lang w:val="en-ZA"/>
        </w:rPr>
        <w:t>ir</w:t>
      </w:r>
      <w:r w:rsidR="000D1BD0" w:rsidRPr="00DD1225">
        <w:rPr>
          <w:rFonts w:ascii="CMU Serif" w:hAnsi="CMU Serif" w:cs="CMU Serif"/>
          <w:lang w:val="en-ZA"/>
        </w:rPr>
        <w:t xml:space="preserve"> yields are sufficiently high.</w:t>
      </w:r>
      <w:r w:rsidR="00F831C7" w:rsidRPr="00DD1225">
        <w:rPr>
          <w:rFonts w:ascii="CMU Serif" w:hAnsi="CMU Serif" w:cs="CMU Serif"/>
          <w:lang w:val="en-ZA"/>
        </w:rPr>
        <w:t xml:space="preserve"> </w:t>
      </w:r>
      <w:r w:rsidR="003645B9" w:rsidRPr="00DD1225">
        <w:rPr>
          <w:rFonts w:ascii="CMU Serif" w:hAnsi="CMU Serif" w:cs="CMU Serif"/>
          <w:lang w:val="en-ZA"/>
        </w:rPr>
        <w:t xml:space="preserve">  </w:t>
      </w:r>
    </w:p>
    <w:p w14:paraId="0EAE07BA" w14:textId="7EDC1749" w:rsidR="009E2E86" w:rsidRPr="00DD1225" w:rsidRDefault="00502F39">
      <w:pPr>
        <w:spacing w:after="0" w:line="360" w:lineRule="auto"/>
        <w:ind w:firstLine="708"/>
        <w:jc w:val="both"/>
        <w:rPr>
          <w:rFonts w:ascii="CMU Serif" w:hAnsi="CMU Serif" w:cs="CMU Serif"/>
          <w:lang w:val="en-ZA"/>
        </w:rPr>
      </w:pPr>
      <w:r w:rsidRPr="00DD1225">
        <w:rPr>
          <w:rFonts w:ascii="CMU Serif" w:hAnsi="CMU Serif" w:cs="CMU Serif"/>
          <w:lang w:val="en-ZA"/>
        </w:rPr>
        <w:t xml:space="preserve"> </w:t>
      </w:r>
      <w:r w:rsidR="000D1BD0" w:rsidRPr="00DD1225">
        <w:rPr>
          <w:rFonts w:ascii="CMU Serif" w:hAnsi="CMU Serif" w:cs="CMU Serif"/>
          <w:lang w:val="en-ZA"/>
        </w:rPr>
        <w:t>To sum up, t</w:t>
      </w:r>
      <w:r w:rsidR="001C1E4E" w:rsidRPr="00DD1225">
        <w:rPr>
          <w:rFonts w:ascii="CMU Serif" w:hAnsi="CMU Serif" w:cs="CMU Serif"/>
          <w:lang w:val="en-ZA"/>
        </w:rPr>
        <w:t>hese channels predict that</w:t>
      </w:r>
      <w:r w:rsidR="00146051" w:rsidRPr="00DD1225">
        <w:rPr>
          <w:rFonts w:ascii="CMU Serif" w:hAnsi="CMU Serif" w:cs="CMU Serif"/>
          <w:lang w:val="en-ZA"/>
        </w:rPr>
        <w:t xml:space="preserve"> the</w:t>
      </w:r>
      <w:r w:rsidR="0072192C" w:rsidRPr="00DD1225">
        <w:rPr>
          <w:rFonts w:ascii="CMU Serif" w:hAnsi="CMU Serif" w:cs="CMU Serif"/>
          <w:lang w:val="en-ZA"/>
        </w:rPr>
        <w:t xml:space="preserve"> spread</w:t>
      </w:r>
      <w:r w:rsidR="0094227E" w:rsidRPr="00DD1225">
        <w:rPr>
          <w:rFonts w:ascii="CMU Serif" w:hAnsi="CMU Serif" w:cs="CMU Serif"/>
          <w:lang w:val="en-ZA"/>
        </w:rPr>
        <w:t>,</w:t>
      </w:r>
      <w:r w:rsidR="0072192C" w:rsidRPr="00DD1225">
        <w:rPr>
          <w:rFonts w:ascii="CMU Serif" w:hAnsi="CMU Serif" w:cs="CMU Serif"/>
          <w:lang w:val="en-ZA"/>
        </w:rPr>
        <w:t xml:space="preserve"> </w:t>
      </w:r>
      <w:r w:rsidR="00885BB1" w:rsidRPr="00DD1225">
        <w:rPr>
          <w:rFonts w:ascii="CMU Serif" w:hAnsi="CMU Serif" w:cs="CMU Serif"/>
          <w:lang w:val="en-ZA"/>
        </w:rPr>
        <w:t xml:space="preserve">which reflects </w:t>
      </w:r>
      <w:r w:rsidR="0072192C" w:rsidRPr="00DD1225">
        <w:rPr>
          <w:rFonts w:ascii="CMU Serif" w:hAnsi="CMU Serif" w:cs="CMU Serif"/>
          <w:lang w:val="en-ZA"/>
        </w:rPr>
        <w:t xml:space="preserve">the </w:t>
      </w:r>
      <w:r w:rsidR="000D1BD0" w:rsidRPr="00DD1225">
        <w:rPr>
          <w:rFonts w:ascii="CMU Serif" w:hAnsi="CMU Serif" w:cs="CMU Serif"/>
          <w:lang w:val="en-ZA"/>
        </w:rPr>
        <w:t xml:space="preserve">composite premium </w:t>
      </w:r>
      <w:r w:rsidR="0009365E" w:rsidRPr="00DD1225">
        <w:rPr>
          <w:rFonts w:ascii="CMU Serif" w:hAnsi="CMU Serif" w:cs="CMU Serif"/>
          <w:lang w:val="en-ZA"/>
        </w:rPr>
        <w:t>of</w:t>
      </w:r>
      <w:r w:rsidR="000D1BD0" w:rsidRPr="00DD1225">
        <w:rPr>
          <w:rFonts w:ascii="CMU Serif" w:hAnsi="CMU Serif" w:cs="CMU Serif"/>
          <w:lang w:val="en-ZA"/>
        </w:rPr>
        <w:t xml:space="preserve"> multidimensional risk (default, duration, liquidity and inflation)</w:t>
      </w:r>
      <w:r w:rsidR="0072192C" w:rsidRPr="00DD1225">
        <w:rPr>
          <w:rFonts w:ascii="CMU Serif" w:hAnsi="CMU Serif" w:cs="CMU Serif"/>
          <w:lang w:val="en-ZA"/>
        </w:rPr>
        <w:t xml:space="preserve"> in bond market</w:t>
      </w:r>
      <w:r w:rsidR="0089606E" w:rsidRPr="00DD1225">
        <w:rPr>
          <w:rFonts w:ascii="CMU Serif" w:hAnsi="CMU Serif" w:cs="CMU Serif"/>
          <w:lang w:val="en-ZA"/>
        </w:rPr>
        <w:t>s</w:t>
      </w:r>
      <w:r w:rsidR="0094227E" w:rsidRPr="00DD1225">
        <w:rPr>
          <w:rFonts w:ascii="CMU Serif" w:hAnsi="CMU Serif" w:cs="CMU Serif"/>
          <w:lang w:val="en-ZA"/>
        </w:rPr>
        <w:t>,</w:t>
      </w:r>
      <w:r w:rsidR="0089606E" w:rsidRPr="00DD1225">
        <w:rPr>
          <w:rFonts w:ascii="CMU Serif" w:hAnsi="CMU Serif" w:cs="CMU Serif"/>
          <w:lang w:val="en-ZA"/>
        </w:rPr>
        <w:t xml:space="preserve"> </w:t>
      </w:r>
      <w:r w:rsidR="0072192C" w:rsidRPr="00DD1225">
        <w:rPr>
          <w:rFonts w:ascii="CMU Serif" w:hAnsi="CMU Serif" w:cs="CMU Serif"/>
          <w:lang w:val="en-ZA"/>
        </w:rPr>
        <w:t>increase</w:t>
      </w:r>
      <w:r w:rsidR="001C1E4E" w:rsidRPr="00DD1225">
        <w:rPr>
          <w:rFonts w:ascii="CMU Serif" w:hAnsi="CMU Serif" w:cs="CMU Serif"/>
          <w:lang w:val="en-ZA"/>
        </w:rPr>
        <w:t>s</w:t>
      </w:r>
      <w:r w:rsidR="0072192C" w:rsidRPr="00DD1225">
        <w:rPr>
          <w:rFonts w:ascii="CMU Serif" w:hAnsi="CMU Serif" w:cs="CMU Serif"/>
          <w:lang w:val="en-ZA"/>
        </w:rPr>
        <w:t xml:space="preserve"> in </w:t>
      </w:r>
      <w:r w:rsidR="00A05B05" w:rsidRPr="00DD1225">
        <w:rPr>
          <w:rFonts w:ascii="CMU Serif" w:hAnsi="CMU Serif" w:cs="CMU Serif"/>
          <w:lang w:val="en-ZA"/>
        </w:rPr>
        <w:t xml:space="preserve">response </w:t>
      </w:r>
      <w:r w:rsidR="0072192C" w:rsidRPr="00DD1225">
        <w:rPr>
          <w:rFonts w:ascii="CMU Serif" w:hAnsi="CMU Serif" w:cs="CMU Serif"/>
          <w:lang w:val="en-ZA"/>
        </w:rPr>
        <w:t xml:space="preserve">to </w:t>
      </w:r>
      <w:r w:rsidR="00304D09" w:rsidRPr="00DD1225">
        <w:rPr>
          <w:rFonts w:ascii="CMU Serif" w:hAnsi="CMU Serif" w:cs="CMU Serif"/>
          <w:lang w:val="en-ZA"/>
        </w:rPr>
        <w:t xml:space="preserve">COVID-19 </w:t>
      </w:r>
      <w:r w:rsidR="0072192C" w:rsidRPr="00DD1225">
        <w:rPr>
          <w:rFonts w:ascii="CMU Serif" w:hAnsi="CMU Serif" w:cs="CMU Serif"/>
          <w:lang w:val="en-ZA"/>
        </w:rPr>
        <w:t>growth.</w:t>
      </w:r>
      <w:r w:rsidR="00766A6C" w:rsidRPr="00DD1225">
        <w:rPr>
          <w:rFonts w:ascii="CMU Serif" w:hAnsi="CMU Serif" w:cs="CMU Serif"/>
          <w:lang w:val="en-ZA"/>
        </w:rPr>
        <w:t xml:space="preserve"> </w:t>
      </w:r>
    </w:p>
    <w:bookmarkEnd w:id="0"/>
    <w:p w14:paraId="3E0589BB" w14:textId="29E69474" w:rsidR="00502F39" w:rsidRPr="00DD1225" w:rsidRDefault="00AE209A">
      <w:pPr>
        <w:spacing w:after="0" w:line="360" w:lineRule="auto"/>
        <w:ind w:firstLine="708"/>
        <w:jc w:val="both"/>
        <w:rPr>
          <w:rFonts w:ascii="CMU Serif" w:hAnsi="CMU Serif" w:cs="CMU Serif"/>
          <w:lang w:val="en-US"/>
        </w:rPr>
      </w:pPr>
      <w:r w:rsidRPr="00DD1225">
        <w:rPr>
          <w:rFonts w:ascii="CMU Serif" w:hAnsi="CMU Serif" w:cs="CMU Serif"/>
          <w:lang w:val="en-ZA"/>
        </w:rPr>
        <w:t xml:space="preserve">However, from a </w:t>
      </w:r>
      <w:proofErr w:type="spellStart"/>
      <w:r w:rsidRPr="00DD1225">
        <w:rPr>
          <w:rFonts w:ascii="CMU Serif" w:hAnsi="CMU Serif" w:cs="CMU Serif"/>
          <w:lang w:val="en-ZA"/>
        </w:rPr>
        <w:t>behavioral</w:t>
      </w:r>
      <w:proofErr w:type="spellEnd"/>
      <w:r w:rsidRPr="00DD1225">
        <w:rPr>
          <w:rFonts w:ascii="CMU Serif" w:hAnsi="CMU Serif" w:cs="CMU Serif"/>
          <w:lang w:val="en-ZA"/>
        </w:rPr>
        <w:t xml:space="preserve"> </w:t>
      </w:r>
      <w:r w:rsidR="00304D09" w:rsidRPr="00DD1225">
        <w:rPr>
          <w:rFonts w:ascii="CMU Serif" w:hAnsi="CMU Serif" w:cs="CMU Serif"/>
          <w:lang w:val="en-ZA"/>
        </w:rPr>
        <w:t>perspective</w:t>
      </w:r>
      <w:r w:rsidRPr="00DD1225">
        <w:rPr>
          <w:rFonts w:ascii="CMU Serif" w:hAnsi="CMU Serif" w:cs="CMU Serif"/>
          <w:lang w:val="en-ZA"/>
        </w:rPr>
        <w:t xml:space="preserve">, the spread may </w:t>
      </w:r>
      <w:r w:rsidR="00F92AB6" w:rsidRPr="00DD1225">
        <w:rPr>
          <w:rFonts w:ascii="CMU Serif" w:hAnsi="CMU Serif" w:cs="CMU Serif"/>
          <w:lang w:val="en-ZA"/>
        </w:rPr>
        <w:t xml:space="preserve">remain unchanged or even </w:t>
      </w:r>
      <w:r w:rsidRPr="00DD1225">
        <w:rPr>
          <w:rFonts w:ascii="CMU Serif" w:hAnsi="CMU Serif" w:cs="CMU Serif"/>
          <w:lang w:val="en-ZA"/>
        </w:rPr>
        <w:t xml:space="preserve">decrease. </w:t>
      </w:r>
      <w:r w:rsidR="0040671C" w:rsidRPr="00DD1225">
        <w:rPr>
          <w:rFonts w:ascii="CMU Serif" w:hAnsi="CMU Serif" w:cs="CMU Serif"/>
          <w:lang w:val="en-ZA"/>
        </w:rPr>
        <w:t xml:space="preserve">Specifically, waves of pessimism in financial markets amid </w:t>
      </w:r>
      <w:r w:rsidR="00F92AB6" w:rsidRPr="00DD1225">
        <w:rPr>
          <w:rFonts w:ascii="CMU Serif" w:hAnsi="CMU Serif" w:cs="CMU Serif"/>
          <w:lang w:val="en-ZA"/>
        </w:rPr>
        <w:t xml:space="preserve">COVID-19 </w:t>
      </w:r>
      <w:r w:rsidR="0040671C" w:rsidRPr="00DD1225">
        <w:rPr>
          <w:rFonts w:ascii="CMU Serif" w:hAnsi="CMU Serif" w:cs="CMU Serif"/>
          <w:lang w:val="en-ZA"/>
        </w:rPr>
        <w:t xml:space="preserve">growth can trigger </w:t>
      </w:r>
      <w:r w:rsidR="00F92AB6" w:rsidRPr="00DD1225">
        <w:rPr>
          <w:rFonts w:ascii="CMU Serif" w:hAnsi="CMU Serif" w:cs="CMU Serif"/>
          <w:lang w:val="en-ZA"/>
        </w:rPr>
        <w:t xml:space="preserve">the so-called </w:t>
      </w:r>
      <w:r w:rsidR="00DD02CD" w:rsidRPr="00DD1225">
        <w:rPr>
          <w:rFonts w:ascii="CMU Serif" w:hAnsi="CMU Serif" w:cs="CMU Serif"/>
          <w:lang w:val="en-ZA"/>
        </w:rPr>
        <w:t>"</w:t>
      </w:r>
      <w:r w:rsidR="00F92AB6" w:rsidRPr="00DD1225">
        <w:rPr>
          <w:rFonts w:ascii="CMU Serif" w:hAnsi="CMU Serif" w:cs="CMU Serif"/>
          <w:lang w:val="en-ZA"/>
        </w:rPr>
        <w:t>flight to safety</w:t>
      </w:r>
      <w:r w:rsidR="00DD02CD" w:rsidRPr="00DD1225">
        <w:rPr>
          <w:rFonts w:ascii="CMU Serif" w:hAnsi="CMU Serif" w:cs="CMU Serif"/>
          <w:lang w:val="en-ZA"/>
        </w:rPr>
        <w:t>"</w:t>
      </w:r>
      <w:r w:rsidR="00F92AB6" w:rsidRPr="00DD1225">
        <w:rPr>
          <w:rFonts w:ascii="CMU Serif" w:hAnsi="CMU Serif" w:cs="CMU Serif"/>
          <w:lang w:val="en-ZA"/>
        </w:rPr>
        <w:t xml:space="preserve"> phenomenon</w:t>
      </w:r>
      <w:r w:rsidR="0040671C" w:rsidRPr="00DD1225">
        <w:rPr>
          <w:rFonts w:ascii="CMU Serif" w:hAnsi="CMU Serif" w:cs="CMU Serif"/>
          <w:lang w:val="en-ZA"/>
        </w:rPr>
        <w:t xml:space="preserve">, when </w:t>
      </w:r>
      <w:r w:rsidR="00F92AB6" w:rsidRPr="00DD1225">
        <w:rPr>
          <w:rFonts w:ascii="CMU Serif" w:hAnsi="CMU Serif" w:cs="CMU Serif"/>
          <w:lang w:val="en-ZA"/>
        </w:rPr>
        <w:t xml:space="preserve">government bonds </w:t>
      </w:r>
      <w:r w:rsidR="00E73C41" w:rsidRPr="00DD1225">
        <w:rPr>
          <w:rFonts w:ascii="CMU Serif" w:hAnsi="CMU Serif" w:cs="CMU Serif"/>
          <w:lang w:val="en-ZA"/>
        </w:rPr>
        <w:t xml:space="preserve">are </w:t>
      </w:r>
      <w:r w:rsidR="0040671C" w:rsidRPr="00DD1225">
        <w:rPr>
          <w:rFonts w:ascii="CMU Serif" w:hAnsi="CMU Serif" w:cs="CMU Serif"/>
          <w:lang w:val="en-ZA"/>
        </w:rPr>
        <w:t xml:space="preserve">regarded </w:t>
      </w:r>
      <w:r w:rsidR="00F92AB6" w:rsidRPr="00DD1225">
        <w:rPr>
          <w:rFonts w:ascii="CMU Serif" w:hAnsi="CMU Serif" w:cs="CMU Serif"/>
          <w:lang w:val="en-ZA"/>
        </w:rPr>
        <w:t xml:space="preserve">as the </w:t>
      </w:r>
      <w:r w:rsidR="0040671C" w:rsidRPr="00DD1225">
        <w:rPr>
          <w:rFonts w:ascii="CMU Serif" w:hAnsi="CMU Serif" w:cs="CMU Serif"/>
          <w:lang w:val="en-ZA"/>
        </w:rPr>
        <w:t xml:space="preserve">only safe investment vehicle </w:t>
      </w:r>
      <w:r w:rsidR="00284F8C" w:rsidRPr="00DD1225">
        <w:rPr>
          <w:rFonts w:ascii="CMU Serif" w:hAnsi="CMU Serif" w:cs="CMU Serif"/>
          <w:lang w:val="en-US"/>
        </w:rPr>
        <w:t>(Ben-</w:t>
      </w:r>
      <w:proofErr w:type="spellStart"/>
      <w:r w:rsidR="00284F8C" w:rsidRPr="00DD1225">
        <w:rPr>
          <w:rFonts w:ascii="CMU Serif" w:hAnsi="CMU Serif" w:cs="CMU Serif"/>
          <w:lang w:val="en-US"/>
        </w:rPr>
        <w:t>Rephael</w:t>
      </w:r>
      <w:proofErr w:type="spellEnd"/>
      <w:r w:rsidR="00284F8C" w:rsidRPr="00DD1225">
        <w:rPr>
          <w:rFonts w:ascii="CMU Serif" w:hAnsi="CMU Serif" w:cs="CMU Serif"/>
          <w:lang w:val="en-US"/>
        </w:rPr>
        <w:t xml:space="preserve"> 2017)</w:t>
      </w:r>
      <w:r w:rsidR="00304D09" w:rsidRPr="00DD1225">
        <w:rPr>
          <w:rFonts w:ascii="CMU Serif" w:hAnsi="CMU Serif" w:cs="CMU Serif"/>
          <w:lang w:val="en-US"/>
        </w:rPr>
        <w:t>.</w:t>
      </w:r>
      <w:r w:rsidR="00E73C41" w:rsidRPr="00DD1225">
        <w:rPr>
          <w:rFonts w:ascii="CMU Serif" w:hAnsi="CMU Serif" w:cs="CMU Serif"/>
          <w:lang w:val="en-US"/>
        </w:rPr>
        <w:t xml:space="preserve"> This </w:t>
      </w:r>
      <w:r w:rsidR="009E2E86" w:rsidRPr="00DD1225">
        <w:rPr>
          <w:rFonts w:ascii="CMU Serif" w:hAnsi="CMU Serif" w:cs="CMU Serif"/>
          <w:lang w:val="en-US"/>
        </w:rPr>
        <w:t xml:space="preserve">may potentially </w:t>
      </w:r>
      <w:r w:rsidR="00F45B66" w:rsidRPr="00DD1225">
        <w:rPr>
          <w:rFonts w:ascii="CMU Serif" w:hAnsi="CMU Serif" w:cs="CMU Serif"/>
          <w:lang w:val="en-US"/>
        </w:rPr>
        <w:t xml:space="preserve">lead to </w:t>
      </w:r>
      <w:r w:rsidR="00901D4B" w:rsidRPr="00DD1225">
        <w:rPr>
          <w:rFonts w:ascii="CMU Serif" w:hAnsi="CMU Serif" w:cs="CMU Serif"/>
          <w:lang w:val="en-US"/>
        </w:rPr>
        <w:t xml:space="preserve">a </w:t>
      </w:r>
      <w:r w:rsidR="00F45B66" w:rsidRPr="00DD1225">
        <w:rPr>
          <w:rFonts w:ascii="CMU Serif" w:hAnsi="CMU Serif" w:cs="CMU Serif"/>
          <w:lang w:val="en-US"/>
        </w:rPr>
        <w:t>higher demand</w:t>
      </w:r>
      <w:r w:rsidR="009635B9" w:rsidRPr="00DD1225">
        <w:rPr>
          <w:rFonts w:ascii="CMU Serif" w:hAnsi="CMU Serif" w:cs="CMU Serif"/>
          <w:lang w:val="en-US"/>
        </w:rPr>
        <w:t xml:space="preserve"> for</w:t>
      </w:r>
      <w:r w:rsidR="00F45B66" w:rsidRPr="00DD1225">
        <w:rPr>
          <w:rFonts w:ascii="CMU Serif" w:hAnsi="CMU Serif" w:cs="CMU Serif"/>
          <w:lang w:val="en-US"/>
        </w:rPr>
        <w:t xml:space="preserve"> bonds </w:t>
      </w:r>
      <w:r w:rsidR="009E2E86" w:rsidRPr="00DD1225">
        <w:rPr>
          <w:rFonts w:ascii="CMU Serif" w:hAnsi="CMU Serif" w:cs="CMU Serif"/>
          <w:lang w:val="en-US"/>
        </w:rPr>
        <w:t>of all maturities</w:t>
      </w:r>
      <w:r w:rsidR="009E2E86" w:rsidRPr="00DD1225">
        <w:rPr>
          <w:lang w:val="en-US"/>
        </w:rPr>
        <w:t xml:space="preserve"> </w:t>
      </w:r>
      <w:r w:rsidR="009E2E86" w:rsidRPr="00DD1225">
        <w:rPr>
          <w:rFonts w:ascii="CMU Serif" w:hAnsi="CMU Serif" w:cs="CMU Serif"/>
          <w:lang w:val="en-US"/>
        </w:rPr>
        <w:t>—as opposed to riskier asset classes—</w:t>
      </w:r>
      <w:r w:rsidR="00F45B66" w:rsidRPr="00DD1225">
        <w:rPr>
          <w:rFonts w:ascii="CMU Serif" w:hAnsi="CMU Serif" w:cs="CMU Serif"/>
          <w:lang w:val="en-US"/>
        </w:rPr>
        <w:t>and</w:t>
      </w:r>
      <w:r w:rsidR="00901D4B" w:rsidRPr="00DD1225">
        <w:rPr>
          <w:rFonts w:ascii="CMU Serif" w:hAnsi="CMU Serif" w:cs="CMU Serif"/>
          <w:lang w:val="en-US"/>
        </w:rPr>
        <w:t>,</w:t>
      </w:r>
      <w:r w:rsidR="00F45B66" w:rsidRPr="00DD1225">
        <w:rPr>
          <w:rFonts w:ascii="CMU Serif" w:hAnsi="CMU Serif" w:cs="CMU Serif"/>
          <w:lang w:val="en-US"/>
        </w:rPr>
        <w:t xml:space="preserve"> hence</w:t>
      </w:r>
      <w:r w:rsidR="00901D4B" w:rsidRPr="00DD1225">
        <w:rPr>
          <w:rFonts w:ascii="CMU Serif" w:hAnsi="CMU Serif" w:cs="CMU Serif"/>
          <w:lang w:val="en-US"/>
        </w:rPr>
        <w:t>,</w:t>
      </w:r>
      <w:r w:rsidR="00F45B66" w:rsidRPr="00DD1225">
        <w:rPr>
          <w:rFonts w:ascii="CMU Serif" w:hAnsi="CMU Serif" w:cs="CMU Serif"/>
          <w:lang w:val="en-US"/>
        </w:rPr>
        <w:t xml:space="preserve"> </w:t>
      </w:r>
      <w:r w:rsidR="0019184F" w:rsidRPr="00DD1225">
        <w:rPr>
          <w:rFonts w:ascii="CMU Serif" w:hAnsi="CMU Serif" w:cs="CMU Serif"/>
          <w:lang w:val="en-US"/>
        </w:rPr>
        <w:t xml:space="preserve">lower or unchanged </w:t>
      </w:r>
      <w:r w:rsidR="0040671C" w:rsidRPr="00DD1225">
        <w:rPr>
          <w:rFonts w:ascii="CMU Serif" w:hAnsi="CMU Serif" w:cs="CMU Serif"/>
          <w:lang w:val="en-US"/>
        </w:rPr>
        <w:t>spreads</w:t>
      </w:r>
      <w:r w:rsidR="009E2E86" w:rsidRPr="00DD1225">
        <w:rPr>
          <w:rFonts w:ascii="CMU Serif" w:hAnsi="CMU Serif" w:cs="CMU Serif"/>
          <w:lang w:val="en-US"/>
        </w:rPr>
        <w:t xml:space="preserve"> on the broad cross-section of bonds, effectively flattening the curve</w:t>
      </w:r>
      <w:r w:rsidR="0040671C" w:rsidRPr="00DD1225">
        <w:rPr>
          <w:rFonts w:ascii="CMU Serif" w:hAnsi="CMU Serif" w:cs="CMU Serif"/>
          <w:lang w:val="en-US"/>
        </w:rPr>
        <w:t xml:space="preserve">. </w:t>
      </w:r>
      <w:r w:rsidR="00284F8C" w:rsidRPr="00DD1225">
        <w:rPr>
          <w:rFonts w:ascii="CMU Serif" w:hAnsi="CMU Serif" w:cs="CMU Serif"/>
          <w:lang w:val="en-ZA"/>
        </w:rPr>
        <w:t>However, investors may be reluctant</w:t>
      </w:r>
      <w:r w:rsidR="00901D4B" w:rsidRPr="00DD1225">
        <w:rPr>
          <w:rFonts w:ascii="CMU Serif" w:hAnsi="CMU Serif" w:cs="CMU Serif"/>
          <w:lang w:val="en-ZA"/>
        </w:rPr>
        <w:t xml:space="preserve"> to</w:t>
      </w:r>
      <w:r w:rsidR="00284F8C" w:rsidRPr="00DD1225">
        <w:rPr>
          <w:rFonts w:ascii="CMU Serif" w:hAnsi="CMU Serif" w:cs="CMU Serif"/>
          <w:lang w:val="en-ZA"/>
        </w:rPr>
        <w:t xml:space="preserve"> </w:t>
      </w:r>
      <w:r w:rsidR="00F43CD3" w:rsidRPr="00DD1225">
        <w:rPr>
          <w:rFonts w:ascii="CMU Serif" w:hAnsi="CMU Serif" w:cs="CMU Serif"/>
          <w:lang w:val="en-ZA"/>
        </w:rPr>
        <w:t>trade due to</w:t>
      </w:r>
      <w:r w:rsidR="00284F8C" w:rsidRPr="00DD1225">
        <w:rPr>
          <w:rFonts w:ascii="CMU Serif" w:hAnsi="CMU Serif" w:cs="CMU Serif"/>
          <w:lang w:val="en-ZA"/>
        </w:rPr>
        <w:t xml:space="preserve"> </w:t>
      </w:r>
      <w:r w:rsidR="00F43CD3" w:rsidRPr="00DD1225">
        <w:rPr>
          <w:rFonts w:ascii="CMU Serif" w:hAnsi="CMU Serif" w:cs="CMU Serif"/>
          <w:lang w:val="en-ZA"/>
        </w:rPr>
        <w:t xml:space="preserve">other </w:t>
      </w:r>
      <w:proofErr w:type="spellStart"/>
      <w:r w:rsidR="00284F8C" w:rsidRPr="00DD1225">
        <w:rPr>
          <w:rFonts w:ascii="CMU Serif" w:hAnsi="CMU Serif" w:cs="CMU Serif"/>
          <w:lang w:val="en-ZA"/>
        </w:rPr>
        <w:t>behavioral</w:t>
      </w:r>
      <w:proofErr w:type="spellEnd"/>
      <w:r w:rsidR="00284F8C" w:rsidRPr="00DD1225">
        <w:rPr>
          <w:rFonts w:ascii="CMU Serif" w:hAnsi="CMU Serif" w:cs="CMU Serif"/>
          <w:lang w:val="en-ZA"/>
        </w:rPr>
        <w:t xml:space="preserve"> </w:t>
      </w:r>
      <w:r w:rsidR="00F43CD3" w:rsidRPr="00DD1225">
        <w:rPr>
          <w:rFonts w:ascii="CMU Serif" w:hAnsi="CMU Serif" w:cs="CMU Serif"/>
          <w:lang w:val="en-ZA"/>
        </w:rPr>
        <w:t xml:space="preserve">motives </w:t>
      </w:r>
      <w:r w:rsidR="00284F8C" w:rsidRPr="00DD1225">
        <w:rPr>
          <w:rFonts w:ascii="CMU Serif" w:hAnsi="CMU Serif" w:cs="CMU Serif"/>
          <w:lang w:val="en-ZA"/>
        </w:rPr>
        <w:t>such as</w:t>
      </w:r>
      <w:r w:rsidR="002C301F" w:rsidRPr="00DD1225">
        <w:rPr>
          <w:rFonts w:ascii="CMU Serif" w:hAnsi="CMU Serif" w:cs="CMU Serif"/>
          <w:lang w:val="en-ZA"/>
        </w:rPr>
        <w:t>:</w:t>
      </w:r>
      <w:r w:rsidR="00284F8C" w:rsidRPr="00DD1225">
        <w:rPr>
          <w:rFonts w:ascii="CMU Serif" w:hAnsi="CMU Serif" w:cs="CMU Serif"/>
          <w:lang w:val="en-US"/>
        </w:rPr>
        <w:t xml:space="preserve"> </w:t>
      </w:r>
      <w:r w:rsidR="00F43CD3" w:rsidRPr="00DD1225">
        <w:rPr>
          <w:rFonts w:ascii="CMU Serif" w:hAnsi="CMU Serif" w:cs="CMU Serif"/>
          <w:lang w:val="en-US"/>
        </w:rPr>
        <w:t xml:space="preserve">a) </w:t>
      </w:r>
      <w:r w:rsidR="00284F8C" w:rsidRPr="00DD1225">
        <w:rPr>
          <w:rFonts w:ascii="CMU Serif" w:hAnsi="CMU Serif" w:cs="CMU Serif"/>
          <w:lang w:val="en-US"/>
        </w:rPr>
        <w:t xml:space="preserve">the </w:t>
      </w:r>
      <w:r w:rsidR="00DD02CD" w:rsidRPr="00DD1225">
        <w:rPr>
          <w:rFonts w:ascii="CMU Serif" w:hAnsi="CMU Serif" w:cs="CMU Serif"/>
          <w:lang w:val="en-US"/>
        </w:rPr>
        <w:t>"</w:t>
      </w:r>
      <w:r w:rsidR="00284F8C" w:rsidRPr="00DD1225">
        <w:rPr>
          <w:rFonts w:ascii="CMU Serif" w:hAnsi="CMU Serif" w:cs="CMU Serif"/>
          <w:lang w:val="en-US"/>
        </w:rPr>
        <w:t>ostrich effect</w:t>
      </w:r>
      <w:r w:rsidR="00DD02CD" w:rsidRPr="00DD1225">
        <w:rPr>
          <w:rFonts w:ascii="CMU Serif" w:hAnsi="CMU Serif" w:cs="CMU Serif"/>
          <w:lang w:val="en-US"/>
        </w:rPr>
        <w:t>"</w:t>
      </w:r>
      <w:r w:rsidR="00284F8C" w:rsidRPr="00DD1225">
        <w:rPr>
          <w:rFonts w:ascii="CMU Serif" w:hAnsi="CMU Serif" w:cs="CMU Serif"/>
          <w:lang w:val="en-US"/>
        </w:rPr>
        <w:t xml:space="preserve"> (</w:t>
      </w:r>
      <w:proofErr w:type="spellStart"/>
      <w:r w:rsidR="00284F8C" w:rsidRPr="00DD1225">
        <w:rPr>
          <w:rFonts w:ascii="CMU Serif" w:hAnsi="CMU Serif" w:cs="CMU Serif"/>
          <w:lang w:val="en-US"/>
        </w:rPr>
        <w:t>Galai</w:t>
      </w:r>
      <w:proofErr w:type="spellEnd"/>
      <w:r w:rsidR="00284F8C" w:rsidRPr="00DD1225">
        <w:rPr>
          <w:rFonts w:ascii="CMU Serif" w:hAnsi="CMU Serif" w:cs="CMU Serif"/>
          <w:lang w:val="en-US"/>
        </w:rPr>
        <w:t xml:space="preserve"> and Sade 2006; Karlsson et al. 2009), </w:t>
      </w:r>
      <w:r w:rsidR="00F43CD3" w:rsidRPr="00DD1225">
        <w:rPr>
          <w:rFonts w:ascii="CMU Serif" w:hAnsi="CMU Serif" w:cs="CMU Serif"/>
          <w:lang w:val="en-US"/>
        </w:rPr>
        <w:t xml:space="preserve">b) </w:t>
      </w:r>
      <w:r w:rsidR="00284F8C" w:rsidRPr="00DD1225">
        <w:rPr>
          <w:rFonts w:ascii="CMU Serif" w:hAnsi="CMU Serif" w:cs="CMU Serif"/>
          <w:lang w:val="en-US"/>
        </w:rPr>
        <w:t xml:space="preserve">the </w:t>
      </w:r>
      <w:r w:rsidR="00DD02CD" w:rsidRPr="00DD1225">
        <w:rPr>
          <w:rFonts w:ascii="CMU Serif" w:hAnsi="CMU Serif" w:cs="CMU Serif"/>
          <w:lang w:val="en-US"/>
        </w:rPr>
        <w:t>"</w:t>
      </w:r>
      <w:r w:rsidR="00284F8C" w:rsidRPr="00DD1225">
        <w:rPr>
          <w:rFonts w:ascii="CMU Serif" w:hAnsi="CMU Serif" w:cs="CMU Serif"/>
          <w:lang w:val="en-US"/>
        </w:rPr>
        <w:t>information overload</w:t>
      </w:r>
      <w:r w:rsidR="00DD02CD" w:rsidRPr="00DD1225">
        <w:rPr>
          <w:rFonts w:ascii="CMU Serif" w:hAnsi="CMU Serif" w:cs="CMU Serif"/>
          <w:lang w:val="en-US"/>
        </w:rPr>
        <w:t>"</w:t>
      </w:r>
      <w:r w:rsidR="00284F8C" w:rsidRPr="00DD1225">
        <w:rPr>
          <w:rFonts w:ascii="CMU Serif" w:hAnsi="CMU Serif" w:cs="CMU Serif"/>
          <w:lang w:val="en-US"/>
        </w:rPr>
        <w:t xml:space="preserve"> effect (Agnew and </w:t>
      </w:r>
      <w:proofErr w:type="spellStart"/>
      <w:r w:rsidR="00284F8C" w:rsidRPr="00DD1225">
        <w:rPr>
          <w:rFonts w:ascii="CMU Serif" w:hAnsi="CMU Serif" w:cs="CMU Serif"/>
          <w:lang w:val="en-US"/>
        </w:rPr>
        <w:t>Szykman</w:t>
      </w:r>
      <w:proofErr w:type="spellEnd"/>
      <w:r w:rsidR="00284F8C" w:rsidRPr="00DD1225">
        <w:rPr>
          <w:rFonts w:ascii="CMU Serif" w:hAnsi="CMU Serif" w:cs="CMU Serif"/>
          <w:lang w:val="en-US"/>
        </w:rPr>
        <w:t xml:space="preserve"> 2005), or </w:t>
      </w:r>
      <w:r w:rsidR="00F43CD3" w:rsidRPr="00DD1225">
        <w:rPr>
          <w:rFonts w:ascii="CMU Serif" w:hAnsi="CMU Serif" w:cs="CMU Serif"/>
          <w:lang w:val="en-US"/>
        </w:rPr>
        <w:t xml:space="preserve">c) </w:t>
      </w:r>
      <w:r w:rsidR="00284F8C" w:rsidRPr="00DD1225">
        <w:rPr>
          <w:rFonts w:ascii="CMU Serif" w:hAnsi="CMU Serif" w:cs="CMU Serif"/>
          <w:lang w:val="en-US"/>
        </w:rPr>
        <w:t>merely bad experience (Thaler and Johnson 1990)</w:t>
      </w:r>
      <w:r w:rsidR="00E73C41" w:rsidRPr="00DD1225">
        <w:rPr>
          <w:rFonts w:ascii="CMU Serif" w:hAnsi="CMU Serif" w:cs="CMU Serif"/>
          <w:lang w:val="en-US"/>
        </w:rPr>
        <w:t>. As a result,</w:t>
      </w:r>
      <w:r w:rsidR="00284F8C" w:rsidRPr="00DD1225">
        <w:rPr>
          <w:rFonts w:ascii="CMU Serif" w:hAnsi="CMU Serif" w:cs="CMU Serif"/>
          <w:lang w:val="en-US"/>
        </w:rPr>
        <w:t xml:space="preserve"> </w:t>
      </w:r>
      <w:r w:rsidR="00F43CD3" w:rsidRPr="00DD1225">
        <w:rPr>
          <w:rFonts w:ascii="CMU Serif" w:hAnsi="CMU Serif" w:cs="CMU Serif"/>
          <w:lang w:val="en-US"/>
        </w:rPr>
        <w:t>the</w:t>
      </w:r>
      <w:r w:rsidR="00284F8C" w:rsidRPr="00DD1225">
        <w:rPr>
          <w:rFonts w:ascii="CMU Serif" w:hAnsi="CMU Serif" w:cs="CMU Serif"/>
          <w:lang w:val="en-US"/>
        </w:rPr>
        <w:t xml:space="preserve"> spread</w:t>
      </w:r>
      <w:r w:rsidR="00F43CD3" w:rsidRPr="00DD1225">
        <w:rPr>
          <w:rFonts w:ascii="CMU Serif" w:hAnsi="CMU Serif" w:cs="CMU Serif"/>
          <w:lang w:val="en-US"/>
        </w:rPr>
        <w:t xml:space="preserve"> can remain unchanged</w:t>
      </w:r>
      <w:r w:rsidR="00A14B1A" w:rsidRPr="00DD1225">
        <w:rPr>
          <w:rFonts w:ascii="CMU Serif" w:hAnsi="CMU Serif" w:cs="CMU Serif"/>
          <w:lang w:val="en-US"/>
        </w:rPr>
        <w:t>.</w:t>
      </w:r>
      <w:r w:rsidR="003B788E" w:rsidRPr="00DD1225">
        <w:rPr>
          <w:rFonts w:ascii="CMU Serif" w:hAnsi="CMU Serif" w:cs="CMU Serif"/>
          <w:lang w:val="en-US"/>
        </w:rPr>
        <w:t xml:space="preserve"> </w:t>
      </w:r>
      <w:r w:rsidR="00483E3D" w:rsidRPr="00DD1225">
        <w:rPr>
          <w:rFonts w:ascii="CMU Serif" w:hAnsi="CMU Serif" w:cs="CMU Serif"/>
          <w:lang w:val="en-US"/>
        </w:rPr>
        <w:t xml:space="preserve">Likewise, it can remain unchanged due to fundamental reasons. For instance, </w:t>
      </w:r>
      <w:r w:rsidR="003B788E" w:rsidRPr="00DD1225">
        <w:rPr>
          <w:rFonts w:ascii="CMU Serif" w:hAnsi="CMU Serif" w:cs="CMU Serif"/>
          <w:lang w:val="en-ZA"/>
        </w:rPr>
        <w:t xml:space="preserve">if investors anticipate that the reserve channel commands the term structure effects of COVID-19 infections and sovereign bond prices (see, e.g., Christensen and </w:t>
      </w:r>
      <w:proofErr w:type="spellStart"/>
      <w:r w:rsidR="003B788E" w:rsidRPr="00DD1225">
        <w:rPr>
          <w:rFonts w:ascii="CMU Serif" w:hAnsi="CMU Serif" w:cs="CMU Serif"/>
          <w:lang w:val="en-ZA"/>
        </w:rPr>
        <w:t>Krogstrup</w:t>
      </w:r>
      <w:proofErr w:type="spellEnd"/>
      <w:r w:rsidR="003B788E" w:rsidRPr="00DD1225">
        <w:rPr>
          <w:rFonts w:ascii="CMU Serif" w:hAnsi="CMU Serif" w:cs="CMU Serif"/>
          <w:lang w:val="en-ZA"/>
        </w:rPr>
        <w:t xml:space="preserve"> 2018), the term premium can increase, decrease or remain constant. This is because an increase in the supply of central bank reserves may put an upward pressure on asset prices across a broad spectrum of maturities.</w:t>
      </w:r>
    </w:p>
    <w:p w14:paraId="4D4CC9E3" w14:textId="5E0A0B94" w:rsidR="00577779" w:rsidRPr="00DD1225" w:rsidRDefault="00053821" w:rsidP="007274EF">
      <w:pPr>
        <w:spacing w:after="0" w:line="360" w:lineRule="auto"/>
        <w:ind w:firstLine="708"/>
        <w:jc w:val="both"/>
        <w:rPr>
          <w:rFonts w:ascii="CMU Serif" w:hAnsi="CMU Serif" w:cs="CMU Serif"/>
          <w:lang w:val="en-ZA"/>
        </w:rPr>
      </w:pPr>
      <w:r w:rsidRPr="00DD1225">
        <w:rPr>
          <w:rFonts w:ascii="CMU Serif" w:hAnsi="CMU Serif" w:cs="CMU Serif"/>
          <w:lang w:val="en-US"/>
        </w:rPr>
        <w:t xml:space="preserve">Furthermore, </w:t>
      </w:r>
      <w:r w:rsidR="0048529D" w:rsidRPr="00DD1225">
        <w:rPr>
          <w:rFonts w:ascii="CMU Serif" w:hAnsi="CMU Serif" w:cs="CMU Serif"/>
          <w:lang w:val="en-US"/>
        </w:rPr>
        <w:t>if</w:t>
      </w:r>
      <w:r w:rsidRPr="00DD1225">
        <w:rPr>
          <w:rFonts w:ascii="CMU Serif" w:hAnsi="CMU Serif" w:cs="CMU Serif"/>
          <w:lang w:val="en-US"/>
        </w:rPr>
        <w:t xml:space="preserve"> bond market investors expect an aggressive monetary policy expansion in response to the COVID-19-induced business-cycle recession, </w:t>
      </w:r>
      <w:r w:rsidR="0048529D" w:rsidRPr="00DD1225">
        <w:rPr>
          <w:rFonts w:ascii="CMU Serif" w:hAnsi="CMU Serif" w:cs="CMU Serif"/>
          <w:lang w:val="en-US"/>
        </w:rPr>
        <w:t>the</w:t>
      </w:r>
      <w:r w:rsidRPr="00DD1225">
        <w:rPr>
          <w:rFonts w:ascii="CMU Serif" w:hAnsi="CMU Serif" w:cs="CMU Serif"/>
          <w:lang w:val="en-US"/>
        </w:rPr>
        <w:t xml:space="preserve"> term premium</w:t>
      </w:r>
      <w:r w:rsidR="00FB551A" w:rsidRPr="00DD1225">
        <w:rPr>
          <w:rFonts w:ascii="CMU Serif" w:hAnsi="CMU Serif" w:cs="CMU Serif"/>
          <w:lang w:val="en-US"/>
        </w:rPr>
        <w:t xml:space="preserve"> on</w:t>
      </w:r>
      <w:r w:rsidRPr="00DD1225">
        <w:rPr>
          <w:rFonts w:ascii="CMU Serif" w:hAnsi="CMU Serif" w:cs="CMU Serif"/>
          <w:lang w:val="en-US"/>
        </w:rPr>
        <w:t xml:space="preserve"> Treasury securities</w:t>
      </w:r>
      <w:r w:rsidR="0048529D" w:rsidRPr="00DD1225">
        <w:rPr>
          <w:rFonts w:ascii="CMU Serif" w:hAnsi="CMU Serif" w:cs="CMU Serif"/>
          <w:lang w:val="en-US"/>
        </w:rPr>
        <w:t xml:space="preserve"> </w:t>
      </w:r>
      <w:r w:rsidR="00FB551A" w:rsidRPr="00DD1225">
        <w:rPr>
          <w:rFonts w:ascii="CMU Serif" w:hAnsi="CMU Serif" w:cs="CMU Serif"/>
          <w:lang w:val="en-US"/>
        </w:rPr>
        <w:t xml:space="preserve">might </w:t>
      </w:r>
      <w:r w:rsidR="0048529D" w:rsidRPr="00DD1225">
        <w:rPr>
          <w:rFonts w:ascii="CMU Serif" w:hAnsi="CMU Serif" w:cs="CMU Serif"/>
          <w:lang w:val="en-US"/>
        </w:rPr>
        <w:t>decline</w:t>
      </w:r>
      <w:r w:rsidR="00E832CA" w:rsidRPr="00DD1225">
        <w:rPr>
          <w:rFonts w:ascii="CMU Serif" w:hAnsi="CMU Serif" w:cs="CMU Serif"/>
          <w:lang w:val="en-US"/>
        </w:rPr>
        <w:t xml:space="preserve"> through at least </w:t>
      </w:r>
      <w:r w:rsidR="00577779" w:rsidRPr="00DD1225">
        <w:rPr>
          <w:rFonts w:ascii="CMU Serif" w:hAnsi="CMU Serif" w:cs="CMU Serif"/>
          <w:lang w:val="en-US"/>
        </w:rPr>
        <w:t>two</w:t>
      </w:r>
      <w:r w:rsidR="00E832CA" w:rsidRPr="00DD1225">
        <w:rPr>
          <w:rFonts w:ascii="CMU Serif" w:hAnsi="CMU Serif" w:cs="CMU Serif"/>
          <w:lang w:val="en-US"/>
        </w:rPr>
        <w:t xml:space="preserve"> channels</w:t>
      </w:r>
      <w:r w:rsidRPr="00DD1225">
        <w:rPr>
          <w:rFonts w:ascii="CMU Serif" w:hAnsi="CMU Serif" w:cs="CMU Serif"/>
          <w:lang w:val="en-US"/>
        </w:rPr>
        <w:t xml:space="preserve">. </w:t>
      </w:r>
      <w:r w:rsidRPr="00DD1225">
        <w:rPr>
          <w:rFonts w:ascii="CMU Serif" w:hAnsi="CMU Serif" w:cs="CMU Serif"/>
          <w:lang w:val="en-ZA"/>
        </w:rPr>
        <w:t xml:space="preserve">First, </w:t>
      </w:r>
      <w:r w:rsidR="00FB551A" w:rsidRPr="00DD1225">
        <w:rPr>
          <w:rFonts w:ascii="CMU Serif" w:hAnsi="CMU Serif" w:cs="CMU Serif"/>
          <w:lang w:val="en-ZA"/>
        </w:rPr>
        <w:t>long yields and hence term premia should decrease, in agreement with the signalling channel</w:t>
      </w:r>
      <w:r w:rsidR="00CF3AE4" w:rsidRPr="00DD1225">
        <w:rPr>
          <w:rFonts w:ascii="CMU Serif" w:hAnsi="CMU Serif" w:cs="CMU Serif"/>
          <w:lang w:val="en-ZA"/>
        </w:rPr>
        <w:t xml:space="preserve">, according to which large-scale asset purchases affect medium- and long-term rates by signalling low future monetary policy rates (Christensen and </w:t>
      </w:r>
      <w:proofErr w:type="spellStart"/>
      <w:r w:rsidR="00CF3AE4" w:rsidRPr="00DD1225">
        <w:rPr>
          <w:rFonts w:ascii="CMU Serif" w:hAnsi="CMU Serif" w:cs="CMU Serif"/>
          <w:lang w:val="en-ZA"/>
        </w:rPr>
        <w:t>Rudebush</w:t>
      </w:r>
      <w:proofErr w:type="spellEnd"/>
      <w:r w:rsidR="00CF3AE4" w:rsidRPr="00DD1225">
        <w:rPr>
          <w:rFonts w:ascii="CMU Serif" w:hAnsi="CMU Serif" w:cs="CMU Serif"/>
          <w:lang w:val="en-ZA"/>
        </w:rPr>
        <w:t xml:space="preserve"> 2012, Bauer and Rudebusch 2014)</w:t>
      </w:r>
      <w:r w:rsidRPr="00DD1225">
        <w:rPr>
          <w:rFonts w:ascii="CMU Serif" w:hAnsi="CMU Serif" w:cs="CMU Serif"/>
          <w:lang w:val="en-ZA"/>
        </w:rPr>
        <w:t>. Second,</w:t>
      </w:r>
      <w:r w:rsidR="00FB551A" w:rsidRPr="00DD1225">
        <w:rPr>
          <w:rFonts w:ascii="CMU Serif" w:hAnsi="CMU Serif" w:cs="CMU Serif"/>
          <w:lang w:val="en-ZA"/>
        </w:rPr>
        <w:t xml:space="preserve"> the portfolio balance channel </w:t>
      </w:r>
      <w:r w:rsidR="00E832CA" w:rsidRPr="00DD1225">
        <w:rPr>
          <w:rFonts w:ascii="CMU Serif" w:hAnsi="CMU Serif" w:cs="CMU Serif"/>
          <w:lang w:val="en-ZA"/>
        </w:rPr>
        <w:t xml:space="preserve">(see, e.g., Christensen and </w:t>
      </w:r>
      <w:proofErr w:type="spellStart"/>
      <w:r w:rsidR="00E832CA" w:rsidRPr="00DD1225">
        <w:rPr>
          <w:rFonts w:ascii="CMU Serif" w:hAnsi="CMU Serif" w:cs="CMU Serif"/>
          <w:lang w:val="en-ZA"/>
        </w:rPr>
        <w:t>Krogstrup</w:t>
      </w:r>
      <w:proofErr w:type="spellEnd"/>
      <w:r w:rsidR="00E832CA" w:rsidRPr="00DD1225">
        <w:rPr>
          <w:rFonts w:ascii="CMU Serif" w:hAnsi="CMU Serif" w:cs="CMU Serif"/>
          <w:lang w:val="en-ZA"/>
        </w:rPr>
        <w:t xml:space="preserve"> 2018) – which arises from the reduction in the relative supply of the assets purchased – </w:t>
      </w:r>
      <w:r w:rsidR="00FB551A" w:rsidRPr="00DD1225">
        <w:rPr>
          <w:rFonts w:ascii="CMU Serif" w:hAnsi="CMU Serif" w:cs="CMU Serif"/>
          <w:lang w:val="en-ZA"/>
        </w:rPr>
        <w:t>implies</w:t>
      </w:r>
      <w:r w:rsidR="00E832CA" w:rsidRPr="00DD1225">
        <w:rPr>
          <w:rFonts w:ascii="CMU Serif" w:hAnsi="CMU Serif" w:cs="CMU Serif"/>
          <w:lang w:val="en-ZA"/>
        </w:rPr>
        <w:t xml:space="preserve"> that</w:t>
      </w:r>
      <w:r w:rsidR="00FB551A" w:rsidRPr="00DD1225">
        <w:rPr>
          <w:rFonts w:ascii="CMU Serif" w:hAnsi="CMU Serif" w:cs="CMU Serif"/>
          <w:lang w:val="en-ZA"/>
        </w:rPr>
        <w:t xml:space="preserve"> large-scale asset purchases will translate into </w:t>
      </w:r>
      <w:r w:rsidR="00E832CA" w:rsidRPr="00DD1225">
        <w:rPr>
          <w:rFonts w:ascii="CMU Serif" w:hAnsi="CMU Serif" w:cs="CMU Serif"/>
          <w:lang w:val="en-ZA"/>
        </w:rPr>
        <w:t xml:space="preserve">higher prices of the assets </w:t>
      </w:r>
      <w:r w:rsidR="00802A1E" w:rsidRPr="00DD1225">
        <w:rPr>
          <w:rFonts w:ascii="CMU Serif" w:hAnsi="CMU Serif" w:cs="CMU Serif"/>
          <w:lang w:val="en-ZA"/>
        </w:rPr>
        <w:t>purchased</w:t>
      </w:r>
      <w:r w:rsidR="00E832CA" w:rsidRPr="00DD1225">
        <w:rPr>
          <w:rFonts w:ascii="CMU Serif" w:hAnsi="CMU Serif" w:cs="CMU Serif"/>
          <w:lang w:val="en-ZA"/>
        </w:rPr>
        <w:t xml:space="preserve">, and, subsequently, a </w:t>
      </w:r>
      <w:r w:rsidR="00FB551A" w:rsidRPr="00DD1225">
        <w:rPr>
          <w:rFonts w:ascii="CMU Serif" w:hAnsi="CMU Serif" w:cs="CMU Serif"/>
          <w:lang w:val="en-ZA"/>
        </w:rPr>
        <w:t>lower cost of funding</w:t>
      </w:r>
      <w:r w:rsidR="00E832CA" w:rsidRPr="00DD1225">
        <w:rPr>
          <w:rFonts w:ascii="CMU Serif" w:hAnsi="CMU Serif" w:cs="CMU Serif"/>
          <w:lang w:val="en-ZA"/>
        </w:rPr>
        <w:t xml:space="preserve"> for the sovereign borrower</w:t>
      </w:r>
      <w:bookmarkEnd w:id="1"/>
      <w:r w:rsidR="00FB551A" w:rsidRPr="00DD1225">
        <w:rPr>
          <w:rFonts w:ascii="CMU Serif" w:hAnsi="CMU Serif" w:cs="CMU Serif"/>
          <w:lang w:val="en-ZA"/>
        </w:rPr>
        <w:t>.</w:t>
      </w:r>
    </w:p>
    <w:p w14:paraId="7581AF1C" w14:textId="55E5A9D5" w:rsidR="0072192C" w:rsidRPr="00DD1225" w:rsidRDefault="003D2C2C">
      <w:pPr>
        <w:spacing w:after="0" w:line="360" w:lineRule="auto"/>
        <w:ind w:firstLine="708"/>
        <w:jc w:val="both"/>
        <w:rPr>
          <w:rFonts w:ascii="CMU Serif" w:hAnsi="CMU Serif" w:cs="CMU Serif"/>
          <w:lang w:val="en-ZA"/>
        </w:rPr>
      </w:pPr>
      <w:r w:rsidRPr="00DD1225">
        <w:rPr>
          <w:rFonts w:ascii="CMU Serif" w:hAnsi="CMU Serif" w:cs="CMU Serif"/>
          <w:lang w:val="en-ZA"/>
        </w:rPr>
        <w:t>T</w:t>
      </w:r>
      <w:r w:rsidR="00AE209A" w:rsidRPr="00DD1225">
        <w:rPr>
          <w:rFonts w:ascii="CMU Serif" w:hAnsi="CMU Serif" w:cs="CMU Serif"/>
          <w:lang w:val="en-ZA"/>
        </w:rPr>
        <w:t xml:space="preserve">he importance of the term structure of government bonds cannot be overestimated. </w:t>
      </w:r>
      <w:r w:rsidR="009359BF" w:rsidRPr="00DD1225">
        <w:rPr>
          <w:rFonts w:ascii="CMU Serif" w:hAnsi="CMU Serif" w:cs="CMU Serif"/>
          <w:lang w:val="en-ZA"/>
        </w:rPr>
        <w:t xml:space="preserve">Practitioners closely follow </w:t>
      </w:r>
      <w:r w:rsidR="00AE209A" w:rsidRPr="00DD1225">
        <w:rPr>
          <w:rFonts w:ascii="CMU Serif" w:hAnsi="CMU Serif" w:cs="CMU Serif"/>
          <w:lang w:val="en-ZA"/>
        </w:rPr>
        <w:t xml:space="preserve">and </w:t>
      </w:r>
      <w:r w:rsidR="00F43CD3" w:rsidRPr="00DD1225">
        <w:rPr>
          <w:rFonts w:ascii="CMU Serif" w:hAnsi="CMU Serif" w:cs="CMU Serif"/>
          <w:lang w:val="en-ZA"/>
        </w:rPr>
        <w:t xml:space="preserve">use </w:t>
      </w:r>
      <w:r w:rsidR="009359BF" w:rsidRPr="00DD1225">
        <w:rPr>
          <w:rFonts w:ascii="CMU Serif" w:hAnsi="CMU Serif" w:cs="CMU Serif"/>
          <w:lang w:val="en-ZA"/>
        </w:rPr>
        <w:t xml:space="preserve">it </w:t>
      </w:r>
      <w:r w:rsidR="00F43CD3" w:rsidRPr="00DD1225">
        <w:rPr>
          <w:rFonts w:ascii="CMU Serif" w:hAnsi="CMU Serif" w:cs="CMU Serif"/>
          <w:lang w:val="en-ZA"/>
        </w:rPr>
        <w:t xml:space="preserve">as an economic barometer by </w:t>
      </w:r>
      <w:r w:rsidR="00871C34" w:rsidRPr="00DD1225">
        <w:rPr>
          <w:rFonts w:ascii="CMU Serif" w:hAnsi="CMU Serif" w:cs="CMU Serif"/>
          <w:lang w:val="en-ZA"/>
        </w:rPr>
        <w:t>policy</w:t>
      </w:r>
      <w:r w:rsidR="00632C86" w:rsidRPr="00DD1225">
        <w:rPr>
          <w:rFonts w:ascii="CMU Serif" w:hAnsi="CMU Serif" w:cs="CMU Serif"/>
          <w:lang w:val="en-ZA"/>
        </w:rPr>
        <w:t>-</w:t>
      </w:r>
      <w:r w:rsidR="00871C34" w:rsidRPr="00DD1225">
        <w:rPr>
          <w:rFonts w:ascii="CMU Serif" w:hAnsi="CMU Serif" w:cs="CMU Serif"/>
          <w:lang w:val="en-ZA"/>
        </w:rPr>
        <w:t xml:space="preserve">makers. </w:t>
      </w:r>
      <w:r w:rsidR="001F05EE" w:rsidRPr="00DD1225">
        <w:rPr>
          <w:rFonts w:ascii="CMU Serif" w:hAnsi="CMU Serif" w:cs="CMU Serif"/>
          <w:lang w:val="en-ZA"/>
        </w:rPr>
        <w:t>I</w:t>
      </w:r>
      <w:r w:rsidR="00304D09" w:rsidRPr="00DD1225">
        <w:rPr>
          <w:rFonts w:ascii="CMU Serif" w:hAnsi="CMU Serif" w:cs="CMU Serif"/>
          <w:lang w:val="en-ZA"/>
        </w:rPr>
        <w:t>t has</w:t>
      </w:r>
      <w:r w:rsidR="000B1901" w:rsidRPr="00DD1225">
        <w:rPr>
          <w:rFonts w:ascii="CMU Serif" w:hAnsi="CMU Serif" w:cs="CMU Serif"/>
          <w:lang w:val="en-ZA"/>
        </w:rPr>
        <w:t xml:space="preserve"> </w:t>
      </w:r>
      <w:r w:rsidR="00304D09" w:rsidRPr="00DD1225">
        <w:rPr>
          <w:rFonts w:ascii="CMU Serif" w:hAnsi="CMU Serif" w:cs="CMU Serif"/>
          <w:lang w:val="en-ZA"/>
        </w:rPr>
        <w:t>predictive power</w:t>
      </w:r>
      <w:r w:rsidR="00813654" w:rsidRPr="00DD1225">
        <w:rPr>
          <w:rFonts w:ascii="CMU Serif" w:hAnsi="CMU Serif" w:cs="CMU Serif"/>
          <w:lang w:val="en-ZA"/>
        </w:rPr>
        <w:t>s</w:t>
      </w:r>
      <w:r w:rsidR="00304D09" w:rsidRPr="00DD1225">
        <w:rPr>
          <w:rFonts w:ascii="CMU Serif" w:hAnsi="CMU Serif" w:cs="CMU Serif"/>
          <w:lang w:val="en-ZA"/>
        </w:rPr>
        <w:t xml:space="preserve"> </w:t>
      </w:r>
      <w:r w:rsidR="000B1901" w:rsidRPr="00DD1225">
        <w:rPr>
          <w:rFonts w:ascii="CMU Serif" w:hAnsi="CMU Serif" w:cs="CMU Serif"/>
          <w:lang w:val="en-ZA"/>
        </w:rPr>
        <w:t>of economic activity</w:t>
      </w:r>
      <w:r w:rsidR="00AF7BD6" w:rsidRPr="00DD1225">
        <w:rPr>
          <w:rFonts w:ascii="CMU Serif" w:hAnsi="CMU Serif" w:cs="CMU Serif"/>
          <w:lang w:val="en-ZA"/>
        </w:rPr>
        <w:t xml:space="preserve"> and asset returns</w:t>
      </w:r>
      <w:r w:rsidR="000B1901" w:rsidRPr="00DD1225">
        <w:rPr>
          <w:rFonts w:ascii="CMU Serif" w:hAnsi="CMU Serif" w:cs="CMU Serif"/>
          <w:lang w:val="en-ZA"/>
        </w:rPr>
        <w:t xml:space="preserve"> (</w:t>
      </w:r>
      <w:r w:rsidR="00AF7BD6" w:rsidRPr="00DD1225">
        <w:rPr>
          <w:rFonts w:ascii="CMU Serif" w:hAnsi="CMU Serif" w:cs="CMU Serif"/>
          <w:lang w:val="en-ZA"/>
        </w:rPr>
        <w:t>Campbell 1987</w:t>
      </w:r>
      <w:r w:rsidR="00813654" w:rsidRPr="00DD1225">
        <w:rPr>
          <w:rFonts w:ascii="CMU Serif" w:hAnsi="CMU Serif" w:cs="CMU Serif"/>
          <w:lang w:val="en-ZA"/>
        </w:rPr>
        <w:t>;</w:t>
      </w:r>
      <w:r w:rsidR="00AF7BD6" w:rsidRPr="00DD1225">
        <w:rPr>
          <w:rFonts w:ascii="CMU Serif" w:hAnsi="CMU Serif" w:cs="CMU Serif"/>
          <w:lang w:val="en-ZA"/>
        </w:rPr>
        <w:t xml:space="preserve"> </w:t>
      </w:r>
      <w:r w:rsidR="000B1901" w:rsidRPr="00DD1225">
        <w:rPr>
          <w:rFonts w:ascii="CMU Serif" w:hAnsi="CMU Serif" w:cs="CMU Serif"/>
          <w:lang w:val="en-ZA"/>
        </w:rPr>
        <w:t xml:space="preserve">Wheelock and </w:t>
      </w:r>
      <w:proofErr w:type="spellStart"/>
      <w:r w:rsidR="000B1901" w:rsidRPr="00DD1225">
        <w:rPr>
          <w:rFonts w:ascii="CMU Serif" w:hAnsi="CMU Serif" w:cs="CMU Serif"/>
          <w:lang w:val="en-ZA"/>
        </w:rPr>
        <w:t>Wohar</w:t>
      </w:r>
      <w:proofErr w:type="spellEnd"/>
      <w:r w:rsidR="000B1901" w:rsidRPr="00DD1225">
        <w:rPr>
          <w:rFonts w:ascii="CMU Serif" w:hAnsi="CMU Serif" w:cs="CMU Serif"/>
          <w:lang w:val="en-ZA"/>
        </w:rPr>
        <w:t xml:space="preserve"> 2009). Hence, </w:t>
      </w:r>
      <w:r w:rsidR="000A16ED" w:rsidRPr="00DD1225">
        <w:rPr>
          <w:rFonts w:ascii="CMU Serif" w:hAnsi="CMU Serif" w:cs="CMU Serif"/>
          <w:lang w:val="en-ZA"/>
        </w:rPr>
        <w:t xml:space="preserve">understanding </w:t>
      </w:r>
      <w:r w:rsidR="00F43CD3" w:rsidRPr="00DD1225">
        <w:rPr>
          <w:rFonts w:ascii="CMU Serif" w:hAnsi="CMU Serif" w:cs="CMU Serif"/>
          <w:lang w:val="en-ZA"/>
        </w:rPr>
        <w:t>the spread</w:t>
      </w:r>
      <w:r w:rsidR="00813654" w:rsidRPr="00DD1225">
        <w:rPr>
          <w:rFonts w:ascii="CMU Serif" w:hAnsi="CMU Serif" w:cs="CMU Serif"/>
          <w:lang w:val="en-ZA"/>
        </w:rPr>
        <w:t>/</w:t>
      </w:r>
      <w:r w:rsidR="00F43CD3" w:rsidRPr="00DD1225">
        <w:rPr>
          <w:rFonts w:ascii="CMU Serif" w:hAnsi="CMU Serif" w:cs="CMU Serif"/>
          <w:lang w:val="en-ZA"/>
        </w:rPr>
        <w:t xml:space="preserve">COVID-19 nexus </w:t>
      </w:r>
      <w:r w:rsidR="000B1901" w:rsidRPr="00DD1225">
        <w:rPr>
          <w:rFonts w:ascii="CMU Serif" w:hAnsi="CMU Serif" w:cs="CMU Serif"/>
          <w:lang w:val="en-ZA"/>
        </w:rPr>
        <w:t>is of essential importance.</w:t>
      </w:r>
    </w:p>
    <w:p w14:paraId="56EB9744" w14:textId="17516FDE" w:rsidR="00864A20" w:rsidRPr="00DD1225" w:rsidRDefault="00AE209A">
      <w:pPr>
        <w:spacing w:after="0" w:line="360" w:lineRule="auto"/>
        <w:ind w:firstLine="708"/>
        <w:jc w:val="both"/>
        <w:rPr>
          <w:rFonts w:ascii="CMU Serif" w:hAnsi="CMU Serif" w:cs="CMU Serif"/>
          <w:lang w:val="en-ZA"/>
        </w:rPr>
      </w:pPr>
      <w:r w:rsidRPr="00DD1225">
        <w:rPr>
          <w:rFonts w:ascii="CMU Serif" w:hAnsi="CMU Serif" w:cs="CMU Serif"/>
          <w:lang w:val="en-ZA"/>
        </w:rPr>
        <w:t xml:space="preserve">To </w:t>
      </w:r>
      <w:r w:rsidR="00F92AB6" w:rsidRPr="00DD1225">
        <w:rPr>
          <w:rFonts w:ascii="CMU Serif" w:hAnsi="CMU Serif" w:cs="CMU Serif"/>
          <w:lang w:val="en-ZA"/>
        </w:rPr>
        <w:t xml:space="preserve">evaluate </w:t>
      </w:r>
      <w:r w:rsidRPr="00DD1225">
        <w:rPr>
          <w:rFonts w:ascii="CMU Serif" w:hAnsi="CMU Serif" w:cs="CMU Serif"/>
          <w:lang w:val="en-ZA"/>
        </w:rPr>
        <w:t xml:space="preserve">the impact of </w:t>
      </w:r>
      <w:r w:rsidR="0012105B" w:rsidRPr="00DD1225">
        <w:rPr>
          <w:rFonts w:ascii="CMU Serif" w:hAnsi="CMU Serif" w:cs="CMU Serif"/>
          <w:lang w:val="en-ZA"/>
        </w:rPr>
        <w:t xml:space="preserve">COVID-19 </w:t>
      </w:r>
      <w:r w:rsidRPr="00DD1225">
        <w:rPr>
          <w:rFonts w:ascii="CMU Serif" w:hAnsi="CMU Serif" w:cs="CMU Serif"/>
          <w:lang w:val="en-ZA"/>
        </w:rPr>
        <w:t xml:space="preserve">on </w:t>
      </w:r>
      <w:r w:rsidR="00864A20" w:rsidRPr="00DD1225">
        <w:rPr>
          <w:rFonts w:ascii="CMU Serif" w:hAnsi="CMU Serif" w:cs="CMU Serif"/>
          <w:lang w:val="en-ZA"/>
        </w:rPr>
        <w:t>spreads</w:t>
      </w:r>
      <w:r w:rsidRPr="00DD1225">
        <w:rPr>
          <w:rFonts w:ascii="CMU Serif" w:hAnsi="CMU Serif" w:cs="CMU Serif"/>
          <w:lang w:val="en-ZA"/>
        </w:rPr>
        <w:t xml:space="preserve">, we examine data </w:t>
      </w:r>
      <w:r w:rsidR="00BC3FD3" w:rsidRPr="00DD1225">
        <w:rPr>
          <w:rFonts w:ascii="CMU Serif" w:hAnsi="CMU Serif" w:cs="CMU Serif"/>
          <w:lang w:val="en-ZA"/>
        </w:rPr>
        <w:t xml:space="preserve">from </w:t>
      </w:r>
      <w:r w:rsidRPr="00DD1225">
        <w:rPr>
          <w:rFonts w:ascii="CMU Serif" w:hAnsi="CMU Serif" w:cs="CMU Serif"/>
          <w:lang w:val="en-ZA"/>
        </w:rPr>
        <w:t xml:space="preserve">30 developed and emerging markets </w:t>
      </w:r>
      <w:r w:rsidR="00F43CD3" w:rsidRPr="00DD1225">
        <w:rPr>
          <w:rFonts w:ascii="CMU Serif" w:hAnsi="CMU Serif" w:cs="CMU Serif"/>
          <w:lang w:val="en-ZA"/>
        </w:rPr>
        <w:t>from</w:t>
      </w:r>
      <w:r w:rsidRPr="00DD1225">
        <w:rPr>
          <w:rFonts w:ascii="CMU Serif" w:hAnsi="CMU Serif" w:cs="CMU Serif"/>
          <w:lang w:val="en-ZA"/>
        </w:rPr>
        <w:t xml:space="preserve"> January </w:t>
      </w:r>
      <w:r w:rsidR="00813654" w:rsidRPr="00DD1225">
        <w:rPr>
          <w:rFonts w:ascii="CMU Serif" w:hAnsi="CMU Serif" w:cs="CMU Serif"/>
          <w:lang w:val="en-ZA"/>
        </w:rPr>
        <w:t>to</w:t>
      </w:r>
      <w:r w:rsidRPr="00DD1225">
        <w:rPr>
          <w:rFonts w:ascii="CMU Serif" w:hAnsi="CMU Serif" w:cs="CMU Serif"/>
          <w:lang w:val="en-ZA"/>
        </w:rPr>
        <w:t xml:space="preserve"> September 2020</w:t>
      </w:r>
      <w:r w:rsidR="00BC3FD3" w:rsidRPr="00DD1225">
        <w:rPr>
          <w:rFonts w:ascii="CMU Serif" w:hAnsi="CMU Serif" w:cs="CMU Serif"/>
          <w:lang w:val="en-ZA"/>
        </w:rPr>
        <w:t xml:space="preserve"> employing panel regressions</w:t>
      </w:r>
      <w:r w:rsidRPr="00DD1225">
        <w:rPr>
          <w:rFonts w:ascii="CMU Serif" w:hAnsi="CMU Serif" w:cs="CMU Serif"/>
          <w:lang w:val="en-ZA"/>
        </w:rPr>
        <w:t>.</w:t>
      </w:r>
      <w:r w:rsidR="009359BF" w:rsidRPr="00DD1225">
        <w:rPr>
          <w:rFonts w:ascii="CMU Serif" w:hAnsi="CMU Serif" w:cs="CMU Serif"/>
          <w:lang w:val="en-ZA"/>
        </w:rPr>
        <w:t xml:space="preserve"> </w:t>
      </w:r>
      <w:r w:rsidRPr="00DD1225">
        <w:rPr>
          <w:rFonts w:ascii="CMU Serif" w:hAnsi="CMU Serif" w:cs="CMU Serif"/>
          <w:lang w:val="en-ZA"/>
        </w:rPr>
        <w:t>We provide evidence that COVID-19 significantly affect</w:t>
      </w:r>
      <w:r w:rsidR="0012105B" w:rsidRPr="00DD1225">
        <w:rPr>
          <w:rFonts w:ascii="CMU Serif" w:hAnsi="CMU Serif" w:cs="CMU Serif"/>
          <w:lang w:val="en-ZA"/>
        </w:rPr>
        <w:t>s</w:t>
      </w:r>
      <w:r w:rsidRPr="00DD1225">
        <w:rPr>
          <w:rFonts w:ascii="CMU Serif" w:hAnsi="CMU Serif" w:cs="CMU Serif"/>
          <w:lang w:val="en-ZA"/>
        </w:rPr>
        <w:t xml:space="preserve"> the </w:t>
      </w:r>
      <w:r w:rsidR="00315FF0" w:rsidRPr="00DD1225">
        <w:rPr>
          <w:rFonts w:ascii="CMU Serif" w:hAnsi="CMU Serif" w:cs="CMU Serif"/>
          <w:lang w:val="en-ZA"/>
        </w:rPr>
        <w:t>spread</w:t>
      </w:r>
      <w:r w:rsidR="003C50DA" w:rsidRPr="00DD1225">
        <w:rPr>
          <w:rFonts w:ascii="CMU Serif" w:hAnsi="CMU Serif" w:cs="CMU Serif"/>
          <w:lang w:val="en-ZA"/>
        </w:rPr>
        <w:t>s</w:t>
      </w:r>
      <w:r w:rsidRPr="00DD1225">
        <w:rPr>
          <w:rFonts w:ascii="CMU Serif" w:hAnsi="CMU Serif" w:cs="CMU Serif"/>
          <w:lang w:val="en-ZA"/>
        </w:rPr>
        <w:t xml:space="preserve">. Growth in the number of infections </w:t>
      </w:r>
      <w:r w:rsidR="00315FF0" w:rsidRPr="00DD1225">
        <w:rPr>
          <w:rFonts w:ascii="CMU Serif" w:hAnsi="CMU Serif" w:cs="CMU Serif"/>
          <w:lang w:val="en-ZA"/>
        </w:rPr>
        <w:t>induces</w:t>
      </w:r>
      <w:r w:rsidRPr="00DD1225">
        <w:rPr>
          <w:rFonts w:ascii="CMU Serif" w:hAnsi="CMU Serif" w:cs="CMU Serif"/>
          <w:lang w:val="en-ZA"/>
        </w:rPr>
        <w:t xml:space="preserve"> an increase </w:t>
      </w:r>
      <w:r w:rsidR="001C1E4E" w:rsidRPr="00DD1225">
        <w:rPr>
          <w:rFonts w:ascii="CMU Serif" w:hAnsi="CMU Serif" w:cs="CMU Serif"/>
          <w:lang w:val="en-ZA"/>
        </w:rPr>
        <w:t xml:space="preserve">in </w:t>
      </w:r>
      <w:r w:rsidRPr="00DD1225">
        <w:rPr>
          <w:rFonts w:ascii="CMU Serif" w:hAnsi="CMU Serif" w:cs="CMU Serif"/>
          <w:lang w:val="en-ZA"/>
        </w:rPr>
        <w:t xml:space="preserve">the spread. The effect is independent of </w:t>
      </w:r>
      <w:r w:rsidR="00710747" w:rsidRPr="00DD1225">
        <w:rPr>
          <w:rFonts w:ascii="CMU Serif" w:hAnsi="CMU Serif" w:cs="CMU Serif"/>
          <w:lang w:val="en-ZA"/>
        </w:rPr>
        <w:t>policy</w:t>
      </w:r>
      <w:r w:rsidRPr="00DD1225">
        <w:rPr>
          <w:rFonts w:ascii="CMU Serif" w:hAnsi="CMU Serif" w:cs="CMU Serif"/>
          <w:lang w:val="en-ZA"/>
        </w:rPr>
        <w:t xml:space="preserve"> interventions</w:t>
      </w:r>
      <w:r w:rsidR="00E97AC1" w:rsidRPr="00DD1225">
        <w:rPr>
          <w:rFonts w:ascii="CMU Serif" w:hAnsi="CMU Serif" w:cs="CMU Serif"/>
          <w:lang w:val="en-ZA"/>
        </w:rPr>
        <w:t xml:space="preserve"> or monetary measures</w:t>
      </w:r>
      <w:r w:rsidRPr="00DD1225">
        <w:rPr>
          <w:rFonts w:ascii="CMU Serif" w:hAnsi="CMU Serif" w:cs="CMU Serif"/>
          <w:lang w:val="en-ZA"/>
        </w:rPr>
        <w:t xml:space="preserve"> and</w:t>
      </w:r>
      <w:r w:rsidR="00F43CD3" w:rsidRPr="00DD1225">
        <w:rPr>
          <w:rFonts w:ascii="CMU Serif" w:hAnsi="CMU Serif" w:cs="CMU Serif"/>
          <w:lang w:val="en-ZA"/>
        </w:rPr>
        <w:t xml:space="preserve"> is</w:t>
      </w:r>
      <w:r w:rsidRPr="00DD1225">
        <w:rPr>
          <w:rFonts w:ascii="CMU Serif" w:hAnsi="CMU Serif" w:cs="CMU Serif"/>
          <w:lang w:val="en-ZA"/>
        </w:rPr>
        <w:t xml:space="preserve"> robust to </w:t>
      </w:r>
      <w:r w:rsidR="00A05B05" w:rsidRPr="00DD1225">
        <w:rPr>
          <w:rFonts w:ascii="CMU Serif" w:hAnsi="CMU Serif" w:cs="CMU Serif"/>
          <w:lang w:val="en-ZA"/>
        </w:rPr>
        <w:t xml:space="preserve">a broad range </w:t>
      </w:r>
      <w:r w:rsidR="0012105B" w:rsidRPr="00DD1225">
        <w:rPr>
          <w:rFonts w:ascii="CMU Serif" w:hAnsi="CMU Serif" w:cs="CMU Serif"/>
          <w:lang w:val="en-ZA"/>
        </w:rPr>
        <w:t>of model</w:t>
      </w:r>
      <w:r w:rsidR="00A05B05" w:rsidRPr="00DD1225">
        <w:rPr>
          <w:rFonts w:ascii="CMU Serif" w:hAnsi="CMU Serif" w:cs="CMU Serif"/>
          <w:lang w:val="en-ZA"/>
        </w:rPr>
        <w:t xml:space="preserve"> specifications</w:t>
      </w:r>
      <w:r w:rsidRPr="00DD1225">
        <w:rPr>
          <w:rFonts w:ascii="CMU Serif" w:hAnsi="CMU Serif" w:cs="CMU Serif"/>
          <w:lang w:val="en-ZA"/>
        </w:rPr>
        <w:t>.</w:t>
      </w:r>
    </w:p>
    <w:p w14:paraId="376A94E6" w14:textId="1C7F83C3" w:rsidR="00235146" w:rsidRPr="00DD1225" w:rsidRDefault="00AE209A" w:rsidP="00235146">
      <w:pPr>
        <w:spacing w:after="0" w:line="360" w:lineRule="auto"/>
        <w:ind w:firstLine="708"/>
        <w:jc w:val="both"/>
        <w:rPr>
          <w:rFonts w:ascii="CMU Serif" w:hAnsi="CMU Serif" w:cs="CMU Serif"/>
          <w:lang w:val="en-ZA"/>
        </w:rPr>
      </w:pPr>
      <w:r w:rsidRPr="00DD1225">
        <w:rPr>
          <w:rFonts w:ascii="CMU Serif" w:hAnsi="CMU Serif" w:cs="CMU Serif"/>
          <w:lang w:val="en-ZA"/>
        </w:rPr>
        <w:t>The remainder proceeds as follows. Section 2 presents data and methods. Section 3</w:t>
      </w:r>
      <w:r w:rsidR="00245FFB" w:rsidRPr="00DD1225">
        <w:rPr>
          <w:rFonts w:ascii="CMU Serif" w:hAnsi="CMU Serif" w:cs="CMU Serif"/>
          <w:lang w:val="en-ZA"/>
        </w:rPr>
        <w:t> </w:t>
      </w:r>
      <w:r w:rsidRPr="00DD1225">
        <w:rPr>
          <w:rFonts w:ascii="CMU Serif" w:hAnsi="CMU Serif" w:cs="CMU Serif"/>
          <w:lang w:val="en-ZA"/>
        </w:rPr>
        <w:t>summarizes the results. Finally, Section 4 concludes.</w:t>
      </w:r>
    </w:p>
    <w:p w14:paraId="0EDF030A" w14:textId="77777777" w:rsidR="00235146" w:rsidRPr="00DD1225" w:rsidRDefault="00235146" w:rsidP="0097126B">
      <w:pPr>
        <w:spacing w:after="0" w:line="360" w:lineRule="auto"/>
        <w:jc w:val="center"/>
        <w:rPr>
          <w:rFonts w:ascii="CMU Serif" w:hAnsi="CMU Serif" w:cs="CMU Serif"/>
          <w:lang w:val="en-ZA"/>
        </w:rPr>
      </w:pPr>
    </w:p>
    <w:p w14:paraId="1C84550D" w14:textId="77777777" w:rsidR="007F0E94" w:rsidRPr="00DD1225" w:rsidRDefault="00AE209A" w:rsidP="0097126B">
      <w:pPr>
        <w:spacing w:after="0" w:line="360" w:lineRule="auto"/>
        <w:jc w:val="center"/>
        <w:rPr>
          <w:rFonts w:ascii="CMU Serif" w:hAnsi="CMU Serif" w:cs="CMU Serif"/>
          <w:b/>
          <w:lang w:val="en-ZA"/>
        </w:rPr>
      </w:pPr>
      <w:r w:rsidRPr="00DD1225">
        <w:rPr>
          <w:rFonts w:ascii="CMU Serif" w:hAnsi="CMU Serif" w:cs="CMU Serif"/>
          <w:b/>
          <w:lang w:val="en-ZA"/>
        </w:rPr>
        <w:t>2. Data and Methods</w:t>
      </w:r>
    </w:p>
    <w:p w14:paraId="1BBF92F7" w14:textId="1F361346" w:rsidR="007F0E94" w:rsidRPr="00DD1225" w:rsidRDefault="00AE209A">
      <w:pPr>
        <w:spacing w:after="0" w:line="360" w:lineRule="auto"/>
        <w:ind w:firstLine="708"/>
        <w:jc w:val="both"/>
        <w:rPr>
          <w:rFonts w:ascii="CMU Serif" w:hAnsi="CMU Serif" w:cs="CMU Serif"/>
          <w:lang w:val="en-ZA"/>
        </w:rPr>
      </w:pPr>
      <w:r w:rsidRPr="00DD1225">
        <w:rPr>
          <w:rFonts w:ascii="CMU Serif" w:hAnsi="CMU Serif" w:cs="CMU Serif"/>
          <w:lang w:val="en-ZA"/>
        </w:rPr>
        <w:t xml:space="preserve">We examine data </w:t>
      </w:r>
      <w:r w:rsidR="00BC3FD3" w:rsidRPr="00DD1225">
        <w:rPr>
          <w:rFonts w:ascii="CMU Serif" w:hAnsi="CMU Serif" w:cs="CMU Serif"/>
          <w:lang w:val="en-ZA"/>
        </w:rPr>
        <w:t xml:space="preserve">from </w:t>
      </w:r>
      <w:r w:rsidRPr="00DD1225">
        <w:rPr>
          <w:rFonts w:ascii="CMU Serif" w:hAnsi="CMU Serif" w:cs="CMU Serif"/>
          <w:lang w:val="en-ZA"/>
        </w:rPr>
        <w:t xml:space="preserve">30 developed and emerging markets </w:t>
      </w:r>
      <w:r w:rsidR="00C97438" w:rsidRPr="00DD1225">
        <w:rPr>
          <w:rFonts w:ascii="CMU Serif" w:hAnsi="CMU Serif" w:cs="CMU Serif"/>
          <w:lang w:val="en-ZA"/>
        </w:rPr>
        <w:t>(Table A1</w:t>
      </w:r>
      <w:r w:rsidR="00617F5C" w:rsidRPr="00DD1225">
        <w:rPr>
          <w:rFonts w:ascii="CMU Serif" w:hAnsi="CMU Serif" w:cs="CMU Serif"/>
          <w:lang w:val="en-ZA"/>
        </w:rPr>
        <w:t xml:space="preserve">, </w:t>
      </w:r>
      <w:r w:rsidR="00C97438" w:rsidRPr="00DD1225">
        <w:rPr>
          <w:rFonts w:ascii="CMU Serif" w:hAnsi="CMU Serif" w:cs="CMU Serif"/>
          <w:lang w:val="en-ZA"/>
        </w:rPr>
        <w:t xml:space="preserve">Online Appendix). The </w:t>
      </w:r>
      <w:r w:rsidR="00AF7BD6" w:rsidRPr="00DD1225">
        <w:rPr>
          <w:rFonts w:ascii="CMU Serif" w:hAnsi="CMU Serif" w:cs="CMU Serif"/>
          <w:lang w:val="en-ZA"/>
        </w:rPr>
        <w:t xml:space="preserve">COVID-19 </w:t>
      </w:r>
      <w:r w:rsidR="00C97438" w:rsidRPr="00DD1225">
        <w:rPr>
          <w:rFonts w:ascii="CMU Serif" w:hAnsi="CMU Serif" w:cs="CMU Serif"/>
          <w:lang w:val="en-ZA"/>
        </w:rPr>
        <w:t xml:space="preserve">study period runs from January 1, 2020, to September 12, 2020. </w:t>
      </w:r>
      <w:r w:rsidR="00AF7BD6" w:rsidRPr="00DD1225">
        <w:rPr>
          <w:rFonts w:ascii="CMU Serif" w:hAnsi="CMU Serif" w:cs="CMU Serif"/>
          <w:lang w:val="en-ZA"/>
        </w:rPr>
        <w:t>We retrieved data</w:t>
      </w:r>
      <w:r w:rsidR="00C97438" w:rsidRPr="00DD1225">
        <w:rPr>
          <w:rFonts w:ascii="CMU Serif" w:hAnsi="CMU Serif" w:cs="CMU Serif"/>
          <w:lang w:val="en-ZA"/>
        </w:rPr>
        <w:t xml:space="preserve"> from </w:t>
      </w:r>
      <w:proofErr w:type="spellStart"/>
      <w:r w:rsidR="00F55540" w:rsidRPr="00DD1225">
        <w:rPr>
          <w:rFonts w:ascii="CMU Serif" w:hAnsi="CMU Serif" w:cs="CMU Serif"/>
          <w:lang w:val="en-ZA"/>
        </w:rPr>
        <w:t>Datastream</w:t>
      </w:r>
      <w:proofErr w:type="spellEnd"/>
      <w:r w:rsidR="00F55540" w:rsidRPr="00DD1225">
        <w:rPr>
          <w:rFonts w:ascii="CMU Serif" w:hAnsi="CMU Serif" w:cs="CMU Serif"/>
          <w:lang w:val="en-ZA"/>
        </w:rPr>
        <w:t>, Federal Reserve Bank of St. Louis</w:t>
      </w:r>
      <w:r w:rsidRPr="00DD1225">
        <w:rPr>
          <w:rStyle w:val="FootnoteReference"/>
          <w:rFonts w:ascii="CMU Serif" w:hAnsi="CMU Serif" w:cs="CMU Serif"/>
          <w:lang w:val="en-ZA"/>
        </w:rPr>
        <w:footnoteReference w:id="1"/>
      </w:r>
      <w:r w:rsidR="00A14B1A" w:rsidRPr="00DD1225">
        <w:rPr>
          <w:rFonts w:ascii="CMU Serif" w:hAnsi="CMU Serif" w:cs="CMU Serif"/>
          <w:lang w:val="en-ZA"/>
        </w:rPr>
        <w:t>,</w:t>
      </w:r>
      <w:r w:rsidR="00A14B1A" w:rsidRPr="00DD1225">
        <w:rPr>
          <w:rFonts w:ascii="CMU Serif" w:hAnsi="CMU Serif" w:cs="CMU Serif"/>
          <w:color w:val="FF0000"/>
          <w:lang w:val="en-ZA"/>
        </w:rPr>
        <w:t xml:space="preserve"> </w:t>
      </w:r>
      <w:r w:rsidR="00F55540" w:rsidRPr="00DD1225">
        <w:rPr>
          <w:rFonts w:ascii="CMU Serif" w:hAnsi="CMU Serif" w:cs="CMU Serif"/>
          <w:lang w:val="en-ZA"/>
        </w:rPr>
        <w:t>and the Oxford COVID-19 Government Response Tracker</w:t>
      </w:r>
      <w:r w:rsidRPr="00DD1225">
        <w:rPr>
          <w:rStyle w:val="FootnoteReference"/>
          <w:rFonts w:ascii="CMU Serif" w:hAnsi="CMU Serif" w:cs="CMU Serif"/>
          <w:lang w:val="en-ZA"/>
        </w:rPr>
        <w:footnoteReference w:id="2"/>
      </w:r>
      <w:r w:rsidR="00F55540" w:rsidRPr="00DD1225">
        <w:rPr>
          <w:rFonts w:ascii="CMU Serif" w:hAnsi="CMU Serif" w:cs="CMU Serif"/>
          <w:lang w:val="en-ZA"/>
        </w:rPr>
        <w:t xml:space="preserve"> </w:t>
      </w:r>
      <w:r w:rsidR="00235146" w:rsidRPr="00DD1225">
        <w:rPr>
          <w:rFonts w:ascii="CMU Serif" w:hAnsi="CMU Serif" w:cs="CMU Serif"/>
          <w:lang w:val="en-ZA"/>
        </w:rPr>
        <w:t>(Table A2</w:t>
      </w:r>
      <w:r w:rsidR="00E32E2B" w:rsidRPr="00DD1225">
        <w:rPr>
          <w:rFonts w:ascii="CMU Serif" w:hAnsi="CMU Serif" w:cs="CMU Serif"/>
          <w:lang w:val="en-ZA"/>
        </w:rPr>
        <w:t>,</w:t>
      </w:r>
      <w:r w:rsidR="00235146" w:rsidRPr="00DD1225">
        <w:rPr>
          <w:rFonts w:ascii="CMU Serif" w:hAnsi="CMU Serif" w:cs="CMU Serif"/>
          <w:lang w:val="en-ZA"/>
        </w:rPr>
        <w:t xml:space="preserve"> Online Appendix).</w:t>
      </w:r>
    </w:p>
    <w:p w14:paraId="05424BC1" w14:textId="412B8922" w:rsidR="00C97438" w:rsidRPr="00DD1225" w:rsidRDefault="00AE209A">
      <w:pPr>
        <w:spacing w:after="0" w:line="360" w:lineRule="auto"/>
        <w:ind w:firstLine="708"/>
        <w:jc w:val="both"/>
        <w:rPr>
          <w:rFonts w:ascii="CMU Serif" w:hAnsi="CMU Serif" w:cs="CMU Serif"/>
          <w:lang w:val="en-ZA"/>
        </w:rPr>
      </w:pPr>
      <w:r w:rsidRPr="00DD1225">
        <w:rPr>
          <w:rFonts w:ascii="CMU Serif" w:hAnsi="CMU Serif" w:cs="CMU Serif"/>
          <w:lang w:val="en-ZA"/>
        </w:rPr>
        <w:t xml:space="preserve">Our primary dependent variable is the </w:t>
      </w:r>
      <w:r w:rsidR="001A42AD" w:rsidRPr="00DD1225">
        <w:rPr>
          <w:rFonts w:ascii="CMU Serif" w:hAnsi="CMU Serif" w:cs="CMU Serif"/>
          <w:lang w:val="en-ZA"/>
        </w:rPr>
        <w:t xml:space="preserve">term </w:t>
      </w:r>
      <w:r w:rsidRPr="00DD1225">
        <w:rPr>
          <w:rFonts w:ascii="CMU Serif" w:hAnsi="CMU Serif" w:cs="CMU Serif"/>
          <w:lang w:val="en-ZA"/>
        </w:rPr>
        <w:t xml:space="preserve">spread, </w:t>
      </w:r>
      <w:r w:rsidRPr="00DD1225">
        <w:rPr>
          <w:rFonts w:ascii="CMU Serif" w:hAnsi="CMU Serif" w:cs="CMU Serif"/>
          <w:i/>
          <w:lang w:val="en-ZA"/>
        </w:rPr>
        <w:t>TERM</w:t>
      </w:r>
      <w:r w:rsidRPr="00DD1225">
        <w:rPr>
          <w:rFonts w:ascii="CMU Serif" w:hAnsi="CMU Serif" w:cs="CMU Serif"/>
          <w:lang w:val="en-ZA"/>
        </w:rPr>
        <w:t xml:space="preserve">, calculated as </w:t>
      </w:r>
      <w:r w:rsidR="00A05B05" w:rsidRPr="00DD1225">
        <w:rPr>
          <w:rFonts w:ascii="CMU Serif" w:hAnsi="CMU Serif" w:cs="CMU Serif"/>
          <w:lang w:val="en-ZA"/>
        </w:rPr>
        <w:t>the</w:t>
      </w:r>
      <w:r w:rsidRPr="00DD1225">
        <w:rPr>
          <w:rFonts w:ascii="CMU Serif" w:hAnsi="CMU Serif" w:cs="CMU Serif"/>
          <w:lang w:val="en-ZA"/>
        </w:rPr>
        <w:t xml:space="preserve"> 10-year government bond yield </w:t>
      </w:r>
      <w:r w:rsidR="002E13F2" w:rsidRPr="00DD1225">
        <w:rPr>
          <w:rFonts w:ascii="CMU Serif" w:hAnsi="CMU Serif" w:cs="CMU Serif"/>
          <w:lang w:val="en-ZA"/>
        </w:rPr>
        <w:t xml:space="preserve">minus </w:t>
      </w:r>
      <w:r w:rsidR="00A05B05" w:rsidRPr="00DD1225">
        <w:rPr>
          <w:rFonts w:ascii="CMU Serif" w:hAnsi="CMU Serif" w:cs="CMU Serif"/>
          <w:lang w:val="en-ZA"/>
        </w:rPr>
        <w:t xml:space="preserve">the </w:t>
      </w:r>
      <w:r w:rsidR="00625D6F" w:rsidRPr="00DD1225">
        <w:rPr>
          <w:rFonts w:ascii="CMU Serif" w:hAnsi="CMU Serif" w:cs="CMU Serif"/>
          <w:lang w:val="en-ZA"/>
        </w:rPr>
        <w:t>three</w:t>
      </w:r>
      <w:r w:rsidRPr="00DD1225">
        <w:rPr>
          <w:rFonts w:ascii="CMU Serif" w:hAnsi="CMU Serif" w:cs="CMU Serif"/>
          <w:lang w:val="en-ZA"/>
        </w:rPr>
        <w:t>-m</w:t>
      </w:r>
      <w:r w:rsidR="00625D6F" w:rsidRPr="00DD1225">
        <w:rPr>
          <w:rFonts w:ascii="CMU Serif" w:hAnsi="CMU Serif" w:cs="CMU Serif"/>
          <w:lang w:val="en-ZA"/>
        </w:rPr>
        <w:t>onth</w:t>
      </w:r>
      <w:r w:rsidR="00A05B05" w:rsidRPr="00DD1225">
        <w:rPr>
          <w:rFonts w:ascii="CMU Serif" w:hAnsi="CMU Serif" w:cs="CMU Serif"/>
          <w:lang w:val="en-ZA"/>
        </w:rPr>
        <w:t xml:space="preserve"> </w:t>
      </w:r>
      <w:r w:rsidR="00625D6F" w:rsidRPr="00DD1225">
        <w:rPr>
          <w:rFonts w:ascii="CMU Serif" w:hAnsi="CMU Serif" w:cs="CMU Serif"/>
          <w:lang w:val="en-ZA"/>
        </w:rPr>
        <w:t>rate</w:t>
      </w:r>
      <w:r w:rsidRPr="00DD1225">
        <w:rPr>
          <w:rFonts w:ascii="CMU Serif" w:hAnsi="CMU Serif" w:cs="CMU Serif"/>
          <w:lang w:val="en-ZA"/>
        </w:rPr>
        <w:t xml:space="preserve">. Sovereign bonds of </w:t>
      </w:r>
      <w:r w:rsidR="006C5B83" w:rsidRPr="00DD1225">
        <w:rPr>
          <w:rFonts w:ascii="CMU Serif" w:hAnsi="CMU Serif" w:cs="CMU Serif"/>
          <w:lang w:val="en-ZA"/>
        </w:rPr>
        <w:t>10</w:t>
      </w:r>
      <w:r w:rsidRPr="00DD1225">
        <w:rPr>
          <w:rFonts w:ascii="CMU Serif" w:hAnsi="CMU Serif" w:cs="CMU Serif"/>
          <w:lang w:val="en-ZA"/>
        </w:rPr>
        <w:t xml:space="preserve">-year </w:t>
      </w:r>
      <w:r w:rsidR="00E32E2B" w:rsidRPr="00DD1225">
        <w:rPr>
          <w:rFonts w:ascii="CMU Serif" w:hAnsi="CMU Serif" w:cs="CMU Serif"/>
          <w:lang w:val="en-ZA"/>
        </w:rPr>
        <w:t xml:space="preserve">maturity </w:t>
      </w:r>
      <w:r w:rsidRPr="00DD1225">
        <w:rPr>
          <w:rFonts w:ascii="CMU Serif" w:hAnsi="CMU Serif" w:cs="CMU Serif"/>
          <w:lang w:val="en-ZA"/>
        </w:rPr>
        <w:t xml:space="preserve">are typically most liquid </w:t>
      </w:r>
      <w:r w:rsidR="00710747" w:rsidRPr="00DD1225">
        <w:rPr>
          <w:rFonts w:ascii="CMU Serif" w:hAnsi="CMU Serif" w:cs="CMU Serif"/>
          <w:lang w:val="en-ZA"/>
        </w:rPr>
        <w:t>with</w:t>
      </w:r>
      <w:r w:rsidRPr="00DD1225">
        <w:rPr>
          <w:rFonts w:ascii="CMU Serif" w:hAnsi="CMU Serif" w:cs="CMU Serif"/>
          <w:lang w:val="en-ZA"/>
        </w:rPr>
        <w:t xml:space="preserve"> the broadest international coverage </w:t>
      </w:r>
      <w:r w:rsidR="002E13F2" w:rsidRPr="00DD1225">
        <w:rPr>
          <w:rFonts w:ascii="CMU Serif" w:hAnsi="CMU Serif" w:cs="CMU Serif"/>
          <w:lang w:val="en-ZA"/>
        </w:rPr>
        <w:t>and</w:t>
      </w:r>
      <w:r w:rsidR="006C5B83" w:rsidRPr="00DD1225">
        <w:rPr>
          <w:rFonts w:ascii="CMU Serif" w:hAnsi="CMU Serif" w:cs="CMU Serif"/>
          <w:lang w:val="en-ZA"/>
        </w:rPr>
        <w:t xml:space="preserve"> are</w:t>
      </w:r>
      <w:r w:rsidR="002E13F2" w:rsidRPr="00DD1225">
        <w:rPr>
          <w:rFonts w:ascii="CMU Serif" w:hAnsi="CMU Serif" w:cs="CMU Serif"/>
          <w:lang w:val="en-ZA"/>
        </w:rPr>
        <w:t xml:space="preserve"> commonly used</w:t>
      </w:r>
      <w:r w:rsidRPr="00DD1225">
        <w:rPr>
          <w:rFonts w:ascii="CMU Serif" w:hAnsi="CMU Serif" w:cs="CMU Serif"/>
          <w:lang w:val="en-ZA"/>
        </w:rPr>
        <w:t xml:space="preserve"> in</w:t>
      </w:r>
      <w:r w:rsidR="006C5B83" w:rsidRPr="00DD1225">
        <w:rPr>
          <w:rFonts w:ascii="CMU Serif" w:hAnsi="CMU Serif" w:cs="CMU Serif"/>
          <w:lang w:val="en-ZA"/>
        </w:rPr>
        <w:t xml:space="preserve"> the</w:t>
      </w:r>
      <w:r w:rsidRPr="00DD1225">
        <w:rPr>
          <w:rFonts w:ascii="CMU Serif" w:hAnsi="CMU Serif" w:cs="CMU Serif"/>
          <w:lang w:val="en-ZA"/>
        </w:rPr>
        <w:t xml:space="preserve"> asset pricing literature (e.g., </w:t>
      </w:r>
      <w:proofErr w:type="spellStart"/>
      <w:r w:rsidRPr="00DD1225">
        <w:rPr>
          <w:rFonts w:ascii="CMU Serif" w:hAnsi="CMU Serif" w:cs="CMU Serif"/>
          <w:lang w:val="en-ZA"/>
        </w:rPr>
        <w:t>Baltussen</w:t>
      </w:r>
      <w:proofErr w:type="spellEnd"/>
      <w:r w:rsidRPr="00DD1225">
        <w:rPr>
          <w:rFonts w:ascii="CMU Serif" w:hAnsi="CMU Serif" w:cs="CMU Serif"/>
          <w:lang w:val="en-ZA"/>
        </w:rPr>
        <w:t xml:space="preserve"> et al. </w:t>
      </w:r>
      <w:r w:rsidR="003B770B" w:rsidRPr="00DD1225">
        <w:rPr>
          <w:rFonts w:ascii="CMU Serif" w:hAnsi="CMU Serif" w:cs="CMU Serif"/>
          <w:lang w:val="en-ZA"/>
        </w:rPr>
        <w:t>2020</w:t>
      </w:r>
      <w:r w:rsidRPr="00DD1225">
        <w:rPr>
          <w:rFonts w:ascii="CMU Serif" w:hAnsi="CMU Serif" w:cs="CMU Serif"/>
          <w:lang w:val="en-ZA"/>
        </w:rPr>
        <w:t xml:space="preserve">; </w:t>
      </w:r>
      <w:proofErr w:type="spellStart"/>
      <w:r w:rsidRPr="00DD1225">
        <w:rPr>
          <w:rFonts w:ascii="CMU Serif" w:hAnsi="CMU Serif" w:cs="CMU Serif"/>
          <w:lang w:val="en-ZA"/>
        </w:rPr>
        <w:t>Ilmanen</w:t>
      </w:r>
      <w:proofErr w:type="spellEnd"/>
      <w:r w:rsidRPr="00DD1225">
        <w:rPr>
          <w:rFonts w:ascii="CMU Serif" w:hAnsi="CMU Serif" w:cs="CMU Serif"/>
          <w:lang w:val="en-ZA"/>
        </w:rPr>
        <w:t xml:space="preserve"> et al. 2019). The yields are calculated based on </w:t>
      </w:r>
      <w:proofErr w:type="spellStart"/>
      <w:r w:rsidRPr="00DD1225">
        <w:rPr>
          <w:rFonts w:ascii="CMU Serif" w:hAnsi="CMU Serif" w:cs="CMU Serif"/>
          <w:lang w:val="en-ZA"/>
        </w:rPr>
        <w:t>Datastream</w:t>
      </w:r>
      <w:proofErr w:type="spellEnd"/>
      <w:r w:rsidRPr="00DD1225">
        <w:rPr>
          <w:rFonts w:ascii="CMU Serif" w:hAnsi="CMU Serif" w:cs="CMU Serif"/>
          <w:lang w:val="en-ZA"/>
        </w:rPr>
        <w:t xml:space="preserve"> 10-Year Government Bond Total Returns. </w:t>
      </w:r>
      <w:bookmarkStart w:id="2" w:name="_Hlk61939443"/>
      <w:r w:rsidRPr="00DD1225">
        <w:rPr>
          <w:rFonts w:ascii="CMU Serif" w:hAnsi="CMU Serif" w:cs="CMU Serif"/>
          <w:lang w:val="en-ZA"/>
        </w:rPr>
        <w:t xml:space="preserve">Furthermore, following </w:t>
      </w:r>
      <w:r w:rsidR="00617F5C" w:rsidRPr="00DD1225">
        <w:rPr>
          <w:rFonts w:ascii="CMU Serif" w:hAnsi="CMU Serif" w:cs="CMU Serif"/>
          <w:lang w:val="en-ZA"/>
        </w:rPr>
        <w:t>Martens</w:t>
      </w:r>
      <w:r w:rsidR="00625D6F" w:rsidRPr="00DD1225">
        <w:rPr>
          <w:rFonts w:ascii="CMU Serif" w:hAnsi="CMU Serif" w:cs="CMU Serif"/>
          <w:lang w:val="en-ZA"/>
        </w:rPr>
        <w:t xml:space="preserve"> et al. (2019</w:t>
      </w:r>
      <w:r w:rsidR="00617F5C" w:rsidRPr="00DD1225">
        <w:rPr>
          <w:rFonts w:ascii="CMU Serif" w:hAnsi="CMU Serif" w:cs="CMU Serif"/>
          <w:lang w:val="en-ZA"/>
        </w:rPr>
        <w:t xml:space="preserve">), </w:t>
      </w:r>
      <w:r w:rsidR="00625D6F" w:rsidRPr="00DD1225">
        <w:rPr>
          <w:rFonts w:ascii="CMU Serif" w:hAnsi="CMU Serif" w:cs="CMU Serif"/>
          <w:lang w:val="en-ZA"/>
        </w:rPr>
        <w:t>we represent the short-term rate by</w:t>
      </w:r>
      <w:r w:rsidR="005130FC" w:rsidRPr="00DD1225">
        <w:rPr>
          <w:rFonts w:ascii="CMU Serif" w:hAnsi="CMU Serif" w:cs="CMU Serif"/>
          <w:lang w:val="en-ZA"/>
        </w:rPr>
        <w:t xml:space="preserve"> a</w:t>
      </w:r>
      <w:r w:rsidR="00625D6F" w:rsidRPr="00DD1225">
        <w:rPr>
          <w:rFonts w:ascii="CMU Serif" w:hAnsi="CMU Serif" w:cs="CMU Serif"/>
          <w:lang w:val="en-ZA"/>
        </w:rPr>
        <w:t xml:space="preserve"> three-month interbank rate</w:t>
      </w:r>
      <w:r w:rsidR="0089606E" w:rsidRPr="00DD1225">
        <w:rPr>
          <w:rFonts w:ascii="CMU Serif" w:hAnsi="CMU Serif" w:cs="CMU Serif"/>
          <w:lang w:val="en-ZA"/>
        </w:rPr>
        <w:t>. Given borrowing restrictions and availability limitations, interbank rates are more</w:t>
      </w:r>
      <w:r w:rsidR="00625D6F" w:rsidRPr="00DD1225">
        <w:rPr>
          <w:rFonts w:ascii="CMU Serif" w:hAnsi="CMU Serif" w:cs="CMU Serif"/>
          <w:lang w:val="en-ZA"/>
        </w:rPr>
        <w:t xml:space="preserve"> relevant from a practical perspective than analogous Treasury bill rates</w:t>
      </w:r>
      <w:r w:rsidR="0089606E" w:rsidRPr="00DD1225">
        <w:rPr>
          <w:rFonts w:ascii="CMU Serif" w:hAnsi="CMU Serif" w:cs="CMU Serif"/>
          <w:lang w:val="en-ZA"/>
        </w:rPr>
        <w:t>.</w:t>
      </w:r>
    </w:p>
    <w:bookmarkEnd w:id="2"/>
    <w:p w14:paraId="5B60E76E" w14:textId="4B51F99A" w:rsidR="00625D6F" w:rsidRPr="00DD1225" w:rsidRDefault="00AE209A">
      <w:pPr>
        <w:spacing w:after="0" w:line="360" w:lineRule="auto"/>
        <w:ind w:firstLine="708"/>
        <w:jc w:val="both"/>
        <w:rPr>
          <w:rFonts w:ascii="CMU Serif" w:hAnsi="CMU Serif" w:cs="CMU Serif"/>
          <w:lang w:val="en-ZA"/>
        </w:rPr>
      </w:pPr>
      <w:r w:rsidRPr="00DD1225">
        <w:rPr>
          <w:rFonts w:ascii="CMU Serif" w:hAnsi="CMU Serif" w:cs="CMU Serif"/>
          <w:lang w:val="en-ZA"/>
        </w:rPr>
        <w:t xml:space="preserve">To explore the role of </w:t>
      </w:r>
      <w:r w:rsidR="002E13F2" w:rsidRPr="00DD1225">
        <w:rPr>
          <w:rFonts w:ascii="CMU Serif" w:hAnsi="CMU Serif" w:cs="CMU Serif"/>
          <w:lang w:val="en-ZA"/>
        </w:rPr>
        <w:t>COVID-19</w:t>
      </w:r>
      <w:r w:rsidRPr="00DD1225">
        <w:rPr>
          <w:rFonts w:ascii="CMU Serif" w:hAnsi="CMU Serif" w:cs="CMU Serif"/>
          <w:lang w:val="en-ZA"/>
        </w:rPr>
        <w:t xml:space="preserve"> on spreads, we run the following panel data regression:</w:t>
      </w:r>
    </w:p>
    <w:p w14:paraId="2F9B4945" w14:textId="59804243" w:rsidR="00625D6F" w:rsidRPr="00DD1225" w:rsidRDefault="00AE209A" w:rsidP="0097126B">
      <w:pPr>
        <w:tabs>
          <w:tab w:val="center" w:pos="4536"/>
          <w:tab w:val="right" w:pos="9746"/>
        </w:tabs>
        <w:spacing w:after="0" w:line="360" w:lineRule="auto"/>
        <w:jc w:val="both"/>
        <w:rPr>
          <w:rFonts w:ascii="CMU Serif" w:eastAsiaTheme="minorEastAsia" w:hAnsi="CMU Serif" w:cs="CMU Serif"/>
          <w:lang w:val="en-ZA"/>
        </w:rPr>
      </w:pPr>
      <w:r w:rsidRPr="00DD1225">
        <w:rPr>
          <w:rFonts w:ascii="CMU Serif" w:eastAsiaTheme="minorEastAsia" w:hAnsi="CMU Serif" w:cs="CMU Serif"/>
          <w:lang w:val="en-ZA"/>
        </w:rPr>
        <w:tab/>
      </w:r>
      <m:oMath>
        <m:sSub>
          <m:sSubPr>
            <m:ctrlPr>
              <w:rPr>
                <w:rFonts w:ascii="Cambria Math" w:eastAsiaTheme="minorEastAsia" w:hAnsi="Cambria Math" w:cs="CMU Serif"/>
                <w:lang w:val="en-ZA"/>
              </w:rPr>
            </m:ctrlPr>
          </m:sSubPr>
          <m:e>
            <m:r>
              <w:rPr>
                <w:rFonts w:ascii="Cambria Math" w:eastAsiaTheme="minorEastAsia" w:hAnsi="Cambria Math" w:cs="CMU Serif"/>
                <w:lang w:val="en-ZA"/>
              </w:rPr>
              <m:t>TERM</m:t>
            </m:r>
          </m:e>
          <m:sub>
            <m:r>
              <w:rPr>
                <w:rFonts w:ascii="Cambria Math" w:eastAsiaTheme="minorEastAsia" w:hAnsi="Cambria Math" w:cs="CMU Serif"/>
                <w:lang w:val="en-ZA"/>
              </w:rPr>
              <m:t>i</m:t>
            </m:r>
            <m:r>
              <m:rPr>
                <m:sty m:val="p"/>
              </m:rPr>
              <w:rPr>
                <w:rFonts w:ascii="Cambria Math" w:eastAsiaTheme="minorEastAsia" w:hAnsi="Cambria Math" w:cs="CMU Serif"/>
                <w:lang w:val="en-ZA"/>
              </w:rPr>
              <m:t>,</m:t>
            </m:r>
            <m:r>
              <w:rPr>
                <w:rFonts w:ascii="Cambria Math" w:eastAsiaTheme="minorEastAsia" w:hAnsi="Cambria Math" w:cs="CMU Serif"/>
                <w:lang w:val="en-ZA"/>
              </w:rPr>
              <m:t>t</m:t>
            </m:r>
          </m:sub>
        </m:sSub>
        <m:r>
          <m:rPr>
            <m:sty m:val="p"/>
          </m:rPr>
          <w:rPr>
            <w:rFonts w:ascii="Cambria Math" w:eastAsiaTheme="minorEastAsia" w:hAnsi="Cambria Math" w:cs="CMU Serif"/>
            <w:lang w:val="en-ZA"/>
          </w:rPr>
          <m:t>=</m:t>
        </m:r>
        <m:r>
          <w:rPr>
            <w:rFonts w:ascii="Cambria Math" w:eastAsiaTheme="minorEastAsia" w:hAnsi="Cambria Math" w:cs="CMU Serif"/>
            <w:lang w:val="en-ZA"/>
          </w:rPr>
          <m:t>α</m:t>
        </m:r>
        <m:r>
          <m:rPr>
            <m:sty m:val="p"/>
          </m:rPr>
          <w:rPr>
            <w:rFonts w:ascii="Cambria Math" w:eastAsiaTheme="minorEastAsia" w:hAnsi="Cambria Math" w:cs="CMU Serif"/>
            <w:lang w:val="en-ZA"/>
          </w:rPr>
          <m:t>+</m:t>
        </m:r>
        <m:sSub>
          <m:sSubPr>
            <m:ctrlPr>
              <w:rPr>
                <w:rFonts w:ascii="Cambria Math" w:eastAsiaTheme="minorEastAsia" w:hAnsi="Cambria Math" w:cs="CMU Serif"/>
                <w:lang w:val="en-ZA"/>
              </w:rPr>
            </m:ctrlPr>
          </m:sSubPr>
          <m:e>
            <m:r>
              <w:rPr>
                <w:rFonts w:ascii="Cambria Math" w:eastAsiaTheme="minorEastAsia" w:hAnsi="Cambria Math" w:cs="CMU Serif"/>
                <w:lang w:val="en-ZA"/>
              </w:rPr>
              <m:t>γ</m:t>
            </m:r>
          </m:e>
          <m:sub>
            <m:r>
              <w:rPr>
                <w:rFonts w:ascii="Cambria Math" w:eastAsiaTheme="minorEastAsia" w:hAnsi="Cambria Math" w:cs="CMU Serif"/>
                <w:lang w:val="en-ZA"/>
              </w:rPr>
              <m:t>ΔCC</m:t>
            </m:r>
          </m:sub>
        </m:sSub>
        <m:r>
          <w:rPr>
            <w:rFonts w:ascii="Cambria Math" w:eastAsiaTheme="minorEastAsia" w:hAnsi="Cambria Math" w:cs="CMU Serif"/>
            <w:lang w:val="en-ZA"/>
          </w:rPr>
          <m:t>Δ</m:t>
        </m:r>
        <m:sSub>
          <m:sSubPr>
            <m:ctrlPr>
              <w:rPr>
                <w:rFonts w:ascii="Cambria Math" w:eastAsiaTheme="minorEastAsia" w:hAnsi="Cambria Math" w:cs="CMU Serif"/>
                <w:lang w:val="en-ZA"/>
              </w:rPr>
            </m:ctrlPr>
          </m:sSubPr>
          <m:e>
            <m:r>
              <w:rPr>
                <w:rFonts w:ascii="Cambria Math" w:eastAsiaTheme="minorEastAsia" w:hAnsi="Cambria Math" w:cs="CMU Serif"/>
                <w:lang w:val="en-ZA"/>
              </w:rPr>
              <m:t>CC</m:t>
            </m:r>
          </m:e>
          <m:sub>
            <m:r>
              <w:rPr>
                <w:rFonts w:ascii="Cambria Math" w:eastAsiaTheme="minorEastAsia" w:hAnsi="Cambria Math" w:cs="CMU Serif"/>
                <w:lang w:val="en-ZA"/>
              </w:rPr>
              <m:t>i</m:t>
            </m:r>
            <m:r>
              <m:rPr>
                <m:sty m:val="p"/>
              </m:rPr>
              <w:rPr>
                <w:rFonts w:ascii="Cambria Math" w:eastAsiaTheme="minorEastAsia" w:hAnsi="Cambria Math" w:cs="CMU Serif"/>
                <w:lang w:val="en-ZA"/>
              </w:rPr>
              <m:t>,</m:t>
            </m:r>
            <m:r>
              <w:rPr>
                <w:rFonts w:ascii="Cambria Math" w:eastAsiaTheme="minorEastAsia" w:hAnsi="Cambria Math" w:cs="CMU Serif"/>
                <w:lang w:val="en-ZA"/>
              </w:rPr>
              <m:t>t</m:t>
            </m:r>
          </m:sub>
        </m:sSub>
        <m:r>
          <m:rPr>
            <m:sty m:val="p"/>
          </m:rPr>
          <w:rPr>
            <w:rFonts w:ascii="Cambria Math" w:eastAsiaTheme="minorEastAsia" w:hAnsi="Cambria Math" w:cs="CMU Serif"/>
            <w:lang w:val="en-ZA"/>
          </w:rPr>
          <m:t>+</m:t>
        </m:r>
        <m:nary>
          <m:naryPr>
            <m:chr m:val="∑"/>
            <m:limLoc m:val="undOvr"/>
            <m:ctrlPr>
              <w:rPr>
                <w:rFonts w:ascii="Cambria Math" w:eastAsiaTheme="minorEastAsia" w:hAnsi="Cambria Math" w:cs="CMU Serif"/>
                <w:lang w:val="en-ZA"/>
              </w:rPr>
            </m:ctrlPr>
          </m:naryPr>
          <m:sub>
            <m:r>
              <w:rPr>
                <w:rFonts w:ascii="Cambria Math" w:eastAsiaTheme="minorEastAsia" w:hAnsi="Cambria Math" w:cs="CMU Serif"/>
                <w:lang w:val="en-ZA"/>
              </w:rPr>
              <m:t>c</m:t>
            </m:r>
            <m:r>
              <m:rPr>
                <m:sty m:val="p"/>
              </m:rPr>
              <w:rPr>
                <w:rFonts w:ascii="Cambria Math" w:eastAsiaTheme="minorEastAsia" w:hAnsi="Cambria Math" w:cs="CMU Serif"/>
                <w:lang w:val="en-ZA"/>
              </w:rPr>
              <m:t>=1</m:t>
            </m:r>
          </m:sub>
          <m:sup>
            <m:r>
              <w:rPr>
                <w:rFonts w:ascii="Cambria Math" w:eastAsiaTheme="minorEastAsia" w:hAnsi="Cambria Math" w:cs="CMU Serif"/>
                <w:lang w:val="en-ZA"/>
              </w:rPr>
              <m:t>C</m:t>
            </m:r>
          </m:sup>
          <m:e>
            <m:sSub>
              <m:sSubPr>
                <m:ctrlPr>
                  <w:rPr>
                    <w:rFonts w:ascii="Cambria Math" w:eastAsiaTheme="minorEastAsia" w:hAnsi="Cambria Math" w:cs="CMU Serif"/>
                    <w:lang w:val="en-ZA"/>
                  </w:rPr>
                </m:ctrlPr>
              </m:sSubPr>
              <m:e>
                <m:r>
                  <w:rPr>
                    <w:rFonts w:ascii="Cambria Math" w:eastAsiaTheme="minorEastAsia" w:hAnsi="Cambria Math" w:cs="CMU Serif"/>
                    <w:lang w:val="en-ZA"/>
                  </w:rPr>
                  <m:t>γ</m:t>
                </m:r>
              </m:e>
              <m:sub>
                <m:r>
                  <w:rPr>
                    <w:rFonts w:ascii="Cambria Math" w:eastAsiaTheme="minorEastAsia" w:hAnsi="Cambria Math" w:cs="CMU Serif"/>
                    <w:lang w:val="en-ZA"/>
                  </w:rPr>
                  <m:t>c</m:t>
                </m:r>
              </m:sub>
            </m:sSub>
            <m:sSub>
              <m:sSubPr>
                <m:ctrlPr>
                  <w:rPr>
                    <w:rFonts w:ascii="Cambria Math" w:eastAsiaTheme="minorEastAsia" w:hAnsi="Cambria Math" w:cs="CMU Serif"/>
                    <w:lang w:val="en-ZA"/>
                  </w:rPr>
                </m:ctrlPr>
              </m:sSubPr>
              <m:e>
                <m:r>
                  <w:rPr>
                    <w:rFonts w:ascii="Cambria Math" w:eastAsiaTheme="minorEastAsia" w:hAnsi="Cambria Math" w:cs="CMU Serif"/>
                    <w:lang w:val="en-ZA"/>
                  </w:rPr>
                  <m:t>K</m:t>
                </m:r>
              </m:e>
              <m:sub>
                <m:r>
                  <w:rPr>
                    <w:rFonts w:ascii="Cambria Math" w:eastAsiaTheme="minorEastAsia" w:hAnsi="Cambria Math" w:cs="CMU Serif"/>
                    <w:lang w:val="en-ZA"/>
                  </w:rPr>
                  <m:t>c</m:t>
                </m:r>
                <m:r>
                  <m:rPr>
                    <m:sty m:val="p"/>
                  </m:rPr>
                  <w:rPr>
                    <w:rFonts w:ascii="Cambria Math" w:eastAsiaTheme="minorEastAsia" w:hAnsi="Cambria Math" w:cs="CMU Serif"/>
                    <w:lang w:val="en-ZA"/>
                  </w:rPr>
                  <m:t>,</m:t>
                </m:r>
                <m:r>
                  <w:rPr>
                    <w:rFonts w:ascii="Cambria Math" w:eastAsiaTheme="minorEastAsia" w:hAnsi="Cambria Math" w:cs="CMU Serif"/>
                    <w:lang w:val="en-ZA"/>
                  </w:rPr>
                  <m:t>i</m:t>
                </m:r>
                <m:r>
                  <m:rPr>
                    <m:sty m:val="p"/>
                  </m:rPr>
                  <w:rPr>
                    <w:rFonts w:ascii="Cambria Math" w:eastAsiaTheme="minorEastAsia" w:hAnsi="Cambria Math" w:cs="CMU Serif"/>
                    <w:lang w:val="en-ZA"/>
                  </w:rPr>
                  <m:t>,</m:t>
                </m:r>
                <m:r>
                  <w:rPr>
                    <w:rFonts w:ascii="Cambria Math" w:eastAsiaTheme="minorEastAsia" w:hAnsi="Cambria Math" w:cs="CMU Serif"/>
                    <w:lang w:val="en-ZA"/>
                  </w:rPr>
                  <m:t>t</m:t>
                </m:r>
              </m:sub>
            </m:sSub>
            <m:r>
              <m:rPr>
                <m:sty m:val="p"/>
              </m:rPr>
              <w:rPr>
                <w:rFonts w:ascii="Cambria Math" w:eastAsiaTheme="minorEastAsia" w:hAnsi="Cambria Math" w:cs="CMU Serif"/>
                <w:lang w:val="en-ZA"/>
              </w:rPr>
              <m:t>+</m:t>
            </m:r>
            <m:sSub>
              <m:sSubPr>
                <m:ctrlPr>
                  <w:rPr>
                    <w:rFonts w:ascii="Cambria Math" w:eastAsiaTheme="minorEastAsia" w:hAnsi="Cambria Math" w:cs="CMU Serif"/>
                    <w:lang w:val="en-ZA"/>
                  </w:rPr>
                </m:ctrlPr>
              </m:sSubPr>
              <m:e>
                <m:r>
                  <w:rPr>
                    <w:rFonts w:ascii="Cambria Math" w:eastAsiaTheme="minorEastAsia" w:hAnsi="Cambria Math" w:cs="CMU Serif"/>
                    <w:lang w:val="en-ZA"/>
                  </w:rPr>
                  <m:t>ε</m:t>
                </m:r>
              </m:e>
              <m:sub>
                <m:r>
                  <w:rPr>
                    <w:rFonts w:ascii="Cambria Math" w:eastAsiaTheme="minorEastAsia" w:hAnsi="Cambria Math" w:cs="CMU Serif"/>
                    <w:lang w:val="en-ZA"/>
                  </w:rPr>
                  <m:t>i,t</m:t>
                </m:r>
              </m:sub>
            </m:sSub>
          </m:e>
        </m:nary>
      </m:oMath>
      <w:r w:rsidRPr="00DD1225">
        <w:rPr>
          <w:rFonts w:ascii="CMU Serif" w:eastAsiaTheme="minorEastAsia" w:hAnsi="CMU Serif" w:cs="CMU Serif"/>
          <w:lang w:val="en-ZA"/>
        </w:rPr>
        <w:t>,</w:t>
      </w:r>
      <w:r w:rsidRPr="00DD1225">
        <w:rPr>
          <w:rFonts w:ascii="CMU Serif" w:eastAsiaTheme="minorEastAsia" w:hAnsi="CMU Serif" w:cs="CMU Serif"/>
          <w:lang w:val="en-ZA"/>
        </w:rPr>
        <w:tab/>
        <w:t>(1)</w:t>
      </w:r>
    </w:p>
    <w:p w14:paraId="13873F82" w14:textId="57B63C9E" w:rsidR="00C57EC3" w:rsidRPr="00DD1225" w:rsidRDefault="00AE209A">
      <w:pPr>
        <w:spacing w:after="0" w:line="360" w:lineRule="auto"/>
        <w:jc w:val="both"/>
        <w:rPr>
          <w:rFonts w:ascii="CMU Serif" w:hAnsi="CMU Serif" w:cs="CMU Serif"/>
          <w:lang w:val="en-ZA"/>
        </w:rPr>
      </w:pPr>
      <w:r w:rsidRPr="00DD1225">
        <w:rPr>
          <w:rFonts w:ascii="CMU Serif" w:hAnsi="CMU Serif" w:cs="CMU Serif"/>
          <w:lang w:val="en-ZA"/>
        </w:rPr>
        <w:t xml:space="preserve">where </w:t>
      </w:r>
      <w:proofErr w:type="spellStart"/>
      <w:r w:rsidRPr="00DD1225">
        <w:rPr>
          <w:rFonts w:ascii="CMU Serif" w:hAnsi="CMU Serif" w:cs="CMU Serif"/>
          <w:i/>
          <w:lang w:val="en-ZA"/>
        </w:rPr>
        <w:t>TERM</w:t>
      </w:r>
      <w:r w:rsidRPr="00DD1225">
        <w:rPr>
          <w:rFonts w:ascii="CMU Serif" w:hAnsi="CMU Serif" w:cs="CMU Serif"/>
          <w:i/>
          <w:vertAlign w:val="subscript"/>
          <w:lang w:val="en-ZA"/>
        </w:rPr>
        <w:t>,i,t</w:t>
      </w:r>
      <w:proofErr w:type="spellEnd"/>
      <w:r w:rsidRPr="00DD1225">
        <w:rPr>
          <w:rFonts w:ascii="CMU Serif" w:hAnsi="CMU Serif" w:cs="CMU Serif"/>
          <w:lang w:val="en-ZA"/>
        </w:rPr>
        <w:t xml:space="preserve"> denotes the spread in country </w:t>
      </w:r>
      <w:r w:rsidRPr="00DD1225">
        <w:rPr>
          <w:rFonts w:ascii="CMU Serif" w:hAnsi="CMU Serif" w:cs="CMU Serif"/>
          <w:i/>
          <w:lang w:val="en-ZA"/>
        </w:rPr>
        <w:t>i</w:t>
      </w:r>
      <w:r w:rsidRPr="00DD1225">
        <w:rPr>
          <w:rFonts w:ascii="CMU Serif" w:hAnsi="CMU Serif" w:cs="CMU Serif"/>
          <w:lang w:val="en-ZA"/>
        </w:rPr>
        <w:t xml:space="preserve"> on day </w:t>
      </w:r>
      <w:r w:rsidRPr="00DD1225">
        <w:rPr>
          <w:rFonts w:ascii="CMU Serif" w:hAnsi="CMU Serif" w:cs="CMU Serif"/>
          <w:i/>
          <w:lang w:val="en-ZA"/>
        </w:rPr>
        <w:t>t</w:t>
      </w:r>
      <w:r w:rsidRPr="00DD1225">
        <w:rPr>
          <w:rFonts w:ascii="CMU Serif" w:hAnsi="CMU Serif" w:cs="CMU Serif"/>
          <w:lang w:val="en-ZA"/>
        </w:rPr>
        <w:t>,</w:t>
      </w:r>
      <w:r w:rsidR="0097126B" w:rsidRPr="00DD1225">
        <w:rPr>
          <w:rFonts w:ascii="CMU Serif" w:hAnsi="CMU Serif" w:cs="CMU Serif"/>
          <w:lang w:val="en-ZA"/>
        </w:rPr>
        <w:t xml:space="preserve"> </w:t>
      </w:r>
      <w:r w:rsidR="0097126B" w:rsidRPr="00DD1225">
        <w:rPr>
          <w:rFonts w:ascii="CMU Serif" w:hAnsi="CMU Serif" w:cs="CMU Serif"/>
          <w:i/>
          <w:lang w:val="en-ZA"/>
        </w:rPr>
        <w:t>α</w:t>
      </w:r>
      <w:r w:rsidR="00A47239" w:rsidRPr="00DD1225">
        <w:rPr>
          <w:rFonts w:ascii="CMU Serif" w:hAnsi="CMU Serif" w:cs="CMU Serif"/>
          <w:i/>
          <w:lang w:val="en-ZA"/>
        </w:rPr>
        <w:t xml:space="preserve">, </w:t>
      </w:r>
      <m:oMath>
        <m:sSub>
          <m:sSubPr>
            <m:ctrlPr>
              <w:rPr>
                <w:rFonts w:ascii="Cambria Math" w:eastAsiaTheme="minorEastAsia" w:hAnsi="Cambria Math" w:cs="CMU Serif"/>
                <w:lang w:val="en-ZA"/>
              </w:rPr>
            </m:ctrlPr>
          </m:sSubPr>
          <m:e>
            <m:r>
              <w:rPr>
                <w:rFonts w:ascii="Cambria Math" w:eastAsiaTheme="minorEastAsia" w:hAnsi="Cambria Math" w:cs="CMU Serif"/>
                <w:lang w:val="en-ZA"/>
              </w:rPr>
              <m:t>γ</m:t>
            </m:r>
          </m:e>
          <m:sub>
            <m:r>
              <w:rPr>
                <w:rFonts w:ascii="Cambria Math" w:eastAsiaTheme="minorEastAsia" w:hAnsi="Cambria Math" w:cs="CMU Serif"/>
                <w:lang w:val="en-ZA"/>
              </w:rPr>
              <m:t>ΔCC</m:t>
            </m:r>
          </m:sub>
        </m:sSub>
      </m:oMath>
      <w:r w:rsidR="00A47239" w:rsidRPr="00DD1225">
        <w:rPr>
          <w:rFonts w:ascii="CMU Serif" w:hAnsi="CMU Serif" w:cs="CMU Serif"/>
          <w:lang w:val="en-ZA"/>
        </w:rPr>
        <w:t xml:space="preserve">, </w:t>
      </w:r>
      <w:r w:rsidR="00802A1E" w:rsidRPr="00DD1225">
        <w:rPr>
          <w:rFonts w:ascii="CMU Serif" w:hAnsi="CMU Serif" w:cs="CMU Serif"/>
          <w:lang w:val="en-ZA"/>
        </w:rPr>
        <w:t xml:space="preserve">and </w:t>
      </w:r>
      <w:proofErr w:type="spellStart"/>
      <w:r w:rsidR="0097126B" w:rsidRPr="00DD1225">
        <w:rPr>
          <w:rFonts w:ascii="CMU Serif" w:hAnsi="CMU Serif" w:cs="CMU Serif"/>
          <w:i/>
          <w:lang w:val="en-ZA"/>
        </w:rPr>
        <w:t>γ</w:t>
      </w:r>
      <w:r w:rsidR="00A47239" w:rsidRPr="00DD1225">
        <w:rPr>
          <w:rFonts w:ascii="CMU Serif" w:hAnsi="CMU Serif" w:cs="CMU Serif"/>
          <w:i/>
          <w:vertAlign w:val="subscript"/>
          <w:lang w:val="en-ZA"/>
        </w:rPr>
        <w:t>c</w:t>
      </w:r>
      <w:proofErr w:type="spellEnd"/>
      <w:r w:rsidR="0097126B" w:rsidRPr="00DD1225">
        <w:rPr>
          <w:rFonts w:ascii="CMU Serif" w:hAnsi="CMU Serif" w:cs="CMU Serif"/>
          <w:lang w:val="en-ZA"/>
        </w:rPr>
        <w:t xml:space="preserve"> are estimated </w:t>
      </w:r>
      <w:r w:rsidR="002E13F2" w:rsidRPr="00DD1225">
        <w:rPr>
          <w:rFonts w:ascii="CMU Serif" w:hAnsi="CMU Serif" w:cs="CMU Serif"/>
          <w:lang w:val="en-ZA"/>
        </w:rPr>
        <w:t>coefficients</w:t>
      </w:r>
      <w:r w:rsidR="00802A1E" w:rsidRPr="00DD1225">
        <w:rPr>
          <w:rFonts w:ascii="CMU Serif" w:hAnsi="CMU Serif" w:cs="CMU Serif"/>
          <w:lang w:val="en-ZA"/>
        </w:rPr>
        <w:t xml:space="preserve">, and </w:t>
      </w:r>
      <m:oMath>
        <m:sSub>
          <m:sSubPr>
            <m:ctrlPr>
              <w:rPr>
                <w:rFonts w:ascii="Cambria Math" w:eastAsiaTheme="minorEastAsia" w:hAnsi="Cambria Math" w:cs="CMU Serif"/>
                <w:lang w:val="en-ZA"/>
              </w:rPr>
            </m:ctrlPr>
          </m:sSubPr>
          <m:e>
            <m:r>
              <w:rPr>
                <w:rFonts w:ascii="Cambria Math" w:eastAsiaTheme="minorEastAsia" w:hAnsi="Cambria Math" w:cs="CMU Serif"/>
                <w:lang w:val="en-ZA"/>
              </w:rPr>
              <m:t>ε</m:t>
            </m:r>
          </m:e>
          <m:sub>
            <m:r>
              <w:rPr>
                <w:rFonts w:ascii="Cambria Math" w:eastAsiaTheme="minorEastAsia" w:hAnsi="Cambria Math" w:cs="CMU Serif"/>
                <w:lang w:val="en-ZA"/>
              </w:rPr>
              <m:t>i,t</m:t>
            </m:r>
          </m:sub>
        </m:sSub>
        <m:r>
          <w:rPr>
            <w:rFonts w:ascii="Cambria Math" w:eastAsiaTheme="minorEastAsia" w:hAnsi="Cambria Math" w:cs="CMU Serif"/>
            <w:lang w:val="en-ZA"/>
          </w:rPr>
          <m:t>=</m:t>
        </m:r>
        <m:sSub>
          <m:sSubPr>
            <m:ctrlPr>
              <w:rPr>
                <w:rFonts w:ascii="Cambria Math" w:eastAsiaTheme="minorEastAsia" w:hAnsi="Cambria Math" w:cs="CMU Serif"/>
                <w:lang w:val="en-ZA"/>
              </w:rPr>
            </m:ctrlPr>
          </m:sSubPr>
          <m:e>
            <m:r>
              <w:rPr>
                <w:rFonts w:ascii="Cambria Math" w:eastAsiaTheme="minorEastAsia" w:hAnsi="Cambria Math" w:cs="CMU Serif"/>
                <w:lang w:val="en-ZA"/>
              </w:rPr>
              <m:t>u</m:t>
            </m:r>
          </m:e>
          <m:sub>
            <m:r>
              <w:rPr>
                <w:rFonts w:ascii="Cambria Math" w:eastAsiaTheme="minorEastAsia" w:hAnsi="Cambria Math" w:cs="CMU Serif"/>
                <w:lang w:val="en-ZA"/>
              </w:rPr>
              <m:t>i</m:t>
            </m:r>
          </m:sub>
        </m:sSub>
        <m:r>
          <m:rPr>
            <m:sty m:val="p"/>
          </m:rPr>
          <w:rPr>
            <w:rFonts w:ascii="Cambria Math" w:eastAsiaTheme="minorEastAsia" w:hAnsi="Cambria Math" w:cs="CMU Serif"/>
            <w:lang w:val="en-ZA"/>
          </w:rPr>
          <m:t>+</m:t>
        </m:r>
        <m:sSub>
          <m:sSubPr>
            <m:ctrlPr>
              <w:rPr>
                <w:rFonts w:ascii="Cambria Math" w:eastAsiaTheme="minorEastAsia" w:hAnsi="Cambria Math" w:cs="CMU Serif"/>
                <w:lang w:val="en-ZA"/>
              </w:rPr>
            </m:ctrlPr>
          </m:sSubPr>
          <m:e>
            <m:r>
              <w:rPr>
                <w:rFonts w:ascii="Cambria Math" w:eastAsiaTheme="minorEastAsia" w:hAnsi="Cambria Math" w:cs="CMU Serif"/>
                <w:lang w:val="en-ZA"/>
              </w:rPr>
              <m:t>v</m:t>
            </m:r>
          </m:e>
          <m:sub>
            <m:r>
              <w:rPr>
                <w:rFonts w:ascii="Cambria Math" w:eastAsiaTheme="minorEastAsia" w:hAnsi="Cambria Math" w:cs="CMU Serif"/>
                <w:lang w:val="en-ZA"/>
              </w:rPr>
              <m:t>i</m:t>
            </m:r>
            <m:r>
              <m:rPr>
                <m:sty m:val="p"/>
              </m:rPr>
              <w:rPr>
                <w:rFonts w:ascii="Cambria Math" w:eastAsiaTheme="minorEastAsia" w:hAnsi="Cambria Math" w:cs="CMU Serif"/>
                <w:lang w:val="en-ZA"/>
              </w:rPr>
              <m:t>,</m:t>
            </m:r>
            <m:r>
              <w:rPr>
                <w:rFonts w:ascii="Cambria Math" w:eastAsiaTheme="minorEastAsia" w:hAnsi="Cambria Math" w:cs="CMU Serif"/>
                <w:lang w:val="en-ZA"/>
              </w:rPr>
              <m:t>t</m:t>
            </m:r>
          </m:sub>
        </m:sSub>
      </m:oMath>
      <w:r w:rsidR="00802A1E" w:rsidRPr="00DD1225">
        <w:rPr>
          <w:rFonts w:ascii="CMU Serif" w:eastAsiaTheme="minorEastAsia" w:hAnsi="CMU Serif" w:cs="CMU Serif"/>
          <w:lang w:val="en-ZA"/>
        </w:rPr>
        <w:t xml:space="preserve"> is the composite random disturbance term, which consists of two components, the unobserved country-specific effect, </w:t>
      </w:r>
      <m:oMath>
        <m:sSub>
          <m:sSubPr>
            <m:ctrlPr>
              <w:rPr>
                <w:rFonts w:ascii="Cambria Math" w:eastAsiaTheme="minorEastAsia" w:hAnsi="Cambria Math" w:cs="CMU Serif"/>
                <w:lang w:val="en-ZA"/>
              </w:rPr>
            </m:ctrlPr>
          </m:sSubPr>
          <m:e>
            <m:r>
              <w:rPr>
                <w:rFonts w:ascii="Cambria Math" w:eastAsiaTheme="minorEastAsia" w:hAnsi="Cambria Math" w:cs="CMU Serif"/>
                <w:lang w:val="en-ZA"/>
              </w:rPr>
              <m:t>u</m:t>
            </m:r>
          </m:e>
          <m:sub>
            <m:r>
              <w:rPr>
                <w:rFonts w:ascii="Cambria Math" w:eastAsiaTheme="minorEastAsia" w:hAnsi="Cambria Math" w:cs="CMU Serif"/>
                <w:lang w:val="en-ZA"/>
              </w:rPr>
              <m:t>i</m:t>
            </m:r>
          </m:sub>
        </m:sSub>
      </m:oMath>
      <w:r w:rsidR="00802A1E" w:rsidRPr="00DD1225">
        <w:rPr>
          <w:rFonts w:ascii="CMU Serif" w:eastAsiaTheme="minorEastAsia" w:hAnsi="CMU Serif" w:cs="CMU Serif"/>
          <w:lang w:val="en-ZA"/>
        </w:rPr>
        <w:t xml:space="preserve">, and the idiosyncratic shock term, </w:t>
      </w:r>
      <m:oMath>
        <m:sSub>
          <m:sSubPr>
            <m:ctrlPr>
              <w:rPr>
                <w:rFonts w:ascii="Cambria Math" w:eastAsiaTheme="minorEastAsia" w:hAnsi="Cambria Math" w:cs="CMU Serif"/>
                <w:lang w:val="en-ZA"/>
              </w:rPr>
            </m:ctrlPr>
          </m:sSubPr>
          <m:e>
            <m:r>
              <w:rPr>
                <w:rFonts w:ascii="Cambria Math" w:eastAsiaTheme="minorEastAsia" w:hAnsi="Cambria Math" w:cs="CMU Serif"/>
                <w:lang w:val="en-ZA"/>
              </w:rPr>
              <m:t>v</m:t>
            </m:r>
          </m:e>
          <m:sub>
            <m:r>
              <w:rPr>
                <w:rFonts w:ascii="Cambria Math" w:eastAsiaTheme="minorEastAsia" w:hAnsi="Cambria Math" w:cs="CMU Serif"/>
                <w:lang w:val="en-ZA"/>
              </w:rPr>
              <m:t>i</m:t>
            </m:r>
            <m:r>
              <m:rPr>
                <m:sty m:val="p"/>
              </m:rPr>
              <w:rPr>
                <w:rFonts w:ascii="Cambria Math" w:eastAsiaTheme="minorEastAsia" w:hAnsi="Cambria Math" w:cs="CMU Serif"/>
                <w:lang w:val="en-ZA"/>
              </w:rPr>
              <m:t>,</m:t>
            </m:r>
            <m:r>
              <w:rPr>
                <w:rFonts w:ascii="Cambria Math" w:eastAsiaTheme="minorEastAsia" w:hAnsi="Cambria Math" w:cs="CMU Serif"/>
                <w:lang w:val="en-ZA"/>
              </w:rPr>
              <m:t>t</m:t>
            </m:r>
          </m:sub>
        </m:sSub>
      </m:oMath>
      <w:r w:rsidR="0097126B" w:rsidRPr="00DD1225">
        <w:rPr>
          <w:rFonts w:ascii="CMU Serif" w:hAnsi="CMU Serif" w:cs="CMU Serif"/>
          <w:lang w:val="en-ZA"/>
        </w:rPr>
        <w:t xml:space="preserve">. </w:t>
      </w:r>
      <w:proofErr w:type="spellStart"/>
      <w:r w:rsidR="0097126B" w:rsidRPr="00DD1225">
        <w:rPr>
          <w:rFonts w:ascii="CMU Serif" w:hAnsi="CMU Serif" w:cs="CMU Serif"/>
          <w:i/>
          <w:lang w:val="en-ZA"/>
        </w:rPr>
        <w:t>Δ</w:t>
      </w:r>
      <w:r w:rsidR="00617F5C" w:rsidRPr="00DD1225">
        <w:rPr>
          <w:rFonts w:ascii="CMU Serif" w:hAnsi="CMU Serif" w:cs="CMU Serif"/>
          <w:i/>
          <w:lang w:val="en-ZA"/>
        </w:rPr>
        <w:t>CC</w:t>
      </w:r>
      <w:r w:rsidR="0097126B" w:rsidRPr="00DD1225">
        <w:rPr>
          <w:rFonts w:ascii="CMU Serif" w:hAnsi="CMU Serif" w:cs="CMU Serif"/>
          <w:i/>
          <w:vertAlign w:val="subscript"/>
          <w:lang w:val="en-ZA"/>
        </w:rPr>
        <w:t>i,t</w:t>
      </w:r>
      <w:proofErr w:type="spellEnd"/>
      <w:r w:rsidR="0097126B" w:rsidRPr="00DD1225">
        <w:rPr>
          <w:rFonts w:ascii="CMU Serif" w:hAnsi="CMU Serif" w:cs="CMU Serif"/>
          <w:lang w:val="en-ZA"/>
        </w:rPr>
        <w:t xml:space="preserve"> is our main </w:t>
      </w:r>
      <w:r w:rsidR="003C50DA" w:rsidRPr="00DD1225">
        <w:rPr>
          <w:rFonts w:ascii="CMU Serif" w:hAnsi="CMU Serif" w:cs="CMU Serif"/>
          <w:lang w:val="en-ZA"/>
        </w:rPr>
        <w:t>predictor</w:t>
      </w:r>
      <w:r w:rsidR="0097126B" w:rsidRPr="00DD1225">
        <w:rPr>
          <w:rFonts w:ascii="CMU Serif" w:hAnsi="CMU Serif" w:cs="CMU Serif"/>
          <w:lang w:val="en-ZA"/>
        </w:rPr>
        <w:t xml:space="preserve">, i.e., the change in the number of COVID-19 infections. </w:t>
      </w:r>
      <w:r w:rsidR="00027D88" w:rsidRPr="00DD1225">
        <w:rPr>
          <w:rFonts w:ascii="CMU Serif" w:hAnsi="CMU Serif" w:cs="CMU Serif"/>
          <w:lang w:val="en-ZA"/>
        </w:rPr>
        <w:t>Our choice of the number of cases (</w:t>
      </w:r>
      <w:r w:rsidR="003C50DA" w:rsidRPr="00DD1225">
        <w:rPr>
          <w:rFonts w:ascii="CMU Serif" w:hAnsi="CMU Serif" w:cs="CMU Serif"/>
          <w:lang w:val="en-ZA"/>
        </w:rPr>
        <w:t>over</w:t>
      </w:r>
      <w:r w:rsidR="00027D88" w:rsidRPr="00DD1225">
        <w:rPr>
          <w:rFonts w:ascii="CMU Serif" w:hAnsi="CMU Serif" w:cs="CMU Serif"/>
          <w:lang w:val="en-ZA"/>
        </w:rPr>
        <w:t xml:space="preserve"> COVID-</w:t>
      </w:r>
      <w:r w:rsidR="006C5B83" w:rsidRPr="00DD1225">
        <w:rPr>
          <w:rFonts w:ascii="CMU Serif" w:hAnsi="CMU Serif" w:cs="CMU Serif"/>
          <w:lang w:val="en-ZA"/>
        </w:rPr>
        <w:t>19</w:t>
      </w:r>
      <w:r w:rsidR="00027D88" w:rsidRPr="00DD1225">
        <w:rPr>
          <w:rFonts w:ascii="CMU Serif" w:hAnsi="CMU Serif" w:cs="CMU Serif"/>
          <w:lang w:val="en-ZA"/>
        </w:rPr>
        <w:t xml:space="preserve"> deaths) is informed by </w:t>
      </w:r>
      <w:r w:rsidR="00A644A7" w:rsidRPr="00DD1225">
        <w:rPr>
          <w:rFonts w:ascii="CMU Serif" w:hAnsi="CMU Serif" w:cs="CMU Serif"/>
          <w:lang w:val="en-ZA"/>
        </w:rPr>
        <w:t>Ashraf (2020)</w:t>
      </w:r>
      <w:r w:rsidR="001B6093" w:rsidRPr="00DD1225">
        <w:rPr>
          <w:rFonts w:ascii="CMU Serif" w:hAnsi="CMU Serif" w:cs="CMU Serif"/>
          <w:lang w:val="en-ZA"/>
        </w:rPr>
        <w:t>. However</w:t>
      </w:r>
      <w:r w:rsidR="0097126B" w:rsidRPr="00DD1225">
        <w:rPr>
          <w:rFonts w:ascii="CMU Serif" w:hAnsi="CMU Serif" w:cs="CMU Serif"/>
          <w:lang w:val="en-ZA"/>
        </w:rPr>
        <w:t xml:space="preserve">, our findings are robust to the inclusion of fatalities. </w:t>
      </w:r>
      <w:proofErr w:type="spellStart"/>
      <w:r w:rsidRPr="00DD1225">
        <w:rPr>
          <w:rFonts w:ascii="CMU Serif" w:hAnsi="CMU Serif" w:cs="CMU Serif"/>
          <w:i/>
          <w:lang w:val="en-ZA"/>
        </w:rPr>
        <w:t>K</w:t>
      </w:r>
      <w:r w:rsidRPr="00DD1225">
        <w:rPr>
          <w:rFonts w:ascii="CMU Serif" w:hAnsi="CMU Serif" w:cs="CMU Serif"/>
          <w:i/>
          <w:vertAlign w:val="subscript"/>
          <w:lang w:val="en-ZA"/>
        </w:rPr>
        <w:t>c,i,t</w:t>
      </w:r>
      <w:proofErr w:type="spellEnd"/>
      <w:r w:rsidRPr="00DD1225">
        <w:rPr>
          <w:rFonts w:ascii="CMU Serif" w:hAnsi="CMU Serif" w:cs="CMU Serif"/>
          <w:lang w:val="en-ZA"/>
        </w:rPr>
        <w:t xml:space="preserve"> </w:t>
      </w:r>
      <w:r w:rsidR="0097126B" w:rsidRPr="00DD1225">
        <w:rPr>
          <w:rFonts w:ascii="CMU Serif" w:hAnsi="CMU Serif" w:cs="CMU Serif"/>
          <w:lang w:val="en-ZA"/>
        </w:rPr>
        <w:t>represents the</w:t>
      </w:r>
      <w:r w:rsidRPr="00DD1225">
        <w:rPr>
          <w:rFonts w:ascii="CMU Serif" w:hAnsi="CMU Serif" w:cs="CMU Serif"/>
          <w:lang w:val="en-ZA"/>
        </w:rPr>
        <w:t xml:space="preserve"> set of control variables</w:t>
      </w:r>
      <w:r w:rsidR="00994AB8" w:rsidRPr="00DD1225">
        <w:rPr>
          <w:rFonts w:ascii="CMU Serif" w:hAnsi="CMU Serif" w:cs="CMU Serif"/>
          <w:lang w:val="en-ZA"/>
        </w:rPr>
        <w:t>:</w:t>
      </w:r>
      <w:r w:rsidR="0097126B" w:rsidRPr="00DD1225">
        <w:rPr>
          <w:rFonts w:ascii="CMU Serif" w:hAnsi="CMU Serif" w:cs="CMU Serif"/>
          <w:lang w:val="en-ZA"/>
        </w:rPr>
        <w:t xml:space="preserve"> </w:t>
      </w:r>
      <w:r w:rsidR="00F71460" w:rsidRPr="00DD1225">
        <w:rPr>
          <w:rFonts w:ascii="CMU Serif" w:hAnsi="CMU Serif" w:cs="CMU Serif"/>
          <w:lang w:val="en-ZA"/>
        </w:rPr>
        <w:t>quantified sovereign rating score (</w:t>
      </w:r>
      <w:r w:rsidR="00F71460" w:rsidRPr="00DD1225">
        <w:rPr>
          <w:rFonts w:ascii="CMU Serif" w:hAnsi="CMU Serif" w:cs="CMU Serif"/>
          <w:i/>
          <w:lang w:val="en-ZA"/>
        </w:rPr>
        <w:t>CRED</w:t>
      </w:r>
      <w:r w:rsidR="00F71460" w:rsidRPr="00DD1225">
        <w:rPr>
          <w:rFonts w:ascii="CMU Serif" w:hAnsi="CMU Serif" w:cs="CMU Serif"/>
          <w:lang w:val="en-ZA"/>
        </w:rPr>
        <w:t>), adjusted duration of the index portfolio (</w:t>
      </w:r>
      <w:r w:rsidR="00F71460" w:rsidRPr="00DD1225">
        <w:rPr>
          <w:rFonts w:ascii="CMU Serif" w:hAnsi="CMU Serif" w:cs="CMU Serif"/>
          <w:i/>
          <w:lang w:val="en-ZA"/>
        </w:rPr>
        <w:t>DUR</w:t>
      </w:r>
      <w:r w:rsidR="00F71460" w:rsidRPr="00DD1225">
        <w:rPr>
          <w:rFonts w:ascii="CMU Serif" w:hAnsi="CMU Serif" w:cs="CMU Serif"/>
          <w:lang w:val="en-ZA"/>
        </w:rPr>
        <w:t>), its convexity (</w:t>
      </w:r>
      <w:r w:rsidR="00F71460" w:rsidRPr="00DD1225">
        <w:rPr>
          <w:rFonts w:ascii="CMU Serif" w:hAnsi="CMU Serif" w:cs="CMU Serif"/>
          <w:i/>
          <w:lang w:val="en-ZA"/>
        </w:rPr>
        <w:t>CX</w:t>
      </w:r>
      <w:r w:rsidR="00F71460" w:rsidRPr="00DD1225">
        <w:rPr>
          <w:rFonts w:ascii="CMU Serif" w:hAnsi="CMU Serif" w:cs="CMU Serif"/>
          <w:lang w:val="en-ZA"/>
        </w:rPr>
        <w:t>), and market value (</w:t>
      </w:r>
      <w:r w:rsidR="00F71460" w:rsidRPr="00DD1225">
        <w:rPr>
          <w:rFonts w:ascii="CMU Serif" w:hAnsi="CMU Serif" w:cs="CMU Serif"/>
          <w:i/>
          <w:lang w:val="en-ZA"/>
        </w:rPr>
        <w:t>MV</w:t>
      </w:r>
      <w:r w:rsidR="00F71460" w:rsidRPr="00DD1225">
        <w:rPr>
          <w:rFonts w:ascii="CMU Serif" w:hAnsi="CMU Serif" w:cs="CMU Serif"/>
          <w:lang w:val="en-ZA"/>
        </w:rPr>
        <w:t xml:space="preserve">) in U.S. dollars. Furthermore, to disentangle the </w:t>
      </w:r>
      <w:r w:rsidR="00411AFC" w:rsidRPr="00DD1225">
        <w:rPr>
          <w:rFonts w:ascii="CMU Serif" w:hAnsi="CMU Serif" w:cs="CMU Serif"/>
          <w:lang w:val="en-ZA"/>
        </w:rPr>
        <w:t xml:space="preserve">effects </w:t>
      </w:r>
      <w:r w:rsidR="00F71460" w:rsidRPr="00DD1225">
        <w:rPr>
          <w:rFonts w:ascii="CMU Serif" w:hAnsi="CMU Serif" w:cs="CMU Serif"/>
          <w:lang w:val="en-ZA"/>
        </w:rPr>
        <w:t xml:space="preserve">of government interventions from </w:t>
      </w:r>
      <w:r w:rsidR="00411AFC" w:rsidRPr="00DD1225">
        <w:rPr>
          <w:rFonts w:ascii="CMU Serif" w:hAnsi="CMU Serif" w:cs="CMU Serif"/>
          <w:lang w:val="en-ZA"/>
        </w:rPr>
        <w:t>COVID-19</w:t>
      </w:r>
      <w:r w:rsidR="00F71460" w:rsidRPr="00DD1225">
        <w:rPr>
          <w:rFonts w:ascii="CMU Serif" w:hAnsi="CMU Serif" w:cs="CMU Serif"/>
          <w:lang w:val="en-ZA"/>
        </w:rPr>
        <w:t xml:space="preserve"> itself, we incorporate also both the broad </w:t>
      </w:r>
      <w:r w:rsidR="0097126B" w:rsidRPr="00DD1225">
        <w:rPr>
          <w:rFonts w:ascii="CMU Serif" w:hAnsi="CMU Serif" w:cs="CMU Serif"/>
          <w:lang w:val="en-ZA"/>
        </w:rPr>
        <w:t>Government Response Index</w:t>
      </w:r>
      <w:r w:rsidR="00F71460" w:rsidRPr="00DD1225">
        <w:rPr>
          <w:rFonts w:ascii="CMU Serif" w:hAnsi="CMU Serif" w:cs="CMU Serif"/>
          <w:i/>
          <w:lang w:val="en-ZA"/>
        </w:rPr>
        <w:t xml:space="preserve"> </w:t>
      </w:r>
      <w:r w:rsidR="00F71460" w:rsidRPr="00DD1225">
        <w:rPr>
          <w:rFonts w:ascii="CMU Serif" w:hAnsi="CMU Serif" w:cs="CMU Serif"/>
          <w:lang w:val="en-ZA"/>
        </w:rPr>
        <w:t>(</w:t>
      </w:r>
      <w:r w:rsidR="00F71460" w:rsidRPr="00DD1225">
        <w:rPr>
          <w:rFonts w:ascii="CMU Serif" w:hAnsi="CMU Serif" w:cs="CMU Serif"/>
          <w:i/>
          <w:lang w:val="en-ZA"/>
        </w:rPr>
        <w:t>GVT</w:t>
      </w:r>
      <w:r w:rsidR="00F71460" w:rsidRPr="00DD1225">
        <w:rPr>
          <w:rFonts w:ascii="CMU Serif" w:hAnsi="CMU Serif" w:cs="CMU Serif"/>
          <w:lang w:val="en-ZA"/>
        </w:rPr>
        <w:t>) by Hale et al. (2020), as well as its components</w:t>
      </w:r>
      <w:r w:rsidR="00244B90" w:rsidRPr="00DD1225">
        <w:rPr>
          <w:rFonts w:ascii="CMU Serif" w:hAnsi="CMU Serif" w:cs="CMU Serif"/>
          <w:lang w:val="en-ZA"/>
        </w:rPr>
        <w:t>, which reflect</w:t>
      </w:r>
      <w:r w:rsidR="00F71460" w:rsidRPr="00DD1225">
        <w:rPr>
          <w:rFonts w:ascii="CMU Serif" w:hAnsi="CMU Serif" w:cs="CMU Serif"/>
          <w:lang w:val="en-ZA"/>
        </w:rPr>
        <w:t xml:space="preserve"> containment, closure</w:t>
      </w:r>
      <w:r w:rsidR="00870330" w:rsidRPr="00DD1225">
        <w:rPr>
          <w:rFonts w:ascii="CMU Serif" w:hAnsi="CMU Serif" w:cs="CMU Serif"/>
          <w:lang w:val="en-ZA"/>
        </w:rPr>
        <w:t xml:space="preserve">, and health policies (Containment and Health Index, </w:t>
      </w:r>
      <w:r w:rsidR="00870330" w:rsidRPr="00DD1225">
        <w:rPr>
          <w:rFonts w:ascii="CMU Serif" w:hAnsi="CMU Serif" w:cs="CMU Serif"/>
          <w:i/>
          <w:lang w:val="en-ZA"/>
        </w:rPr>
        <w:t>CTNT</w:t>
      </w:r>
      <w:r w:rsidR="00870330" w:rsidRPr="00DD1225">
        <w:rPr>
          <w:rFonts w:ascii="CMU Serif" w:hAnsi="CMU Serif" w:cs="CMU Serif"/>
          <w:lang w:val="en-ZA"/>
        </w:rPr>
        <w:t xml:space="preserve">) and economic support interventions (Economic Response Index, </w:t>
      </w:r>
      <w:r w:rsidR="00870330" w:rsidRPr="00DD1225">
        <w:rPr>
          <w:rFonts w:ascii="CMU Serif" w:hAnsi="CMU Serif" w:cs="CMU Serif"/>
          <w:i/>
          <w:lang w:val="en-ZA"/>
        </w:rPr>
        <w:t>ECON</w:t>
      </w:r>
      <w:r w:rsidR="00870330" w:rsidRPr="00DD1225">
        <w:rPr>
          <w:rFonts w:ascii="CMU Serif" w:hAnsi="CMU Serif" w:cs="CMU Serif"/>
          <w:lang w:val="en-ZA"/>
        </w:rPr>
        <w:t>).</w:t>
      </w:r>
      <w:r w:rsidRPr="00DD1225">
        <w:rPr>
          <w:rStyle w:val="FootnoteReference"/>
          <w:rFonts w:ascii="CMU Serif" w:hAnsi="CMU Serif" w:cs="CMU Serif"/>
          <w:lang w:val="en-ZA"/>
        </w:rPr>
        <w:footnoteReference w:id="3"/>
      </w:r>
      <w:r w:rsidR="00870330" w:rsidRPr="00DD1225">
        <w:rPr>
          <w:rFonts w:ascii="CMU Serif" w:hAnsi="CMU Serif" w:cs="CMU Serif"/>
          <w:lang w:val="en-ZA"/>
        </w:rPr>
        <w:t xml:space="preserve"> </w:t>
      </w:r>
      <w:r w:rsidR="00CA1EDF" w:rsidRPr="00DD1225">
        <w:rPr>
          <w:rFonts w:ascii="CMU Serif" w:hAnsi="CMU Serif" w:cs="CMU Serif"/>
          <w:lang w:val="en-ZA"/>
        </w:rPr>
        <w:t>Additionally</w:t>
      </w:r>
      <w:r w:rsidR="00870330" w:rsidRPr="00DD1225">
        <w:rPr>
          <w:rFonts w:ascii="CMU Serif" w:hAnsi="CMU Serif" w:cs="CMU Serif"/>
          <w:lang w:val="en-ZA"/>
        </w:rPr>
        <w:t xml:space="preserve">, </w:t>
      </w:r>
      <w:r w:rsidR="00411AFC" w:rsidRPr="00DD1225">
        <w:rPr>
          <w:rFonts w:ascii="CMU Serif" w:hAnsi="CMU Serif" w:cs="CMU Serif"/>
          <w:lang w:val="en-ZA"/>
        </w:rPr>
        <w:t>following</w:t>
      </w:r>
      <w:r w:rsidR="00870330" w:rsidRPr="00DD1225">
        <w:rPr>
          <w:rFonts w:ascii="CMU Serif" w:hAnsi="CMU Serif" w:cs="CMU Serif"/>
          <w:lang w:val="en-ZA"/>
        </w:rPr>
        <w:t xml:space="preserve"> </w:t>
      </w:r>
      <w:proofErr w:type="spellStart"/>
      <w:r w:rsidR="00870330" w:rsidRPr="00DD1225">
        <w:rPr>
          <w:rFonts w:ascii="CMU Serif" w:hAnsi="CMU Serif" w:cs="CMU Serif"/>
          <w:lang w:val="en-ZA"/>
        </w:rPr>
        <w:t>Hilscher</w:t>
      </w:r>
      <w:proofErr w:type="spellEnd"/>
      <w:r w:rsidR="00870330" w:rsidRPr="00DD1225">
        <w:rPr>
          <w:rFonts w:ascii="CMU Serif" w:hAnsi="CMU Serif" w:cs="CMU Serif"/>
          <w:lang w:val="en-ZA"/>
        </w:rPr>
        <w:t xml:space="preserve"> and </w:t>
      </w:r>
      <w:proofErr w:type="spellStart"/>
      <w:r w:rsidR="00870330" w:rsidRPr="00DD1225">
        <w:rPr>
          <w:rFonts w:ascii="CMU Serif" w:hAnsi="CMU Serif" w:cs="CMU Serif"/>
          <w:lang w:val="en-ZA"/>
        </w:rPr>
        <w:t>Nosbusch</w:t>
      </w:r>
      <w:proofErr w:type="spellEnd"/>
      <w:r w:rsidR="00870330" w:rsidRPr="00DD1225">
        <w:rPr>
          <w:rFonts w:ascii="CMU Serif" w:hAnsi="CMU Serif" w:cs="CMU Serif"/>
          <w:lang w:val="en-ZA"/>
        </w:rPr>
        <w:t xml:space="preserve"> (2010), we include a set of </w:t>
      </w:r>
      <w:r w:rsidR="00994AB8" w:rsidRPr="00DD1225">
        <w:rPr>
          <w:rFonts w:ascii="CMU Serif" w:hAnsi="CMU Serif" w:cs="CMU Serif"/>
          <w:lang w:val="en-ZA"/>
        </w:rPr>
        <w:t xml:space="preserve">global </w:t>
      </w:r>
      <w:r w:rsidR="00870330" w:rsidRPr="00DD1225">
        <w:rPr>
          <w:rFonts w:ascii="CMU Serif" w:hAnsi="CMU Serif" w:cs="CMU Serif"/>
          <w:lang w:val="en-ZA"/>
        </w:rPr>
        <w:t>variables that influence sovereign bond markets: CBOE Volatility Index (</w:t>
      </w:r>
      <w:r w:rsidR="00870330" w:rsidRPr="00DD1225">
        <w:rPr>
          <w:rFonts w:ascii="CMU Serif" w:hAnsi="CMU Serif" w:cs="CMU Serif"/>
          <w:i/>
          <w:lang w:val="en-ZA"/>
        </w:rPr>
        <w:t>VIX</w:t>
      </w:r>
      <w:r w:rsidR="00870330" w:rsidRPr="00DD1225">
        <w:rPr>
          <w:rFonts w:ascii="CMU Serif" w:hAnsi="CMU Serif" w:cs="CMU Serif"/>
          <w:lang w:val="en-ZA"/>
        </w:rPr>
        <w:t>),</w:t>
      </w:r>
      <w:r w:rsidR="00A644A7" w:rsidRPr="00DD1225">
        <w:rPr>
          <w:rFonts w:ascii="CMU Serif" w:hAnsi="CMU Serif" w:cs="CMU Serif"/>
          <w:lang w:val="en-ZA"/>
        </w:rPr>
        <w:t xml:space="preserve"> </w:t>
      </w:r>
      <w:r w:rsidR="00870330" w:rsidRPr="00DD1225">
        <w:rPr>
          <w:rFonts w:ascii="CMU Serif" w:hAnsi="CMU Serif" w:cs="CMU Serif"/>
          <w:lang w:val="en-ZA"/>
        </w:rPr>
        <w:t>default spread</w:t>
      </w:r>
      <w:r w:rsidR="00411AFC" w:rsidRPr="00DD1225">
        <w:rPr>
          <w:rFonts w:ascii="CMU Serif" w:hAnsi="CMU Serif" w:cs="CMU Serif"/>
          <w:lang w:val="en-ZA"/>
        </w:rPr>
        <w:t xml:space="preserve"> (</w:t>
      </w:r>
      <w:r w:rsidR="00885BB1" w:rsidRPr="00DD1225">
        <w:rPr>
          <w:rFonts w:ascii="CMU Serif" w:hAnsi="CMU Serif" w:cs="CMU Serif"/>
          <w:lang w:val="en-ZA"/>
        </w:rPr>
        <w:t>the yield difference of B</w:t>
      </w:r>
      <w:r w:rsidR="00CB3F65" w:rsidRPr="00DD1225">
        <w:rPr>
          <w:rFonts w:ascii="CMU Serif" w:hAnsi="CMU Serif" w:cs="CMU Serif"/>
          <w:lang w:val="en-ZA"/>
        </w:rPr>
        <w:t>aa</w:t>
      </w:r>
      <w:r w:rsidR="00885BB1" w:rsidRPr="00DD1225">
        <w:rPr>
          <w:rFonts w:ascii="CMU Serif" w:hAnsi="CMU Serif" w:cs="CMU Serif"/>
          <w:lang w:val="en-ZA"/>
        </w:rPr>
        <w:t xml:space="preserve"> and </w:t>
      </w:r>
      <w:proofErr w:type="spellStart"/>
      <w:r w:rsidR="00885BB1" w:rsidRPr="00DD1225">
        <w:rPr>
          <w:rFonts w:ascii="CMU Serif" w:hAnsi="CMU Serif" w:cs="CMU Serif"/>
          <w:lang w:val="en-ZA"/>
        </w:rPr>
        <w:t>A</w:t>
      </w:r>
      <w:r w:rsidR="00CB3F65" w:rsidRPr="00DD1225">
        <w:rPr>
          <w:rFonts w:ascii="CMU Serif" w:hAnsi="CMU Serif" w:cs="CMU Serif"/>
          <w:lang w:val="en-ZA"/>
        </w:rPr>
        <w:t>aa</w:t>
      </w:r>
      <w:proofErr w:type="spellEnd"/>
      <w:r w:rsidR="006C5B83" w:rsidRPr="00DD1225">
        <w:rPr>
          <w:rFonts w:ascii="CMU Serif" w:hAnsi="CMU Serif" w:cs="CMU Serif"/>
          <w:lang w:val="en-ZA"/>
        </w:rPr>
        <w:t>-</w:t>
      </w:r>
      <w:r w:rsidR="00885BB1" w:rsidRPr="00DD1225">
        <w:rPr>
          <w:rFonts w:ascii="CMU Serif" w:hAnsi="CMU Serif" w:cs="CMU Serif"/>
          <w:lang w:val="en-ZA"/>
        </w:rPr>
        <w:t>rated corporate bonds</w:t>
      </w:r>
      <w:r w:rsidR="00411AFC" w:rsidRPr="00DD1225">
        <w:rPr>
          <w:rFonts w:ascii="CMU Serif" w:hAnsi="CMU Serif" w:cs="CMU Serif"/>
          <w:lang w:val="en-ZA"/>
        </w:rPr>
        <w:t xml:space="preserve">, </w:t>
      </w:r>
      <w:r w:rsidR="0089606E" w:rsidRPr="00DD1225">
        <w:rPr>
          <w:rFonts w:ascii="CMU Serif" w:hAnsi="CMU Serif" w:cs="CMU Serif"/>
          <w:i/>
          <w:lang w:val="en-ZA"/>
        </w:rPr>
        <w:t>DEF</w:t>
      </w:r>
      <w:r w:rsidR="0089606E" w:rsidRPr="00DD1225">
        <w:rPr>
          <w:rFonts w:ascii="CMU Serif" w:hAnsi="CMU Serif" w:cs="CMU Serif"/>
          <w:lang w:val="en-ZA"/>
        </w:rPr>
        <w:t>)</w:t>
      </w:r>
      <w:r w:rsidR="00870330" w:rsidRPr="00DD1225">
        <w:rPr>
          <w:rFonts w:ascii="CMU Serif" w:hAnsi="CMU Serif" w:cs="CMU Serif"/>
          <w:lang w:val="en-ZA"/>
        </w:rPr>
        <w:t>, TED spread</w:t>
      </w:r>
      <w:r w:rsidR="00411AFC" w:rsidRPr="00DD1225">
        <w:rPr>
          <w:rFonts w:ascii="CMU Serif" w:hAnsi="CMU Serif" w:cs="CMU Serif"/>
          <w:lang w:val="en-ZA"/>
        </w:rPr>
        <w:t xml:space="preserve"> (</w:t>
      </w:r>
      <w:r w:rsidR="00870330" w:rsidRPr="00DD1225">
        <w:rPr>
          <w:rFonts w:ascii="CMU Serif" w:hAnsi="CMU Serif" w:cs="CMU Serif"/>
          <w:lang w:val="en-ZA"/>
        </w:rPr>
        <w:t>the difference between</w:t>
      </w:r>
      <w:r w:rsidR="00885BB1" w:rsidRPr="00DD1225">
        <w:rPr>
          <w:rFonts w:ascii="CMU Serif" w:hAnsi="CMU Serif" w:cs="CMU Serif"/>
          <w:lang w:val="en-ZA"/>
        </w:rPr>
        <w:t xml:space="preserve"> the</w:t>
      </w:r>
      <w:r w:rsidR="00870330" w:rsidRPr="00DD1225">
        <w:rPr>
          <w:rFonts w:ascii="CMU Serif" w:hAnsi="CMU Serif" w:cs="CMU Serif"/>
          <w:lang w:val="en-ZA"/>
        </w:rPr>
        <w:t xml:space="preserve"> three-month U.S. LIBOR </w:t>
      </w:r>
      <w:r w:rsidR="00885BB1" w:rsidRPr="00DD1225">
        <w:rPr>
          <w:rFonts w:ascii="CMU Serif" w:hAnsi="CMU Serif" w:cs="CMU Serif"/>
          <w:lang w:val="en-ZA"/>
        </w:rPr>
        <w:t xml:space="preserve">rate </w:t>
      </w:r>
      <w:r w:rsidR="00870330" w:rsidRPr="00DD1225">
        <w:rPr>
          <w:rFonts w:ascii="CMU Serif" w:hAnsi="CMU Serif" w:cs="CMU Serif"/>
          <w:lang w:val="en-ZA"/>
        </w:rPr>
        <w:t xml:space="preserve">and </w:t>
      </w:r>
      <w:r w:rsidR="00885BB1" w:rsidRPr="00DD1225">
        <w:rPr>
          <w:rFonts w:ascii="CMU Serif" w:hAnsi="CMU Serif" w:cs="CMU Serif"/>
          <w:lang w:val="en-ZA"/>
        </w:rPr>
        <w:t xml:space="preserve">the </w:t>
      </w:r>
      <w:r w:rsidR="00870330" w:rsidRPr="00DD1225">
        <w:rPr>
          <w:rFonts w:ascii="CMU Serif" w:hAnsi="CMU Serif" w:cs="CMU Serif"/>
          <w:lang w:val="en-ZA"/>
        </w:rPr>
        <w:t>three-month T-Bill rate</w:t>
      </w:r>
      <w:r w:rsidR="00411AFC" w:rsidRPr="00DD1225">
        <w:rPr>
          <w:rFonts w:ascii="CMU Serif" w:hAnsi="CMU Serif" w:cs="CMU Serif"/>
          <w:lang w:val="en-ZA"/>
        </w:rPr>
        <w:t xml:space="preserve">, </w:t>
      </w:r>
      <w:r w:rsidR="00870330" w:rsidRPr="00DD1225">
        <w:rPr>
          <w:rFonts w:ascii="CMU Serif" w:hAnsi="CMU Serif" w:cs="CMU Serif"/>
          <w:i/>
          <w:lang w:val="en-ZA"/>
        </w:rPr>
        <w:t>TED</w:t>
      </w:r>
      <w:r w:rsidR="00870330" w:rsidRPr="00DD1225">
        <w:rPr>
          <w:rFonts w:ascii="CMU Serif" w:hAnsi="CMU Serif" w:cs="CMU Serif"/>
          <w:lang w:val="en-ZA"/>
        </w:rPr>
        <w:t xml:space="preserve">), and </w:t>
      </w:r>
      <w:r w:rsidR="00885BB1" w:rsidRPr="00DD1225">
        <w:rPr>
          <w:rFonts w:ascii="CMU Serif" w:hAnsi="CMU Serif" w:cs="CMU Serif"/>
          <w:lang w:val="en-ZA"/>
        </w:rPr>
        <w:t>the</w:t>
      </w:r>
      <w:r w:rsidR="00870330" w:rsidRPr="00DD1225">
        <w:rPr>
          <w:rFonts w:ascii="CMU Serif" w:hAnsi="CMU Serif" w:cs="CMU Serif"/>
          <w:lang w:val="en-ZA"/>
        </w:rPr>
        <w:t xml:space="preserve"> U.S. </w:t>
      </w:r>
      <w:r w:rsidR="006C5B83" w:rsidRPr="00DD1225">
        <w:rPr>
          <w:rFonts w:ascii="CMU Serif" w:hAnsi="CMU Serif" w:cs="CMU Serif"/>
          <w:lang w:val="en-ZA"/>
        </w:rPr>
        <w:t>10</w:t>
      </w:r>
      <w:r w:rsidR="00870330" w:rsidRPr="00DD1225">
        <w:rPr>
          <w:rFonts w:ascii="CMU Serif" w:hAnsi="CMU Serif" w:cs="CMU Serif"/>
          <w:lang w:val="en-ZA"/>
        </w:rPr>
        <w:t xml:space="preserve">-year government bond </w:t>
      </w:r>
      <w:r w:rsidR="006863C5" w:rsidRPr="00DD1225">
        <w:rPr>
          <w:rFonts w:ascii="CMU Serif" w:hAnsi="CMU Serif" w:cs="CMU Serif"/>
          <w:lang w:val="en-ZA"/>
        </w:rPr>
        <w:t xml:space="preserve">yield </w:t>
      </w:r>
      <w:r w:rsidR="00870330" w:rsidRPr="00DD1225">
        <w:rPr>
          <w:rFonts w:ascii="CMU Serif" w:hAnsi="CMU Serif" w:cs="CMU Serif"/>
          <w:lang w:val="en-ZA"/>
        </w:rPr>
        <w:t>(</w:t>
      </w:r>
      <w:r w:rsidR="00870330" w:rsidRPr="00DD1225">
        <w:rPr>
          <w:rFonts w:ascii="CMU Serif" w:hAnsi="CMU Serif" w:cs="CMU Serif"/>
          <w:i/>
          <w:lang w:val="en-ZA"/>
        </w:rPr>
        <w:t>YLD</w:t>
      </w:r>
      <w:r w:rsidR="00870330" w:rsidRPr="00DD1225">
        <w:rPr>
          <w:rFonts w:ascii="CMU Serif" w:hAnsi="CMU Serif" w:cs="CMU Serif"/>
          <w:lang w:val="en-ZA"/>
        </w:rPr>
        <w:t xml:space="preserve">). </w:t>
      </w:r>
    </w:p>
    <w:p w14:paraId="6F4C1B0E" w14:textId="1C268758" w:rsidR="00D63BC1" w:rsidRPr="00DD1225" w:rsidRDefault="00AE209A">
      <w:pPr>
        <w:spacing w:after="0" w:line="360" w:lineRule="auto"/>
        <w:jc w:val="both"/>
        <w:rPr>
          <w:rFonts w:ascii="CMU Serif" w:hAnsi="CMU Serif" w:cs="CMU Serif"/>
          <w:lang w:val="en-ZA"/>
        </w:rPr>
      </w:pPr>
      <w:r w:rsidRPr="00DD1225">
        <w:rPr>
          <w:rFonts w:ascii="CMU Serif" w:hAnsi="CMU Serif" w:cs="CMU Serif"/>
          <w:lang w:val="en-ZA"/>
        </w:rPr>
        <w:tab/>
      </w:r>
      <w:bookmarkStart w:id="3" w:name="_Hlk61341297"/>
      <w:r w:rsidRPr="00DD1225">
        <w:rPr>
          <w:rFonts w:ascii="CMU Serif" w:hAnsi="CMU Serif" w:cs="CMU Serif"/>
          <w:lang w:val="en-ZA"/>
        </w:rPr>
        <w:t xml:space="preserve">The year 2020 witnessed an unprecedented </w:t>
      </w:r>
      <w:r w:rsidR="00A50603" w:rsidRPr="00DD1225">
        <w:rPr>
          <w:rFonts w:ascii="CMU Serif" w:hAnsi="CMU Serif" w:cs="CMU Serif"/>
          <w:lang w:val="en-ZA"/>
        </w:rPr>
        <w:t xml:space="preserve">scale of </w:t>
      </w:r>
      <w:r w:rsidR="00304888" w:rsidRPr="00DD1225">
        <w:rPr>
          <w:rFonts w:ascii="CMU Serif" w:hAnsi="CMU Serif" w:cs="CMU Serif"/>
          <w:lang w:val="en-ZA"/>
        </w:rPr>
        <w:t>unconventional</w:t>
      </w:r>
      <w:r w:rsidR="00A50603" w:rsidRPr="00DD1225">
        <w:rPr>
          <w:rFonts w:ascii="CMU Serif" w:hAnsi="CMU Serif" w:cs="CMU Serif"/>
          <w:lang w:val="en-ZA"/>
        </w:rPr>
        <w:t xml:space="preserve"> monetary policy measures implemented by central banks worldwide. These </w:t>
      </w:r>
      <w:r w:rsidR="00304888" w:rsidRPr="00DD1225">
        <w:rPr>
          <w:rFonts w:ascii="CMU Serif" w:hAnsi="CMU Serif" w:cs="CMU Serif"/>
          <w:lang w:val="en-ZA"/>
        </w:rPr>
        <w:t>measures sought i</w:t>
      </w:r>
      <w:r w:rsidR="008330B6" w:rsidRPr="00DD1225">
        <w:rPr>
          <w:rFonts w:ascii="CMU Serif" w:hAnsi="CMU Serif" w:cs="CMU Serif"/>
          <w:lang w:val="en-ZA"/>
        </w:rPr>
        <w:t>) to</w:t>
      </w:r>
      <w:r w:rsidR="00304888" w:rsidRPr="00DD1225">
        <w:rPr>
          <w:rFonts w:ascii="CMU Serif" w:hAnsi="CMU Serif" w:cs="CMU Serif"/>
          <w:lang w:val="en-ZA"/>
        </w:rPr>
        <w:t xml:space="preserve"> provide</w:t>
      </w:r>
      <w:r w:rsidR="00A50603" w:rsidRPr="00DD1225">
        <w:rPr>
          <w:rFonts w:ascii="CMU Serif" w:hAnsi="CMU Serif" w:cs="CMU Serif"/>
          <w:lang w:val="en-ZA"/>
        </w:rPr>
        <w:t xml:space="preserve"> liquidity to the market</w:t>
      </w:r>
      <w:r w:rsidR="00304888" w:rsidRPr="00DD1225">
        <w:rPr>
          <w:rFonts w:ascii="CMU Serif" w:hAnsi="CMU Serif" w:cs="CMU Serif"/>
          <w:lang w:val="en-ZA"/>
        </w:rPr>
        <w:t>,</w:t>
      </w:r>
      <w:r w:rsidR="00A50603" w:rsidRPr="00DD1225">
        <w:rPr>
          <w:rFonts w:ascii="CMU Serif" w:hAnsi="CMU Serif" w:cs="CMU Serif"/>
          <w:lang w:val="en-ZA"/>
        </w:rPr>
        <w:t xml:space="preserve"> and </w:t>
      </w:r>
      <w:r w:rsidR="00304888" w:rsidRPr="00DD1225">
        <w:rPr>
          <w:rFonts w:ascii="CMU Serif" w:hAnsi="CMU Serif" w:cs="CMU Serif"/>
          <w:lang w:val="en-ZA"/>
        </w:rPr>
        <w:t xml:space="preserve">ii) to </w:t>
      </w:r>
      <w:r w:rsidR="00A50603" w:rsidRPr="00DD1225">
        <w:rPr>
          <w:rFonts w:ascii="CMU Serif" w:hAnsi="CMU Serif" w:cs="CMU Serif"/>
          <w:lang w:val="en-ZA"/>
        </w:rPr>
        <w:t>ensu</w:t>
      </w:r>
      <w:r w:rsidR="00304888" w:rsidRPr="00DD1225">
        <w:rPr>
          <w:rFonts w:ascii="CMU Serif" w:hAnsi="CMU Serif" w:cs="CMU Serif"/>
          <w:lang w:val="en-ZA"/>
        </w:rPr>
        <w:t>re</w:t>
      </w:r>
      <w:r w:rsidR="00A50603" w:rsidRPr="00DD1225">
        <w:rPr>
          <w:rFonts w:ascii="CMU Serif" w:hAnsi="CMU Serif" w:cs="CMU Serif"/>
          <w:lang w:val="en-ZA"/>
        </w:rPr>
        <w:t xml:space="preserve"> financial stability during the extraordinary circumstances. Whereas the consequences of these actions are already partly reflected in the local short-term rates</w:t>
      </w:r>
      <w:r w:rsidRPr="00DD1225">
        <w:rPr>
          <w:rFonts w:ascii="CMU Serif" w:hAnsi="CMU Serif" w:cs="CMU Serif"/>
          <w:lang w:val="en-ZA"/>
        </w:rPr>
        <w:t xml:space="preserve"> and </w:t>
      </w:r>
      <w:r w:rsidR="00A27F6C" w:rsidRPr="00DD1225">
        <w:rPr>
          <w:rFonts w:ascii="CMU Serif" w:hAnsi="CMU Serif" w:cs="CMU Serif"/>
          <w:lang w:val="en-ZA"/>
        </w:rPr>
        <w:t>should</w:t>
      </w:r>
      <w:r w:rsidRPr="00DD1225">
        <w:rPr>
          <w:rFonts w:ascii="CMU Serif" w:hAnsi="CMU Serif" w:cs="CMU Serif"/>
          <w:lang w:val="en-ZA"/>
        </w:rPr>
        <w:t xml:space="preserve"> rather lead to flattening than steepening of the yield curve,</w:t>
      </w:r>
      <w:r w:rsidR="00A50603" w:rsidRPr="00DD1225">
        <w:rPr>
          <w:rFonts w:ascii="CMU Serif" w:hAnsi="CMU Serif" w:cs="CMU Serif"/>
          <w:lang w:val="en-ZA"/>
        </w:rPr>
        <w:t xml:space="preserve"> we introduce </w:t>
      </w:r>
      <w:r w:rsidR="002733F0" w:rsidRPr="00DD1225">
        <w:rPr>
          <w:rFonts w:ascii="CMU Serif" w:hAnsi="CMU Serif" w:cs="CMU Serif"/>
          <w:lang w:val="en-ZA"/>
        </w:rPr>
        <w:t>an</w:t>
      </w:r>
      <w:r w:rsidR="00A50603" w:rsidRPr="00DD1225">
        <w:rPr>
          <w:rFonts w:ascii="CMU Serif" w:hAnsi="CMU Serif" w:cs="CMU Serif"/>
          <w:lang w:val="en-ZA"/>
        </w:rPr>
        <w:t xml:space="preserve"> additional control variable to account for the role of monetary </w:t>
      </w:r>
      <w:r w:rsidR="00F65B90" w:rsidRPr="00DD1225">
        <w:rPr>
          <w:rFonts w:ascii="CMU Serif" w:hAnsi="CMU Serif" w:cs="CMU Serif"/>
          <w:lang w:val="en-ZA"/>
        </w:rPr>
        <w:t>policy</w:t>
      </w:r>
      <w:r w:rsidR="00A50603" w:rsidRPr="00DD1225">
        <w:rPr>
          <w:rFonts w:ascii="CMU Serif" w:hAnsi="CMU Serif" w:cs="CMU Serif"/>
          <w:lang w:val="en-ZA"/>
        </w:rPr>
        <w:t>.</w:t>
      </w:r>
    </w:p>
    <w:p w14:paraId="6C125B8D" w14:textId="7F29F2C2" w:rsidR="00C57EC3" w:rsidRPr="00DD1225" w:rsidRDefault="00F65B90" w:rsidP="00DD6EBE">
      <w:pPr>
        <w:spacing w:after="0" w:line="360" w:lineRule="auto"/>
        <w:ind w:firstLine="708"/>
        <w:jc w:val="both"/>
        <w:rPr>
          <w:rFonts w:ascii="CMU Serif" w:hAnsi="CMU Serif" w:cs="CMU Serif"/>
          <w:lang w:val="en-ZA"/>
        </w:rPr>
      </w:pPr>
      <w:r w:rsidRPr="00DD1225">
        <w:rPr>
          <w:rFonts w:ascii="CMU Serif" w:hAnsi="CMU Serif" w:cs="CMU Serif"/>
          <w:lang w:val="en-ZA"/>
        </w:rPr>
        <w:t xml:space="preserve">Our </w:t>
      </w:r>
      <w:r w:rsidR="002733F0" w:rsidRPr="00DD1225">
        <w:rPr>
          <w:rFonts w:ascii="CMU Serif" w:hAnsi="CMU Serif" w:cs="CMU Serif"/>
          <w:lang w:val="en-ZA"/>
        </w:rPr>
        <w:t>principal</w:t>
      </w:r>
      <w:r w:rsidRPr="00DD1225">
        <w:rPr>
          <w:rFonts w:ascii="CMU Serif" w:hAnsi="CMU Serif" w:cs="CMU Serif"/>
          <w:lang w:val="en-ZA"/>
        </w:rPr>
        <w:t xml:space="preserve"> monetary policy measure entails the relative rate of change in the central bank balance sheet total assets (</w:t>
      </w:r>
      <w:r w:rsidRPr="00DD1225">
        <w:rPr>
          <w:rFonts w:ascii="CMU Serif" w:hAnsi="CMU Serif" w:cs="CMU Serif"/>
          <w:i/>
          <w:lang w:val="en-ZA"/>
        </w:rPr>
        <w:t>CBTA</w:t>
      </w:r>
      <w:r w:rsidRPr="00DD1225">
        <w:rPr>
          <w:rFonts w:ascii="CMU Serif" w:hAnsi="CMU Serif" w:cs="CMU Serif"/>
          <w:lang w:val="en-ZA"/>
        </w:rPr>
        <w:t xml:space="preserve">). Arguably, changes in total assets can measure the stance of both conventional (e.g., open market operations) and unconventional monetary policy (e.g., quantitative easing), the latter can be regarded as a more effective policy measure </w:t>
      </w:r>
      <w:r w:rsidR="00933B10" w:rsidRPr="00DD1225">
        <w:rPr>
          <w:rFonts w:ascii="CMU Serif" w:hAnsi="CMU Serif" w:cs="CMU Serif"/>
          <w:lang w:val="en-ZA"/>
        </w:rPr>
        <w:t xml:space="preserve">during the  COVID-19-induced business cycle recession, </w:t>
      </w:r>
      <w:r w:rsidRPr="00DD1225">
        <w:rPr>
          <w:rFonts w:ascii="CMU Serif" w:hAnsi="CMU Serif" w:cs="CMU Serif"/>
          <w:lang w:val="en-ZA"/>
        </w:rPr>
        <w:t xml:space="preserve">when the former is exhausted by the central bank, </w:t>
      </w:r>
      <w:r w:rsidR="0009365E" w:rsidRPr="00DD1225">
        <w:rPr>
          <w:rFonts w:ascii="CMU Serif" w:hAnsi="CMU Serif" w:cs="CMU Serif"/>
          <w:lang w:val="en-ZA"/>
        </w:rPr>
        <w:t>as</w:t>
      </w:r>
      <w:r w:rsidRPr="00DD1225">
        <w:rPr>
          <w:rFonts w:ascii="CMU Serif" w:hAnsi="CMU Serif" w:cs="CMU Serif"/>
          <w:lang w:val="en-ZA"/>
        </w:rPr>
        <w:t xml:space="preserve"> short-term rates hit the zero-lower bound and can cause a liquidity trap, a deflationary spiral and thus can limit the central bank</w:t>
      </w:r>
      <w:r w:rsidR="00DD02CD" w:rsidRPr="00DD1225">
        <w:rPr>
          <w:rFonts w:ascii="CMU Serif" w:hAnsi="CMU Serif" w:cs="CMU Serif"/>
          <w:lang w:val="en-ZA"/>
        </w:rPr>
        <w:t>'</w:t>
      </w:r>
      <w:r w:rsidRPr="00DD1225">
        <w:rPr>
          <w:rFonts w:ascii="CMU Serif" w:hAnsi="CMU Serif" w:cs="CMU Serif"/>
          <w:lang w:val="en-ZA"/>
        </w:rPr>
        <w:t>s capacity to stimulate the economy and financial markets.</w:t>
      </w:r>
      <w:r w:rsidR="00933B10" w:rsidRPr="00DD1225">
        <w:rPr>
          <w:rFonts w:ascii="CMU Serif" w:hAnsi="CMU Serif" w:cs="CMU Serif"/>
          <w:lang w:val="en-ZA"/>
        </w:rPr>
        <w:t xml:space="preserve"> The </w:t>
      </w:r>
      <w:r w:rsidR="00D63BC1" w:rsidRPr="00DD1225">
        <w:rPr>
          <w:rFonts w:ascii="CMU Serif" w:hAnsi="CMU Serif" w:cs="CMU Serif"/>
          <w:lang w:val="en-ZA"/>
        </w:rPr>
        <w:t>data</w:t>
      </w:r>
      <w:r w:rsidR="00933B10" w:rsidRPr="00DD1225">
        <w:rPr>
          <w:rFonts w:ascii="CMU Serif" w:hAnsi="CMU Serif" w:cs="CMU Serif"/>
          <w:lang w:val="en-ZA"/>
        </w:rPr>
        <w:t xml:space="preserve"> on the central bank total assets</w:t>
      </w:r>
      <w:r w:rsidR="00D63BC1" w:rsidRPr="00DD1225">
        <w:rPr>
          <w:rFonts w:ascii="CMU Serif" w:hAnsi="CMU Serif" w:cs="CMU Serif"/>
          <w:lang w:val="en-ZA"/>
        </w:rPr>
        <w:t xml:space="preserve"> </w:t>
      </w:r>
      <w:r w:rsidR="008A41D6" w:rsidRPr="00DD1225">
        <w:rPr>
          <w:rFonts w:ascii="CMU Serif" w:hAnsi="CMU Serif" w:cs="CMU Serif"/>
          <w:lang w:val="en-ZA"/>
        </w:rPr>
        <w:t>are</w:t>
      </w:r>
      <w:r w:rsidR="00D63BC1" w:rsidRPr="00DD1225">
        <w:rPr>
          <w:rFonts w:ascii="CMU Serif" w:hAnsi="CMU Serif" w:cs="CMU Serif"/>
          <w:lang w:val="en-ZA"/>
        </w:rPr>
        <w:t xml:space="preserve"> obtained from Bloomberg, which sourced them directly from local central banks and the International Monetary Fund (IMF).</w:t>
      </w:r>
      <w:r w:rsidR="00933B10" w:rsidRPr="00DD1225">
        <w:rPr>
          <w:rFonts w:ascii="CMU Serif" w:hAnsi="CMU Serif" w:cs="CMU Serif"/>
          <w:lang w:val="en-ZA"/>
        </w:rPr>
        <w:t xml:space="preserve"> Since the </w:t>
      </w:r>
      <w:r w:rsidR="008A41D6" w:rsidRPr="00DD1225">
        <w:rPr>
          <w:rFonts w:ascii="CMU Serif" w:hAnsi="CMU Serif" w:cs="CMU Serif"/>
          <w:lang w:val="en-ZA"/>
        </w:rPr>
        <w:t xml:space="preserve">data are recorded on a weekly or monthly basis, we use interpolation </w:t>
      </w:r>
      <w:r w:rsidR="008556DB" w:rsidRPr="00DD1225">
        <w:rPr>
          <w:rFonts w:ascii="CMU Serif" w:hAnsi="CMU Serif" w:cs="CMU Serif"/>
          <w:lang w:val="en-ZA"/>
        </w:rPr>
        <w:t xml:space="preserve">to </w:t>
      </w:r>
      <w:r w:rsidR="008A41D6" w:rsidRPr="00DD1225">
        <w:rPr>
          <w:rFonts w:ascii="CMU Serif" w:hAnsi="CMU Serif" w:cs="CMU Serif"/>
          <w:lang w:val="en-ZA"/>
        </w:rPr>
        <w:t xml:space="preserve">transform into daily data. Specifically, we employ linear, forward, cubic, spline, piecewise cubic Hermite, inverse distance weighted, and nearest </w:t>
      </w:r>
      <w:proofErr w:type="spellStart"/>
      <w:r w:rsidR="008A41D6" w:rsidRPr="00DD1225">
        <w:rPr>
          <w:rFonts w:ascii="CMU Serif" w:hAnsi="CMU Serif" w:cs="CMU Serif"/>
          <w:lang w:val="en-ZA"/>
        </w:rPr>
        <w:t>neighbor</w:t>
      </w:r>
      <w:proofErr w:type="spellEnd"/>
      <w:r w:rsidR="008A41D6" w:rsidRPr="00DD1225">
        <w:rPr>
          <w:rFonts w:ascii="CMU Serif" w:hAnsi="CMU Serif" w:cs="CMU Serif"/>
          <w:lang w:val="en-ZA"/>
        </w:rPr>
        <w:t xml:space="preserve"> interpolation method</w:t>
      </w:r>
      <w:r w:rsidR="00D107E7" w:rsidRPr="00DD1225">
        <w:rPr>
          <w:rFonts w:ascii="CMU Serif" w:hAnsi="CMU Serif" w:cs="CMU Serif"/>
          <w:lang w:val="en-ZA"/>
        </w:rPr>
        <w:t>s</w:t>
      </w:r>
      <w:r w:rsidR="008A41D6" w:rsidRPr="00DD1225">
        <w:rPr>
          <w:rFonts w:ascii="CMU Serif" w:hAnsi="CMU Serif" w:cs="CMU Serif"/>
          <w:lang w:val="en-ZA"/>
        </w:rPr>
        <w:t xml:space="preserve">. The use of a range of different interpolation techniques </w:t>
      </w:r>
      <w:r w:rsidR="00F45AA5" w:rsidRPr="00DD1225">
        <w:rPr>
          <w:rFonts w:ascii="CMU Serif" w:hAnsi="CMU Serif" w:cs="CMU Serif"/>
          <w:lang w:val="en-ZA"/>
        </w:rPr>
        <w:t xml:space="preserve">assures the robustness of our research findings. In Table 1, we only provide the coefficient estimates of </w:t>
      </w:r>
      <w:r w:rsidR="00F45AA5" w:rsidRPr="00DD1225">
        <w:rPr>
          <w:rFonts w:ascii="CMU Serif" w:hAnsi="CMU Serif" w:cs="CMU Serif"/>
          <w:i/>
          <w:lang w:val="en-ZA"/>
        </w:rPr>
        <w:t>CBTA</w:t>
      </w:r>
      <w:r w:rsidR="00F45AA5" w:rsidRPr="00DD1225">
        <w:rPr>
          <w:rFonts w:ascii="CMU Serif" w:hAnsi="CMU Serif" w:cs="CMU Serif"/>
          <w:lang w:val="en-ZA"/>
        </w:rPr>
        <w:t xml:space="preserve">, </w:t>
      </w:r>
      <w:r w:rsidR="009F3B12" w:rsidRPr="00DD1225">
        <w:rPr>
          <w:rFonts w:ascii="CMU Serif" w:hAnsi="CMU Serif" w:cs="CMU Serif"/>
          <w:lang w:val="en-ZA"/>
        </w:rPr>
        <w:t xml:space="preserve">obtained by means of linear interpolation. </w:t>
      </w:r>
      <w:r w:rsidR="00F45AA5" w:rsidRPr="00DD1225">
        <w:rPr>
          <w:rFonts w:ascii="CMU Serif" w:hAnsi="CMU Serif" w:cs="CMU Serif"/>
          <w:lang w:val="en-ZA"/>
        </w:rPr>
        <w:t xml:space="preserve">The results obtained with </w:t>
      </w:r>
      <w:r w:rsidR="009F3B12" w:rsidRPr="00DD1225">
        <w:rPr>
          <w:rFonts w:ascii="CMU Serif" w:hAnsi="CMU Serif" w:cs="CMU Serif"/>
          <w:lang w:val="en-ZA"/>
        </w:rPr>
        <w:t xml:space="preserve">the </w:t>
      </w:r>
      <w:r w:rsidR="00F45AA5" w:rsidRPr="00DD1225">
        <w:rPr>
          <w:rFonts w:ascii="CMU Serif" w:hAnsi="CMU Serif" w:cs="CMU Serif"/>
          <w:lang w:val="en-ZA"/>
        </w:rPr>
        <w:t>other interpolation methods</w:t>
      </w:r>
      <w:r w:rsidR="00924779" w:rsidRPr="00DD1225">
        <w:rPr>
          <w:rFonts w:ascii="CMU Serif" w:hAnsi="CMU Serif" w:cs="CMU Serif"/>
          <w:lang w:val="en-ZA"/>
        </w:rPr>
        <w:t>, which</w:t>
      </w:r>
      <w:r w:rsidR="00F45AA5" w:rsidRPr="00DD1225">
        <w:rPr>
          <w:rFonts w:ascii="CMU Serif" w:hAnsi="CMU Serif" w:cs="CMU Serif"/>
          <w:lang w:val="en-ZA"/>
        </w:rPr>
        <w:t xml:space="preserve"> </w:t>
      </w:r>
      <w:r w:rsidR="009F3B12" w:rsidRPr="00DD1225">
        <w:rPr>
          <w:rFonts w:ascii="CMU Serif" w:hAnsi="CMU Serif" w:cs="CMU Serif"/>
          <w:lang w:val="en-ZA"/>
        </w:rPr>
        <w:t>are available</w:t>
      </w:r>
      <w:r w:rsidR="00924779" w:rsidRPr="00DD1225">
        <w:rPr>
          <w:rFonts w:ascii="CMU Serif" w:hAnsi="CMU Serif" w:cs="CMU Serif"/>
          <w:lang w:val="en-ZA"/>
        </w:rPr>
        <w:t xml:space="preserve"> from the authors</w:t>
      </w:r>
      <w:r w:rsidR="009F3B12" w:rsidRPr="00DD1225">
        <w:rPr>
          <w:rFonts w:ascii="CMU Serif" w:hAnsi="CMU Serif" w:cs="CMU Serif"/>
          <w:lang w:val="en-ZA"/>
        </w:rPr>
        <w:t xml:space="preserve"> upon request</w:t>
      </w:r>
      <w:r w:rsidR="00DD6EBE" w:rsidRPr="00DD1225">
        <w:rPr>
          <w:rFonts w:ascii="CMU Serif" w:hAnsi="CMU Serif" w:cs="CMU Serif"/>
          <w:lang w:val="en-ZA"/>
        </w:rPr>
        <w:t xml:space="preserve">, </w:t>
      </w:r>
      <w:r w:rsidR="00F7116D" w:rsidRPr="00DD1225">
        <w:rPr>
          <w:rFonts w:ascii="CMU Serif" w:hAnsi="CMU Serif" w:cs="CMU Serif"/>
          <w:lang w:val="en-ZA"/>
        </w:rPr>
        <w:t xml:space="preserve">remain </w:t>
      </w:r>
      <w:r w:rsidR="00F45AA5" w:rsidRPr="00DD1225">
        <w:rPr>
          <w:rFonts w:ascii="CMU Serif" w:hAnsi="CMU Serif" w:cs="CMU Serif"/>
          <w:lang w:val="en-ZA"/>
        </w:rPr>
        <w:t xml:space="preserve">are </w:t>
      </w:r>
      <w:r w:rsidR="009F3B12" w:rsidRPr="00DD1225">
        <w:rPr>
          <w:rFonts w:ascii="CMU Serif" w:hAnsi="CMU Serif" w:cs="CMU Serif"/>
          <w:lang w:val="en-ZA"/>
        </w:rPr>
        <w:t>qualitatively similar</w:t>
      </w:r>
      <w:r w:rsidR="005A4C43" w:rsidRPr="00DD1225">
        <w:rPr>
          <w:rFonts w:ascii="CMU Serif" w:hAnsi="CMU Serif" w:cs="CMU Serif"/>
          <w:lang w:val="en-ZA"/>
        </w:rPr>
        <w:t>.</w:t>
      </w:r>
      <w:r w:rsidR="008A41D6" w:rsidRPr="00DD1225">
        <w:rPr>
          <w:rFonts w:ascii="CMU Serif" w:hAnsi="CMU Serif" w:cs="CMU Serif"/>
          <w:lang w:val="en-ZA"/>
        </w:rPr>
        <w:t xml:space="preserve"> </w:t>
      </w:r>
    </w:p>
    <w:bookmarkEnd w:id="3"/>
    <w:p w14:paraId="73569B87" w14:textId="1480BECD" w:rsidR="00864A20" w:rsidRPr="00DD1225" w:rsidRDefault="00AE209A" w:rsidP="00D63BC1">
      <w:pPr>
        <w:spacing w:after="0" w:line="360" w:lineRule="auto"/>
        <w:ind w:firstLine="708"/>
        <w:jc w:val="both"/>
        <w:rPr>
          <w:rFonts w:ascii="CMU Serif" w:hAnsi="CMU Serif" w:cs="CMU Serif"/>
          <w:lang w:val="en-ZA"/>
        </w:rPr>
      </w:pPr>
      <w:r w:rsidRPr="00DD1225">
        <w:rPr>
          <w:rFonts w:ascii="CMU Serif" w:hAnsi="CMU Serif" w:cs="CMU Serif"/>
          <w:lang w:val="en-ZA"/>
        </w:rPr>
        <w:t xml:space="preserve">Finally, we also </w:t>
      </w:r>
      <w:r w:rsidR="00756AC0" w:rsidRPr="00DD1225">
        <w:rPr>
          <w:rFonts w:ascii="CMU Serif" w:hAnsi="CMU Serif" w:cs="CMU Serif"/>
          <w:lang w:val="en-ZA"/>
        </w:rPr>
        <w:t>include</w:t>
      </w:r>
      <w:r w:rsidRPr="00DD1225">
        <w:rPr>
          <w:rFonts w:ascii="CMU Serif" w:hAnsi="CMU Serif" w:cs="CMU Serif"/>
          <w:lang w:val="en-ZA"/>
        </w:rPr>
        <w:t xml:space="preserve"> weekday </w:t>
      </w:r>
      <w:r w:rsidR="00756AC0" w:rsidRPr="00DD1225">
        <w:rPr>
          <w:rFonts w:ascii="CMU Serif" w:hAnsi="CMU Serif" w:cs="CMU Serif"/>
          <w:lang w:val="en-ZA"/>
        </w:rPr>
        <w:t xml:space="preserve">dummies </w:t>
      </w:r>
      <w:r w:rsidRPr="00DD1225">
        <w:rPr>
          <w:rFonts w:ascii="CMU Serif" w:hAnsi="CMU Serif" w:cs="CMU Serif"/>
          <w:lang w:val="en-ZA"/>
        </w:rPr>
        <w:t xml:space="preserve">to </w:t>
      </w:r>
      <w:r w:rsidR="00756AC0" w:rsidRPr="00DD1225">
        <w:rPr>
          <w:rFonts w:ascii="CMU Serif" w:hAnsi="CMU Serif" w:cs="CMU Serif"/>
          <w:lang w:val="en-ZA"/>
        </w:rPr>
        <w:t>control</w:t>
      </w:r>
      <w:r w:rsidRPr="00DD1225">
        <w:rPr>
          <w:rFonts w:ascii="CMU Serif" w:hAnsi="CMU Serif" w:cs="CMU Serif"/>
          <w:lang w:val="en-ZA"/>
        </w:rPr>
        <w:t xml:space="preserve"> for seasonality (</w:t>
      </w:r>
      <w:r w:rsidR="00756AC0" w:rsidRPr="00DD1225">
        <w:rPr>
          <w:rFonts w:ascii="CMU Serif" w:hAnsi="CMU Serif" w:cs="CMU Serif"/>
          <w:lang w:val="en-ZA"/>
        </w:rPr>
        <w:t>Barth and Bennett 1975).</w:t>
      </w:r>
      <w:r w:rsidR="00235146" w:rsidRPr="00DD1225">
        <w:rPr>
          <w:rFonts w:ascii="CMU Serif" w:hAnsi="CMU Serif" w:cs="CMU Serif"/>
          <w:lang w:val="en-ZA"/>
        </w:rPr>
        <w:t xml:space="preserve"> </w:t>
      </w:r>
      <w:r w:rsidR="002E13F2" w:rsidRPr="00DD1225">
        <w:rPr>
          <w:rFonts w:ascii="CMU Serif" w:hAnsi="CMU Serif" w:cs="CMU Serif"/>
          <w:lang w:val="en-ZA"/>
        </w:rPr>
        <w:t>Tables A2 and A3</w:t>
      </w:r>
      <w:r w:rsidR="00411AFC" w:rsidRPr="00DD1225">
        <w:rPr>
          <w:rFonts w:ascii="CMU Serif" w:hAnsi="CMU Serif" w:cs="CMU Serif"/>
          <w:lang w:val="en-ZA"/>
        </w:rPr>
        <w:t xml:space="preserve"> display data information and statistical properties</w:t>
      </w:r>
      <w:r w:rsidR="002E13F2" w:rsidRPr="00DD1225">
        <w:rPr>
          <w:rFonts w:ascii="CMU Serif" w:hAnsi="CMU Serif" w:cs="CMU Serif"/>
          <w:lang w:val="en-ZA"/>
        </w:rPr>
        <w:t>, respectively.</w:t>
      </w:r>
    </w:p>
    <w:p w14:paraId="087C0EAC" w14:textId="47A1F605" w:rsidR="00CF34D9" w:rsidRPr="00DD1225" w:rsidRDefault="00AE209A">
      <w:pPr>
        <w:spacing w:after="0" w:line="360" w:lineRule="auto"/>
        <w:ind w:firstLine="708"/>
        <w:jc w:val="both"/>
        <w:rPr>
          <w:rFonts w:ascii="CMU Serif" w:eastAsia="Times New Roman" w:hAnsi="CMU Serif" w:cs="CMU Serif"/>
          <w:color w:val="000000"/>
          <w:lang w:val="en-ZA" w:eastAsia="pl-PL"/>
        </w:rPr>
      </w:pPr>
      <w:r w:rsidRPr="00DD1225">
        <w:rPr>
          <w:rFonts w:ascii="CMU Serif" w:hAnsi="CMU Serif" w:cs="CMU Serif"/>
          <w:lang w:val="en-ZA"/>
        </w:rPr>
        <w:t xml:space="preserve">Following </w:t>
      </w:r>
      <w:r w:rsidR="006C5B83" w:rsidRPr="00DD1225">
        <w:rPr>
          <w:rFonts w:ascii="CMU Serif" w:hAnsi="CMU Serif" w:cs="CMU Serif"/>
          <w:lang w:val="en-ZA"/>
        </w:rPr>
        <w:t xml:space="preserve">the </w:t>
      </w:r>
      <w:r w:rsidRPr="00DD1225">
        <w:rPr>
          <w:rFonts w:ascii="CMU Serif" w:hAnsi="CMU Serif" w:cs="CMU Serif"/>
          <w:lang w:val="en-ZA"/>
        </w:rPr>
        <w:t xml:space="preserve">Hausman tests, we </w:t>
      </w:r>
      <w:r w:rsidR="0089606E" w:rsidRPr="00DD1225">
        <w:rPr>
          <w:rFonts w:ascii="CMU Serif" w:hAnsi="CMU Serif" w:cs="CMU Serif"/>
          <w:lang w:val="en-ZA"/>
        </w:rPr>
        <w:t>employ</w:t>
      </w:r>
      <w:r w:rsidRPr="00DD1225">
        <w:rPr>
          <w:rFonts w:ascii="CMU Serif" w:hAnsi="CMU Serif" w:cs="CMU Serif"/>
          <w:lang w:val="en-ZA"/>
        </w:rPr>
        <w:t xml:space="preserve"> the random-effects method</w:t>
      </w:r>
      <w:r w:rsidR="00D27608" w:rsidRPr="00DD1225">
        <w:rPr>
          <w:rFonts w:ascii="CMU Serif" w:hAnsi="CMU Serif" w:cs="CMU Serif"/>
          <w:lang w:val="en-ZA"/>
        </w:rPr>
        <w:t>.</w:t>
      </w:r>
      <w:r w:rsidR="00A644A7" w:rsidRPr="00DD1225">
        <w:rPr>
          <w:rFonts w:ascii="CMU Serif" w:hAnsi="CMU Serif" w:cs="CMU Serif"/>
          <w:lang w:val="en-ZA"/>
        </w:rPr>
        <w:t xml:space="preserve"> </w:t>
      </w:r>
      <w:r w:rsidR="00710747" w:rsidRPr="00DD1225">
        <w:rPr>
          <w:rFonts w:ascii="CMU Serif" w:eastAsia="Times New Roman" w:hAnsi="CMU Serif" w:cs="CMU Serif"/>
          <w:color w:val="000000"/>
          <w:lang w:val="en-ZA" w:eastAsia="pl-PL"/>
        </w:rPr>
        <w:t>F</w:t>
      </w:r>
      <w:r w:rsidRPr="00DD1225">
        <w:rPr>
          <w:rFonts w:ascii="CMU Serif" w:eastAsia="Times New Roman" w:hAnsi="CMU Serif" w:cs="CMU Serif"/>
          <w:color w:val="000000"/>
          <w:lang w:val="en-ZA" w:eastAsia="pl-PL"/>
        </w:rPr>
        <w:t xml:space="preserve">or robustness, we consider several </w:t>
      </w:r>
      <w:r w:rsidR="00994AB8" w:rsidRPr="00DD1225">
        <w:rPr>
          <w:rFonts w:ascii="CMU Serif" w:eastAsia="Times New Roman" w:hAnsi="CMU Serif" w:cs="CMU Serif"/>
          <w:color w:val="000000"/>
          <w:lang w:val="en-ZA" w:eastAsia="pl-PL"/>
        </w:rPr>
        <w:t>alternative specifications</w:t>
      </w:r>
      <w:r w:rsidRPr="00DD1225">
        <w:rPr>
          <w:rFonts w:ascii="CMU Serif" w:eastAsia="Times New Roman" w:hAnsi="CMU Serif" w:cs="CMU Serif"/>
          <w:color w:val="000000"/>
          <w:lang w:val="en-ZA" w:eastAsia="pl-PL"/>
        </w:rPr>
        <w:t xml:space="preserve">, which are summarized at the end of Section </w:t>
      </w:r>
      <w:r w:rsidR="000B1901" w:rsidRPr="00DD1225">
        <w:rPr>
          <w:rFonts w:ascii="CMU Serif" w:eastAsia="Times New Roman" w:hAnsi="CMU Serif" w:cs="CMU Serif"/>
          <w:color w:val="000000"/>
          <w:lang w:val="en-ZA" w:eastAsia="pl-PL"/>
        </w:rPr>
        <w:t>3</w:t>
      </w:r>
      <w:r w:rsidRPr="00DD1225">
        <w:rPr>
          <w:rFonts w:ascii="CMU Serif" w:eastAsia="Times New Roman" w:hAnsi="CMU Serif" w:cs="CMU Serif"/>
          <w:color w:val="000000"/>
          <w:lang w:val="en-ZA" w:eastAsia="pl-PL"/>
        </w:rPr>
        <w:t>.</w:t>
      </w:r>
    </w:p>
    <w:p w14:paraId="1A4B8180" w14:textId="77777777" w:rsidR="00CF34D9" w:rsidRPr="00DD1225" w:rsidRDefault="00CF34D9" w:rsidP="00625D6F">
      <w:pPr>
        <w:spacing w:after="0" w:line="360" w:lineRule="auto"/>
        <w:jc w:val="both"/>
        <w:rPr>
          <w:rFonts w:ascii="CMU Serif" w:hAnsi="CMU Serif" w:cs="CMU Serif"/>
          <w:lang w:val="en-ZA"/>
        </w:rPr>
      </w:pPr>
    </w:p>
    <w:p w14:paraId="5DB3DAFF" w14:textId="6ABAD0D9" w:rsidR="00CF34D9" w:rsidRPr="00DD1225" w:rsidRDefault="00AE209A" w:rsidP="00CF34D9">
      <w:pPr>
        <w:spacing w:after="0" w:line="360" w:lineRule="auto"/>
        <w:jc w:val="center"/>
        <w:rPr>
          <w:rFonts w:ascii="CMU Serif" w:hAnsi="CMU Serif" w:cs="CMU Serif"/>
          <w:b/>
          <w:lang w:val="en-ZA"/>
        </w:rPr>
      </w:pPr>
      <w:r w:rsidRPr="00DD1225">
        <w:rPr>
          <w:rFonts w:ascii="CMU Serif" w:hAnsi="CMU Serif" w:cs="CMU Serif"/>
          <w:b/>
          <w:lang w:val="en-ZA"/>
        </w:rPr>
        <w:t xml:space="preserve">3. </w:t>
      </w:r>
      <w:r w:rsidR="00E07297" w:rsidRPr="00DD1225">
        <w:rPr>
          <w:rFonts w:ascii="CMU Serif" w:hAnsi="CMU Serif" w:cs="CMU Serif"/>
          <w:b/>
          <w:lang w:val="en-ZA"/>
        </w:rPr>
        <w:t>Results</w:t>
      </w:r>
    </w:p>
    <w:p w14:paraId="57E55E20" w14:textId="71CD4472" w:rsidR="00CF34D9" w:rsidRPr="00DD1225" w:rsidRDefault="00AE209A">
      <w:pPr>
        <w:spacing w:after="0" w:line="360" w:lineRule="auto"/>
        <w:ind w:firstLine="709"/>
        <w:jc w:val="both"/>
        <w:rPr>
          <w:rFonts w:ascii="CMU Serif" w:hAnsi="CMU Serif" w:cs="CMU Serif"/>
          <w:lang w:val="en-ZA"/>
        </w:rPr>
      </w:pPr>
      <w:r w:rsidRPr="00DD1225">
        <w:rPr>
          <w:rFonts w:ascii="CMU Serif" w:hAnsi="CMU Serif" w:cs="CMU Serif"/>
          <w:lang w:val="en-ZA"/>
        </w:rPr>
        <w:t>R</w:t>
      </w:r>
      <w:r w:rsidR="00871C34" w:rsidRPr="00DD1225">
        <w:rPr>
          <w:rFonts w:ascii="CMU Serif" w:hAnsi="CMU Serif" w:cs="CMU Serif"/>
          <w:lang w:val="en-ZA"/>
        </w:rPr>
        <w:t xml:space="preserve">esults </w:t>
      </w:r>
      <w:r w:rsidR="001847B5" w:rsidRPr="00DD1225">
        <w:rPr>
          <w:rFonts w:ascii="CMU Serif" w:hAnsi="CMU Serif" w:cs="CMU Serif"/>
          <w:lang w:val="en-ZA"/>
        </w:rPr>
        <w:t>are summarized in Table 1</w:t>
      </w:r>
      <w:r w:rsidR="00871C34" w:rsidRPr="00DD1225">
        <w:rPr>
          <w:rFonts w:ascii="CMU Serif" w:hAnsi="CMU Serif" w:cs="CMU Serif"/>
          <w:lang w:val="en-ZA"/>
        </w:rPr>
        <w:t xml:space="preserve">. </w:t>
      </w:r>
      <w:r w:rsidR="008A15A6" w:rsidRPr="00DD1225">
        <w:rPr>
          <w:rFonts w:ascii="CMU Serif" w:hAnsi="CMU Serif" w:cs="CMU Serif"/>
          <w:lang w:val="en-ZA"/>
        </w:rPr>
        <w:t>We find</w:t>
      </w:r>
      <w:r w:rsidR="00871C34" w:rsidRPr="00DD1225">
        <w:rPr>
          <w:rFonts w:ascii="CMU Serif" w:hAnsi="CMU Serif" w:cs="CMU Serif"/>
          <w:lang w:val="en-ZA"/>
        </w:rPr>
        <w:t xml:space="preserve"> that </w:t>
      </w:r>
      <w:r w:rsidRPr="00DD1225">
        <w:rPr>
          <w:rFonts w:ascii="CMU Serif" w:hAnsi="CMU Serif" w:cs="CMU Serif"/>
          <w:lang w:val="en-ZA"/>
        </w:rPr>
        <w:t>COVID-19</w:t>
      </w:r>
      <w:r w:rsidR="008A15A6" w:rsidRPr="00DD1225">
        <w:rPr>
          <w:rFonts w:ascii="CMU Serif" w:hAnsi="CMU Serif" w:cs="CMU Serif"/>
          <w:lang w:val="en-ZA"/>
        </w:rPr>
        <w:t xml:space="preserve"> infections exert a</w:t>
      </w:r>
      <w:r w:rsidRPr="00DD1225">
        <w:rPr>
          <w:rFonts w:ascii="CMU Serif" w:hAnsi="CMU Serif" w:cs="CMU Serif"/>
          <w:lang w:val="en-ZA"/>
        </w:rPr>
        <w:t xml:space="preserve"> positive and</w:t>
      </w:r>
      <w:r w:rsidR="008A15A6" w:rsidRPr="00DD1225">
        <w:rPr>
          <w:rFonts w:ascii="CMU Serif" w:hAnsi="CMU Serif" w:cs="CMU Serif"/>
          <w:lang w:val="en-ZA"/>
        </w:rPr>
        <w:t xml:space="preserve"> significant effect on </w:t>
      </w:r>
      <w:r w:rsidR="00E9184B" w:rsidRPr="00DD1225">
        <w:rPr>
          <w:rFonts w:ascii="CMU Serif" w:hAnsi="CMU Serif" w:cs="CMU Serif"/>
          <w:i/>
          <w:lang w:val="en-ZA"/>
        </w:rPr>
        <w:t>TERM</w:t>
      </w:r>
      <w:r w:rsidR="009D611D" w:rsidRPr="00DD1225">
        <w:rPr>
          <w:rFonts w:ascii="CMU Serif" w:hAnsi="CMU Serif" w:cs="CMU Serif"/>
          <w:lang w:val="en-ZA"/>
        </w:rPr>
        <w:t xml:space="preserve">. </w:t>
      </w:r>
      <w:r w:rsidRPr="00DD1225">
        <w:rPr>
          <w:rFonts w:ascii="CMU Serif" w:hAnsi="CMU Serif" w:cs="CMU Serif"/>
          <w:lang w:val="en-ZA"/>
        </w:rPr>
        <w:t>This effect</w:t>
      </w:r>
      <w:r w:rsidR="00861166" w:rsidRPr="00DD1225">
        <w:rPr>
          <w:rFonts w:ascii="CMU Serif" w:hAnsi="CMU Serif" w:cs="CMU Serif"/>
          <w:lang w:val="en-ZA"/>
        </w:rPr>
        <w:t xml:space="preserve"> </w:t>
      </w:r>
      <w:r w:rsidRPr="00DD1225">
        <w:rPr>
          <w:rFonts w:ascii="CMU Serif" w:hAnsi="CMU Serif" w:cs="CMU Serif"/>
          <w:lang w:val="en-ZA"/>
        </w:rPr>
        <w:t>remains robust to</w:t>
      </w:r>
      <w:r w:rsidR="008A15A6" w:rsidRPr="00DD1225">
        <w:rPr>
          <w:rFonts w:ascii="CMU Serif" w:hAnsi="CMU Serif" w:cs="CMU Serif"/>
          <w:lang w:val="en-ZA"/>
        </w:rPr>
        <w:t xml:space="preserve"> the model specifications that comprise </w:t>
      </w:r>
      <w:r w:rsidR="00861166" w:rsidRPr="00DD1225">
        <w:rPr>
          <w:rFonts w:ascii="CMU Serif" w:hAnsi="CMU Serif" w:cs="CMU Serif"/>
          <w:lang w:val="en-ZA"/>
        </w:rPr>
        <w:t xml:space="preserve">the primary (1) or extended (2) </w:t>
      </w:r>
      <w:r w:rsidR="008A15A6" w:rsidRPr="00DD1225">
        <w:rPr>
          <w:rFonts w:ascii="CMU Serif" w:hAnsi="CMU Serif" w:cs="CMU Serif"/>
          <w:lang w:val="en-ZA"/>
        </w:rPr>
        <w:t xml:space="preserve">set </w:t>
      </w:r>
      <w:r w:rsidR="00861166" w:rsidRPr="00DD1225">
        <w:rPr>
          <w:rFonts w:ascii="CMU Serif" w:hAnsi="CMU Serif" w:cs="CMU Serif"/>
          <w:lang w:val="en-ZA"/>
        </w:rPr>
        <w:t>of bond</w:t>
      </w:r>
      <w:r w:rsidR="008A15A6" w:rsidRPr="00DD1225">
        <w:rPr>
          <w:rFonts w:ascii="CMU Serif" w:hAnsi="CMU Serif" w:cs="CMU Serif"/>
          <w:lang w:val="en-ZA"/>
        </w:rPr>
        <w:t>-</w:t>
      </w:r>
      <w:r w:rsidR="00861166" w:rsidRPr="00DD1225">
        <w:rPr>
          <w:rFonts w:ascii="CMU Serif" w:hAnsi="CMU Serif" w:cs="CMU Serif"/>
          <w:lang w:val="en-ZA"/>
        </w:rPr>
        <w:t xml:space="preserve">related variables, the global </w:t>
      </w:r>
      <w:r w:rsidR="008A15A6" w:rsidRPr="00DD1225">
        <w:rPr>
          <w:rFonts w:ascii="CMU Serif" w:hAnsi="CMU Serif" w:cs="CMU Serif"/>
          <w:lang w:val="en-ZA"/>
        </w:rPr>
        <w:t xml:space="preserve">business cycle stance </w:t>
      </w:r>
      <w:r w:rsidR="00861166" w:rsidRPr="00DD1225">
        <w:rPr>
          <w:rFonts w:ascii="CMU Serif" w:hAnsi="CMU Serif" w:cs="CMU Serif"/>
          <w:lang w:val="en-ZA"/>
        </w:rPr>
        <w:t xml:space="preserve">(3-4), or </w:t>
      </w:r>
      <w:r w:rsidR="006D3C9B" w:rsidRPr="00DD1225">
        <w:rPr>
          <w:rFonts w:ascii="CMU Serif" w:hAnsi="CMU Serif" w:cs="CMU Serif"/>
          <w:lang w:val="en-ZA"/>
        </w:rPr>
        <w:t xml:space="preserve">weekday </w:t>
      </w:r>
      <w:r w:rsidR="00861166" w:rsidRPr="00DD1225">
        <w:rPr>
          <w:rFonts w:ascii="CMU Serif" w:hAnsi="CMU Serif" w:cs="CMU Serif"/>
          <w:lang w:val="en-ZA"/>
        </w:rPr>
        <w:t>seasonality effects (5).</w:t>
      </w:r>
    </w:p>
    <w:p w14:paraId="1558C446" w14:textId="2B2F1BBD" w:rsidR="00861166" w:rsidRPr="00DD1225" w:rsidRDefault="00AE209A" w:rsidP="00861166">
      <w:pPr>
        <w:spacing w:after="0" w:line="360" w:lineRule="auto"/>
        <w:jc w:val="center"/>
        <w:rPr>
          <w:rFonts w:ascii="CMU Serif" w:hAnsi="CMU Serif" w:cs="CMU Serif"/>
          <w:i/>
          <w:lang w:val="en-ZA"/>
        </w:rPr>
      </w:pPr>
      <w:r w:rsidRPr="00DD1225">
        <w:rPr>
          <w:rFonts w:ascii="CMU Serif" w:hAnsi="CMU Serif" w:cs="CMU Serif"/>
          <w:i/>
          <w:lang w:val="en-ZA"/>
        </w:rPr>
        <w:t>[</w:t>
      </w:r>
      <w:r w:rsidR="00F902B2" w:rsidRPr="00DD1225">
        <w:rPr>
          <w:rFonts w:ascii="CMU Serif" w:hAnsi="CMU Serif" w:cs="CMU Serif"/>
          <w:i/>
          <w:lang w:val="en-ZA"/>
        </w:rPr>
        <w:t xml:space="preserve">Insert </w:t>
      </w:r>
      <w:r w:rsidRPr="00DD1225">
        <w:rPr>
          <w:rFonts w:ascii="CMU Serif" w:hAnsi="CMU Serif" w:cs="CMU Serif"/>
          <w:i/>
          <w:lang w:val="en-ZA"/>
        </w:rPr>
        <w:t>Table 1</w:t>
      </w:r>
      <w:r w:rsidR="00F902B2" w:rsidRPr="00DD1225">
        <w:rPr>
          <w:rFonts w:ascii="CMU Serif" w:hAnsi="CMU Serif" w:cs="CMU Serif"/>
          <w:i/>
          <w:lang w:val="en-ZA"/>
        </w:rPr>
        <w:t xml:space="preserve"> here</w:t>
      </w:r>
      <w:r w:rsidRPr="00DD1225">
        <w:rPr>
          <w:rFonts w:ascii="CMU Serif" w:hAnsi="CMU Serif" w:cs="CMU Serif"/>
          <w:i/>
          <w:lang w:val="en-ZA"/>
        </w:rPr>
        <w:t>]</w:t>
      </w:r>
    </w:p>
    <w:p w14:paraId="549D465C" w14:textId="09898531" w:rsidR="006D3C9B" w:rsidRPr="00DD1225" w:rsidRDefault="00AE209A" w:rsidP="006D3C9B">
      <w:pPr>
        <w:spacing w:after="0" w:line="360" w:lineRule="auto"/>
        <w:ind w:firstLine="708"/>
        <w:jc w:val="both"/>
        <w:rPr>
          <w:rFonts w:ascii="CMU Serif" w:hAnsi="CMU Serif" w:cs="CMU Serif"/>
          <w:lang w:val="en-ZA"/>
        </w:rPr>
      </w:pPr>
      <w:r w:rsidRPr="00DD1225">
        <w:rPr>
          <w:rFonts w:ascii="CMU Serif" w:hAnsi="CMU Serif" w:cs="CMU Serif"/>
          <w:lang w:val="en-ZA"/>
        </w:rPr>
        <w:t xml:space="preserve">Notably, the effect of </w:t>
      </w:r>
      <w:r w:rsidR="006863C5" w:rsidRPr="00DD1225">
        <w:rPr>
          <w:rFonts w:ascii="CMU Serif" w:hAnsi="CMU Serif" w:cs="CMU Serif"/>
          <w:lang w:val="en-ZA"/>
        </w:rPr>
        <w:t>COVID-19</w:t>
      </w:r>
      <w:r w:rsidRPr="00DD1225">
        <w:rPr>
          <w:rFonts w:ascii="CMU Serif" w:hAnsi="CMU Serif" w:cs="CMU Serif"/>
          <w:lang w:val="en-ZA"/>
        </w:rPr>
        <w:t xml:space="preserve"> is not subsumed by the </w:t>
      </w:r>
      <w:r w:rsidR="00764F65" w:rsidRPr="00DD1225">
        <w:rPr>
          <w:rFonts w:ascii="CMU Serif" w:hAnsi="CMU Serif" w:cs="CMU Serif"/>
          <w:lang w:val="en-ZA"/>
        </w:rPr>
        <w:t xml:space="preserve">impact </w:t>
      </w:r>
      <w:r w:rsidRPr="00DD1225">
        <w:rPr>
          <w:rFonts w:ascii="CMU Serif" w:hAnsi="CMU Serif" w:cs="CMU Serif"/>
          <w:lang w:val="en-ZA"/>
        </w:rPr>
        <w:t>of government interventions. The policy responses</w:t>
      </w:r>
      <w:r w:rsidR="00764F65" w:rsidRPr="00DD1225">
        <w:rPr>
          <w:rFonts w:ascii="CMU Serif" w:hAnsi="CMU Serif" w:cs="CMU Serif"/>
          <w:lang w:val="en-ZA"/>
        </w:rPr>
        <w:t xml:space="preserve">, measured either </w:t>
      </w:r>
      <w:r w:rsidR="00E14B8E" w:rsidRPr="00DD1225">
        <w:rPr>
          <w:rFonts w:ascii="CMU Serif" w:hAnsi="CMU Serif" w:cs="CMU Serif"/>
          <w:lang w:val="en-ZA"/>
        </w:rPr>
        <w:t xml:space="preserve">as </w:t>
      </w:r>
      <w:r w:rsidR="00764F65" w:rsidRPr="00DD1225">
        <w:rPr>
          <w:rFonts w:ascii="CMU Serif" w:hAnsi="CMU Serif" w:cs="CMU Serif"/>
          <w:lang w:val="en-ZA"/>
        </w:rPr>
        <w:t>a comprehensive government response index (</w:t>
      </w:r>
      <w:r w:rsidRPr="00DD1225">
        <w:rPr>
          <w:rFonts w:ascii="CMU Serif" w:hAnsi="CMU Serif" w:cs="CMU Serif"/>
          <w:lang w:val="en-ZA"/>
        </w:rPr>
        <w:t>4-5</w:t>
      </w:r>
      <w:r w:rsidR="00764F65" w:rsidRPr="00DD1225">
        <w:rPr>
          <w:rFonts w:ascii="CMU Serif" w:hAnsi="CMU Serif" w:cs="CMU Serif"/>
          <w:lang w:val="en-ZA"/>
        </w:rPr>
        <w:t xml:space="preserve">) or by its components (containment and closer or economic </w:t>
      </w:r>
      <w:r w:rsidR="00E14B8E" w:rsidRPr="00DD1225">
        <w:rPr>
          <w:rFonts w:ascii="CMU Serif" w:hAnsi="CMU Serif" w:cs="CMU Serif"/>
          <w:lang w:val="en-ZA"/>
        </w:rPr>
        <w:t>stimuli</w:t>
      </w:r>
      <w:r w:rsidR="00764F65" w:rsidRPr="00DD1225">
        <w:rPr>
          <w:rFonts w:ascii="CMU Serif" w:hAnsi="CMU Serif" w:cs="CMU Serif"/>
          <w:lang w:val="en-ZA"/>
        </w:rPr>
        <w:t xml:space="preserve">, </w:t>
      </w:r>
      <w:r w:rsidRPr="00DD1225">
        <w:rPr>
          <w:rFonts w:ascii="CMU Serif" w:hAnsi="CMU Serif" w:cs="CMU Serif"/>
          <w:lang w:val="en-ZA"/>
        </w:rPr>
        <w:t>6</w:t>
      </w:r>
      <w:r w:rsidR="00764F65" w:rsidRPr="00DD1225">
        <w:rPr>
          <w:rFonts w:ascii="CMU Serif" w:hAnsi="CMU Serif" w:cs="CMU Serif"/>
          <w:lang w:val="en-ZA"/>
        </w:rPr>
        <w:t xml:space="preserve">), do not appear to influence </w:t>
      </w:r>
      <w:r w:rsidR="00E9184B" w:rsidRPr="00DD1225">
        <w:rPr>
          <w:rFonts w:ascii="CMU Serif" w:hAnsi="CMU Serif" w:cs="CMU Serif"/>
          <w:i/>
          <w:lang w:val="en-ZA"/>
        </w:rPr>
        <w:t>TERM</w:t>
      </w:r>
      <w:r w:rsidR="009D611D" w:rsidRPr="00DD1225">
        <w:rPr>
          <w:rFonts w:ascii="CMU Serif" w:hAnsi="CMU Serif" w:cs="CMU Serif"/>
          <w:lang w:val="en-ZA"/>
        </w:rPr>
        <w:t xml:space="preserve"> significantly. </w:t>
      </w:r>
      <w:r w:rsidR="001D5C63" w:rsidRPr="00DD1225">
        <w:rPr>
          <w:rFonts w:ascii="CMU Serif" w:hAnsi="CMU Serif" w:cs="CMU Serif"/>
          <w:lang w:val="en-ZA"/>
        </w:rPr>
        <w:t>Thus</w:t>
      </w:r>
      <w:r w:rsidR="00527E68" w:rsidRPr="00DD1225">
        <w:rPr>
          <w:rFonts w:ascii="CMU Serif" w:hAnsi="CMU Serif" w:cs="CMU Serif"/>
          <w:lang w:val="en-ZA"/>
        </w:rPr>
        <w:t xml:space="preserve">, any </w:t>
      </w:r>
      <w:r w:rsidR="00E14B8E" w:rsidRPr="00DD1225">
        <w:rPr>
          <w:rFonts w:ascii="CMU Serif" w:hAnsi="CMU Serif" w:cs="CMU Serif"/>
          <w:lang w:val="en-ZA"/>
        </w:rPr>
        <w:t>variatio</w:t>
      </w:r>
      <w:r w:rsidR="004D3B1D" w:rsidRPr="00DD1225">
        <w:rPr>
          <w:rFonts w:ascii="CMU Serif" w:hAnsi="CMU Serif" w:cs="CMU Serif"/>
          <w:lang w:val="en-ZA"/>
        </w:rPr>
        <w:t>n</w:t>
      </w:r>
      <w:r w:rsidR="00E14B8E" w:rsidRPr="00DD1225">
        <w:rPr>
          <w:rFonts w:ascii="CMU Serif" w:hAnsi="CMU Serif" w:cs="CMU Serif"/>
          <w:lang w:val="en-ZA"/>
        </w:rPr>
        <w:t xml:space="preserve"> </w:t>
      </w:r>
      <w:r w:rsidR="00527E68" w:rsidRPr="00DD1225">
        <w:rPr>
          <w:rFonts w:ascii="CMU Serif" w:hAnsi="CMU Serif" w:cs="CMU Serif"/>
          <w:lang w:val="en-ZA"/>
        </w:rPr>
        <w:t xml:space="preserve">of </w:t>
      </w:r>
      <w:r w:rsidR="00E9184B" w:rsidRPr="00DD1225">
        <w:rPr>
          <w:rFonts w:ascii="CMU Serif" w:hAnsi="CMU Serif" w:cs="CMU Serif"/>
          <w:i/>
          <w:lang w:val="en-ZA"/>
        </w:rPr>
        <w:t>TERM</w:t>
      </w:r>
      <w:r w:rsidR="00E9184B" w:rsidRPr="00DD1225">
        <w:rPr>
          <w:rFonts w:ascii="CMU Serif" w:hAnsi="CMU Serif" w:cs="CMU Serif"/>
          <w:lang w:val="en-ZA"/>
        </w:rPr>
        <w:t xml:space="preserve"> </w:t>
      </w:r>
      <w:r w:rsidR="00527E68" w:rsidRPr="00DD1225">
        <w:rPr>
          <w:rFonts w:ascii="CMU Serif" w:hAnsi="CMU Serif" w:cs="CMU Serif"/>
          <w:lang w:val="en-ZA"/>
        </w:rPr>
        <w:t>results from the pandemic itself and not from the government policy responses.</w:t>
      </w:r>
    </w:p>
    <w:p w14:paraId="29F2E93B" w14:textId="039DDD9C" w:rsidR="00DD6EBE" w:rsidRPr="00DD1225" w:rsidRDefault="003C5B03" w:rsidP="006C0555">
      <w:pPr>
        <w:spacing w:after="0" w:line="360" w:lineRule="auto"/>
        <w:ind w:firstLine="708"/>
        <w:jc w:val="both"/>
        <w:rPr>
          <w:rFonts w:ascii="CMU Serif" w:hAnsi="CMU Serif" w:cs="CMU Serif"/>
          <w:lang w:val="en-ZA"/>
        </w:rPr>
      </w:pPr>
      <w:bookmarkStart w:id="4" w:name="_Hlk61341432"/>
      <w:r w:rsidRPr="00DD1225">
        <w:rPr>
          <w:rFonts w:ascii="CMU Serif" w:hAnsi="CMU Serif" w:cs="CMU Serif"/>
          <w:lang w:val="en-ZA"/>
        </w:rPr>
        <w:t>Along similar lines, t</w:t>
      </w:r>
      <w:r w:rsidR="00AE209A" w:rsidRPr="00DD1225">
        <w:rPr>
          <w:rFonts w:ascii="CMU Serif" w:hAnsi="CMU Serif" w:cs="CMU Serif"/>
          <w:lang w:val="en-ZA"/>
        </w:rPr>
        <w:t xml:space="preserve">he role of </w:t>
      </w:r>
      <w:r w:rsidR="0041329A" w:rsidRPr="00DD1225">
        <w:rPr>
          <w:rFonts w:ascii="CMU Serif" w:hAnsi="CMU Serif" w:cs="CMU Serif"/>
          <w:lang w:val="en-ZA"/>
        </w:rPr>
        <w:t>unconventional</w:t>
      </w:r>
      <w:r w:rsidR="00AE209A" w:rsidRPr="00DD1225">
        <w:rPr>
          <w:rFonts w:ascii="CMU Serif" w:hAnsi="CMU Serif" w:cs="CMU Serif"/>
          <w:lang w:val="en-ZA"/>
        </w:rPr>
        <w:t xml:space="preserve"> monetary policies, </w:t>
      </w:r>
      <w:r w:rsidRPr="00DD1225">
        <w:rPr>
          <w:rFonts w:ascii="CMU Serif" w:hAnsi="CMU Serif" w:cs="CMU Serif"/>
          <w:lang w:val="en-ZA"/>
        </w:rPr>
        <w:t xml:space="preserve">measured </w:t>
      </w:r>
      <w:r w:rsidR="00AE209A" w:rsidRPr="00DD1225">
        <w:rPr>
          <w:rFonts w:ascii="CMU Serif" w:hAnsi="CMU Serif" w:cs="CMU Serif"/>
          <w:lang w:val="en-ZA"/>
        </w:rPr>
        <w:t xml:space="preserve">with the </w:t>
      </w:r>
      <w:r w:rsidRPr="00DD1225">
        <w:rPr>
          <w:rFonts w:ascii="CMU Serif" w:hAnsi="CMU Serif" w:cs="CMU Serif"/>
          <w:lang w:val="en-ZA"/>
        </w:rPr>
        <w:t xml:space="preserve"> relative rate of change </w:t>
      </w:r>
      <w:r w:rsidR="00AE209A" w:rsidRPr="00DD1225">
        <w:rPr>
          <w:rFonts w:ascii="CMU Serif" w:hAnsi="CMU Serif" w:cs="CMU Serif"/>
          <w:lang w:val="en-ZA"/>
        </w:rPr>
        <w:t xml:space="preserve">in central bank balance sheets (7-8) also does not </w:t>
      </w:r>
      <w:r w:rsidRPr="00DD1225">
        <w:rPr>
          <w:rFonts w:ascii="CMU Serif" w:hAnsi="CMU Serif" w:cs="CMU Serif"/>
          <w:lang w:val="en-ZA"/>
        </w:rPr>
        <w:t xml:space="preserve">appear to alter the overall positive effect of changes in COVID-19 infections on the term premium on investment in Treasury securities. </w:t>
      </w:r>
      <w:r w:rsidR="00AE209A" w:rsidRPr="00DD1225">
        <w:rPr>
          <w:rFonts w:ascii="CMU Serif" w:hAnsi="CMU Serif" w:cs="CMU Serif"/>
          <w:lang w:val="en-ZA"/>
        </w:rPr>
        <w:t xml:space="preserve">The </w:t>
      </w:r>
      <w:r w:rsidR="00AE209A" w:rsidRPr="00DD1225">
        <w:rPr>
          <w:rFonts w:ascii="CMU Serif" w:hAnsi="CMU Serif" w:cs="CMU Serif"/>
          <w:i/>
          <w:lang w:val="en-ZA"/>
        </w:rPr>
        <w:t>ΔCC</w:t>
      </w:r>
      <w:r w:rsidR="00AE209A" w:rsidRPr="00DD1225">
        <w:rPr>
          <w:rFonts w:ascii="CMU Serif" w:hAnsi="CMU Serif" w:cs="CMU Serif"/>
          <w:lang w:val="en-ZA"/>
        </w:rPr>
        <w:t xml:space="preserve"> </w:t>
      </w:r>
      <w:r w:rsidR="00224579" w:rsidRPr="00DD1225">
        <w:rPr>
          <w:rFonts w:ascii="CMU Serif" w:hAnsi="CMU Serif" w:cs="CMU Serif"/>
          <w:lang w:val="en-ZA"/>
        </w:rPr>
        <w:t xml:space="preserve">coefficient </w:t>
      </w:r>
      <w:r w:rsidR="00AE209A" w:rsidRPr="00DD1225">
        <w:rPr>
          <w:rFonts w:ascii="CMU Serif" w:hAnsi="CMU Serif" w:cs="CMU Serif"/>
          <w:lang w:val="en-ZA"/>
        </w:rPr>
        <w:t xml:space="preserve">remains </w:t>
      </w:r>
      <w:r w:rsidRPr="00DD1225">
        <w:rPr>
          <w:rFonts w:ascii="CMU Serif" w:hAnsi="CMU Serif" w:cs="CMU Serif"/>
          <w:lang w:val="en-ZA"/>
        </w:rPr>
        <w:t>positive and significant</w:t>
      </w:r>
      <w:r w:rsidR="00AE209A" w:rsidRPr="00DD1225">
        <w:rPr>
          <w:rFonts w:ascii="CMU Serif" w:hAnsi="CMU Serif" w:cs="CMU Serif"/>
          <w:lang w:val="en-ZA"/>
        </w:rPr>
        <w:t>. Interestingly, the inclusion of the monetary variables in specifications (7)-(</w:t>
      </w:r>
      <w:r w:rsidR="002733F0" w:rsidRPr="00DD1225">
        <w:rPr>
          <w:rFonts w:ascii="CMU Serif" w:hAnsi="CMU Serif" w:cs="CMU Serif"/>
          <w:lang w:val="en-ZA"/>
        </w:rPr>
        <w:t>8</w:t>
      </w:r>
      <w:r w:rsidR="00AE209A" w:rsidRPr="00DD1225">
        <w:rPr>
          <w:rFonts w:ascii="CMU Serif" w:hAnsi="CMU Serif" w:cs="CMU Serif"/>
          <w:lang w:val="en-ZA"/>
        </w:rPr>
        <w:t xml:space="preserve">) yields </w:t>
      </w:r>
      <w:r w:rsidR="002733F0" w:rsidRPr="00DD1225">
        <w:rPr>
          <w:rFonts w:ascii="CMU Serif" w:hAnsi="CMU Serif" w:cs="CMU Serif"/>
          <w:lang w:val="en-ZA"/>
        </w:rPr>
        <w:t>at least two</w:t>
      </w:r>
      <w:r w:rsidR="00AE209A" w:rsidRPr="00DD1225">
        <w:rPr>
          <w:rFonts w:ascii="CMU Serif" w:hAnsi="CMU Serif" w:cs="CMU Serif"/>
          <w:lang w:val="en-ZA"/>
        </w:rPr>
        <w:t xml:space="preserve"> additional insights. First, the swelling of central bank balance sheets </w:t>
      </w:r>
      <w:r w:rsidR="00224579" w:rsidRPr="00DD1225">
        <w:rPr>
          <w:rFonts w:ascii="CMU Serif" w:hAnsi="CMU Serif" w:cs="CMU Serif"/>
          <w:lang w:val="en-ZA"/>
        </w:rPr>
        <w:t>(</w:t>
      </w:r>
      <w:r w:rsidR="00224579" w:rsidRPr="00DD1225">
        <w:rPr>
          <w:rFonts w:ascii="CMU Serif" w:hAnsi="CMU Serif" w:cs="CMU Serif"/>
          <w:i/>
          <w:lang w:val="en-ZA"/>
        </w:rPr>
        <w:t>CBTA</w:t>
      </w:r>
      <w:r w:rsidR="00224579" w:rsidRPr="00DD1225">
        <w:rPr>
          <w:rFonts w:ascii="CMU Serif" w:hAnsi="CMU Serif" w:cs="CMU Serif"/>
          <w:lang w:val="en-ZA"/>
        </w:rPr>
        <w:t xml:space="preserve">) </w:t>
      </w:r>
      <w:r w:rsidR="00AE209A" w:rsidRPr="00DD1225">
        <w:rPr>
          <w:rFonts w:ascii="CMU Serif" w:hAnsi="CMU Serif" w:cs="CMU Serif"/>
          <w:lang w:val="en-ZA"/>
        </w:rPr>
        <w:t xml:space="preserve">helps to shrink the term spread. </w:t>
      </w:r>
      <w:r w:rsidR="00A541B6" w:rsidRPr="00DD1225">
        <w:rPr>
          <w:rFonts w:ascii="CMU Serif" w:hAnsi="CMU Serif" w:cs="CMU Serif"/>
          <w:lang w:val="en-ZA"/>
        </w:rPr>
        <w:t xml:space="preserve">This finding is broadly consistent across the seven interpolation techniques and </w:t>
      </w:r>
      <w:r w:rsidR="00AE209A" w:rsidRPr="00DD1225">
        <w:rPr>
          <w:rFonts w:ascii="CMU Serif" w:hAnsi="CMU Serif" w:cs="CMU Serif"/>
          <w:lang w:val="en-ZA"/>
        </w:rPr>
        <w:t>is intuitive, as quantitative easing and purchases</w:t>
      </w:r>
      <w:r w:rsidR="00E97AC1" w:rsidRPr="00DD1225">
        <w:rPr>
          <w:rFonts w:ascii="CMU Serif" w:hAnsi="CMU Serif" w:cs="CMU Serif"/>
          <w:lang w:val="en-ZA"/>
        </w:rPr>
        <w:t xml:space="preserve"> of long-run bonds</w:t>
      </w:r>
      <w:r w:rsidR="00AE209A" w:rsidRPr="00DD1225">
        <w:rPr>
          <w:rFonts w:ascii="CMU Serif" w:hAnsi="CMU Serif" w:cs="CMU Serif"/>
          <w:lang w:val="en-ZA"/>
        </w:rPr>
        <w:t xml:space="preserve"> exert</w:t>
      </w:r>
      <w:r w:rsidR="00E97AC1" w:rsidRPr="00DD1225">
        <w:rPr>
          <w:rFonts w:ascii="CMU Serif" w:hAnsi="CMU Serif" w:cs="CMU Serif"/>
          <w:lang w:val="en-ZA"/>
        </w:rPr>
        <w:t xml:space="preserve"> downward pressure on yields, effectively flattening the </w:t>
      </w:r>
      <w:r w:rsidRPr="00DD1225">
        <w:rPr>
          <w:rFonts w:ascii="CMU Serif" w:hAnsi="CMU Serif" w:cs="CMU Serif"/>
          <w:lang w:val="en-ZA"/>
        </w:rPr>
        <w:t xml:space="preserve">yield </w:t>
      </w:r>
      <w:r w:rsidR="00E97AC1" w:rsidRPr="00DD1225">
        <w:rPr>
          <w:rFonts w:ascii="CMU Serif" w:hAnsi="CMU Serif" w:cs="CMU Serif"/>
          <w:lang w:val="en-ZA"/>
        </w:rPr>
        <w:t>curve</w:t>
      </w:r>
      <w:r w:rsidRPr="00DD1225">
        <w:rPr>
          <w:rFonts w:ascii="CMU Serif" w:hAnsi="CMU Serif" w:cs="CMU Serif"/>
          <w:lang w:val="en-ZA"/>
        </w:rPr>
        <w:t xml:space="preserve"> in the sovereign bond market</w:t>
      </w:r>
      <w:r w:rsidR="00E97AC1" w:rsidRPr="00DD1225">
        <w:rPr>
          <w:rFonts w:ascii="CMU Serif" w:hAnsi="CMU Serif" w:cs="CMU Serif"/>
          <w:lang w:val="en-ZA"/>
        </w:rPr>
        <w:t xml:space="preserve">. </w:t>
      </w:r>
      <w:r w:rsidRPr="00DD1225">
        <w:rPr>
          <w:rFonts w:ascii="CMU Serif" w:hAnsi="CMU Serif" w:cs="CMU Serif"/>
          <w:lang w:val="en-ZA"/>
        </w:rPr>
        <w:t xml:space="preserve">This finding agrees with the </w:t>
      </w:r>
      <w:r w:rsidR="0009365E" w:rsidRPr="00DD1225">
        <w:rPr>
          <w:rFonts w:ascii="CMU Serif" w:hAnsi="CMU Serif" w:cs="CMU Serif"/>
          <w:lang w:val="en-ZA"/>
        </w:rPr>
        <w:t>composite premium of multidimensional risk</w:t>
      </w:r>
      <w:r w:rsidRPr="00DD1225">
        <w:rPr>
          <w:rFonts w:ascii="CMU Serif" w:hAnsi="CMU Serif" w:cs="CMU Serif"/>
          <w:lang w:val="en-ZA"/>
        </w:rPr>
        <w:t xml:space="preserve">. </w:t>
      </w:r>
    </w:p>
    <w:p w14:paraId="791712E5" w14:textId="66EA4E7B" w:rsidR="006C0555" w:rsidRPr="00DD1225" w:rsidRDefault="002733F0" w:rsidP="006C0555">
      <w:pPr>
        <w:spacing w:after="0" w:line="360" w:lineRule="auto"/>
        <w:ind w:firstLine="708"/>
        <w:jc w:val="both"/>
        <w:rPr>
          <w:rFonts w:ascii="CMU Serif" w:hAnsi="CMU Serif" w:cs="CMU Serif"/>
          <w:lang w:val="en-ZA"/>
        </w:rPr>
      </w:pPr>
      <w:r w:rsidRPr="00DD1225">
        <w:rPr>
          <w:rFonts w:ascii="CMU Serif" w:hAnsi="CMU Serif" w:cs="CMU Serif"/>
          <w:lang w:val="en-ZA"/>
        </w:rPr>
        <w:t>Second</w:t>
      </w:r>
      <w:r w:rsidR="00E97AC1" w:rsidRPr="00DD1225">
        <w:rPr>
          <w:rFonts w:ascii="CMU Serif" w:hAnsi="CMU Serif" w:cs="CMU Serif"/>
          <w:lang w:val="en-ZA"/>
        </w:rPr>
        <w:t xml:space="preserve">, controlling for central bank policies also reveals the soothing effect of government economic policies. This may be interpreted as </w:t>
      </w:r>
      <w:r w:rsidR="003C5B03" w:rsidRPr="00DD1225">
        <w:rPr>
          <w:rFonts w:ascii="CMU Serif" w:hAnsi="CMU Serif" w:cs="CMU Serif"/>
          <w:lang w:val="en-ZA"/>
        </w:rPr>
        <w:t xml:space="preserve">a </w:t>
      </w:r>
      <w:r w:rsidR="00E97AC1" w:rsidRPr="00DD1225">
        <w:rPr>
          <w:rFonts w:ascii="CMU Serif" w:hAnsi="CMU Serif" w:cs="CMU Serif"/>
          <w:lang w:val="en-ZA"/>
        </w:rPr>
        <w:t>stabilizing impact of the economic interventions that alleviate the concerns about the economy's future state.</w:t>
      </w:r>
    </w:p>
    <w:bookmarkEnd w:id="4"/>
    <w:p w14:paraId="6D2472CD" w14:textId="38B2C6EF" w:rsidR="00527E68" w:rsidRPr="00DD1225" w:rsidRDefault="00AE209A" w:rsidP="00DD6EBE">
      <w:pPr>
        <w:spacing w:after="0" w:line="360" w:lineRule="auto"/>
        <w:ind w:firstLine="708"/>
        <w:jc w:val="both"/>
        <w:rPr>
          <w:rFonts w:ascii="CMU Serif" w:hAnsi="CMU Serif" w:cs="CMU Serif"/>
          <w:lang w:val="en-ZA"/>
        </w:rPr>
      </w:pPr>
      <w:r w:rsidRPr="00DD1225">
        <w:rPr>
          <w:rFonts w:ascii="CMU Serif" w:hAnsi="CMU Serif" w:cs="CMU Serif"/>
          <w:lang w:val="en-ZA"/>
        </w:rPr>
        <w:t>O</w:t>
      </w:r>
      <w:r w:rsidR="00871C34" w:rsidRPr="00DD1225">
        <w:rPr>
          <w:rFonts w:ascii="CMU Serif" w:hAnsi="CMU Serif" w:cs="CMU Serif"/>
          <w:lang w:val="en-ZA"/>
        </w:rPr>
        <w:t>ur findings</w:t>
      </w:r>
      <w:r w:rsidR="00F92AB6" w:rsidRPr="00DD1225">
        <w:rPr>
          <w:rFonts w:ascii="CMU Serif" w:hAnsi="CMU Serif" w:cs="CMU Serif"/>
          <w:lang w:val="en-ZA"/>
        </w:rPr>
        <w:t xml:space="preserve"> </w:t>
      </w:r>
      <w:r w:rsidR="00710747" w:rsidRPr="00DD1225">
        <w:rPr>
          <w:rFonts w:ascii="CMU Serif" w:hAnsi="CMU Serif" w:cs="CMU Serif"/>
          <w:lang w:val="en-ZA"/>
        </w:rPr>
        <w:t xml:space="preserve">are </w:t>
      </w:r>
      <w:r w:rsidR="00F92AB6" w:rsidRPr="00DD1225">
        <w:rPr>
          <w:rFonts w:ascii="CMU Serif" w:hAnsi="CMU Serif" w:cs="CMU Serif"/>
          <w:lang w:val="en-ZA"/>
        </w:rPr>
        <w:t>validated by</w:t>
      </w:r>
      <w:r w:rsidR="00871C34" w:rsidRPr="00DD1225">
        <w:rPr>
          <w:rFonts w:ascii="CMU Serif" w:hAnsi="CMU Serif" w:cs="CMU Serif"/>
          <w:lang w:val="en-ZA"/>
        </w:rPr>
        <w:t xml:space="preserve"> several </w:t>
      </w:r>
      <w:r w:rsidRPr="00DD1225">
        <w:rPr>
          <w:rFonts w:ascii="CMU Serif" w:hAnsi="CMU Serif" w:cs="CMU Serif"/>
          <w:lang w:val="en-ZA"/>
        </w:rPr>
        <w:t xml:space="preserve">robustness </w:t>
      </w:r>
      <w:r w:rsidR="00871C34" w:rsidRPr="00DD1225">
        <w:rPr>
          <w:rFonts w:ascii="CMU Serif" w:hAnsi="CMU Serif" w:cs="CMU Serif"/>
          <w:lang w:val="en-ZA"/>
        </w:rPr>
        <w:t xml:space="preserve">checks. First, we incorporate the </w:t>
      </w:r>
      <w:r w:rsidR="00632C86" w:rsidRPr="00DD1225">
        <w:rPr>
          <w:rFonts w:ascii="CMU Serif" w:hAnsi="CMU Serif" w:cs="CMU Serif"/>
          <w:lang w:val="en-ZA"/>
        </w:rPr>
        <w:t>difference</w:t>
      </w:r>
      <w:r w:rsidR="00871C34" w:rsidRPr="00DD1225">
        <w:rPr>
          <w:rFonts w:ascii="CMU Serif" w:hAnsi="CMU Serif" w:cs="CMU Serif"/>
          <w:lang w:val="en-ZA"/>
        </w:rPr>
        <w:t xml:space="preserve"> in deaths </w:t>
      </w:r>
      <w:r w:rsidR="006863C5" w:rsidRPr="00DD1225">
        <w:rPr>
          <w:rFonts w:ascii="CMU Serif" w:hAnsi="CMU Serif" w:cs="CMU Serif"/>
          <w:lang w:val="en-ZA"/>
        </w:rPr>
        <w:t>instead</w:t>
      </w:r>
      <w:r w:rsidR="004D3B1D" w:rsidRPr="00DD1225">
        <w:rPr>
          <w:rFonts w:ascii="CMU Serif" w:hAnsi="CMU Serif" w:cs="CMU Serif"/>
          <w:lang w:val="en-ZA"/>
        </w:rPr>
        <w:t xml:space="preserve"> of infections</w:t>
      </w:r>
      <w:r w:rsidR="00871C34" w:rsidRPr="00DD1225">
        <w:rPr>
          <w:rFonts w:ascii="CMU Serif" w:hAnsi="CMU Serif" w:cs="CMU Serif"/>
          <w:lang w:val="en-ZA"/>
        </w:rPr>
        <w:t xml:space="preserve">. Second, we experiment with bond maturities ranging from 2 to 30 years. Third, we </w:t>
      </w:r>
      <w:r w:rsidR="004D3B1D" w:rsidRPr="00DD1225">
        <w:rPr>
          <w:rFonts w:ascii="CMU Serif" w:hAnsi="CMU Serif" w:cs="CMU Serif"/>
          <w:lang w:val="en-ZA"/>
        </w:rPr>
        <w:t xml:space="preserve">employ </w:t>
      </w:r>
      <w:r w:rsidR="00871C34" w:rsidRPr="00DD1225">
        <w:rPr>
          <w:rFonts w:ascii="CMU Serif" w:hAnsi="CMU Serif" w:cs="CMU Serif"/>
          <w:lang w:val="en-ZA"/>
        </w:rPr>
        <w:t>fixed</w:t>
      </w:r>
      <w:r w:rsidR="004D3B1D" w:rsidRPr="00DD1225">
        <w:rPr>
          <w:rFonts w:ascii="CMU Serif" w:hAnsi="CMU Serif" w:cs="CMU Serif"/>
          <w:lang w:val="en-ZA"/>
        </w:rPr>
        <w:t xml:space="preserve"> </w:t>
      </w:r>
      <w:r w:rsidR="00871C34" w:rsidRPr="00DD1225">
        <w:rPr>
          <w:rFonts w:ascii="CMU Serif" w:hAnsi="CMU Serif" w:cs="CMU Serif"/>
          <w:lang w:val="en-ZA"/>
        </w:rPr>
        <w:t>effects and pooled</w:t>
      </w:r>
      <w:r w:rsidR="004D3B1D" w:rsidRPr="00DD1225">
        <w:rPr>
          <w:rFonts w:ascii="CMU Serif" w:hAnsi="CMU Serif" w:cs="CMU Serif"/>
          <w:lang w:val="en-ZA"/>
        </w:rPr>
        <w:t xml:space="preserve"> </w:t>
      </w:r>
      <w:r w:rsidR="00764F65" w:rsidRPr="00DD1225">
        <w:rPr>
          <w:rFonts w:ascii="CMU Serif" w:hAnsi="CMU Serif" w:cs="CMU Serif"/>
          <w:lang w:val="en-ZA"/>
        </w:rPr>
        <w:t xml:space="preserve">OLS </w:t>
      </w:r>
      <w:r w:rsidR="004D3B1D" w:rsidRPr="00DD1225">
        <w:rPr>
          <w:rFonts w:ascii="CMU Serif" w:hAnsi="CMU Serif" w:cs="CMU Serif"/>
          <w:lang w:val="en-ZA"/>
        </w:rPr>
        <w:t>as alternative estimation methods</w:t>
      </w:r>
      <w:r w:rsidR="00871C34" w:rsidRPr="00DD1225">
        <w:rPr>
          <w:rFonts w:ascii="CMU Serif" w:hAnsi="CMU Serif" w:cs="CMU Serif"/>
          <w:lang w:val="en-ZA"/>
        </w:rPr>
        <w:t xml:space="preserve">. None of these </w:t>
      </w:r>
      <w:r w:rsidR="001847B5" w:rsidRPr="00DD1225">
        <w:rPr>
          <w:rFonts w:ascii="CMU Serif" w:hAnsi="CMU Serif" w:cs="CMU Serif"/>
          <w:lang w:val="en-ZA"/>
        </w:rPr>
        <w:t xml:space="preserve">robustness checks </w:t>
      </w:r>
      <w:r w:rsidR="00871C34" w:rsidRPr="00DD1225">
        <w:rPr>
          <w:rFonts w:ascii="CMU Serif" w:hAnsi="CMU Serif" w:cs="CMU Serif"/>
          <w:lang w:val="en-ZA"/>
        </w:rPr>
        <w:t xml:space="preserve">qualitatively affects our overall conclusions. For brevity, </w:t>
      </w:r>
      <w:r w:rsidR="00235146" w:rsidRPr="00DD1225">
        <w:rPr>
          <w:rFonts w:ascii="CMU Serif" w:hAnsi="CMU Serif" w:cs="CMU Serif"/>
          <w:lang w:val="en-ZA"/>
        </w:rPr>
        <w:t xml:space="preserve">we do not report </w:t>
      </w:r>
      <w:r w:rsidR="00DD6EBE" w:rsidRPr="00DD1225">
        <w:rPr>
          <w:rFonts w:ascii="CMU Serif" w:hAnsi="CMU Serif" w:cs="CMU Serif"/>
          <w:lang w:val="en-ZA"/>
        </w:rPr>
        <w:t>the results</w:t>
      </w:r>
      <w:r w:rsidR="001847B5" w:rsidRPr="00DD1225">
        <w:rPr>
          <w:rFonts w:ascii="CMU Serif" w:hAnsi="CMU Serif" w:cs="CMU Serif"/>
          <w:lang w:val="en-ZA"/>
        </w:rPr>
        <w:t xml:space="preserve">, </w:t>
      </w:r>
      <w:r w:rsidR="00DD6EBE" w:rsidRPr="00DD1225">
        <w:rPr>
          <w:rFonts w:ascii="CMU Serif" w:hAnsi="CMU Serif" w:cs="CMU Serif"/>
          <w:lang w:val="en-ZA"/>
        </w:rPr>
        <w:t>which</w:t>
      </w:r>
      <w:r w:rsidR="001847B5" w:rsidRPr="00DD1225">
        <w:rPr>
          <w:rFonts w:ascii="CMU Serif" w:hAnsi="CMU Serif" w:cs="CMU Serif"/>
          <w:lang w:val="en-ZA"/>
        </w:rPr>
        <w:t xml:space="preserve"> </w:t>
      </w:r>
      <w:r w:rsidR="00235146" w:rsidRPr="00DD1225">
        <w:rPr>
          <w:rFonts w:ascii="CMU Serif" w:hAnsi="CMU Serif" w:cs="CMU Serif"/>
          <w:lang w:val="en-ZA"/>
        </w:rPr>
        <w:t>a</w:t>
      </w:r>
      <w:r w:rsidR="00871C34" w:rsidRPr="00DD1225">
        <w:rPr>
          <w:rFonts w:ascii="CMU Serif" w:hAnsi="CMU Serif" w:cs="CMU Serif"/>
          <w:lang w:val="en-ZA"/>
        </w:rPr>
        <w:t>re available upon request.</w:t>
      </w:r>
    </w:p>
    <w:p w14:paraId="5FB85FE8" w14:textId="77777777" w:rsidR="009E2E86" w:rsidRPr="00DD1225" w:rsidRDefault="009E2E86" w:rsidP="00235146">
      <w:pPr>
        <w:spacing w:after="0" w:line="360" w:lineRule="auto"/>
        <w:jc w:val="center"/>
        <w:rPr>
          <w:rFonts w:ascii="CMU Serif" w:hAnsi="CMU Serif" w:cs="CMU Serif"/>
          <w:b/>
          <w:lang w:val="en-ZA"/>
        </w:rPr>
      </w:pPr>
    </w:p>
    <w:p w14:paraId="31849F28" w14:textId="172ACAF2" w:rsidR="00235146" w:rsidRPr="00DD1225" w:rsidRDefault="00AE209A" w:rsidP="00235146">
      <w:pPr>
        <w:spacing w:after="0" w:line="360" w:lineRule="auto"/>
        <w:jc w:val="center"/>
        <w:rPr>
          <w:rFonts w:ascii="CMU Serif" w:hAnsi="CMU Serif" w:cs="CMU Serif"/>
          <w:b/>
          <w:lang w:val="en-ZA"/>
        </w:rPr>
      </w:pPr>
      <w:r w:rsidRPr="00DD1225">
        <w:rPr>
          <w:rFonts w:ascii="CMU Serif" w:hAnsi="CMU Serif" w:cs="CMU Serif"/>
          <w:b/>
          <w:lang w:val="en-ZA"/>
        </w:rPr>
        <w:t xml:space="preserve">4. </w:t>
      </w:r>
      <w:r w:rsidR="00AB0652" w:rsidRPr="00DD1225">
        <w:rPr>
          <w:rFonts w:ascii="CMU Serif" w:hAnsi="CMU Serif" w:cs="CMU Serif"/>
          <w:b/>
          <w:lang w:val="en-ZA"/>
        </w:rPr>
        <w:t>Concluding Remarks</w:t>
      </w:r>
    </w:p>
    <w:p w14:paraId="47DA880A" w14:textId="065043FC" w:rsidR="003B4C39" w:rsidRPr="00DD1225" w:rsidRDefault="00AE209A">
      <w:pPr>
        <w:spacing w:after="0" w:line="360" w:lineRule="auto"/>
        <w:ind w:firstLine="709"/>
        <w:jc w:val="both"/>
        <w:rPr>
          <w:rFonts w:ascii="CMU Serif" w:hAnsi="CMU Serif" w:cs="CMU Serif"/>
          <w:lang w:val="en-ZA"/>
        </w:rPr>
      </w:pPr>
      <w:r w:rsidRPr="00DD1225">
        <w:rPr>
          <w:rFonts w:ascii="CMU Serif" w:hAnsi="CMU Serif" w:cs="CMU Serif"/>
          <w:lang w:val="en-ZA"/>
        </w:rPr>
        <w:t>We study</w:t>
      </w:r>
      <w:r w:rsidR="00871C34" w:rsidRPr="00DD1225">
        <w:rPr>
          <w:rFonts w:ascii="CMU Serif" w:hAnsi="CMU Serif" w:cs="CMU Serif"/>
          <w:lang w:val="en-ZA"/>
        </w:rPr>
        <w:t xml:space="preserve"> the impact of COVID-19 on the </w:t>
      </w:r>
      <w:r w:rsidR="006863C5" w:rsidRPr="00DD1225">
        <w:rPr>
          <w:rFonts w:ascii="CMU Serif" w:hAnsi="CMU Serif" w:cs="CMU Serif"/>
          <w:lang w:val="en-ZA"/>
        </w:rPr>
        <w:t xml:space="preserve">sovereign bond yield </w:t>
      </w:r>
      <w:r w:rsidR="001847B5" w:rsidRPr="00DD1225">
        <w:rPr>
          <w:rFonts w:ascii="CMU Serif" w:hAnsi="CMU Serif" w:cs="CMU Serif"/>
          <w:lang w:val="en-ZA"/>
        </w:rPr>
        <w:t>spread</w:t>
      </w:r>
      <w:r w:rsidR="006863C5" w:rsidRPr="00DD1225">
        <w:rPr>
          <w:rFonts w:ascii="CMU Serif" w:hAnsi="CMU Serif" w:cs="CMU Serif"/>
          <w:lang w:val="en-ZA"/>
        </w:rPr>
        <w:t>s</w:t>
      </w:r>
      <w:r w:rsidR="001847B5" w:rsidRPr="00DD1225">
        <w:rPr>
          <w:rFonts w:ascii="CMU Serif" w:hAnsi="CMU Serif" w:cs="CMU Serif"/>
          <w:lang w:val="en-ZA"/>
        </w:rPr>
        <w:t xml:space="preserve"> </w:t>
      </w:r>
      <w:r w:rsidR="00871C34" w:rsidRPr="00DD1225">
        <w:rPr>
          <w:rFonts w:ascii="CMU Serif" w:hAnsi="CMU Serif" w:cs="CMU Serif"/>
          <w:lang w:val="en-ZA"/>
        </w:rPr>
        <w:t xml:space="preserve">around the world. We demonstrate that the </w:t>
      </w:r>
      <w:r w:rsidR="001847B5" w:rsidRPr="00DD1225">
        <w:rPr>
          <w:rFonts w:ascii="CMU Serif" w:hAnsi="CMU Serif" w:cs="CMU Serif"/>
          <w:lang w:val="en-ZA"/>
        </w:rPr>
        <w:t xml:space="preserve">change in the number </w:t>
      </w:r>
      <w:r w:rsidR="00871C34" w:rsidRPr="00DD1225">
        <w:rPr>
          <w:rFonts w:ascii="CMU Serif" w:hAnsi="CMU Serif" w:cs="CMU Serif"/>
          <w:lang w:val="en-ZA"/>
        </w:rPr>
        <w:t xml:space="preserve">of infections widens </w:t>
      </w:r>
      <w:r w:rsidR="0089635A" w:rsidRPr="00DD1225">
        <w:rPr>
          <w:rFonts w:ascii="CMU Serif" w:hAnsi="CMU Serif" w:cs="CMU Serif"/>
          <w:lang w:val="en-ZA"/>
        </w:rPr>
        <w:t>the</w:t>
      </w:r>
      <w:r w:rsidR="00871C34" w:rsidRPr="00DD1225">
        <w:rPr>
          <w:rFonts w:ascii="CMU Serif" w:hAnsi="CMU Serif" w:cs="CMU Serif"/>
          <w:lang w:val="en-ZA"/>
        </w:rPr>
        <w:t xml:space="preserve"> spread. </w:t>
      </w:r>
      <w:r w:rsidR="001847B5" w:rsidRPr="00DD1225">
        <w:rPr>
          <w:rFonts w:ascii="CMU Serif" w:hAnsi="CMU Serif" w:cs="CMU Serif"/>
          <w:lang w:val="en-ZA"/>
        </w:rPr>
        <w:t>Moreover</w:t>
      </w:r>
      <w:r w:rsidR="00871C34" w:rsidRPr="00DD1225">
        <w:rPr>
          <w:rFonts w:ascii="CMU Serif" w:hAnsi="CMU Serif" w:cs="CMU Serif"/>
          <w:lang w:val="en-ZA"/>
        </w:rPr>
        <w:t xml:space="preserve">, the government responses to </w:t>
      </w:r>
      <w:r w:rsidR="001D5C63" w:rsidRPr="00DD1225">
        <w:rPr>
          <w:rFonts w:ascii="CMU Serif" w:hAnsi="CMU Serif" w:cs="CMU Serif"/>
          <w:lang w:val="en-ZA"/>
        </w:rPr>
        <w:t>COVID-19</w:t>
      </w:r>
      <w:r w:rsidR="00871C34" w:rsidRPr="00DD1225">
        <w:rPr>
          <w:rFonts w:ascii="CMU Serif" w:hAnsi="CMU Serif" w:cs="CMU Serif"/>
          <w:lang w:val="en-ZA"/>
        </w:rPr>
        <w:t xml:space="preserve"> do not materially influence the </w:t>
      </w:r>
      <w:r w:rsidR="00701375" w:rsidRPr="00DD1225">
        <w:rPr>
          <w:rFonts w:ascii="CMU Serif" w:hAnsi="CMU Serif" w:cs="CMU Serif"/>
          <w:lang w:val="en-ZA"/>
        </w:rPr>
        <w:t>spreads</w:t>
      </w:r>
      <w:r w:rsidR="00871C34" w:rsidRPr="00DD1225">
        <w:rPr>
          <w:rFonts w:ascii="CMU Serif" w:hAnsi="CMU Serif" w:cs="CMU Serif"/>
          <w:lang w:val="en-ZA"/>
        </w:rPr>
        <w:t>.</w:t>
      </w:r>
      <w:r w:rsidR="00243D7E" w:rsidRPr="00DD1225">
        <w:rPr>
          <w:rFonts w:ascii="CMU Serif" w:hAnsi="CMU Serif" w:cs="CMU Serif"/>
          <w:lang w:val="en-ZA"/>
        </w:rPr>
        <w:t xml:space="preserve"> </w:t>
      </w:r>
    </w:p>
    <w:p w14:paraId="504CC601" w14:textId="181A5725" w:rsidR="00243D7E" w:rsidRPr="00DD1225" w:rsidRDefault="00AE209A">
      <w:pPr>
        <w:spacing w:after="0" w:line="360" w:lineRule="auto"/>
        <w:ind w:firstLine="709"/>
        <w:jc w:val="both"/>
        <w:rPr>
          <w:rFonts w:ascii="CMU Serif" w:hAnsi="CMU Serif" w:cs="CMU Serif"/>
          <w:lang w:val="en-ZA"/>
        </w:rPr>
      </w:pPr>
      <w:bookmarkStart w:id="5" w:name="_Hlk61340933"/>
      <w:r w:rsidRPr="00DD1225">
        <w:rPr>
          <w:rFonts w:ascii="CMU Serif" w:hAnsi="CMU Serif" w:cs="CMU Serif"/>
          <w:lang w:val="en-ZA"/>
        </w:rPr>
        <w:t>Our conclusions are consistent with the</w:t>
      </w:r>
      <w:r w:rsidR="00A541B6" w:rsidRPr="00DD1225">
        <w:rPr>
          <w:rFonts w:ascii="CMU Serif" w:hAnsi="CMU Serif" w:cs="CMU Serif"/>
          <w:lang w:val="en-ZA"/>
        </w:rPr>
        <w:t xml:space="preserve"> composite premium </w:t>
      </w:r>
      <w:r w:rsidR="0009365E" w:rsidRPr="00DD1225">
        <w:rPr>
          <w:rFonts w:ascii="CMU Serif" w:hAnsi="CMU Serif" w:cs="CMU Serif"/>
          <w:lang w:val="en-ZA"/>
        </w:rPr>
        <w:t>of multidimensional risk</w:t>
      </w:r>
      <w:r w:rsidR="00A541B6" w:rsidRPr="00DD1225">
        <w:rPr>
          <w:rFonts w:ascii="CMU Serif" w:hAnsi="CMU Serif" w:cs="CMU Serif"/>
          <w:lang w:val="en-ZA"/>
        </w:rPr>
        <w:t>, which impl</w:t>
      </w:r>
      <w:r w:rsidR="0009365E" w:rsidRPr="00DD1225">
        <w:rPr>
          <w:rFonts w:ascii="CMU Serif" w:hAnsi="CMU Serif" w:cs="CMU Serif"/>
          <w:lang w:val="en-ZA"/>
        </w:rPr>
        <w:t>ies</w:t>
      </w:r>
      <w:r w:rsidR="00A541B6" w:rsidRPr="00DD1225">
        <w:rPr>
          <w:rFonts w:ascii="CMU Serif" w:hAnsi="CMU Serif" w:cs="CMU Serif"/>
          <w:lang w:val="en-ZA"/>
        </w:rPr>
        <w:t xml:space="preserve"> that the term premium should increase in response to changes in the reported COVID-19 infections through higher perceived levels of the risk and uncertainty of investments in the sovereign bond market. </w:t>
      </w:r>
      <w:r w:rsidRPr="00DD1225">
        <w:rPr>
          <w:rFonts w:ascii="CMU Serif" w:hAnsi="CMU Serif" w:cs="CMU Serif"/>
          <w:lang w:val="en-ZA"/>
        </w:rPr>
        <w:t>The</w:t>
      </w:r>
      <w:r w:rsidR="00A541B6" w:rsidRPr="00DD1225">
        <w:rPr>
          <w:rFonts w:ascii="CMU Serif" w:hAnsi="CMU Serif" w:cs="CMU Serif"/>
          <w:lang w:val="en-ZA"/>
        </w:rPr>
        <w:t xml:space="preserve"> balance of</w:t>
      </w:r>
      <w:r w:rsidRPr="00DD1225">
        <w:rPr>
          <w:rFonts w:ascii="CMU Serif" w:hAnsi="CMU Serif" w:cs="CMU Serif"/>
          <w:lang w:val="en-ZA"/>
        </w:rPr>
        <w:t xml:space="preserve"> demand and supply forces le</w:t>
      </w:r>
      <w:r w:rsidR="00A541B6" w:rsidRPr="00DD1225">
        <w:rPr>
          <w:rFonts w:ascii="CMU Serif" w:hAnsi="CMU Serif" w:cs="CMU Serif"/>
          <w:lang w:val="en-ZA"/>
        </w:rPr>
        <w:t>a</w:t>
      </w:r>
      <w:r w:rsidRPr="00DD1225">
        <w:rPr>
          <w:rFonts w:ascii="CMU Serif" w:hAnsi="CMU Serif" w:cs="CMU Serif"/>
          <w:lang w:val="en-ZA"/>
        </w:rPr>
        <w:t>d</w:t>
      </w:r>
      <w:r w:rsidR="00A541B6" w:rsidRPr="00DD1225">
        <w:rPr>
          <w:rFonts w:ascii="CMU Serif" w:hAnsi="CMU Serif" w:cs="CMU Serif"/>
          <w:lang w:val="en-ZA"/>
        </w:rPr>
        <w:t>s</w:t>
      </w:r>
      <w:r w:rsidRPr="00DD1225">
        <w:rPr>
          <w:rFonts w:ascii="CMU Serif" w:hAnsi="CMU Serif" w:cs="CMU Serif"/>
          <w:lang w:val="en-ZA"/>
        </w:rPr>
        <w:t xml:space="preserve"> to an increase of the term spread</w:t>
      </w:r>
      <w:r w:rsidR="0009365E" w:rsidRPr="00DD1225">
        <w:rPr>
          <w:rFonts w:ascii="CMU Serif" w:hAnsi="CMU Serif" w:cs="CMU Serif"/>
          <w:lang w:val="en-ZA"/>
        </w:rPr>
        <w:t>, which makes the yield curve steeper</w:t>
      </w:r>
      <w:r w:rsidRPr="00DD1225">
        <w:rPr>
          <w:rFonts w:ascii="CMU Serif" w:hAnsi="CMU Serif" w:cs="CMU Serif"/>
          <w:lang w:val="en-ZA"/>
        </w:rPr>
        <w:t xml:space="preserve">. Furthermore, </w:t>
      </w:r>
      <w:r w:rsidR="00A541B6" w:rsidRPr="00DD1225">
        <w:rPr>
          <w:rFonts w:ascii="CMU Serif" w:hAnsi="CMU Serif" w:cs="CMU Serif"/>
          <w:lang w:val="en-ZA"/>
        </w:rPr>
        <w:t>our findings do not lend support to the behavioural perspective, which predicts a negative effect term premium effect of COVID-19 infections.</w:t>
      </w:r>
      <w:r w:rsidRPr="00DD1225">
        <w:rPr>
          <w:rFonts w:ascii="CMU Serif" w:hAnsi="CMU Serif" w:cs="CMU Serif"/>
          <w:lang w:val="en-ZA"/>
        </w:rPr>
        <w:t xml:space="preserve"> </w:t>
      </w:r>
      <w:r w:rsidR="00A541B6" w:rsidRPr="00DD1225">
        <w:rPr>
          <w:rFonts w:ascii="CMU Serif" w:hAnsi="CMU Serif" w:cs="CMU Serif"/>
          <w:lang w:val="en-ZA"/>
        </w:rPr>
        <w:t>We also find that an increase in the relative rate of change in the central bank balance sheet total assets exerts a negative effect on the term spread.</w:t>
      </w:r>
    </w:p>
    <w:bookmarkEnd w:id="5"/>
    <w:p w14:paraId="3049D056" w14:textId="0B6A3BBD" w:rsidR="00625D6F" w:rsidRPr="00DD1225" w:rsidRDefault="00AE209A" w:rsidP="00DD1D53">
      <w:pPr>
        <w:spacing w:after="0" w:line="360" w:lineRule="auto"/>
        <w:ind w:firstLine="709"/>
        <w:jc w:val="both"/>
        <w:rPr>
          <w:rFonts w:ascii="CMU Serif" w:hAnsi="CMU Serif" w:cs="CMU Serif"/>
          <w:lang w:val="en-ZA"/>
        </w:rPr>
      </w:pPr>
      <w:r w:rsidRPr="00DD1225">
        <w:rPr>
          <w:rFonts w:ascii="CMU Serif" w:hAnsi="CMU Serif" w:cs="CMU Serif"/>
          <w:lang w:val="en-ZA"/>
        </w:rPr>
        <w:t>Our findings</w:t>
      </w:r>
      <w:r w:rsidR="00871C34" w:rsidRPr="00DD1225">
        <w:rPr>
          <w:rFonts w:ascii="CMU Serif" w:hAnsi="CMU Serif" w:cs="CMU Serif"/>
          <w:lang w:val="en-ZA"/>
        </w:rPr>
        <w:t xml:space="preserve"> matter </w:t>
      </w:r>
      <w:r w:rsidR="00632C86" w:rsidRPr="00DD1225">
        <w:rPr>
          <w:rFonts w:ascii="CMU Serif" w:hAnsi="CMU Serif" w:cs="CMU Serif"/>
          <w:lang w:val="en-ZA"/>
        </w:rPr>
        <w:t>for</w:t>
      </w:r>
      <w:r w:rsidR="00871C34" w:rsidRPr="00DD1225">
        <w:rPr>
          <w:rFonts w:ascii="CMU Serif" w:hAnsi="CMU Serif" w:cs="CMU Serif"/>
          <w:lang w:val="en-ZA"/>
        </w:rPr>
        <w:t xml:space="preserve"> fixed-income investors with an international mandate. Specifically, we provide insights into risk</w:t>
      </w:r>
      <w:r w:rsidR="00F73FBB" w:rsidRPr="00DD1225">
        <w:rPr>
          <w:rFonts w:ascii="CMU Serif" w:hAnsi="CMU Serif" w:cs="CMU Serif"/>
          <w:lang w:val="en-ZA"/>
        </w:rPr>
        <w:t>s</w:t>
      </w:r>
      <w:r w:rsidR="00871C34" w:rsidRPr="00DD1225">
        <w:rPr>
          <w:rFonts w:ascii="CMU Serif" w:hAnsi="CMU Serif" w:cs="CMU Serif"/>
          <w:lang w:val="en-ZA"/>
        </w:rPr>
        <w:t xml:space="preserve"> and opportunities arising from COVID-19. Also, our</w:t>
      </w:r>
      <w:r w:rsidR="0089635A" w:rsidRPr="00DD1225">
        <w:rPr>
          <w:rFonts w:ascii="CMU Serif" w:hAnsi="CMU Serif" w:cs="CMU Serif"/>
          <w:lang w:val="en-ZA"/>
        </w:rPr>
        <w:t xml:space="preserve"> </w:t>
      </w:r>
      <w:r w:rsidR="00871C34" w:rsidRPr="00DD1225">
        <w:rPr>
          <w:rFonts w:ascii="CMU Serif" w:hAnsi="CMU Serif" w:cs="CMU Serif"/>
          <w:lang w:val="en-ZA"/>
        </w:rPr>
        <w:t xml:space="preserve">results bear policy implications. Policy-makers should undertake stringent actions to curb the spread of the disease. </w:t>
      </w:r>
      <w:r w:rsidR="00505D2C" w:rsidRPr="00DD1225">
        <w:rPr>
          <w:rFonts w:ascii="CMU Serif" w:hAnsi="CMU Serif" w:cs="CMU Serif"/>
          <w:lang w:val="en-ZA"/>
        </w:rPr>
        <w:t xml:space="preserve">While these actions do not generally affect </w:t>
      </w:r>
      <w:r w:rsidR="001D5C63" w:rsidRPr="00DD1225">
        <w:rPr>
          <w:rFonts w:ascii="CMU Serif" w:hAnsi="CMU Serif" w:cs="CMU Serif"/>
          <w:lang w:val="en-ZA"/>
        </w:rPr>
        <w:t>the spreads</w:t>
      </w:r>
      <w:r w:rsidR="00505D2C" w:rsidRPr="00DD1225">
        <w:rPr>
          <w:rFonts w:ascii="CMU Serif" w:hAnsi="CMU Serif" w:cs="CMU Serif"/>
          <w:lang w:val="en-ZA"/>
        </w:rPr>
        <w:t xml:space="preserve">, </w:t>
      </w:r>
      <w:r w:rsidR="00F93831" w:rsidRPr="00DD1225">
        <w:rPr>
          <w:rFonts w:ascii="CMU Serif" w:hAnsi="CMU Serif" w:cs="CMU Serif"/>
          <w:lang w:val="en-ZA"/>
        </w:rPr>
        <w:t>an</w:t>
      </w:r>
      <w:r w:rsidR="00505D2C" w:rsidRPr="00DD1225">
        <w:rPr>
          <w:rFonts w:ascii="CMU Serif" w:hAnsi="CMU Serif" w:cs="CMU Serif"/>
          <w:lang w:val="en-ZA"/>
        </w:rPr>
        <w:t xml:space="preserve"> uncontrolled pandemic may translate into higher debt financing costs</w:t>
      </w:r>
      <w:r w:rsidR="00DD1D53" w:rsidRPr="00DD1225">
        <w:rPr>
          <w:rFonts w:ascii="CMU Serif" w:hAnsi="CMU Serif" w:cs="CMU Serif"/>
          <w:lang w:val="en-ZA"/>
        </w:rPr>
        <w:t>.</w:t>
      </w:r>
    </w:p>
    <w:p w14:paraId="2F5A2218" w14:textId="2C4DB2EC" w:rsidR="00DD1D53" w:rsidRPr="00DD1225" w:rsidRDefault="00DD1D53" w:rsidP="00C657F3">
      <w:pPr>
        <w:spacing w:after="0" w:line="360" w:lineRule="auto"/>
        <w:ind w:firstLine="709"/>
        <w:jc w:val="both"/>
        <w:rPr>
          <w:rFonts w:ascii="CMU Serif" w:hAnsi="CMU Serif" w:cs="CMU Serif"/>
          <w:lang w:val="en-ZA"/>
        </w:rPr>
        <w:sectPr w:rsidR="00DD1D53" w:rsidRPr="00DD1225" w:rsidSect="009E2E86">
          <w:footerReference w:type="default" r:id="rId9"/>
          <w:pgSz w:w="11906" w:h="16838"/>
          <w:pgMar w:top="1417" w:right="1417" w:bottom="1417" w:left="1417" w:header="708" w:footer="708" w:gutter="0"/>
          <w:lnNumType w:countBy="1" w:restart="continuous"/>
          <w:cols w:space="708"/>
          <w:docGrid w:linePitch="360"/>
        </w:sectPr>
      </w:pPr>
      <w:bookmarkStart w:id="6" w:name="_Hlk66050990"/>
      <w:r w:rsidRPr="00DD1225">
        <w:rPr>
          <w:rFonts w:ascii="CMU Serif" w:hAnsi="CMU Serif" w:cs="CMU Serif"/>
          <w:lang w:val="en-ZA"/>
        </w:rPr>
        <w:t>Future studies on the topics discussed</w:t>
      </w:r>
      <w:r w:rsidR="00C657F3" w:rsidRPr="00DD1225">
        <w:rPr>
          <w:rFonts w:ascii="CMU Serif" w:hAnsi="CMU Serif" w:cs="CMU Serif"/>
          <w:lang w:val="en-ZA"/>
        </w:rPr>
        <w:t xml:space="preserve"> could be extended to new developments </w:t>
      </w:r>
      <w:r w:rsidR="00DD02CD" w:rsidRPr="00DD1225">
        <w:rPr>
          <w:rFonts w:ascii="CMU Serif" w:hAnsi="CMU Serif" w:cs="CMU Serif"/>
          <w:lang w:val="en-ZA"/>
        </w:rPr>
        <w:t>affecting the global pandemic and potentially the bond market. Consideration of the emergence of the vaccines, new coronavirus strains, novel policies, and fresher data could provide further valuable insights.</w:t>
      </w:r>
    </w:p>
    <w:bookmarkEnd w:id="6"/>
    <w:p w14:paraId="2FDABCAD" w14:textId="77777777" w:rsidR="00CF34D9" w:rsidRPr="00DD1225" w:rsidRDefault="00AE209A" w:rsidP="00CF34D9">
      <w:pPr>
        <w:spacing w:line="240" w:lineRule="auto"/>
        <w:ind w:left="567" w:hanging="567"/>
        <w:jc w:val="center"/>
        <w:rPr>
          <w:rFonts w:ascii="CMU Serif" w:hAnsi="CMU Serif" w:cs="CMU Serif"/>
          <w:b/>
          <w:lang w:val="en-ZA"/>
        </w:rPr>
      </w:pPr>
      <w:r w:rsidRPr="00DD1225">
        <w:rPr>
          <w:rFonts w:ascii="CMU Serif" w:hAnsi="CMU Serif" w:cs="CMU Serif"/>
          <w:b/>
          <w:lang w:val="en-ZA"/>
        </w:rPr>
        <w:t>References</w:t>
      </w:r>
    </w:p>
    <w:p w14:paraId="254BAACC" w14:textId="618543CF" w:rsidR="009E2E86" w:rsidRPr="00DD1225" w:rsidRDefault="00AE209A" w:rsidP="00FF6069">
      <w:pPr>
        <w:spacing w:after="0" w:line="240" w:lineRule="auto"/>
        <w:ind w:left="567" w:hanging="567"/>
        <w:jc w:val="both"/>
        <w:rPr>
          <w:rFonts w:ascii="CMU Serif" w:hAnsi="CMU Serif" w:cs="CMU Serif"/>
          <w:lang w:val="en-US"/>
        </w:rPr>
      </w:pPr>
      <w:bookmarkStart w:id="7" w:name="_Hlk61870473"/>
      <w:r w:rsidRPr="00DD1225">
        <w:rPr>
          <w:rFonts w:ascii="CMU Serif" w:hAnsi="CMU Serif" w:cs="CMU Serif"/>
          <w:lang w:val="en-US"/>
        </w:rPr>
        <w:t xml:space="preserve">Agnew, J. R., and L.R. </w:t>
      </w:r>
      <w:proofErr w:type="spellStart"/>
      <w:r w:rsidRPr="00DD1225">
        <w:rPr>
          <w:rFonts w:ascii="CMU Serif" w:hAnsi="CMU Serif" w:cs="CMU Serif"/>
          <w:lang w:val="en-US"/>
        </w:rPr>
        <w:t>Szykman</w:t>
      </w:r>
      <w:proofErr w:type="spellEnd"/>
      <w:r w:rsidRPr="00DD1225">
        <w:rPr>
          <w:rFonts w:ascii="CMU Serif" w:hAnsi="CMU Serif" w:cs="CMU Serif"/>
          <w:lang w:val="en-US"/>
        </w:rPr>
        <w:t xml:space="preserve">. 2005. </w:t>
      </w:r>
      <w:r w:rsidR="00DD02CD" w:rsidRPr="00DD1225">
        <w:rPr>
          <w:rFonts w:ascii="CMU Serif" w:hAnsi="CMU Serif" w:cs="CMU Serif"/>
          <w:lang w:val="en-US"/>
        </w:rPr>
        <w:t>"</w:t>
      </w:r>
      <w:r w:rsidRPr="00DD1225">
        <w:rPr>
          <w:rFonts w:ascii="CMU Serif" w:hAnsi="CMU Serif" w:cs="CMU Serif"/>
          <w:lang w:val="en-US"/>
        </w:rPr>
        <w:t>Asset Allocation and Information Overload: The Influence of Information Display, Asset Choice, and Investor Experience.</w:t>
      </w:r>
      <w:r w:rsidR="00DD02CD" w:rsidRPr="00DD1225">
        <w:rPr>
          <w:rFonts w:ascii="CMU Serif" w:hAnsi="CMU Serif" w:cs="CMU Serif"/>
          <w:lang w:val="en-US"/>
        </w:rPr>
        <w:t>"</w:t>
      </w:r>
      <w:r w:rsidRPr="00DD1225">
        <w:rPr>
          <w:rFonts w:ascii="CMU Serif" w:hAnsi="CMU Serif" w:cs="CMU Serif"/>
          <w:lang w:val="en-US"/>
        </w:rPr>
        <w:t xml:space="preserve"> </w:t>
      </w:r>
      <w:r w:rsidRPr="00DD1225">
        <w:rPr>
          <w:rFonts w:ascii="CMU Serif" w:hAnsi="CMU Serif" w:cs="CMU Serif"/>
          <w:i/>
          <w:lang w:val="en-US"/>
        </w:rPr>
        <w:t>Journal of Behavioral Finance</w:t>
      </w:r>
      <w:r w:rsidRPr="00DD1225">
        <w:rPr>
          <w:rFonts w:ascii="CMU Serif" w:hAnsi="CMU Serif" w:cs="CMU Serif"/>
          <w:lang w:val="en-US"/>
        </w:rPr>
        <w:t xml:space="preserve"> 6(2): 57-70.</w:t>
      </w:r>
      <w:r w:rsidRPr="00DD1225">
        <w:rPr>
          <w:rFonts w:ascii="Times New Roman" w:hAnsi="Times New Roman" w:cs="Times New Roman" w:hint="cs"/>
          <w:rtl/>
          <w:lang w:val="en-US"/>
        </w:rPr>
        <w:t>‏</w:t>
      </w:r>
    </w:p>
    <w:bookmarkEnd w:id="7"/>
    <w:p w14:paraId="62E40FAD" w14:textId="77777777" w:rsidR="009E2E86" w:rsidRPr="00DD1225" w:rsidRDefault="00AE209A" w:rsidP="009E2E86">
      <w:pPr>
        <w:spacing w:after="0" w:line="240" w:lineRule="auto"/>
        <w:ind w:left="567" w:hanging="567"/>
        <w:jc w:val="both"/>
        <w:rPr>
          <w:rFonts w:ascii="CMU Serif" w:hAnsi="CMU Serif" w:cs="CMU Serif"/>
          <w:lang w:val="en-ZA"/>
        </w:rPr>
      </w:pPr>
      <w:proofErr w:type="spellStart"/>
      <w:r w:rsidRPr="00DD1225">
        <w:rPr>
          <w:rFonts w:ascii="CMU Serif" w:hAnsi="CMU Serif" w:cs="CMU Serif"/>
          <w:lang w:val="en-ZA"/>
        </w:rPr>
        <w:t>Altig</w:t>
      </w:r>
      <w:proofErr w:type="spellEnd"/>
      <w:r w:rsidRPr="00DD1225">
        <w:rPr>
          <w:rFonts w:ascii="CMU Serif" w:hAnsi="CMU Serif" w:cs="CMU Serif"/>
          <w:lang w:val="en-ZA"/>
        </w:rPr>
        <w:t>, D., et al. 2020. "Economic Uncertainty Before and During the COVID-19 Pandemic." Journal of Public Economics 191 (2020): 104274.</w:t>
      </w:r>
    </w:p>
    <w:p w14:paraId="623A4932" w14:textId="3F09937E" w:rsidR="009E2E86" w:rsidRPr="00DD1225" w:rsidRDefault="00AE209A" w:rsidP="008D13BF">
      <w:pPr>
        <w:spacing w:after="0" w:line="240" w:lineRule="auto"/>
        <w:ind w:left="567" w:hanging="567"/>
        <w:jc w:val="both"/>
        <w:rPr>
          <w:rFonts w:ascii="CMU Serif" w:hAnsi="CMU Serif" w:cs="CMU Serif"/>
          <w:lang w:val="en-ZA"/>
        </w:rPr>
      </w:pPr>
      <w:r w:rsidRPr="00DD1225">
        <w:rPr>
          <w:rFonts w:ascii="CMU Serif" w:hAnsi="CMU Serif" w:cs="CMU Serif"/>
          <w:lang w:val="en-ZA"/>
        </w:rPr>
        <w:t xml:space="preserve">Ang, A., M. </w:t>
      </w:r>
      <w:proofErr w:type="spellStart"/>
      <w:r w:rsidRPr="00DD1225">
        <w:rPr>
          <w:rFonts w:ascii="CMU Serif" w:hAnsi="CMU Serif" w:cs="CMU Serif"/>
          <w:lang w:val="en-ZA"/>
        </w:rPr>
        <w:t>Piazzesi</w:t>
      </w:r>
      <w:proofErr w:type="spellEnd"/>
      <w:r w:rsidRPr="00DD1225">
        <w:rPr>
          <w:rFonts w:ascii="CMU Serif" w:hAnsi="CMU Serif" w:cs="CMU Serif"/>
          <w:lang w:val="en-ZA"/>
        </w:rPr>
        <w:t xml:space="preserve">, and M. Wei. 2006. </w:t>
      </w:r>
      <w:r w:rsidR="00DD02CD" w:rsidRPr="00DD1225">
        <w:rPr>
          <w:rFonts w:ascii="CMU Serif" w:hAnsi="CMU Serif" w:cs="CMU Serif"/>
          <w:lang w:val="en-ZA"/>
        </w:rPr>
        <w:t>"</w:t>
      </w:r>
      <w:r w:rsidRPr="00DD1225">
        <w:rPr>
          <w:rFonts w:ascii="CMU Serif" w:hAnsi="CMU Serif" w:cs="CMU Serif"/>
          <w:lang w:val="en-ZA"/>
        </w:rPr>
        <w:t>What Does the Yield Curve Tell Us about GDP Growth?</w:t>
      </w:r>
      <w:r w:rsidR="00DD02CD" w:rsidRPr="00DD1225">
        <w:rPr>
          <w:rFonts w:ascii="CMU Serif" w:hAnsi="CMU Serif" w:cs="CMU Serif"/>
          <w:lang w:val="en-ZA"/>
        </w:rPr>
        <w:t>"</w:t>
      </w:r>
      <w:r w:rsidRPr="00DD1225">
        <w:rPr>
          <w:rFonts w:ascii="CMU Serif" w:hAnsi="CMU Serif" w:cs="CMU Serif"/>
          <w:lang w:val="en-ZA"/>
        </w:rPr>
        <w:t xml:space="preserve"> </w:t>
      </w:r>
      <w:r w:rsidRPr="00DD1225">
        <w:rPr>
          <w:rFonts w:ascii="CMU Serif" w:hAnsi="CMU Serif" w:cs="CMU Serif"/>
          <w:i/>
          <w:lang w:val="en-ZA"/>
        </w:rPr>
        <w:t>Journal of Econometrics</w:t>
      </w:r>
      <w:r w:rsidRPr="00DD1225">
        <w:rPr>
          <w:rFonts w:ascii="CMU Serif" w:hAnsi="CMU Serif" w:cs="CMU Serif"/>
          <w:lang w:val="en-ZA"/>
        </w:rPr>
        <w:t xml:space="preserve"> 131 (1-2), 359–403. </w:t>
      </w:r>
    </w:p>
    <w:p w14:paraId="7116EBD6" w14:textId="77777777" w:rsidR="009E2E86" w:rsidRPr="00DD1225" w:rsidRDefault="00AE209A" w:rsidP="00573D96">
      <w:pPr>
        <w:spacing w:after="0" w:line="240" w:lineRule="auto"/>
        <w:ind w:left="567" w:hanging="567"/>
        <w:jc w:val="both"/>
        <w:rPr>
          <w:rFonts w:ascii="CMU Serif" w:hAnsi="CMU Serif" w:cs="CMU Serif"/>
          <w:lang w:val="en-ZA"/>
        </w:rPr>
      </w:pPr>
      <w:r w:rsidRPr="00DD1225">
        <w:rPr>
          <w:rFonts w:ascii="CMU Serif" w:hAnsi="CMU Serif" w:cs="CMU Serif"/>
          <w:lang w:val="en-ZA"/>
        </w:rPr>
        <w:t xml:space="preserve">Arellano, C., Y. Bai, and G.P. </w:t>
      </w:r>
      <w:proofErr w:type="spellStart"/>
      <w:r w:rsidRPr="00DD1225">
        <w:rPr>
          <w:rFonts w:ascii="CMU Serif" w:hAnsi="CMU Serif" w:cs="CMU Serif"/>
          <w:lang w:val="en-ZA"/>
        </w:rPr>
        <w:t>Mihalache</w:t>
      </w:r>
      <w:proofErr w:type="spellEnd"/>
      <w:r w:rsidRPr="00DD1225">
        <w:rPr>
          <w:rFonts w:ascii="CMU Serif" w:hAnsi="CMU Serif" w:cs="CMU Serif"/>
          <w:lang w:val="en-ZA"/>
        </w:rPr>
        <w:t>. 2020. "Deadly Debt Crises: COVID-19 in Emerging Markets." NBER Working Paper No. 27275.</w:t>
      </w:r>
    </w:p>
    <w:p w14:paraId="1762676E" w14:textId="4407C21F" w:rsidR="009E2E86" w:rsidRPr="00DD1225" w:rsidRDefault="00AE209A" w:rsidP="00CF34D9">
      <w:pPr>
        <w:spacing w:after="0" w:line="240" w:lineRule="auto"/>
        <w:ind w:left="567" w:hanging="567"/>
        <w:jc w:val="both"/>
        <w:rPr>
          <w:rFonts w:ascii="CMU Serif" w:hAnsi="CMU Serif" w:cs="CMU Serif"/>
          <w:lang w:val="en-ZA"/>
        </w:rPr>
      </w:pPr>
      <w:r w:rsidRPr="00DD1225">
        <w:rPr>
          <w:rFonts w:ascii="CMU Serif" w:hAnsi="CMU Serif" w:cs="CMU Serif"/>
          <w:lang w:val="en-ZA"/>
        </w:rPr>
        <w:t xml:space="preserve">Ashraf, B.N. 2020. </w:t>
      </w:r>
      <w:r w:rsidR="00DD02CD" w:rsidRPr="00DD1225">
        <w:rPr>
          <w:rFonts w:ascii="CMU Serif" w:hAnsi="CMU Serif" w:cs="CMU Serif"/>
          <w:lang w:val="en-ZA"/>
        </w:rPr>
        <w:t>"</w:t>
      </w:r>
      <w:r w:rsidRPr="00DD1225">
        <w:rPr>
          <w:rFonts w:ascii="CMU Serif" w:hAnsi="CMU Serif" w:cs="CMU Serif"/>
          <w:lang w:val="en-ZA"/>
        </w:rPr>
        <w:t>Stock Markets</w:t>
      </w:r>
      <w:r w:rsidR="00DD02CD" w:rsidRPr="00DD1225">
        <w:rPr>
          <w:rFonts w:ascii="CMU Serif" w:hAnsi="CMU Serif" w:cs="CMU Serif"/>
          <w:lang w:val="en-ZA"/>
        </w:rPr>
        <w:t>'</w:t>
      </w:r>
      <w:r w:rsidRPr="00DD1225">
        <w:rPr>
          <w:rFonts w:ascii="CMU Serif" w:hAnsi="CMU Serif" w:cs="CMU Serif"/>
          <w:lang w:val="en-ZA"/>
        </w:rPr>
        <w:t xml:space="preserve"> Reaction to COVID-19: Cases or Fatalities?</w:t>
      </w:r>
      <w:r w:rsidR="00DD02CD" w:rsidRPr="00DD1225">
        <w:rPr>
          <w:rFonts w:ascii="CMU Serif" w:hAnsi="CMU Serif" w:cs="CMU Serif"/>
          <w:lang w:val="en-ZA"/>
        </w:rPr>
        <w:t>"</w:t>
      </w:r>
      <w:r w:rsidRPr="00DD1225">
        <w:rPr>
          <w:rFonts w:ascii="CMU Serif" w:hAnsi="CMU Serif" w:cs="CMU Serif"/>
          <w:lang w:val="en-ZA"/>
        </w:rPr>
        <w:t xml:space="preserve"> </w:t>
      </w:r>
      <w:r w:rsidRPr="00DD1225">
        <w:rPr>
          <w:rFonts w:ascii="CMU Serif" w:hAnsi="CMU Serif" w:cs="CMU Serif"/>
          <w:i/>
          <w:lang w:val="en-ZA"/>
        </w:rPr>
        <w:t>Research in International Business and Finance</w:t>
      </w:r>
      <w:r w:rsidRPr="00DD1225">
        <w:rPr>
          <w:rFonts w:ascii="CMU Serif" w:hAnsi="CMU Serif" w:cs="CMU Serif"/>
          <w:lang w:val="en-ZA"/>
        </w:rPr>
        <w:t xml:space="preserve"> 54: 101249.</w:t>
      </w:r>
    </w:p>
    <w:p w14:paraId="3526B603" w14:textId="4795461F" w:rsidR="009E2E86" w:rsidRPr="00DD1225" w:rsidRDefault="00AE209A" w:rsidP="008D13BF">
      <w:pPr>
        <w:spacing w:after="0" w:line="240" w:lineRule="auto"/>
        <w:ind w:left="567" w:hanging="567"/>
        <w:jc w:val="both"/>
        <w:rPr>
          <w:rFonts w:ascii="CMU Serif" w:hAnsi="CMU Serif" w:cs="CMU Serif"/>
          <w:lang w:val="en-ZA"/>
        </w:rPr>
      </w:pPr>
      <w:r w:rsidRPr="00DD1225">
        <w:rPr>
          <w:rFonts w:ascii="CMU Serif" w:hAnsi="CMU Serif" w:cs="CMU Serif"/>
          <w:lang w:val="en-ZA"/>
        </w:rPr>
        <w:t xml:space="preserve">Augustin, P. 2018. </w:t>
      </w:r>
      <w:r w:rsidR="00DD02CD" w:rsidRPr="00DD1225">
        <w:rPr>
          <w:rFonts w:ascii="CMU Serif" w:hAnsi="CMU Serif" w:cs="CMU Serif"/>
          <w:lang w:val="en-ZA"/>
        </w:rPr>
        <w:t>"</w:t>
      </w:r>
      <w:r w:rsidRPr="00DD1225">
        <w:rPr>
          <w:rFonts w:ascii="CMU Serif" w:hAnsi="CMU Serif" w:cs="CMU Serif"/>
          <w:lang w:val="en-ZA"/>
        </w:rPr>
        <w:t>The Term Structure of CDS Spreads and Sovereign Credit Risk.</w:t>
      </w:r>
      <w:r w:rsidR="00DD02CD" w:rsidRPr="00DD1225">
        <w:rPr>
          <w:rFonts w:ascii="CMU Serif" w:hAnsi="CMU Serif" w:cs="CMU Serif"/>
          <w:lang w:val="en-ZA"/>
        </w:rPr>
        <w:t>"</w:t>
      </w:r>
      <w:r w:rsidRPr="00DD1225">
        <w:rPr>
          <w:rFonts w:ascii="CMU Serif" w:hAnsi="CMU Serif" w:cs="CMU Serif"/>
          <w:lang w:val="en-ZA"/>
        </w:rPr>
        <w:t xml:space="preserve"> </w:t>
      </w:r>
      <w:r w:rsidRPr="00DD1225">
        <w:rPr>
          <w:rFonts w:ascii="CMU Serif" w:hAnsi="CMU Serif" w:cs="CMU Serif"/>
          <w:i/>
          <w:lang w:val="en-ZA"/>
        </w:rPr>
        <w:t xml:space="preserve">Journal of Monetary Economics </w:t>
      </w:r>
      <w:r w:rsidRPr="00DD1225">
        <w:rPr>
          <w:rFonts w:ascii="CMU Serif" w:hAnsi="CMU Serif" w:cs="CMU Serif"/>
          <w:lang w:val="en-ZA"/>
        </w:rPr>
        <w:t>96: 53-76.</w:t>
      </w:r>
    </w:p>
    <w:p w14:paraId="29215CC5" w14:textId="466844A6" w:rsidR="009E2E86" w:rsidRPr="00DD1225" w:rsidRDefault="00AE209A" w:rsidP="000B1901">
      <w:pPr>
        <w:spacing w:after="0" w:line="240" w:lineRule="auto"/>
        <w:ind w:left="567" w:hanging="567"/>
        <w:jc w:val="both"/>
        <w:rPr>
          <w:rFonts w:ascii="CMU Serif" w:hAnsi="CMU Serif" w:cs="CMU Serif"/>
          <w:lang w:val="en-ZA"/>
        </w:rPr>
      </w:pPr>
      <w:r w:rsidRPr="00DD1225">
        <w:rPr>
          <w:rFonts w:ascii="CMU Serif" w:hAnsi="CMU Serif" w:cs="CMU Serif"/>
          <w:lang w:val="en-ZA"/>
        </w:rPr>
        <w:t xml:space="preserve">Baker, S.R., et al. 2020a. </w:t>
      </w:r>
      <w:r w:rsidR="00DD02CD" w:rsidRPr="00DD1225">
        <w:rPr>
          <w:rFonts w:ascii="CMU Serif" w:hAnsi="CMU Serif" w:cs="CMU Serif"/>
          <w:lang w:val="en-ZA"/>
        </w:rPr>
        <w:t>"</w:t>
      </w:r>
      <w:r w:rsidRPr="00DD1225">
        <w:rPr>
          <w:rFonts w:ascii="CMU Serif" w:hAnsi="CMU Serif" w:cs="CMU Serif"/>
          <w:lang w:val="en-ZA"/>
        </w:rPr>
        <w:t>The Unprecedented Stock Market Reaction to COVID-19.</w:t>
      </w:r>
      <w:r w:rsidR="00DD02CD" w:rsidRPr="00DD1225">
        <w:rPr>
          <w:rFonts w:ascii="CMU Serif" w:hAnsi="CMU Serif" w:cs="CMU Serif"/>
          <w:lang w:val="en-ZA"/>
        </w:rPr>
        <w:t>"</w:t>
      </w:r>
      <w:r w:rsidRPr="00DD1225">
        <w:rPr>
          <w:rFonts w:ascii="CMU Serif" w:hAnsi="CMU Serif" w:cs="CMU Serif"/>
          <w:lang w:val="en-ZA"/>
        </w:rPr>
        <w:t xml:space="preserve"> </w:t>
      </w:r>
      <w:r w:rsidRPr="00DD1225">
        <w:rPr>
          <w:rFonts w:ascii="CMU Serif" w:hAnsi="CMU Serif" w:cs="CMU Serif"/>
          <w:i/>
          <w:lang w:val="en-ZA"/>
        </w:rPr>
        <w:t>Review of Asset Pricing Studies</w:t>
      </w:r>
      <w:r w:rsidRPr="00DD1225">
        <w:rPr>
          <w:rFonts w:ascii="CMU Serif" w:hAnsi="CMU Serif" w:cs="CMU Serif"/>
          <w:lang w:val="en-ZA"/>
        </w:rPr>
        <w:t>, forthcoming.</w:t>
      </w:r>
    </w:p>
    <w:p w14:paraId="7FF0B692" w14:textId="2A7A5E8C" w:rsidR="009E2E86" w:rsidRPr="00DD1225" w:rsidRDefault="00AE209A" w:rsidP="009E2E86">
      <w:pPr>
        <w:spacing w:after="0" w:line="240" w:lineRule="auto"/>
        <w:ind w:left="567" w:hanging="567"/>
        <w:jc w:val="both"/>
        <w:rPr>
          <w:rFonts w:ascii="CMU Serif" w:hAnsi="CMU Serif" w:cs="CMU Serif"/>
          <w:lang w:val="en-ZA"/>
        </w:rPr>
      </w:pPr>
      <w:r w:rsidRPr="00DD1225">
        <w:rPr>
          <w:rFonts w:ascii="CMU Serif" w:hAnsi="CMU Serif" w:cs="CMU Serif"/>
          <w:lang w:val="en-ZA"/>
        </w:rPr>
        <w:t>Baker, S.R., N. Bloom, S.J. Davis, and S.J. Terry. 2020</w:t>
      </w:r>
      <w:r w:rsidR="00FF7CBA" w:rsidRPr="00DD1225">
        <w:rPr>
          <w:rFonts w:ascii="CMU Serif" w:hAnsi="CMU Serif" w:cs="CMU Serif"/>
          <w:lang w:val="en-ZA"/>
        </w:rPr>
        <w:t>b</w:t>
      </w:r>
      <w:r w:rsidRPr="00DD1225">
        <w:rPr>
          <w:rFonts w:ascii="CMU Serif" w:hAnsi="CMU Serif" w:cs="CMU Serif"/>
          <w:lang w:val="en-ZA"/>
        </w:rPr>
        <w:t xml:space="preserve">. </w:t>
      </w:r>
      <w:r w:rsidR="00DD02CD" w:rsidRPr="00DD1225">
        <w:rPr>
          <w:rFonts w:ascii="CMU Serif" w:hAnsi="CMU Serif" w:cs="CMU Serif"/>
          <w:lang w:val="en-ZA"/>
        </w:rPr>
        <w:t>"</w:t>
      </w:r>
      <w:r w:rsidRPr="00DD1225">
        <w:rPr>
          <w:rFonts w:ascii="CMU Serif" w:hAnsi="CMU Serif" w:cs="CMU Serif"/>
          <w:lang w:val="en-ZA"/>
        </w:rPr>
        <w:t>COVID-Induced Economic Uncertainty.</w:t>
      </w:r>
      <w:r w:rsidR="00DD02CD" w:rsidRPr="00DD1225">
        <w:rPr>
          <w:rFonts w:ascii="CMU Serif" w:hAnsi="CMU Serif" w:cs="CMU Serif"/>
          <w:lang w:val="en-ZA"/>
        </w:rPr>
        <w:t>"</w:t>
      </w:r>
      <w:r w:rsidRPr="00DD1225">
        <w:rPr>
          <w:rFonts w:ascii="CMU Serif" w:hAnsi="CMU Serif" w:cs="CMU Serif"/>
          <w:lang w:val="en-ZA"/>
        </w:rPr>
        <w:t xml:space="preserve"> NBER Working Paper No. w26983. https://www.nber.org/papers/w26983.</w:t>
      </w:r>
    </w:p>
    <w:p w14:paraId="50990A68" w14:textId="74D5672D" w:rsidR="009E2E86" w:rsidRPr="00DD1225" w:rsidRDefault="00AE209A" w:rsidP="00CF34D9">
      <w:pPr>
        <w:spacing w:after="0" w:line="240" w:lineRule="auto"/>
        <w:ind w:left="567" w:hanging="567"/>
        <w:jc w:val="both"/>
        <w:rPr>
          <w:rFonts w:ascii="CMU Serif" w:hAnsi="CMU Serif" w:cs="CMU Serif"/>
          <w:lang w:val="en-ZA"/>
        </w:rPr>
      </w:pPr>
      <w:r w:rsidRPr="00DD1225">
        <w:rPr>
          <w:rFonts w:ascii="CMU Serif" w:hAnsi="CMU Serif" w:cs="CMU Serif"/>
          <w:lang w:val="de-DE"/>
        </w:rPr>
        <w:t xml:space="preserve">Baltussen, G., L. Swinkels, and P. van Vliet. </w:t>
      </w:r>
      <w:r w:rsidRPr="00DD1225">
        <w:rPr>
          <w:rFonts w:ascii="CMU Serif" w:hAnsi="CMU Serif" w:cs="CMU Serif"/>
          <w:lang w:val="en-ZA"/>
        </w:rPr>
        <w:t xml:space="preserve">2020. </w:t>
      </w:r>
      <w:r w:rsidR="00DD02CD" w:rsidRPr="00DD1225">
        <w:rPr>
          <w:rFonts w:ascii="CMU Serif" w:hAnsi="CMU Serif" w:cs="CMU Serif"/>
          <w:lang w:val="en-ZA"/>
        </w:rPr>
        <w:t>"</w:t>
      </w:r>
      <w:r w:rsidRPr="00DD1225">
        <w:rPr>
          <w:rFonts w:ascii="CMU Serif" w:hAnsi="CMU Serif" w:cs="CMU Serif"/>
          <w:lang w:val="en-ZA"/>
        </w:rPr>
        <w:t>Global Factor Premiums.</w:t>
      </w:r>
      <w:r w:rsidR="00DD02CD" w:rsidRPr="00DD1225">
        <w:rPr>
          <w:rFonts w:ascii="CMU Serif" w:hAnsi="CMU Serif" w:cs="CMU Serif"/>
          <w:lang w:val="en-ZA"/>
        </w:rPr>
        <w:t>"</w:t>
      </w:r>
      <w:r w:rsidRPr="00DD1225">
        <w:rPr>
          <w:rFonts w:ascii="CMU Serif" w:hAnsi="CMU Serif" w:cs="CMU Serif"/>
          <w:lang w:val="en-ZA"/>
        </w:rPr>
        <w:t xml:space="preserve"> Available at SSRN: </w:t>
      </w:r>
      <w:hyperlink r:id="rId10" w:history="1">
        <w:r w:rsidRPr="00DD1225">
          <w:rPr>
            <w:rStyle w:val="Hyperlink"/>
            <w:rFonts w:ascii="CMU Serif" w:hAnsi="CMU Serif" w:cs="CMU Serif"/>
            <w:lang w:val="en-ZA"/>
          </w:rPr>
          <w:t>http://dx.doi.org/10.2139/ssrn.3325720</w:t>
        </w:r>
      </w:hyperlink>
      <w:r w:rsidRPr="00DD1225">
        <w:rPr>
          <w:rFonts w:ascii="CMU Serif" w:hAnsi="CMU Serif" w:cs="CMU Serif"/>
          <w:lang w:val="en-ZA"/>
        </w:rPr>
        <w:t>.</w:t>
      </w:r>
    </w:p>
    <w:p w14:paraId="131A82E2" w14:textId="26A88033" w:rsidR="00477548" w:rsidRPr="00DD1225" w:rsidRDefault="00477548" w:rsidP="00CF34D9">
      <w:pPr>
        <w:spacing w:after="0" w:line="240" w:lineRule="auto"/>
        <w:ind w:left="567" w:hanging="567"/>
        <w:jc w:val="both"/>
        <w:rPr>
          <w:rFonts w:ascii="CMU Serif" w:hAnsi="CMU Serif" w:cs="CMU Serif"/>
          <w:lang w:val="en-ZA"/>
        </w:rPr>
      </w:pPr>
      <w:bookmarkStart w:id="8" w:name="_Hlk61870503"/>
      <w:r w:rsidRPr="00DD1225">
        <w:rPr>
          <w:rFonts w:ascii="CMU Serif" w:hAnsi="CMU Serif" w:cs="CMU Serif"/>
          <w:lang w:val="en-GB"/>
        </w:rPr>
        <w:t xml:space="preserve">Bauer M.D., and G.D. Rudebusch. 2014. </w:t>
      </w:r>
      <w:r w:rsidR="00DD02CD" w:rsidRPr="00DD1225">
        <w:rPr>
          <w:rFonts w:ascii="CMU Serif" w:hAnsi="CMU Serif" w:cs="CMU Serif"/>
          <w:lang w:val="en-ZA"/>
        </w:rPr>
        <w:t>"</w:t>
      </w:r>
      <w:r w:rsidRPr="00DD1225">
        <w:rPr>
          <w:rFonts w:ascii="CMU Serif" w:hAnsi="CMU Serif" w:cs="CMU Serif"/>
          <w:lang w:val="en-ZA"/>
        </w:rPr>
        <w:t xml:space="preserve">The </w:t>
      </w:r>
      <w:proofErr w:type="spellStart"/>
      <w:r w:rsidRPr="00DD1225">
        <w:rPr>
          <w:rFonts w:ascii="CMU Serif" w:hAnsi="CMU Serif" w:cs="CMU Serif"/>
          <w:lang w:val="en-ZA"/>
        </w:rPr>
        <w:t>signaling</w:t>
      </w:r>
      <w:proofErr w:type="spellEnd"/>
      <w:r w:rsidRPr="00DD1225">
        <w:rPr>
          <w:rFonts w:ascii="CMU Serif" w:hAnsi="CMU Serif" w:cs="CMU Serif"/>
          <w:lang w:val="en-ZA"/>
        </w:rPr>
        <w:t xml:space="preserve"> channel for federal reserve bond purchases.</w:t>
      </w:r>
      <w:r w:rsidR="00DD02CD" w:rsidRPr="00DD1225">
        <w:rPr>
          <w:rFonts w:ascii="CMU Serif" w:hAnsi="CMU Serif" w:cs="CMU Serif"/>
          <w:lang w:val="en-ZA"/>
        </w:rPr>
        <w:t>"</w:t>
      </w:r>
      <w:r w:rsidRPr="00DD1225">
        <w:rPr>
          <w:rFonts w:ascii="CMU Serif" w:hAnsi="CMU Serif" w:cs="CMU Serif"/>
          <w:lang w:val="en-ZA"/>
        </w:rPr>
        <w:t xml:space="preserve"> </w:t>
      </w:r>
      <w:r w:rsidRPr="00DD1225">
        <w:rPr>
          <w:rFonts w:ascii="CMU Serif" w:hAnsi="CMU Serif" w:cs="CMU Serif"/>
          <w:i/>
          <w:iCs/>
          <w:lang w:val="en-ZA"/>
        </w:rPr>
        <w:t>International Journal of Central Banking</w:t>
      </w:r>
      <w:r w:rsidRPr="00DD1225">
        <w:rPr>
          <w:rFonts w:ascii="CMU Serif" w:hAnsi="CMU Serif" w:cs="CMU Serif"/>
          <w:lang w:val="en-ZA"/>
        </w:rPr>
        <w:t xml:space="preserve"> 10(3): 233-289</w:t>
      </w:r>
    </w:p>
    <w:bookmarkEnd w:id="8"/>
    <w:p w14:paraId="1A310BEE" w14:textId="30CB9324" w:rsidR="009E2E86" w:rsidRPr="00DD1225" w:rsidRDefault="00AE209A" w:rsidP="00CF34D9">
      <w:pPr>
        <w:spacing w:after="0" w:line="240" w:lineRule="auto"/>
        <w:ind w:left="567" w:hanging="567"/>
        <w:jc w:val="both"/>
        <w:rPr>
          <w:rFonts w:ascii="CMU Serif" w:hAnsi="CMU Serif" w:cs="CMU Serif"/>
          <w:lang w:val="en-ZA"/>
        </w:rPr>
      </w:pPr>
      <w:r w:rsidRPr="00DD1225">
        <w:rPr>
          <w:rFonts w:ascii="CMU Serif" w:hAnsi="CMU Serif" w:cs="CMU Serif"/>
          <w:lang w:val="en-ZA"/>
        </w:rPr>
        <w:t xml:space="preserve">Barth, J.R., and J.T. Bennett. 1975. </w:t>
      </w:r>
      <w:r w:rsidR="00DD02CD" w:rsidRPr="00DD1225">
        <w:rPr>
          <w:rFonts w:ascii="CMU Serif" w:hAnsi="CMU Serif" w:cs="CMU Serif"/>
          <w:lang w:val="en-ZA"/>
        </w:rPr>
        <w:t>"</w:t>
      </w:r>
      <w:r w:rsidRPr="00DD1225">
        <w:rPr>
          <w:rFonts w:ascii="CMU Serif" w:hAnsi="CMU Serif" w:cs="CMU Serif"/>
          <w:lang w:val="en-ZA"/>
        </w:rPr>
        <w:t>Seasonal Variation in Interest Rates.</w:t>
      </w:r>
      <w:r w:rsidR="00DD02CD" w:rsidRPr="00DD1225">
        <w:rPr>
          <w:rFonts w:ascii="CMU Serif" w:hAnsi="CMU Serif" w:cs="CMU Serif"/>
          <w:lang w:val="en-ZA"/>
        </w:rPr>
        <w:t>"</w:t>
      </w:r>
      <w:r w:rsidRPr="00DD1225">
        <w:rPr>
          <w:rFonts w:ascii="CMU Serif" w:hAnsi="CMU Serif" w:cs="CMU Serif"/>
          <w:lang w:val="en-ZA"/>
        </w:rPr>
        <w:t xml:space="preserve"> </w:t>
      </w:r>
      <w:r w:rsidRPr="00DD1225">
        <w:rPr>
          <w:rFonts w:ascii="CMU Serif" w:hAnsi="CMU Serif" w:cs="CMU Serif"/>
          <w:i/>
          <w:lang w:val="en-ZA"/>
        </w:rPr>
        <w:t xml:space="preserve">Review of Economics and Statistics </w:t>
      </w:r>
      <w:r w:rsidRPr="00DD1225">
        <w:rPr>
          <w:rFonts w:ascii="CMU Serif" w:hAnsi="CMU Serif" w:cs="CMU Serif"/>
          <w:lang w:val="en-ZA"/>
        </w:rPr>
        <w:t>57(1): 80-83.</w:t>
      </w:r>
    </w:p>
    <w:p w14:paraId="66A35C43" w14:textId="02568FA6" w:rsidR="009E2E86" w:rsidRPr="00DD1225" w:rsidRDefault="00AE209A" w:rsidP="008D13BF">
      <w:pPr>
        <w:spacing w:after="0" w:line="240" w:lineRule="auto"/>
        <w:ind w:left="567" w:hanging="567"/>
        <w:jc w:val="both"/>
        <w:rPr>
          <w:rFonts w:ascii="CMU Serif" w:hAnsi="CMU Serif" w:cs="CMU Serif"/>
          <w:lang w:val="en-ZA"/>
        </w:rPr>
      </w:pPr>
      <w:proofErr w:type="spellStart"/>
      <w:r w:rsidRPr="00DD1225">
        <w:rPr>
          <w:rFonts w:ascii="CMU Serif" w:hAnsi="CMU Serif" w:cs="CMU Serif"/>
          <w:lang w:val="en-ZA"/>
        </w:rPr>
        <w:t>Beber</w:t>
      </w:r>
      <w:proofErr w:type="spellEnd"/>
      <w:r w:rsidRPr="00DD1225">
        <w:rPr>
          <w:rFonts w:ascii="CMU Serif" w:hAnsi="CMU Serif" w:cs="CMU Serif"/>
          <w:lang w:val="en-ZA"/>
        </w:rPr>
        <w:t xml:space="preserve">, A., M.W. Brandt, and K.A. </w:t>
      </w:r>
      <w:proofErr w:type="spellStart"/>
      <w:r w:rsidRPr="00DD1225">
        <w:rPr>
          <w:rFonts w:ascii="CMU Serif" w:hAnsi="CMU Serif" w:cs="CMU Serif"/>
          <w:lang w:val="en-ZA"/>
        </w:rPr>
        <w:t>Kavajecz</w:t>
      </w:r>
      <w:proofErr w:type="spellEnd"/>
      <w:r w:rsidRPr="00DD1225">
        <w:rPr>
          <w:rFonts w:ascii="CMU Serif" w:hAnsi="CMU Serif" w:cs="CMU Serif"/>
          <w:lang w:val="en-ZA"/>
        </w:rPr>
        <w:t xml:space="preserve">. 2009. </w:t>
      </w:r>
      <w:r w:rsidR="00DD02CD" w:rsidRPr="00DD1225">
        <w:rPr>
          <w:rFonts w:ascii="CMU Serif" w:hAnsi="CMU Serif" w:cs="CMU Serif"/>
          <w:lang w:val="en-ZA"/>
        </w:rPr>
        <w:t>"</w:t>
      </w:r>
      <w:r w:rsidRPr="00DD1225">
        <w:rPr>
          <w:rFonts w:ascii="CMU Serif" w:hAnsi="CMU Serif" w:cs="CMU Serif"/>
          <w:lang w:val="en-ZA"/>
        </w:rPr>
        <w:t>Flight-to-Quality or Flight-to-Liquidity? Evidence from the Euro-Area Bond Market.</w:t>
      </w:r>
      <w:r w:rsidR="00DD02CD" w:rsidRPr="00DD1225">
        <w:rPr>
          <w:rFonts w:ascii="CMU Serif" w:hAnsi="CMU Serif" w:cs="CMU Serif"/>
          <w:lang w:val="en-ZA"/>
        </w:rPr>
        <w:t>"</w:t>
      </w:r>
      <w:r w:rsidRPr="00DD1225">
        <w:rPr>
          <w:rFonts w:ascii="CMU Serif" w:hAnsi="CMU Serif" w:cs="CMU Serif"/>
          <w:lang w:val="en-ZA"/>
        </w:rPr>
        <w:t xml:space="preserve"> </w:t>
      </w:r>
      <w:r w:rsidRPr="00DD1225">
        <w:rPr>
          <w:rFonts w:ascii="CMU Serif" w:hAnsi="CMU Serif" w:cs="CMU Serif"/>
          <w:i/>
          <w:lang w:val="en-ZA"/>
        </w:rPr>
        <w:t>Review of Financial Studies</w:t>
      </w:r>
      <w:r w:rsidRPr="00DD1225">
        <w:rPr>
          <w:rFonts w:ascii="CMU Serif" w:hAnsi="CMU Serif" w:cs="CMU Serif"/>
          <w:lang w:val="en-ZA"/>
        </w:rPr>
        <w:t xml:space="preserve"> 22(3), 925–957.</w:t>
      </w:r>
    </w:p>
    <w:p w14:paraId="24175606" w14:textId="0CFF370B" w:rsidR="009E2E86" w:rsidRPr="00DD1225" w:rsidRDefault="00AE209A" w:rsidP="000B1901">
      <w:pPr>
        <w:spacing w:after="0" w:line="240" w:lineRule="auto"/>
        <w:ind w:left="567" w:hanging="567"/>
        <w:jc w:val="both"/>
        <w:rPr>
          <w:rFonts w:ascii="CMU Serif" w:hAnsi="CMU Serif" w:cs="CMU Serif"/>
          <w:lang w:val="en-ZA"/>
        </w:rPr>
      </w:pPr>
      <w:bookmarkStart w:id="9" w:name="_Hlk61342065"/>
      <w:proofErr w:type="spellStart"/>
      <w:r w:rsidRPr="00DD1225">
        <w:rPr>
          <w:rFonts w:ascii="CMU Serif" w:hAnsi="CMU Serif" w:cs="CMU Serif"/>
          <w:lang w:val="en-ZA"/>
        </w:rPr>
        <w:t>Benmelech</w:t>
      </w:r>
      <w:proofErr w:type="spellEnd"/>
      <w:r w:rsidRPr="00DD1225">
        <w:rPr>
          <w:rFonts w:ascii="CMU Serif" w:hAnsi="CMU Serif" w:cs="CMU Serif"/>
          <w:lang w:val="en-ZA"/>
        </w:rPr>
        <w:t xml:space="preserve">, E., and N. </w:t>
      </w:r>
      <w:proofErr w:type="spellStart"/>
      <w:r w:rsidRPr="00DD1225">
        <w:rPr>
          <w:rFonts w:ascii="CMU Serif" w:hAnsi="CMU Serif" w:cs="CMU Serif"/>
          <w:lang w:val="en-ZA"/>
        </w:rPr>
        <w:t>Tzur-Ilan</w:t>
      </w:r>
      <w:proofErr w:type="spellEnd"/>
      <w:r w:rsidRPr="00DD1225">
        <w:rPr>
          <w:rFonts w:ascii="CMU Serif" w:hAnsi="CMU Serif" w:cs="CMU Serif"/>
          <w:lang w:val="en-ZA"/>
        </w:rPr>
        <w:t xml:space="preserve">. 2020. </w:t>
      </w:r>
      <w:r w:rsidR="00DD02CD" w:rsidRPr="00DD1225">
        <w:rPr>
          <w:rFonts w:ascii="CMU Serif" w:hAnsi="CMU Serif" w:cs="CMU Serif"/>
          <w:lang w:val="en-ZA"/>
        </w:rPr>
        <w:t>"</w:t>
      </w:r>
      <w:r w:rsidRPr="00DD1225">
        <w:rPr>
          <w:rFonts w:ascii="CMU Serif" w:hAnsi="CMU Serif" w:cs="CMU Serif"/>
          <w:lang w:val="en-ZA"/>
        </w:rPr>
        <w:t>The Determinants of Fiscal and Monetary Policies during the Covid-19 Crisis.</w:t>
      </w:r>
      <w:r w:rsidR="00DD02CD" w:rsidRPr="00DD1225">
        <w:rPr>
          <w:rFonts w:ascii="CMU Serif" w:hAnsi="CMU Serif" w:cs="CMU Serif"/>
          <w:lang w:val="en-ZA"/>
        </w:rPr>
        <w:t>"</w:t>
      </w:r>
      <w:r w:rsidRPr="00DD1225">
        <w:rPr>
          <w:rFonts w:ascii="CMU Serif" w:hAnsi="CMU Serif" w:cs="CMU Serif"/>
          <w:lang w:val="en-ZA"/>
        </w:rPr>
        <w:t xml:space="preserve"> NBER Working Paper No. w27461.</w:t>
      </w:r>
    </w:p>
    <w:p w14:paraId="2E4BFC4C" w14:textId="6ED5FE38" w:rsidR="009E2E86" w:rsidRPr="00DD1225" w:rsidRDefault="00AE209A" w:rsidP="00E9184B">
      <w:pPr>
        <w:spacing w:after="0" w:line="240" w:lineRule="auto"/>
        <w:ind w:left="567" w:hanging="567"/>
        <w:jc w:val="both"/>
        <w:rPr>
          <w:rFonts w:ascii="CMU Serif" w:hAnsi="CMU Serif" w:cs="CMU Serif"/>
          <w:lang w:val="en-US"/>
        </w:rPr>
      </w:pPr>
      <w:bookmarkStart w:id="10" w:name="_Hlk61870454"/>
      <w:bookmarkEnd w:id="9"/>
      <w:r w:rsidRPr="00DD1225">
        <w:rPr>
          <w:rFonts w:ascii="CMU Serif" w:hAnsi="CMU Serif" w:cs="CMU Serif"/>
          <w:lang w:val="en-US"/>
        </w:rPr>
        <w:t>Ben-</w:t>
      </w:r>
      <w:proofErr w:type="spellStart"/>
      <w:r w:rsidRPr="00DD1225">
        <w:rPr>
          <w:rFonts w:ascii="CMU Serif" w:hAnsi="CMU Serif" w:cs="CMU Serif"/>
          <w:lang w:val="en-US"/>
        </w:rPr>
        <w:t>Rephael</w:t>
      </w:r>
      <w:proofErr w:type="spellEnd"/>
      <w:r w:rsidRPr="00DD1225">
        <w:rPr>
          <w:rFonts w:ascii="CMU Serif" w:hAnsi="CMU Serif" w:cs="CMU Serif"/>
          <w:lang w:val="en-US"/>
        </w:rPr>
        <w:t xml:space="preserve">, A. 2017. </w:t>
      </w:r>
      <w:r w:rsidR="00DD02CD" w:rsidRPr="00DD1225">
        <w:rPr>
          <w:rFonts w:ascii="CMU Serif" w:hAnsi="CMU Serif" w:cs="CMU Serif"/>
          <w:lang w:val="en-US"/>
        </w:rPr>
        <w:t>"</w:t>
      </w:r>
      <w:r w:rsidRPr="00DD1225">
        <w:rPr>
          <w:rFonts w:ascii="CMU Serif" w:hAnsi="CMU Serif" w:cs="CMU Serif"/>
          <w:lang w:val="en-US"/>
        </w:rPr>
        <w:t>Flight-to-liquidity, Market Uncertainty, and the Actions of Mutual Fund Investors.</w:t>
      </w:r>
      <w:r w:rsidR="00DD02CD" w:rsidRPr="00DD1225">
        <w:rPr>
          <w:rFonts w:ascii="CMU Serif" w:hAnsi="CMU Serif" w:cs="CMU Serif"/>
          <w:lang w:val="en-US"/>
        </w:rPr>
        <w:t>"</w:t>
      </w:r>
      <w:r w:rsidRPr="00DD1225">
        <w:rPr>
          <w:rFonts w:ascii="CMU Serif" w:hAnsi="CMU Serif" w:cs="CMU Serif"/>
          <w:lang w:val="en-US"/>
        </w:rPr>
        <w:t xml:space="preserve"> </w:t>
      </w:r>
      <w:r w:rsidRPr="00DD1225">
        <w:rPr>
          <w:rFonts w:ascii="CMU Serif" w:hAnsi="CMU Serif" w:cs="CMU Serif"/>
          <w:i/>
          <w:lang w:val="en-US"/>
        </w:rPr>
        <w:t>Journal of Financial Intermediation</w:t>
      </w:r>
      <w:r w:rsidRPr="00DD1225">
        <w:rPr>
          <w:rFonts w:ascii="CMU Serif" w:hAnsi="CMU Serif" w:cs="CMU Serif"/>
          <w:lang w:val="en-US"/>
        </w:rPr>
        <w:t xml:space="preserve"> 31: 30-44.</w:t>
      </w:r>
      <w:r w:rsidRPr="00DD1225">
        <w:rPr>
          <w:rFonts w:ascii="Times New Roman" w:hAnsi="Times New Roman" w:cs="Times New Roman" w:hint="cs"/>
          <w:rtl/>
          <w:lang w:val="en-US"/>
        </w:rPr>
        <w:t>‏</w:t>
      </w:r>
    </w:p>
    <w:bookmarkEnd w:id="10"/>
    <w:p w14:paraId="341ABA77" w14:textId="676CA1B7" w:rsidR="009E2E86" w:rsidRPr="00DD1225" w:rsidRDefault="00AE209A" w:rsidP="000B1901">
      <w:pPr>
        <w:spacing w:after="0" w:line="240" w:lineRule="auto"/>
        <w:ind w:left="567" w:hanging="567"/>
        <w:jc w:val="both"/>
        <w:rPr>
          <w:rFonts w:ascii="CMU Serif" w:hAnsi="CMU Serif" w:cs="CMU Serif"/>
          <w:lang w:val="en-ZA"/>
        </w:rPr>
      </w:pPr>
      <w:r w:rsidRPr="00DD1225">
        <w:rPr>
          <w:rFonts w:ascii="CMU Serif" w:hAnsi="CMU Serif" w:cs="CMU Serif"/>
          <w:lang w:val="en-ZA"/>
        </w:rPr>
        <w:t xml:space="preserve">Campbell, J.Y. 1987. </w:t>
      </w:r>
      <w:r w:rsidR="00DD02CD" w:rsidRPr="00DD1225">
        <w:rPr>
          <w:rFonts w:ascii="CMU Serif" w:hAnsi="CMU Serif" w:cs="CMU Serif"/>
          <w:lang w:val="en-ZA"/>
        </w:rPr>
        <w:t>"</w:t>
      </w:r>
      <w:r w:rsidRPr="00DD1225">
        <w:rPr>
          <w:rFonts w:ascii="CMU Serif" w:hAnsi="CMU Serif" w:cs="CMU Serif"/>
          <w:lang w:val="en-ZA"/>
        </w:rPr>
        <w:t>Stock Returns and the Term Structure.</w:t>
      </w:r>
      <w:r w:rsidR="00DD02CD" w:rsidRPr="00DD1225">
        <w:rPr>
          <w:rFonts w:ascii="CMU Serif" w:hAnsi="CMU Serif" w:cs="CMU Serif"/>
          <w:lang w:val="en-ZA"/>
        </w:rPr>
        <w:t>"</w:t>
      </w:r>
      <w:r w:rsidRPr="00DD1225">
        <w:rPr>
          <w:rFonts w:ascii="CMU Serif" w:hAnsi="CMU Serif" w:cs="CMU Serif"/>
          <w:lang w:val="en-ZA"/>
        </w:rPr>
        <w:t xml:space="preserve"> </w:t>
      </w:r>
      <w:r w:rsidRPr="00DD1225">
        <w:rPr>
          <w:rFonts w:ascii="CMU Serif" w:hAnsi="CMU Serif" w:cs="CMU Serif"/>
          <w:i/>
          <w:lang w:val="en-ZA"/>
        </w:rPr>
        <w:t xml:space="preserve">Journal of Financial Economics </w:t>
      </w:r>
      <w:bookmarkStart w:id="11" w:name="_Hlk61337077"/>
      <w:r w:rsidRPr="00DD1225">
        <w:rPr>
          <w:rFonts w:ascii="CMU Serif" w:hAnsi="CMU Serif" w:cs="CMU Serif"/>
          <w:lang w:val="en-ZA"/>
        </w:rPr>
        <w:t>18(2): 373-399.</w:t>
      </w:r>
    </w:p>
    <w:p w14:paraId="6347EC5D" w14:textId="295E5FA7" w:rsidR="003E202C" w:rsidRPr="00DD1225" w:rsidRDefault="003E202C" w:rsidP="003E202C">
      <w:pPr>
        <w:spacing w:after="0" w:line="240" w:lineRule="auto"/>
        <w:ind w:left="567" w:hanging="567"/>
        <w:jc w:val="both"/>
        <w:rPr>
          <w:rFonts w:ascii="CMU Serif" w:hAnsi="CMU Serif" w:cs="CMU Serif"/>
          <w:lang w:val="en-ZA"/>
        </w:rPr>
      </w:pPr>
      <w:bookmarkStart w:id="12" w:name="_Hlk61870485"/>
      <w:r w:rsidRPr="00DD1225">
        <w:rPr>
          <w:rFonts w:ascii="CMU Serif" w:hAnsi="CMU Serif" w:cs="CMU Serif"/>
          <w:lang w:val="en-GB"/>
        </w:rPr>
        <w:t xml:space="preserve">Christensen, J.H.E., and </w:t>
      </w:r>
      <w:r w:rsidRPr="00DD1225">
        <w:rPr>
          <w:rFonts w:ascii="CMU Serif" w:hAnsi="CMU Serif" w:cs="CMU Serif"/>
          <w:lang w:val="en-ZA"/>
        </w:rPr>
        <w:t xml:space="preserve">S. </w:t>
      </w:r>
      <w:proofErr w:type="spellStart"/>
      <w:r w:rsidRPr="00DD1225">
        <w:rPr>
          <w:rFonts w:ascii="CMU Serif" w:hAnsi="CMU Serif" w:cs="CMU Serif"/>
          <w:lang w:val="en-ZA"/>
        </w:rPr>
        <w:t>Krogstrup</w:t>
      </w:r>
      <w:proofErr w:type="spellEnd"/>
      <w:r w:rsidRPr="00DD1225">
        <w:rPr>
          <w:rFonts w:ascii="CMU Serif" w:hAnsi="CMU Serif" w:cs="CMU Serif"/>
          <w:lang w:val="en-ZA"/>
        </w:rPr>
        <w:t xml:space="preserve">. 2019. </w:t>
      </w:r>
      <w:r w:rsidR="00DD02CD" w:rsidRPr="00DD1225">
        <w:rPr>
          <w:rFonts w:ascii="CMU Serif" w:hAnsi="CMU Serif" w:cs="CMU Serif"/>
          <w:lang w:val="en-ZA"/>
        </w:rPr>
        <w:t>"</w:t>
      </w:r>
      <w:r w:rsidRPr="00DD1225">
        <w:rPr>
          <w:rFonts w:ascii="CMU Serif" w:hAnsi="CMU Serif" w:cs="CMU Serif"/>
          <w:lang w:val="en-ZA"/>
        </w:rPr>
        <w:t>Transmission of Quantitative Easing: The Role of Central Bank Reserves.</w:t>
      </w:r>
      <w:r w:rsidR="00DD02CD" w:rsidRPr="00DD1225">
        <w:rPr>
          <w:rFonts w:ascii="CMU Serif" w:hAnsi="CMU Serif" w:cs="CMU Serif"/>
          <w:lang w:val="en-ZA"/>
        </w:rPr>
        <w:t>"</w:t>
      </w:r>
      <w:r w:rsidRPr="00DD1225">
        <w:rPr>
          <w:rFonts w:ascii="CMU Serif" w:hAnsi="CMU Serif" w:cs="CMU Serif"/>
          <w:lang w:val="en-ZA"/>
        </w:rPr>
        <w:t xml:space="preserve"> </w:t>
      </w:r>
      <w:r w:rsidRPr="00DD1225">
        <w:rPr>
          <w:rFonts w:ascii="CMU Serif" w:hAnsi="CMU Serif" w:cs="CMU Serif"/>
          <w:i/>
          <w:iCs/>
          <w:lang w:val="en-ZA"/>
        </w:rPr>
        <w:t>The Economic Journal</w:t>
      </w:r>
      <w:r w:rsidRPr="00DD1225">
        <w:rPr>
          <w:rFonts w:ascii="CMU Serif" w:hAnsi="CMU Serif" w:cs="CMU Serif"/>
          <w:lang w:val="en-ZA"/>
        </w:rPr>
        <w:t xml:space="preserve"> 129(617): 249-272.</w:t>
      </w:r>
    </w:p>
    <w:p w14:paraId="6E2DDB97" w14:textId="34DA156B" w:rsidR="003E202C" w:rsidRPr="00DD1225" w:rsidRDefault="003E202C" w:rsidP="003E202C">
      <w:pPr>
        <w:spacing w:after="0" w:line="240" w:lineRule="auto"/>
        <w:ind w:left="567" w:hanging="567"/>
        <w:jc w:val="both"/>
        <w:rPr>
          <w:rFonts w:ascii="CMU Serif" w:hAnsi="CMU Serif" w:cs="CMU Serif"/>
          <w:lang w:val="en-ZA"/>
        </w:rPr>
      </w:pPr>
      <w:bookmarkStart w:id="13" w:name="_Hlk61870497"/>
      <w:bookmarkEnd w:id="12"/>
      <w:r w:rsidRPr="00DD1225">
        <w:rPr>
          <w:rFonts w:ascii="CMU Serif" w:hAnsi="CMU Serif" w:cs="CMU Serif"/>
          <w:lang w:val="en-GB"/>
        </w:rPr>
        <w:t xml:space="preserve">Christensen J.H.E., and Rudebusch G.D. 2012. </w:t>
      </w:r>
      <w:r w:rsidR="00DD02CD" w:rsidRPr="00DD1225">
        <w:rPr>
          <w:rFonts w:ascii="CMU Serif" w:hAnsi="CMU Serif" w:cs="CMU Serif"/>
          <w:lang w:val="en-ZA"/>
        </w:rPr>
        <w:t>"</w:t>
      </w:r>
      <w:r w:rsidRPr="00DD1225">
        <w:rPr>
          <w:rFonts w:ascii="CMU Serif" w:hAnsi="CMU Serif" w:cs="CMU Serif"/>
          <w:lang w:val="en-ZA"/>
        </w:rPr>
        <w:t>The response of interest rates to US and UK quantitative easing.</w:t>
      </w:r>
      <w:r w:rsidR="00DD02CD" w:rsidRPr="00DD1225">
        <w:rPr>
          <w:rFonts w:ascii="CMU Serif" w:hAnsi="CMU Serif" w:cs="CMU Serif"/>
          <w:lang w:val="en-ZA"/>
        </w:rPr>
        <w:t>"</w:t>
      </w:r>
      <w:r w:rsidRPr="00DD1225">
        <w:rPr>
          <w:rFonts w:ascii="CMU Serif" w:hAnsi="CMU Serif" w:cs="CMU Serif"/>
          <w:lang w:val="en-ZA"/>
        </w:rPr>
        <w:t xml:space="preserve"> </w:t>
      </w:r>
      <w:r w:rsidRPr="00DD1225">
        <w:rPr>
          <w:rFonts w:ascii="CMU Serif" w:hAnsi="CMU Serif" w:cs="CMU Serif"/>
          <w:i/>
          <w:iCs/>
          <w:lang w:val="en-ZA"/>
        </w:rPr>
        <w:t>The Economic Journal</w:t>
      </w:r>
      <w:r w:rsidRPr="00DD1225">
        <w:rPr>
          <w:rFonts w:ascii="CMU Serif" w:hAnsi="CMU Serif" w:cs="CMU Serif"/>
          <w:lang w:val="en-ZA"/>
        </w:rPr>
        <w:t xml:space="preserve"> 122(564): F385-414.</w:t>
      </w:r>
    </w:p>
    <w:bookmarkEnd w:id="11"/>
    <w:bookmarkEnd w:id="13"/>
    <w:p w14:paraId="6A60E508" w14:textId="34AB6D11" w:rsidR="009E2E86" w:rsidRPr="00DD1225" w:rsidRDefault="00AE209A" w:rsidP="008D13BF">
      <w:pPr>
        <w:spacing w:after="0" w:line="240" w:lineRule="auto"/>
        <w:ind w:left="567" w:hanging="567"/>
        <w:jc w:val="both"/>
        <w:rPr>
          <w:rFonts w:ascii="CMU Serif" w:hAnsi="CMU Serif" w:cs="CMU Serif"/>
          <w:lang w:val="en-ZA"/>
        </w:rPr>
      </w:pPr>
      <w:proofErr w:type="spellStart"/>
      <w:r w:rsidRPr="00DD1225">
        <w:rPr>
          <w:rFonts w:ascii="CMU Serif" w:hAnsi="CMU Serif" w:cs="CMU Serif"/>
          <w:lang w:val="en-ZA"/>
        </w:rPr>
        <w:t>Favero</w:t>
      </w:r>
      <w:proofErr w:type="spellEnd"/>
      <w:r w:rsidRPr="00DD1225">
        <w:rPr>
          <w:rFonts w:ascii="CMU Serif" w:hAnsi="CMU Serif" w:cs="CMU Serif"/>
          <w:lang w:val="en-ZA"/>
        </w:rPr>
        <w:t xml:space="preserve">, C. A., L. </w:t>
      </w:r>
      <w:proofErr w:type="spellStart"/>
      <w:r w:rsidRPr="00DD1225">
        <w:rPr>
          <w:rFonts w:ascii="CMU Serif" w:hAnsi="CMU Serif" w:cs="CMU Serif"/>
          <w:lang w:val="en-ZA"/>
        </w:rPr>
        <w:t>Niu</w:t>
      </w:r>
      <w:proofErr w:type="spellEnd"/>
      <w:r w:rsidRPr="00DD1225">
        <w:rPr>
          <w:rFonts w:ascii="CMU Serif" w:hAnsi="CMU Serif" w:cs="CMU Serif"/>
          <w:lang w:val="en-ZA"/>
        </w:rPr>
        <w:t xml:space="preserve">, and L. Sala, L. 2012. </w:t>
      </w:r>
      <w:r w:rsidR="00DD02CD" w:rsidRPr="00DD1225">
        <w:rPr>
          <w:rFonts w:ascii="CMU Serif" w:hAnsi="CMU Serif" w:cs="CMU Serif"/>
          <w:lang w:val="en-ZA"/>
        </w:rPr>
        <w:t>"</w:t>
      </w:r>
      <w:r w:rsidRPr="00DD1225">
        <w:rPr>
          <w:rFonts w:ascii="CMU Serif" w:hAnsi="CMU Serif" w:cs="CMU Serif"/>
          <w:lang w:val="en-ZA"/>
        </w:rPr>
        <w:t>Term Structure Forecasting: No-Arbitrage Restrictions versus Large Information Set.</w:t>
      </w:r>
      <w:r w:rsidR="00DD02CD" w:rsidRPr="00DD1225">
        <w:rPr>
          <w:rFonts w:ascii="CMU Serif" w:hAnsi="CMU Serif" w:cs="CMU Serif"/>
          <w:lang w:val="en-ZA"/>
        </w:rPr>
        <w:t>"</w:t>
      </w:r>
      <w:r w:rsidRPr="00DD1225">
        <w:rPr>
          <w:rFonts w:ascii="CMU Serif" w:hAnsi="CMU Serif" w:cs="CMU Serif"/>
          <w:lang w:val="en-ZA"/>
        </w:rPr>
        <w:t xml:space="preserve"> </w:t>
      </w:r>
      <w:r w:rsidRPr="00DD1225">
        <w:rPr>
          <w:rFonts w:ascii="CMU Serif" w:hAnsi="CMU Serif" w:cs="CMU Serif"/>
          <w:i/>
          <w:lang w:val="en-ZA"/>
        </w:rPr>
        <w:t>Journal of Forecasting</w:t>
      </w:r>
      <w:r w:rsidRPr="00DD1225">
        <w:rPr>
          <w:rFonts w:ascii="CMU Serif" w:hAnsi="CMU Serif" w:cs="CMU Serif"/>
          <w:lang w:val="en-ZA"/>
        </w:rPr>
        <w:t xml:space="preserve"> 31 (2), 124–156.</w:t>
      </w:r>
    </w:p>
    <w:p w14:paraId="223F5A4C" w14:textId="72229B97" w:rsidR="009E2E86" w:rsidRPr="00DD1225" w:rsidRDefault="00AE209A" w:rsidP="00C41B97">
      <w:pPr>
        <w:spacing w:after="0" w:line="240" w:lineRule="auto"/>
        <w:ind w:left="567" w:hanging="567"/>
        <w:jc w:val="both"/>
        <w:rPr>
          <w:rFonts w:ascii="CMU Serif" w:hAnsi="CMU Serif" w:cs="CMU Serif"/>
          <w:color w:val="222222"/>
          <w:shd w:val="clear" w:color="auto" w:fill="FFFFFF"/>
          <w:lang w:val="en-ZA"/>
        </w:rPr>
      </w:pPr>
      <w:bookmarkStart w:id="14" w:name="_Hlk61870464"/>
      <w:proofErr w:type="spellStart"/>
      <w:r w:rsidRPr="00DD1225">
        <w:rPr>
          <w:rFonts w:ascii="CMU Serif" w:hAnsi="CMU Serif" w:cs="CMU Serif"/>
          <w:color w:val="222222"/>
          <w:shd w:val="clear" w:color="auto" w:fill="FFFFFF"/>
          <w:lang w:val="en-ZA"/>
        </w:rPr>
        <w:t>Galai</w:t>
      </w:r>
      <w:proofErr w:type="spellEnd"/>
      <w:r w:rsidRPr="00DD1225">
        <w:rPr>
          <w:rFonts w:ascii="CMU Serif" w:hAnsi="CMU Serif" w:cs="CMU Serif"/>
          <w:color w:val="222222"/>
          <w:shd w:val="clear" w:color="auto" w:fill="FFFFFF"/>
          <w:lang w:val="en-ZA"/>
        </w:rPr>
        <w:t xml:space="preserve">, D., &amp; Sade, O. 2006. </w:t>
      </w:r>
      <w:r w:rsidR="00DD02CD" w:rsidRPr="00DD1225">
        <w:rPr>
          <w:rFonts w:ascii="CMU Serif" w:hAnsi="CMU Serif" w:cs="CMU Serif"/>
          <w:color w:val="222222"/>
          <w:shd w:val="clear" w:color="auto" w:fill="FFFFFF"/>
          <w:lang w:val="en-ZA"/>
        </w:rPr>
        <w:t>"</w:t>
      </w:r>
      <w:r w:rsidRPr="00DD1225">
        <w:rPr>
          <w:rFonts w:ascii="CMU Serif" w:hAnsi="CMU Serif" w:cs="CMU Serif"/>
          <w:color w:val="222222"/>
          <w:shd w:val="clear" w:color="auto" w:fill="FFFFFF"/>
          <w:lang w:val="en-ZA"/>
        </w:rPr>
        <w:t xml:space="preserve">The </w:t>
      </w:r>
      <w:r w:rsidR="00DD02CD" w:rsidRPr="00DD1225">
        <w:rPr>
          <w:rFonts w:ascii="CMU Serif" w:hAnsi="CMU Serif" w:cs="CMU Serif"/>
          <w:color w:val="222222"/>
          <w:shd w:val="clear" w:color="auto" w:fill="FFFFFF"/>
          <w:lang w:val="en-ZA"/>
        </w:rPr>
        <w:t>"</w:t>
      </w:r>
      <w:r w:rsidRPr="00DD1225">
        <w:rPr>
          <w:rFonts w:ascii="CMU Serif" w:hAnsi="CMU Serif" w:cs="CMU Serif"/>
          <w:color w:val="222222"/>
          <w:shd w:val="clear" w:color="auto" w:fill="FFFFFF"/>
          <w:lang w:val="en-ZA"/>
        </w:rPr>
        <w:t>ostrich effect</w:t>
      </w:r>
      <w:r w:rsidR="00DD02CD" w:rsidRPr="00DD1225">
        <w:rPr>
          <w:rFonts w:ascii="CMU Serif" w:hAnsi="CMU Serif" w:cs="CMU Serif"/>
          <w:color w:val="222222"/>
          <w:shd w:val="clear" w:color="auto" w:fill="FFFFFF"/>
          <w:lang w:val="en-ZA"/>
        </w:rPr>
        <w:t>"</w:t>
      </w:r>
      <w:r w:rsidRPr="00DD1225">
        <w:rPr>
          <w:rFonts w:ascii="CMU Serif" w:hAnsi="CMU Serif" w:cs="CMU Serif"/>
          <w:color w:val="222222"/>
          <w:shd w:val="clear" w:color="auto" w:fill="FFFFFF"/>
          <w:lang w:val="en-ZA"/>
        </w:rPr>
        <w:t xml:space="preserve"> and the relationship between the liquidity and the yields of financial assets.</w:t>
      </w:r>
      <w:r w:rsidR="00DD02CD" w:rsidRPr="00DD1225">
        <w:rPr>
          <w:rFonts w:ascii="CMU Serif" w:hAnsi="CMU Serif" w:cs="CMU Serif"/>
          <w:color w:val="222222"/>
          <w:shd w:val="clear" w:color="auto" w:fill="FFFFFF"/>
          <w:lang w:val="en-ZA"/>
        </w:rPr>
        <w:t>"</w:t>
      </w:r>
      <w:r w:rsidRPr="00DD1225">
        <w:rPr>
          <w:rFonts w:ascii="CMU Serif" w:hAnsi="CMU Serif" w:cs="CMU Serif"/>
          <w:i/>
          <w:iCs/>
          <w:color w:val="222222"/>
          <w:shd w:val="clear" w:color="auto" w:fill="FFFFFF"/>
          <w:lang w:val="en-ZA"/>
        </w:rPr>
        <w:t xml:space="preserve"> Journal of Business</w:t>
      </w:r>
      <w:r w:rsidRPr="00DD1225">
        <w:rPr>
          <w:rFonts w:ascii="CMU Serif" w:hAnsi="CMU Serif" w:cs="CMU Serif"/>
          <w:color w:val="222222"/>
          <w:shd w:val="clear" w:color="auto" w:fill="FFFFFF"/>
          <w:lang w:val="en-ZA"/>
        </w:rPr>
        <w:t>, </w:t>
      </w:r>
      <w:r w:rsidRPr="00DD1225">
        <w:rPr>
          <w:rFonts w:ascii="CMU Serif" w:hAnsi="CMU Serif" w:cs="CMU Serif"/>
          <w:i/>
          <w:iCs/>
          <w:color w:val="222222"/>
          <w:shd w:val="clear" w:color="auto" w:fill="FFFFFF"/>
          <w:lang w:val="en-ZA"/>
        </w:rPr>
        <w:t>79</w:t>
      </w:r>
      <w:r w:rsidRPr="00DD1225">
        <w:rPr>
          <w:rFonts w:ascii="CMU Serif" w:hAnsi="CMU Serif" w:cs="CMU Serif"/>
          <w:color w:val="222222"/>
          <w:shd w:val="clear" w:color="auto" w:fill="FFFFFF"/>
          <w:lang w:val="en-ZA"/>
        </w:rPr>
        <w:t>(5), 2741-2759.</w:t>
      </w:r>
    </w:p>
    <w:bookmarkEnd w:id="14"/>
    <w:p w14:paraId="7377D43F" w14:textId="0F33A49E" w:rsidR="009E2E86" w:rsidRPr="00DD1225" w:rsidRDefault="00AE209A" w:rsidP="00C41B97">
      <w:pPr>
        <w:spacing w:after="0" w:line="240" w:lineRule="auto"/>
        <w:ind w:left="567" w:hanging="567"/>
        <w:jc w:val="both"/>
        <w:rPr>
          <w:rFonts w:ascii="CMU Serif" w:hAnsi="CMU Serif" w:cs="CMU Serif"/>
          <w:lang w:val="en-ZA"/>
        </w:rPr>
      </w:pPr>
      <w:proofErr w:type="spellStart"/>
      <w:r w:rsidRPr="00DD1225">
        <w:rPr>
          <w:rFonts w:ascii="CMU Serif" w:hAnsi="CMU Serif" w:cs="CMU Serif"/>
          <w:lang w:val="en-ZA"/>
        </w:rPr>
        <w:t>Gubareva</w:t>
      </w:r>
      <w:proofErr w:type="spellEnd"/>
      <w:r w:rsidRPr="00DD1225">
        <w:rPr>
          <w:rFonts w:ascii="CMU Serif" w:hAnsi="CMU Serif" w:cs="CMU Serif"/>
          <w:lang w:val="en-ZA"/>
        </w:rPr>
        <w:t>, M. 2020. "The Impact of Covid-19 on liquidity of emerging market bonds.</w:t>
      </w:r>
      <w:r w:rsidR="00DD02CD" w:rsidRPr="00DD1225">
        <w:rPr>
          <w:rFonts w:ascii="CMU Serif" w:hAnsi="CMU Serif" w:cs="CMU Serif"/>
          <w:lang w:val="en-ZA"/>
        </w:rPr>
        <w:t>"</w:t>
      </w:r>
      <w:r w:rsidRPr="00DD1225">
        <w:rPr>
          <w:rFonts w:ascii="CMU Serif" w:hAnsi="CMU Serif" w:cs="CMU Serif"/>
          <w:lang w:val="en-ZA"/>
        </w:rPr>
        <w:t xml:space="preserve"> </w:t>
      </w:r>
      <w:r w:rsidRPr="00DD1225">
        <w:rPr>
          <w:rFonts w:ascii="CMU Serif" w:hAnsi="CMU Serif" w:cs="CMU Serif"/>
          <w:i/>
          <w:lang w:val="en-ZA"/>
        </w:rPr>
        <w:t>Finance Research Letters</w:t>
      </w:r>
      <w:r w:rsidRPr="00DD1225">
        <w:rPr>
          <w:rFonts w:ascii="CMU Serif" w:hAnsi="CMU Serif" w:cs="CMU Serif"/>
          <w:lang w:val="en-ZA"/>
        </w:rPr>
        <w:t>, forthcoming.</w:t>
      </w:r>
    </w:p>
    <w:p w14:paraId="57166F65" w14:textId="1659286C" w:rsidR="009E2E86" w:rsidRPr="00DD1225" w:rsidRDefault="00AE209A" w:rsidP="00CF34D9">
      <w:pPr>
        <w:spacing w:after="0" w:line="240" w:lineRule="auto"/>
        <w:ind w:left="567" w:hanging="567"/>
        <w:jc w:val="both"/>
        <w:rPr>
          <w:rFonts w:ascii="CMU Serif" w:hAnsi="CMU Serif" w:cs="CMU Serif"/>
          <w:lang w:val="en-ZA"/>
        </w:rPr>
      </w:pPr>
      <w:r w:rsidRPr="00DD1225">
        <w:rPr>
          <w:rFonts w:ascii="CMU Serif" w:hAnsi="CMU Serif" w:cs="CMU Serif"/>
          <w:lang w:val="en-ZA"/>
        </w:rPr>
        <w:t xml:space="preserve">Hale, T., et al. 2020. </w:t>
      </w:r>
      <w:r w:rsidR="00DD02CD" w:rsidRPr="00DD1225">
        <w:rPr>
          <w:rFonts w:ascii="CMU Serif" w:hAnsi="CMU Serif" w:cs="CMU Serif"/>
          <w:lang w:val="en-ZA"/>
        </w:rPr>
        <w:t>"</w:t>
      </w:r>
      <w:r w:rsidRPr="00DD1225">
        <w:rPr>
          <w:rFonts w:ascii="CMU Serif" w:hAnsi="CMU Serif" w:cs="CMU Serif"/>
          <w:lang w:val="en-ZA"/>
        </w:rPr>
        <w:t>Variation in Government Responses to COVID-19.</w:t>
      </w:r>
      <w:r w:rsidR="00DD02CD" w:rsidRPr="00DD1225">
        <w:rPr>
          <w:rFonts w:ascii="CMU Serif" w:hAnsi="CMU Serif" w:cs="CMU Serif"/>
          <w:lang w:val="en-ZA"/>
        </w:rPr>
        <w:t>"</w:t>
      </w:r>
      <w:r w:rsidRPr="00DD1225">
        <w:rPr>
          <w:rFonts w:ascii="CMU Serif" w:hAnsi="CMU Serif" w:cs="CMU Serif"/>
          <w:lang w:val="en-ZA"/>
        </w:rPr>
        <w:t xml:space="preserve"> BSG Working Paper Series, BSG-WP-2020/032, Version 7.0. Available at </w:t>
      </w:r>
      <w:hyperlink r:id="rId11" w:history="1">
        <w:r w:rsidRPr="00DD1225">
          <w:rPr>
            <w:rStyle w:val="Hyperlink"/>
            <w:rFonts w:ascii="CMU Serif" w:hAnsi="CMU Serif" w:cs="CMU Serif"/>
            <w:lang w:val="en-ZA"/>
          </w:rPr>
          <w:t>https://www.bsg.ox.ac.uk/sites/default/files/2020-09/BSG-WP-2020-032-v7.0.pdf</w:t>
        </w:r>
      </w:hyperlink>
      <w:r w:rsidRPr="00DD1225">
        <w:rPr>
          <w:rFonts w:ascii="CMU Serif" w:hAnsi="CMU Serif" w:cs="CMU Serif"/>
          <w:lang w:val="en-ZA"/>
        </w:rPr>
        <w:t>.</w:t>
      </w:r>
    </w:p>
    <w:p w14:paraId="12BC4EEF" w14:textId="0D30C31D" w:rsidR="009E2E86" w:rsidRPr="00DD1225" w:rsidRDefault="00AE209A" w:rsidP="00CF34D9">
      <w:pPr>
        <w:spacing w:after="0" w:line="240" w:lineRule="auto"/>
        <w:ind w:left="567" w:hanging="567"/>
        <w:jc w:val="both"/>
        <w:rPr>
          <w:rFonts w:ascii="CMU Serif" w:hAnsi="CMU Serif" w:cs="CMU Serif"/>
          <w:lang w:val="en-ZA"/>
        </w:rPr>
      </w:pPr>
      <w:r w:rsidRPr="00DD1225">
        <w:rPr>
          <w:rFonts w:ascii="CMU Serif" w:hAnsi="CMU Serif" w:cs="CMU Serif"/>
          <w:lang w:val="en-ZA"/>
        </w:rPr>
        <w:t xml:space="preserve">Hartley, J.S., and A. </w:t>
      </w:r>
      <w:proofErr w:type="spellStart"/>
      <w:r w:rsidRPr="00DD1225">
        <w:rPr>
          <w:rFonts w:ascii="CMU Serif" w:hAnsi="CMU Serif" w:cs="CMU Serif"/>
          <w:lang w:val="en-ZA"/>
        </w:rPr>
        <w:t>Rebucci</w:t>
      </w:r>
      <w:proofErr w:type="spellEnd"/>
      <w:r w:rsidRPr="00DD1225">
        <w:rPr>
          <w:rFonts w:ascii="CMU Serif" w:hAnsi="CMU Serif" w:cs="CMU Serif"/>
          <w:lang w:val="en-ZA"/>
        </w:rPr>
        <w:t>, A. 2020. </w:t>
      </w:r>
      <w:r w:rsidR="00DD02CD" w:rsidRPr="00DD1225">
        <w:rPr>
          <w:rFonts w:ascii="CMU Serif" w:hAnsi="CMU Serif" w:cs="CMU Serif"/>
          <w:lang w:val="en-ZA"/>
        </w:rPr>
        <w:t>"</w:t>
      </w:r>
      <w:r w:rsidRPr="00DD1225">
        <w:rPr>
          <w:rFonts w:ascii="CMU Serif" w:hAnsi="CMU Serif" w:cs="CMU Serif"/>
          <w:lang w:val="en-ZA"/>
        </w:rPr>
        <w:t>An Event Study of COVID-19 Central Bank Quantitative Easing in Advanced and Emerging Economies.</w:t>
      </w:r>
      <w:r w:rsidR="00DD02CD" w:rsidRPr="00DD1225">
        <w:rPr>
          <w:rFonts w:ascii="CMU Serif" w:hAnsi="CMU Serif" w:cs="CMU Serif"/>
          <w:lang w:val="en-ZA"/>
        </w:rPr>
        <w:t>"</w:t>
      </w:r>
      <w:r w:rsidRPr="00DD1225">
        <w:rPr>
          <w:rFonts w:ascii="CMU Serif" w:hAnsi="CMU Serif" w:cs="CMU Serif"/>
          <w:lang w:val="en-ZA"/>
        </w:rPr>
        <w:t xml:space="preserve"> NBER Working Paper No. w27339.</w:t>
      </w:r>
    </w:p>
    <w:p w14:paraId="5D2CE71C" w14:textId="4530E71F" w:rsidR="009E2E86" w:rsidRPr="00DD1225" w:rsidRDefault="00AE209A" w:rsidP="00CF34D9">
      <w:pPr>
        <w:spacing w:after="0" w:line="240" w:lineRule="auto"/>
        <w:ind w:left="567" w:hanging="567"/>
        <w:jc w:val="both"/>
        <w:rPr>
          <w:rFonts w:ascii="CMU Serif" w:hAnsi="CMU Serif" w:cs="CMU Serif"/>
          <w:lang w:val="en-ZA"/>
        </w:rPr>
      </w:pPr>
      <w:r w:rsidRPr="00DD1225">
        <w:rPr>
          <w:rFonts w:ascii="CMU Serif" w:hAnsi="CMU Serif" w:cs="CMU Serif"/>
          <w:lang w:val="en-ZA"/>
        </w:rPr>
        <w:t xml:space="preserve">He, Z., S. Nagel, and Z Song. 2020. </w:t>
      </w:r>
      <w:r w:rsidR="00DD02CD" w:rsidRPr="00DD1225">
        <w:rPr>
          <w:rFonts w:ascii="CMU Serif" w:hAnsi="CMU Serif" w:cs="CMU Serif"/>
          <w:lang w:val="en-ZA"/>
        </w:rPr>
        <w:t>"</w:t>
      </w:r>
      <w:r w:rsidRPr="00DD1225">
        <w:rPr>
          <w:rFonts w:ascii="CMU Serif" w:hAnsi="CMU Serif" w:cs="CMU Serif"/>
          <w:lang w:val="en-ZA"/>
        </w:rPr>
        <w:t>Treasury Inconvenience Yields during the COVID-19 Crisis.</w:t>
      </w:r>
      <w:r w:rsidR="00DD02CD" w:rsidRPr="00DD1225">
        <w:rPr>
          <w:rFonts w:ascii="CMU Serif" w:hAnsi="CMU Serif" w:cs="CMU Serif"/>
          <w:lang w:val="en-ZA"/>
        </w:rPr>
        <w:t>"</w:t>
      </w:r>
      <w:r w:rsidRPr="00DD1225">
        <w:rPr>
          <w:rFonts w:ascii="CMU Serif" w:hAnsi="CMU Serif" w:cs="CMU Serif"/>
          <w:lang w:val="en-ZA"/>
        </w:rPr>
        <w:t xml:space="preserve"> Becker Friedman Institute. Working Paper No 2020-79.</w:t>
      </w:r>
    </w:p>
    <w:p w14:paraId="1EAB1788" w14:textId="0016A45A" w:rsidR="009E2E86" w:rsidRPr="00DD1225" w:rsidRDefault="00AE209A" w:rsidP="00CF34D9">
      <w:pPr>
        <w:spacing w:after="0" w:line="240" w:lineRule="auto"/>
        <w:ind w:left="567" w:hanging="567"/>
        <w:jc w:val="both"/>
        <w:rPr>
          <w:rFonts w:ascii="CMU Serif" w:hAnsi="CMU Serif" w:cs="CMU Serif"/>
          <w:lang w:val="en-ZA"/>
        </w:rPr>
      </w:pPr>
      <w:proofErr w:type="spellStart"/>
      <w:r w:rsidRPr="00DD1225">
        <w:rPr>
          <w:rFonts w:ascii="CMU Serif" w:hAnsi="CMU Serif" w:cs="CMU Serif"/>
          <w:lang w:val="en-ZA"/>
        </w:rPr>
        <w:t>Hilscher</w:t>
      </w:r>
      <w:proofErr w:type="spellEnd"/>
      <w:r w:rsidRPr="00DD1225">
        <w:rPr>
          <w:rFonts w:ascii="CMU Serif" w:hAnsi="CMU Serif" w:cs="CMU Serif"/>
          <w:lang w:val="en-ZA"/>
        </w:rPr>
        <w:t xml:space="preserve">, J., and Y. </w:t>
      </w:r>
      <w:proofErr w:type="spellStart"/>
      <w:r w:rsidRPr="00DD1225">
        <w:rPr>
          <w:rFonts w:ascii="CMU Serif" w:hAnsi="CMU Serif" w:cs="CMU Serif"/>
          <w:lang w:val="en-ZA"/>
        </w:rPr>
        <w:t>Nosbusch</w:t>
      </w:r>
      <w:proofErr w:type="spellEnd"/>
      <w:r w:rsidRPr="00DD1225">
        <w:rPr>
          <w:rFonts w:ascii="CMU Serif" w:hAnsi="CMU Serif" w:cs="CMU Serif"/>
          <w:lang w:val="en-ZA"/>
        </w:rPr>
        <w:t xml:space="preserve">. 2010. </w:t>
      </w:r>
      <w:r w:rsidR="00DD02CD" w:rsidRPr="00DD1225">
        <w:rPr>
          <w:rFonts w:ascii="CMU Serif" w:hAnsi="CMU Serif" w:cs="CMU Serif"/>
          <w:lang w:val="en-ZA"/>
        </w:rPr>
        <w:t>"</w:t>
      </w:r>
      <w:r w:rsidRPr="00DD1225">
        <w:rPr>
          <w:rFonts w:ascii="CMU Serif" w:hAnsi="CMU Serif" w:cs="CMU Serif"/>
          <w:lang w:val="en-ZA"/>
        </w:rPr>
        <w:t>Determinants of Sovereign Risk: Macroeconomic Fundamentals and the Pricing of Sovereign Debt.</w:t>
      </w:r>
      <w:r w:rsidR="00DD02CD" w:rsidRPr="00DD1225">
        <w:rPr>
          <w:rFonts w:ascii="CMU Serif" w:hAnsi="CMU Serif" w:cs="CMU Serif"/>
          <w:lang w:val="en-ZA"/>
        </w:rPr>
        <w:t>"</w:t>
      </w:r>
      <w:r w:rsidRPr="00DD1225">
        <w:rPr>
          <w:rFonts w:ascii="CMU Serif" w:hAnsi="CMU Serif" w:cs="CMU Serif"/>
          <w:lang w:val="en-ZA"/>
        </w:rPr>
        <w:t xml:space="preserve"> </w:t>
      </w:r>
      <w:r w:rsidRPr="00DD1225">
        <w:rPr>
          <w:rFonts w:ascii="CMU Serif" w:hAnsi="CMU Serif" w:cs="CMU Serif"/>
          <w:i/>
          <w:lang w:val="en-ZA"/>
        </w:rPr>
        <w:t xml:space="preserve">Review of Finance </w:t>
      </w:r>
      <w:r w:rsidRPr="00DD1225">
        <w:rPr>
          <w:rFonts w:ascii="CMU Serif" w:hAnsi="CMU Serif" w:cs="CMU Serif"/>
          <w:lang w:val="en-ZA"/>
        </w:rPr>
        <w:t>14(2): 235-262.</w:t>
      </w:r>
    </w:p>
    <w:p w14:paraId="24B287A3" w14:textId="4BDE81CA" w:rsidR="009E2E86" w:rsidRPr="00DD1225" w:rsidRDefault="00AE209A" w:rsidP="00CF34D9">
      <w:pPr>
        <w:spacing w:after="0" w:line="240" w:lineRule="auto"/>
        <w:ind w:left="567" w:hanging="567"/>
        <w:jc w:val="both"/>
        <w:rPr>
          <w:rFonts w:ascii="CMU Serif" w:hAnsi="CMU Serif" w:cs="CMU Serif"/>
          <w:lang w:val="en-ZA"/>
        </w:rPr>
      </w:pPr>
      <w:proofErr w:type="spellStart"/>
      <w:r w:rsidRPr="00DD1225">
        <w:rPr>
          <w:rFonts w:ascii="CMU Serif" w:hAnsi="CMU Serif" w:cs="CMU Serif"/>
          <w:lang w:val="en-ZA"/>
        </w:rPr>
        <w:t>Ilmanen</w:t>
      </w:r>
      <w:proofErr w:type="spellEnd"/>
      <w:r w:rsidRPr="00DD1225">
        <w:rPr>
          <w:rFonts w:ascii="CMU Serif" w:hAnsi="CMU Serif" w:cs="CMU Serif"/>
          <w:lang w:val="en-ZA"/>
        </w:rPr>
        <w:t xml:space="preserve">, A.S., R. Ronen, T.J. Moskowitz, A.K. Thapar, and F. Wang. 2019. </w:t>
      </w:r>
      <w:r w:rsidR="00DD02CD" w:rsidRPr="00DD1225">
        <w:rPr>
          <w:rFonts w:ascii="CMU Serif" w:hAnsi="CMU Serif" w:cs="CMU Serif"/>
          <w:lang w:val="en-ZA"/>
        </w:rPr>
        <w:t>"</w:t>
      </w:r>
      <w:r w:rsidRPr="00DD1225">
        <w:rPr>
          <w:rFonts w:ascii="CMU Serif" w:hAnsi="CMU Serif" w:cs="CMU Serif"/>
          <w:lang w:val="en-ZA"/>
        </w:rPr>
        <w:t>How Do Factor Premia Vary Over Time? A Century of Evidence.</w:t>
      </w:r>
      <w:r w:rsidR="00DD02CD" w:rsidRPr="00DD1225">
        <w:rPr>
          <w:rFonts w:ascii="CMU Serif" w:hAnsi="CMU Serif" w:cs="CMU Serif"/>
          <w:lang w:val="en-ZA"/>
        </w:rPr>
        <w:t>"</w:t>
      </w:r>
      <w:r w:rsidRPr="00DD1225">
        <w:rPr>
          <w:rFonts w:ascii="CMU Serif" w:hAnsi="CMU Serif" w:cs="CMU Serif"/>
          <w:lang w:val="en-ZA"/>
        </w:rPr>
        <w:t xml:space="preserve"> Available at SSRN: </w:t>
      </w:r>
      <w:hyperlink r:id="rId12" w:history="1">
        <w:r w:rsidRPr="00DD1225">
          <w:rPr>
            <w:rStyle w:val="Hyperlink"/>
            <w:rFonts w:ascii="CMU Serif" w:hAnsi="CMU Serif" w:cs="CMU Serif"/>
            <w:lang w:val="en-ZA"/>
          </w:rPr>
          <w:t>http://dx.doi.org/10.2139/ssrn.3400998</w:t>
        </w:r>
      </w:hyperlink>
      <w:r w:rsidRPr="00DD1225">
        <w:rPr>
          <w:rFonts w:ascii="CMU Serif" w:hAnsi="CMU Serif" w:cs="CMU Serif"/>
          <w:lang w:val="en-ZA"/>
        </w:rPr>
        <w:t>.</w:t>
      </w:r>
    </w:p>
    <w:p w14:paraId="53575EA9" w14:textId="4F5DF42A" w:rsidR="009E2E86" w:rsidRPr="00DD1225" w:rsidRDefault="00AE209A" w:rsidP="00E9184B">
      <w:pPr>
        <w:spacing w:after="0" w:line="240" w:lineRule="auto"/>
        <w:ind w:left="567" w:hanging="567"/>
        <w:jc w:val="both"/>
        <w:rPr>
          <w:rFonts w:ascii="CMU Serif" w:hAnsi="CMU Serif" w:cs="CMU Serif"/>
          <w:lang w:val="en-US"/>
        </w:rPr>
      </w:pPr>
      <w:r w:rsidRPr="00DD1225">
        <w:rPr>
          <w:rFonts w:ascii="CMU Serif" w:hAnsi="CMU Serif" w:cs="CMU Serif"/>
          <w:lang w:val="en-US"/>
        </w:rPr>
        <w:t xml:space="preserve">Karlsson, N., G. Loewenstein, and D. Seppi. 2009. </w:t>
      </w:r>
      <w:r w:rsidR="00DD02CD" w:rsidRPr="00DD1225">
        <w:rPr>
          <w:rFonts w:ascii="CMU Serif" w:hAnsi="CMU Serif" w:cs="CMU Serif"/>
          <w:lang w:val="en-US"/>
        </w:rPr>
        <w:t>"</w:t>
      </w:r>
      <w:r w:rsidRPr="00DD1225">
        <w:rPr>
          <w:rFonts w:ascii="CMU Serif" w:hAnsi="CMU Serif" w:cs="CMU Serif"/>
          <w:lang w:val="en-US"/>
        </w:rPr>
        <w:t>The Ostrich Effect: Selective Attention to Information.</w:t>
      </w:r>
      <w:r w:rsidR="00DD02CD" w:rsidRPr="00DD1225">
        <w:rPr>
          <w:rFonts w:ascii="CMU Serif" w:hAnsi="CMU Serif" w:cs="CMU Serif"/>
          <w:lang w:val="en-US"/>
        </w:rPr>
        <w:t>"</w:t>
      </w:r>
      <w:r w:rsidRPr="00DD1225">
        <w:rPr>
          <w:rFonts w:ascii="CMU Serif" w:hAnsi="CMU Serif" w:cs="CMU Serif"/>
          <w:lang w:val="en-US"/>
        </w:rPr>
        <w:t xml:space="preserve"> </w:t>
      </w:r>
      <w:r w:rsidRPr="00DD1225">
        <w:rPr>
          <w:rFonts w:ascii="CMU Serif" w:hAnsi="CMU Serif" w:cs="CMU Serif"/>
          <w:i/>
          <w:lang w:val="en-US"/>
        </w:rPr>
        <w:t>Journal of Risk and Uncertainty</w:t>
      </w:r>
      <w:r w:rsidRPr="00DD1225">
        <w:rPr>
          <w:rFonts w:ascii="CMU Serif" w:hAnsi="CMU Serif" w:cs="CMU Serif"/>
          <w:lang w:val="en-US"/>
        </w:rPr>
        <w:t xml:space="preserve"> 38(2): 95-115.</w:t>
      </w:r>
    </w:p>
    <w:p w14:paraId="59D74B71" w14:textId="4F562DEE" w:rsidR="009E2E86" w:rsidRPr="00DD1225" w:rsidRDefault="00AE209A" w:rsidP="008D13BF">
      <w:pPr>
        <w:spacing w:after="0" w:line="240" w:lineRule="auto"/>
        <w:ind w:left="567" w:hanging="567"/>
        <w:jc w:val="both"/>
        <w:rPr>
          <w:rFonts w:ascii="CMU Serif" w:hAnsi="CMU Serif" w:cs="CMU Serif"/>
          <w:lang w:val="en-ZA"/>
        </w:rPr>
      </w:pPr>
      <w:r w:rsidRPr="00DD1225">
        <w:rPr>
          <w:rFonts w:ascii="CMU Serif" w:hAnsi="CMU Serif" w:cs="CMU Serif"/>
          <w:lang w:val="en-ZA"/>
        </w:rPr>
        <w:t xml:space="preserve">Keynes, J.M. </w:t>
      </w:r>
      <w:r w:rsidRPr="00DD1225">
        <w:rPr>
          <w:rFonts w:ascii="CMU Serif" w:hAnsi="CMU Serif" w:cs="CMU Serif"/>
          <w:i/>
          <w:lang w:val="en-ZA"/>
        </w:rPr>
        <w:t>The General Theory of Employment, Interest and Money</w:t>
      </w:r>
      <w:r w:rsidRPr="00DD1225">
        <w:rPr>
          <w:rFonts w:ascii="CMU Serif" w:hAnsi="CMU Serif" w:cs="CMU Serif"/>
          <w:lang w:val="en-ZA"/>
        </w:rPr>
        <w:t>. Macmillan, London, 1936.</w:t>
      </w:r>
    </w:p>
    <w:p w14:paraId="382CEA6A" w14:textId="2923095E" w:rsidR="003E202C" w:rsidRPr="00DD1225" w:rsidRDefault="003E202C" w:rsidP="008D13BF">
      <w:pPr>
        <w:spacing w:after="0" w:line="240" w:lineRule="auto"/>
        <w:ind w:left="567" w:hanging="567"/>
        <w:jc w:val="both"/>
        <w:rPr>
          <w:rFonts w:ascii="CMU Serif" w:hAnsi="CMU Serif" w:cs="CMU Serif"/>
          <w:lang w:val="en-ZA"/>
        </w:rPr>
      </w:pPr>
      <w:bookmarkStart w:id="15" w:name="_Hlk61870430"/>
      <w:proofErr w:type="spellStart"/>
      <w:r w:rsidRPr="00DD1225">
        <w:rPr>
          <w:rFonts w:ascii="CMU Serif" w:hAnsi="CMU Serif" w:cs="CMU Serif"/>
          <w:lang w:val="en-ZA"/>
        </w:rPr>
        <w:t>Vissing</w:t>
      </w:r>
      <w:proofErr w:type="spellEnd"/>
      <w:r w:rsidRPr="00DD1225">
        <w:rPr>
          <w:rFonts w:ascii="CMU Serif" w:hAnsi="CMU Serif" w:cs="CMU Serif"/>
          <w:lang w:val="en-ZA"/>
        </w:rPr>
        <w:t xml:space="preserve"> Jorgensen, A. and A. Krishnamurthy. 2011. </w:t>
      </w:r>
      <w:r w:rsidR="00DD02CD" w:rsidRPr="00DD1225">
        <w:rPr>
          <w:rFonts w:ascii="CMU Serif" w:hAnsi="CMU Serif" w:cs="CMU Serif"/>
          <w:lang w:val="en-ZA"/>
        </w:rPr>
        <w:t>"</w:t>
      </w:r>
      <w:r w:rsidRPr="00DD1225">
        <w:rPr>
          <w:rFonts w:ascii="CMU Serif" w:hAnsi="CMU Serif" w:cs="CMU Serif"/>
          <w:lang w:val="en-ZA"/>
        </w:rPr>
        <w:t>The effects of quantitative easing on interest rates: Channels and implications for policy.</w:t>
      </w:r>
      <w:r w:rsidR="00DD02CD" w:rsidRPr="00DD1225">
        <w:rPr>
          <w:rFonts w:ascii="CMU Serif" w:hAnsi="CMU Serif" w:cs="CMU Serif"/>
          <w:lang w:val="en-ZA"/>
        </w:rPr>
        <w:t>"</w:t>
      </w:r>
      <w:r w:rsidRPr="00DD1225">
        <w:rPr>
          <w:rFonts w:ascii="CMU Serif" w:hAnsi="CMU Serif" w:cs="CMU Serif"/>
          <w:lang w:val="en-ZA"/>
        </w:rPr>
        <w:t xml:space="preserve"> </w:t>
      </w:r>
      <w:r w:rsidRPr="00DD1225">
        <w:rPr>
          <w:rFonts w:ascii="CMU Serif" w:hAnsi="CMU Serif" w:cs="CMU Serif"/>
          <w:i/>
          <w:iCs/>
          <w:lang w:val="en-ZA"/>
        </w:rPr>
        <w:t>Brookings Papers on Economic Activity</w:t>
      </w:r>
      <w:r w:rsidRPr="00DD1225">
        <w:rPr>
          <w:rFonts w:ascii="CMU Serif" w:hAnsi="CMU Serif" w:cs="CMU Serif"/>
          <w:lang w:val="en-ZA"/>
        </w:rPr>
        <w:t xml:space="preserve"> 43(2): 215-287.</w:t>
      </w:r>
    </w:p>
    <w:p w14:paraId="337603EB" w14:textId="77777777" w:rsidR="009E2E86" w:rsidRPr="00DD1225" w:rsidRDefault="00AE209A" w:rsidP="00CF34D9">
      <w:pPr>
        <w:spacing w:after="0" w:line="240" w:lineRule="auto"/>
        <w:ind w:left="567" w:hanging="567"/>
        <w:jc w:val="both"/>
        <w:rPr>
          <w:rFonts w:ascii="CMU Serif" w:hAnsi="CMU Serif" w:cs="CMU Serif"/>
          <w:lang w:val="en-ZA"/>
        </w:rPr>
      </w:pPr>
      <w:bookmarkStart w:id="16" w:name="_Hlk61939481"/>
      <w:bookmarkEnd w:id="15"/>
      <w:r w:rsidRPr="00DD1225">
        <w:rPr>
          <w:rFonts w:ascii="CMU Serif" w:hAnsi="CMU Serif" w:cs="CMU Serif"/>
          <w:lang w:val="en-ZA"/>
        </w:rPr>
        <w:t xml:space="preserve">Martens, M., P. </w:t>
      </w:r>
      <w:proofErr w:type="spellStart"/>
      <w:r w:rsidRPr="00DD1225">
        <w:rPr>
          <w:rFonts w:ascii="CMU Serif" w:hAnsi="CMU Serif" w:cs="CMU Serif"/>
          <w:lang w:val="en-ZA"/>
        </w:rPr>
        <w:t>Beekhuizen</w:t>
      </w:r>
      <w:proofErr w:type="spellEnd"/>
      <w:r w:rsidRPr="00DD1225">
        <w:rPr>
          <w:rFonts w:ascii="CMU Serif" w:hAnsi="CMU Serif" w:cs="CMU Serif"/>
          <w:lang w:val="en-ZA"/>
        </w:rPr>
        <w:t xml:space="preserve">, J. </w:t>
      </w:r>
      <w:proofErr w:type="spellStart"/>
      <w:r w:rsidRPr="00DD1225">
        <w:rPr>
          <w:rFonts w:ascii="CMU Serif" w:hAnsi="CMU Serif" w:cs="CMU Serif"/>
          <w:lang w:val="en-ZA"/>
        </w:rPr>
        <w:t>Duyvesteyn</w:t>
      </w:r>
      <w:proofErr w:type="spellEnd"/>
      <w:r w:rsidRPr="00DD1225">
        <w:rPr>
          <w:rFonts w:ascii="CMU Serif" w:hAnsi="CMU Serif" w:cs="CMU Serif"/>
          <w:lang w:val="en-ZA"/>
        </w:rPr>
        <w:t xml:space="preserve">, and C. </w:t>
      </w:r>
      <w:proofErr w:type="spellStart"/>
      <w:r w:rsidRPr="00DD1225">
        <w:rPr>
          <w:rFonts w:ascii="CMU Serif" w:hAnsi="CMU Serif" w:cs="CMU Serif"/>
          <w:lang w:val="en-ZA"/>
        </w:rPr>
        <w:t>Zomerdijk</w:t>
      </w:r>
      <w:proofErr w:type="spellEnd"/>
      <w:r w:rsidRPr="00DD1225">
        <w:rPr>
          <w:rFonts w:ascii="CMU Serif" w:hAnsi="CMU Serif" w:cs="CMU Serif"/>
          <w:lang w:val="en-ZA"/>
        </w:rPr>
        <w:t xml:space="preserve">. 2019. “Carry Investing on the Yield Curve.” </w:t>
      </w:r>
      <w:r w:rsidRPr="00DD1225">
        <w:rPr>
          <w:rFonts w:ascii="CMU Serif" w:hAnsi="CMU Serif" w:cs="CMU Serif"/>
          <w:i/>
          <w:lang w:val="en-ZA"/>
        </w:rPr>
        <w:t xml:space="preserve">Financial Analysts Journal </w:t>
      </w:r>
      <w:r w:rsidRPr="00DD1225">
        <w:rPr>
          <w:rFonts w:ascii="CMU Serif" w:hAnsi="CMU Serif" w:cs="CMU Serif"/>
          <w:lang w:val="en-ZA"/>
        </w:rPr>
        <w:t>75(4): 51-63.</w:t>
      </w:r>
    </w:p>
    <w:bookmarkEnd w:id="16"/>
    <w:p w14:paraId="51812E5A" w14:textId="7884E283" w:rsidR="009E2E86" w:rsidRPr="00DD1225" w:rsidRDefault="00AE209A" w:rsidP="008D13BF">
      <w:pPr>
        <w:spacing w:after="0" w:line="240" w:lineRule="auto"/>
        <w:ind w:left="567" w:hanging="567"/>
        <w:jc w:val="both"/>
        <w:rPr>
          <w:rFonts w:ascii="CMU Serif" w:hAnsi="CMU Serif" w:cs="CMU Serif"/>
          <w:lang w:val="en-ZA"/>
        </w:rPr>
      </w:pPr>
      <w:proofErr w:type="spellStart"/>
      <w:r w:rsidRPr="00DD1225">
        <w:rPr>
          <w:rFonts w:ascii="CMU Serif" w:hAnsi="CMU Serif" w:cs="CMU Serif"/>
          <w:lang w:val="en-ZA"/>
        </w:rPr>
        <w:t>Pusch</w:t>
      </w:r>
      <w:proofErr w:type="spellEnd"/>
      <w:r w:rsidRPr="00DD1225">
        <w:rPr>
          <w:rFonts w:ascii="CMU Serif" w:hAnsi="CMU Serif" w:cs="CMU Serif"/>
          <w:lang w:val="en-ZA"/>
        </w:rPr>
        <w:t xml:space="preserve">, T. 2012. </w:t>
      </w:r>
      <w:r w:rsidR="00DD02CD" w:rsidRPr="00DD1225">
        <w:rPr>
          <w:rFonts w:ascii="CMU Serif" w:hAnsi="CMU Serif" w:cs="CMU Serif"/>
          <w:lang w:val="en-ZA"/>
        </w:rPr>
        <w:t>"</w:t>
      </w:r>
      <w:r w:rsidRPr="00DD1225">
        <w:rPr>
          <w:rFonts w:ascii="CMU Serif" w:hAnsi="CMU Serif" w:cs="CMU Serif"/>
          <w:lang w:val="en-ZA"/>
        </w:rPr>
        <w:t>The Role of Uncertainty in the Euro Crisis - a Reconsideration of Liquidity Preference Theory.</w:t>
      </w:r>
      <w:r w:rsidR="00DD02CD" w:rsidRPr="00DD1225">
        <w:rPr>
          <w:rFonts w:ascii="CMU Serif" w:hAnsi="CMU Serif" w:cs="CMU Serif"/>
          <w:lang w:val="en-ZA"/>
        </w:rPr>
        <w:t>"</w:t>
      </w:r>
      <w:r w:rsidRPr="00DD1225">
        <w:rPr>
          <w:rFonts w:ascii="CMU Serif" w:hAnsi="CMU Serif" w:cs="CMU Serif"/>
          <w:lang w:val="en-ZA"/>
        </w:rPr>
        <w:t xml:space="preserve"> ZÖSS Discussion Paper, 31. Hamburg: Universität Hamburg. https://nbn-resolving.org/urn:nbn:de:0168-ssoar-59841-5.</w:t>
      </w:r>
    </w:p>
    <w:p w14:paraId="63DC26AF" w14:textId="2F59D017" w:rsidR="009E2E86" w:rsidRPr="00DD1225" w:rsidRDefault="00AE209A" w:rsidP="008D13BF">
      <w:pPr>
        <w:spacing w:after="0" w:line="240" w:lineRule="auto"/>
        <w:ind w:left="567" w:hanging="567"/>
        <w:jc w:val="both"/>
        <w:rPr>
          <w:rFonts w:ascii="CMU Serif" w:hAnsi="CMU Serif" w:cs="CMU Serif"/>
          <w:lang w:val="en-ZA"/>
        </w:rPr>
      </w:pPr>
      <w:r w:rsidRPr="00DD1225">
        <w:rPr>
          <w:rFonts w:ascii="CMU Serif" w:hAnsi="CMU Serif" w:cs="CMU Serif"/>
          <w:lang w:val="en-ZA"/>
        </w:rPr>
        <w:t xml:space="preserve">Rudebusch, G.D., and T. Wu. 2008. </w:t>
      </w:r>
      <w:r w:rsidR="00DD02CD" w:rsidRPr="00DD1225">
        <w:rPr>
          <w:rFonts w:ascii="CMU Serif" w:hAnsi="CMU Serif" w:cs="CMU Serif"/>
          <w:lang w:val="en-ZA"/>
        </w:rPr>
        <w:t>"</w:t>
      </w:r>
      <w:r w:rsidRPr="00DD1225">
        <w:rPr>
          <w:rFonts w:ascii="CMU Serif" w:hAnsi="CMU Serif" w:cs="CMU Serif"/>
          <w:lang w:val="en-ZA"/>
        </w:rPr>
        <w:t>A Macro-Finance Model of the Term Structure, Monetary Policy and the Economy.</w:t>
      </w:r>
      <w:r w:rsidR="00DD02CD" w:rsidRPr="00DD1225">
        <w:rPr>
          <w:rFonts w:ascii="CMU Serif" w:hAnsi="CMU Serif" w:cs="CMU Serif"/>
          <w:lang w:val="en-ZA"/>
        </w:rPr>
        <w:t>"</w:t>
      </w:r>
      <w:r w:rsidRPr="00DD1225">
        <w:rPr>
          <w:rFonts w:ascii="CMU Serif" w:hAnsi="CMU Serif" w:cs="CMU Serif"/>
          <w:lang w:val="en-ZA"/>
        </w:rPr>
        <w:t xml:space="preserve"> </w:t>
      </w:r>
      <w:r w:rsidRPr="00DD1225">
        <w:rPr>
          <w:rFonts w:ascii="CMU Serif" w:hAnsi="CMU Serif" w:cs="CMU Serif"/>
          <w:i/>
          <w:lang w:val="en-ZA"/>
        </w:rPr>
        <w:t>Economic Journal</w:t>
      </w:r>
      <w:r w:rsidRPr="00DD1225">
        <w:rPr>
          <w:rFonts w:ascii="CMU Serif" w:hAnsi="CMU Serif" w:cs="CMU Serif"/>
          <w:lang w:val="en-ZA"/>
        </w:rPr>
        <w:t xml:space="preserve"> 118 (530), 906–926.</w:t>
      </w:r>
    </w:p>
    <w:p w14:paraId="0FC4E84F" w14:textId="025C3199" w:rsidR="009E2E86" w:rsidRPr="00DD1225" w:rsidRDefault="00AE209A" w:rsidP="00573D96">
      <w:pPr>
        <w:spacing w:after="0" w:line="240" w:lineRule="auto"/>
        <w:ind w:left="567" w:hanging="567"/>
        <w:jc w:val="both"/>
        <w:rPr>
          <w:rFonts w:ascii="CMU Serif" w:hAnsi="CMU Serif" w:cs="CMU Serif"/>
          <w:lang w:val="en-ZA"/>
        </w:rPr>
      </w:pPr>
      <w:bookmarkStart w:id="17" w:name="_Hlk61342060"/>
      <w:proofErr w:type="spellStart"/>
      <w:r w:rsidRPr="00DD1225">
        <w:rPr>
          <w:rFonts w:ascii="CMU Serif" w:hAnsi="CMU Serif" w:cs="CMU Serif"/>
          <w:lang w:val="en-ZA"/>
        </w:rPr>
        <w:t>Sène</w:t>
      </w:r>
      <w:proofErr w:type="spellEnd"/>
      <w:r w:rsidRPr="00DD1225">
        <w:rPr>
          <w:rFonts w:ascii="CMU Serif" w:hAnsi="CMU Serif" w:cs="CMU Serif"/>
          <w:lang w:val="en-ZA"/>
        </w:rPr>
        <w:t xml:space="preserve">, B., M.L. Mbengue, and M.M. </w:t>
      </w:r>
      <w:proofErr w:type="spellStart"/>
      <w:r w:rsidRPr="00DD1225">
        <w:rPr>
          <w:rFonts w:ascii="CMU Serif" w:hAnsi="CMU Serif" w:cs="CMU Serif"/>
          <w:lang w:val="en-ZA"/>
        </w:rPr>
        <w:t>Allaya</w:t>
      </w:r>
      <w:proofErr w:type="spellEnd"/>
      <w:r w:rsidRPr="00DD1225">
        <w:rPr>
          <w:rFonts w:ascii="CMU Serif" w:hAnsi="CMU Serif" w:cs="CMU Serif"/>
          <w:lang w:val="en-ZA"/>
        </w:rPr>
        <w:t xml:space="preserve">. 2020. </w:t>
      </w:r>
      <w:r w:rsidR="00DD02CD" w:rsidRPr="00DD1225">
        <w:rPr>
          <w:rFonts w:ascii="CMU Serif" w:hAnsi="CMU Serif" w:cs="CMU Serif"/>
          <w:lang w:val="en-ZA"/>
        </w:rPr>
        <w:t>"</w:t>
      </w:r>
      <w:r w:rsidRPr="00DD1225">
        <w:rPr>
          <w:rFonts w:ascii="CMU Serif" w:hAnsi="CMU Serif" w:cs="CMU Serif"/>
          <w:lang w:val="en-ZA"/>
        </w:rPr>
        <w:t>Overshooting of Sovereign Emerging Eurobond Yields in the Context of COVID-19.</w:t>
      </w:r>
      <w:r w:rsidR="00DD02CD" w:rsidRPr="00DD1225">
        <w:rPr>
          <w:rFonts w:ascii="CMU Serif" w:hAnsi="CMU Serif" w:cs="CMU Serif"/>
          <w:lang w:val="en-ZA"/>
        </w:rPr>
        <w:t>"</w:t>
      </w:r>
      <w:r w:rsidRPr="00DD1225">
        <w:rPr>
          <w:rFonts w:ascii="CMU Serif" w:hAnsi="CMU Serif" w:cs="CMU Serif"/>
          <w:lang w:val="en-ZA"/>
        </w:rPr>
        <w:t xml:space="preserve"> </w:t>
      </w:r>
      <w:r w:rsidRPr="00DD1225">
        <w:rPr>
          <w:rFonts w:ascii="CMU Serif" w:hAnsi="CMU Serif" w:cs="CMU Serif"/>
          <w:i/>
          <w:lang w:val="en-ZA"/>
        </w:rPr>
        <w:t>Finance Research Letters</w:t>
      </w:r>
      <w:r w:rsidRPr="00DD1225">
        <w:rPr>
          <w:rFonts w:ascii="CMU Serif" w:hAnsi="CMU Serif" w:cs="CMU Serif"/>
          <w:lang w:val="en-ZA"/>
        </w:rPr>
        <w:t>, forthcoming.</w:t>
      </w:r>
    </w:p>
    <w:bookmarkEnd w:id="17"/>
    <w:p w14:paraId="1010E549" w14:textId="77777777" w:rsidR="009E2E86" w:rsidRPr="00DD1225" w:rsidRDefault="00AE209A" w:rsidP="008D13BF">
      <w:pPr>
        <w:spacing w:after="0" w:line="240" w:lineRule="auto"/>
        <w:ind w:left="567" w:hanging="567"/>
        <w:jc w:val="both"/>
        <w:rPr>
          <w:rFonts w:ascii="CMU Serif" w:hAnsi="CMU Serif" w:cs="CMU Serif"/>
          <w:lang w:val="en-ZA"/>
        </w:rPr>
      </w:pPr>
      <w:r w:rsidRPr="00DD1225">
        <w:rPr>
          <w:rFonts w:ascii="CMU Serif" w:hAnsi="CMU Serif" w:cs="CMU Serif"/>
          <w:lang w:val="en-ZA"/>
        </w:rPr>
        <w:t>Sherri, S., and E. Zoli. 2009.  "Euro Area Sovereign Risk During the Crisis." IMF Working Papers, No. W.P./09/222.</w:t>
      </w:r>
    </w:p>
    <w:p w14:paraId="7338D90A" w14:textId="42778A0B" w:rsidR="009E2E86" w:rsidRPr="00DD1225" w:rsidRDefault="00AE209A" w:rsidP="00FF6069">
      <w:pPr>
        <w:spacing w:after="0" w:line="240" w:lineRule="auto"/>
        <w:ind w:left="567" w:hanging="567"/>
        <w:jc w:val="both"/>
        <w:rPr>
          <w:rFonts w:ascii="Times New Roman" w:hAnsi="Times New Roman" w:cs="Times New Roman"/>
          <w:lang w:val="en-US"/>
        </w:rPr>
      </w:pPr>
      <w:bookmarkStart w:id="18" w:name="_Hlk61870480"/>
      <w:r w:rsidRPr="00DD1225">
        <w:rPr>
          <w:rFonts w:ascii="CMU Serif" w:hAnsi="CMU Serif" w:cs="CMU Serif"/>
          <w:lang w:val="en-US"/>
        </w:rPr>
        <w:t xml:space="preserve">Thaler, R.H., and E.J. Johnson. 1990. </w:t>
      </w:r>
      <w:r w:rsidR="00DD02CD" w:rsidRPr="00DD1225">
        <w:rPr>
          <w:rFonts w:ascii="CMU Serif" w:hAnsi="CMU Serif" w:cs="CMU Serif"/>
          <w:lang w:val="en-US"/>
        </w:rPr>
        <w:t>"</w:t>
      </w:r>
      <w:r w:rsidRPr="00DD1225">
        <w:rPr>
          <w:rFonts w:ascii="CMU Serif" w:hAnsi="CMU Serif" w:cs="CMU Serif"/>
          <w:lang w:val="en-US"/>
        </w:rPr>
        <w:t>Gambling with the House Money and Trying to Break Even: The Effects of Prior Outcomes on Risky Choice.</w:t>
      </w:r>
      <w:r w:rsidR="00DD02CD" w:rsidRPr="00DD1225">
        <w:rPr>
          <w:rFonts w:ascii="CMU Serif" w:hAnsi="CMU Serif" w:cs="CMU Serif"/>
          <w:lang w:val="en-US"/>
        </w:rPr>
        <w:t>"</w:t>
      </w:r>
      <w:r w:rsidRPr="00DD1225">
        <w:rPr>
          <w:rFonts w:ascii="CMU Serif" w:hAnsi="CMU Serif" w:cs="CMU Serif"/>
          <w:lang w:val="en-US"/>
        </w:rPr>
        <w:t xml:space="preserve"> </w:t>
      </w:r>
      <w:r w:rsidRPr="00DD1225">
        <w:rPr>
          <w:rFonts w:ascii="CMU Serif" w:hAnsi="CMU Serif" w:cs="CMU Serif"/>
          <w:i/>
          <w:lang w:val="en-US"/>
        </w:rPr>
        <w:t>Management Science</w:t>
      </w:r>
      <w:r w:rsidRPr="00DD1225">
        <w:rPr>
          <w:rFonts w:ascii="CMU Serif" w:hAnsi="CMU Serif" w:cs="CMU Serif"/>
          <w:lang w:val="en-US"/>
        </w:rPr>
        <w:t>: 36(6): 643-660.</w:t>
      </w:r>
      <w:r w:rsidRPr="00DD1225">
        <w:rPr>
          <w:rFonts w:ascii="Times New Roman" w:hAnsi="Times New Roman" w:cs="Times New Roman" w:hint="cs"/>
          <w:rtl/>
          <w:lang w:val="en-US"/>
        </w:rPr>
        <w:t>‏</w:t>
      </w:r>
    </w:p>
    <w:p w14:paraId="0A976F68" w14:textId="13E83316" w:rsidR="00051C56" w:rsidRPr="00DD1225" w:rsidRDefault="00051C56" w:rsidP="00FF6069">
      <w:pPr>
        <w:spacing w:after="0" w:line="240" w:lineRule="auto"/>
        <w:ind w:left="567" w:hanging="567"/>
        <w:jc w:val="both"/>
        <w:rPr>
          <w:rFonts w:ascii="CMU Serif" w:hAnsi="CMU Serif" w:cs="CMU Serif"/>
          <w:lang w:val="en-US"/>
        </w:rPr>
      </w:pPr>
      <w:bookmarkStart w:id="19" w:name="_Hlk61870437"/>
      <w:bookmarkEnd w:id="18"/>
      <w:proofErr w:type="spellStart"/>
      <w:r w:rsidRPr="00DD1225">
        <w:rPr>
          <w:rFonts w:ascii="CMU Serif" w:hAnsi="CMU Serif" w:cs="CMU Serif"/>
          <w:lang w:val="en-US"/>
        </w:rPr>
        <w:t>Vayanos</w:t>
      </w:r>
      <w:proofErr w:type="spellEnd"/>
      <w:r w:rsidRPr="00DD1225">
        <w:rPr>
          <w:rFonts w:ascii="CMU Serif" w:hAnsi="CMU Serif" w:cs="CMU Serif"/>
          <w:lang w:val="en-US"/>
        </w:rPr>
        <w:t xml:space="preserve">, D., and J.‐L. Vila. 2021. </w:t>
      </w:r>
      <w:r w:rsidR="00DD02CD" w:rsidRPr="00DD1225">
        <w:rPr>
          <w:rFonts w:ascii="CMU Serif" w:hAnsi="CMU Serif" w:cs="CMU Serif"/>
          <w:lang w:val="en-US"/>
        </w:rPr>
        <w:t>"</w:t>
      </w:r>
      <w:r w:rsidRPr="00DD1225">
        <w:rPr>
          <w:rFonts w:ascii="CMU Serif" w:hAnsi="CMU Serif" w:cs="CMU Serif"/>
          <w:lang w:val="en-US"/>
        </w:rPr>
        <w:t>A Preferred-Habitat Model of the Term Structure of Interest Rates.</w:t>
      </w:r>
      <w:r w:rsidR="00DD02CD" w:rsidRPr="00DD1225">
        <w:rPr>
          <w:rFonts w:ascii="CMU Serif" w:hAnsi="CMU Serif" w:cs="CMU Serif"/>
          <w:lang w:val="en-US"/>
        </w:rPr>
        <w:t>"</w:t>
      </w:r>
      <w:r w:rsidRPr="00DD1225">
        <w:rPr>
          <w:rFonts w:ascii="CMU Serif" w:hAnsi="CMU Serif" w:cs="CMU Serif"/>
          <w:lang w:val="en-US"/>
        </w:rPr>
        <w:t xml:space="preserve"> </w:t>
      </w:r>
      <w:proofErr w:type="spellStart"/>
      <w:r w:rsidRPr="00DD1225">
        <w:rPr>
          <w:rFonts w:ascii="CMU Serif" w:hAnsi="CMU Serif" w:cs="CMU Serif"/>
          <w:i/>
          <w:iCs/>
          <w:lang w:val="en-US"/>
        </w:rPr>
        <w:t>Econometrica</w:t>
      </w:r>
      <w:proofErr w:type="spellEnd"/>
      <w:r w:rsidRPr="00DD1225">
        <w:rPr>
          <w:rFonts w:ascii="CMU Serif" w:hAnsi="CMU Serif" w:cs="CMU Serif"/>
          <w:lang w:val="en-US"/>
        </w:rPr>
        <w:t xml:space="preserve"> 89(1): 77-112.</w:t>
      </w:r>
    </w:p>
    <w:bookmarkEnd w:id="19"/>
    <w:p w14:paraId="66EB4553" w14:textId="3A4840F5" w:rsidR="009E2E86" w:rsidRPr="00DD1225" w:rsidRDefault="00AE209A" w:rsidP="00AB0652">
      <w:pPr>
        <w:spacing w:after="0" w:line="240" w:lineRule="auto"/>
        <w:ind w:left="567" w:hanging="567"/>
        <w:jc w:val="both"/>
        <w:rPr>
          <w:rFonts w:ascii="CMU Serif" w:hAnsi="CMU Serif" w:cs="CMU Serif"/>
          <w:lang w:val="en-ZA"/>
        </w:rPr>
      </w:pPr>
      <w:r w:rsidRPr="00DD1225">
        <w:rPr>
          <w:rFonts w:ascii="CMU Serif" w:hAnsi="CMU Serif" w:cs="CMU Serif"/>
          <w:lang w:val="en-ZA"/>
        </w:rPr>
        <w:t xml:space="preserve">Wheelock, D.C., and M.E. </w:t>
      </w:r>
      <w:proofErr w:type="spellStart"/>
      <w:r w:rsidRPr="00DD1225">
        <w:rPr>
          <w:rFonts w:ascii="CMU Serif" w:hAnsi="CMU Serif" w:cs="CMU Serif"/>
          <w:lang w:val="en-ZA"/>
        </w:rPr>
        <w:t>Wohar</w:t>
      </w:r>
      <w:proofErr w:type="spellEnd"/>
      <w:r w:rsidRPr="00DD1225">
        <w:rPr>
          <w:rFonts w:ascii="CMU Serif" w:hAnsi="CMU Serif" w:cs="CMU Serif"/>
          <w:lang w:val="en-ZA"/>
        </w:rPr>
        <w:t xml:space="preserve">. 2009. </w:t>
      </w:r>
      <w:r w:rsidR="00DD02CD" w:rsidRPr="00DD1225">
        <w:rPr>
          <w:rFonts w:ascii="CMU Serif" w:hAnsi="CMU Serif" w:cs="CMU Serif"/>
          <w:lang w:val="en-ZA"/>
        </w:rPr>
        <w:t>"</w:t>
      </w:r>
      <w:r w:rsidRPr="00DD1225">
        <w:rPr>
          <w:rFonts w:ascii="CMU Serif" w:hAnsi="CMU Serif" w:cs="CMU Serif"/>
          <w:lang w:val="en-ZA"/>
        </w:rPr>
        <w:t>Can the Term Spread Predict Output Growth and Recessions? A Survey of the Literature.</w:t>
      </w:r>
      <w:r w:rsidR="00DD02CD" w:rsidRPr="00DD1225">
        <w:rPr>
          <w:rFonts w:ascii="CMU Serif" w:hAnsi="CMU Serif" w:cs="CMU Serif"/>
          <w:lang w:val="en-ZA"/>
        </w:rPr>
        <w:t>"</w:t>
      </w:r>
      <w:r w:rsidRPr="00DD1225">
        <w:rPr>
          <w:rFonts w:ascii="CMU Serif" w:hAnsi="CMU Serif" w:cs="CMU Serif"/>
          <w:lang w:val="en-ZA"/>
        </w:rPr>
        <w:t xml:space="preserve"> </w:t>
      </w:r>
      <w:r w:rsidRPr="00DD1225">
        <w:rPr>
          <w:rFonts w:ascii="CMU Serif" w:hAnsi="CMU Serif" w:cs="CMU Serif"/>
          <w:i/>
          <w:lang w:val="en-ZA"/>
        </w:rPr>
        <w:t>FED St. Louis Review</w:t>
      </w:r>
      <w:r w:rsidRPr="00DD1225">
        <w:rPr>
          <w:rFonts w:ascii="CMU Serif" w:hAnsi="CMU Serif" w:cs="CMU Serif"/>
          <w:lang w:val="en-ZA"/>
        </w:rPr>
        <w:t xml:space="preserve"> 91(5): 419-40.</w:t>
      </w:r>
    </w:p>
    <w:p w14:paraId="00F0C65B" w14:textId="673DC36D" w:rsidR="00975D7B" w:rsidRPr="00DD1225" w:rsidRDefault="00975D7B" w:rsidP="00AB0652">
      <w:pPr>
        <w:spacing w:after="0" w:line="240" w:lineRule="auto"/>
        <w:ind w:left="567" w:hanging="567"/>
        <w:jc w:val="both"/>
        <w:rPr>
          <w:rFonts w:ascii="CMU Serif" w:hAnsi="CMU Serif" w:cs="CMU Serif"/>
          <w:lang w:val="en-ZA"/>
        </w:rPr>
      </w:pPr>
      <w:r w:rsidRPr="00DD1225">
        <w:rPr>
          <w:rFonts w:ascii="CMU Serif" w:hAnsi="CMU Serif" w:cs="CMU Serif"/>
          <w:lang w:val="en-ZA"/>
        </w:rPr>
        <w:t xml:space="preserve">Zaremba, A., Kizys, R., and D.Y. </w:t>
      </w:r>
      <w:proofErr w:type="spellStart"/>
      <w:r w:rsidRPr="00DD1225">
        <w:rPr>
          <w:rFonts w:ascii="CMU Serif" w:hAnsi="CMU Serif" w:cs="CMU Serif"/>
          <w:lang w:val="en-ZA"/>
        </w:rPr>
        <w:t>Aharon</w:t>
      </w:r>
      <w:proofErr w:type="spellEnd"/>
      <w:r w:rsidRPr="00DD1225">
        <w:rPr>
          <w:rFonts w:ascii="CMU Serif" w:hAnsi="CMU Serif" w:cs="CMU Serif"/>
          <w:lang w:val="en-ZA"/>
        </w:rPr>
        <w:t>. 2020. "Volatility in International Sovereign Bond Markets: The Role of Government Policy Responses to the COVID-19 Pandemic.</w:t>
      </w:r>
      <w:r w:rsidR="00AF238C" w:rsidRPr="00DD1225">
        <w:rPr>
          <w:rFonts w:ascii="CMU Serif" w:hAnsi="CMU Serif" w:cs="CMU Serif"/>
          <w:lang w:val="en-ZA"/>
        </w:rPr>
        <w:t>"</w:t>
      </w:r>
      <w:r w:rsidRPr="00DD1225">
        <w:rPr>
          <w:rFonts w:ascii="CMU Serif" w:hAnsi="CMU Serif" w:cs="CMU Serif"/>
          <w:lang w:val="en-ZA"/>
        </w:rPr>
        <w:t xml:space="preserve"> Available at SSRN: </w:t>
      </w:r>
      <w:hyperlink r:id="rId13" w:history="1">
        <w:r w:rsidRPr="00DD1225">
          <w:rPr>
            <w:rStyle w:val="Hyperlink"/>
            <w:rFonts w:ascii="CMU Serif" w:hAnsi="CMU Serif" w:cs="CMU Serif"/>
            <w:lang w:val="en-ZA"/>
          </w:rPr>
          <w:t>https://ssrn.com/abstract=3716549</w:t>
        </w:r>
      </w:hyperlink>
      <w:r w:rsidR="00AF238C" w:rsidRPr="00DD1225">
        <w:rPr>
          <w:rFonts w:ascii="CMU Serif" w:hAnsi="CMU Serif" w:cs="CMU Serif"/>
          <w:lang w:val="en-ZA"/>
        </w:rPr>
        <w:t>.</w:t>
      </w:r>
    </w:p>
    <w:p w14:paraId="0F12248B" w14:textId="77777777" w:rsidR="008B6799" w:rsidRPr="00DD1225" w:rsidRDefault="008B6799" w:rsidP="00AB0652">
      <w:pPr>
        <w:spacing w:after="0" w:line="240" w:lineRule="auto"/>
        <w:ind w:left="567" w:hanging="567"/>
        <w:jc w:val="both"/>
        <w:rPr>
          <w:rFonts w:ascii="CMU Serif" w:hAnsi="CMU Serif" w:cs="CMU Serif"/>
          <w:lang w:val="en-ZA"/>
        </w:rPr>
      </w:pPr>
    </w:p>
    <w:p w14:paraId="2E659A28" w14:textId="5D95CE37" w:rsidR="008B6799" w:rsidRPr="00DD1225" w:rsidRDefault="008B6799" w:rsidP="00AB0652">
      <w:pPr>
        <w:spacing w:after="0" w:line="240" w:lineRule="auto"/>
        <w:ind w:left="567" w:hanging="567"/>
        <w:jc w:val="both"/>
        <w:rPr>
          <w:rFonts w:ascii="CMU Serif" w:hAnsi="CMU Serif" w:cs="CMU Serif"/>
          <w:lang w:val="en-ZA"/>
        </w:rPr>
        <w:sectPr w:rsidR="008B6799" w:rsidRPr="00DD1225" w:rsidSect="009E2E86">
          <w:footerReference w:type="default" r:id="rId14"/>
          <w:pgSz w:w="11906" w:h="16838"/>
          <w:pgMar w:top="1417" w:right="1417" w:bottom="1417" w:left="1417" w:header="708" w:footer="708" w:gutter="0"/>
          <w:lnNumType w:countBy="1" w:restart="continuous"/>
          <w:cols w:space="708"/>
          <w:docGrid w:linePitch="360"/>
        </w:sectPr>
      </w:pPr>
    </w:p>
    <w:p w14:paraId="372CD27A" w14:textId="5B859302" w:rsidR="00A87F08" w:rsidRPr="00DD1225" w:rsidRDefault="00AE209A" w:rsidP="00AB0652">
      <w:pPr>
        <w:spacing w:after="0" w:line="360" w:lineRule="auto"/>
        <w:ind w:left="567" w:hanging="567"/>
        <w:jc w:val="center"/>
        <w:rPr>
          <w:rFonts w:ascii="CMU Serif" w:hAnsi="CMU Serif" w:cs="CMU Serif"/>
          <w:b/>
          <w:lang w:val="en-ZA"/>
        </w:rPr>
      </w:pPr>
      <w:r w:rsidRPr="00DD1225">
        <w:rPr>
          <w:rFonts w:ascii="CMU Serif" w:hAnsi="CMU Serif" w:cs="CMU Serif"/>
          <w:b/>
          <w:lang w:val="en-ZA"/>
        </w:rPr>
        <w:t>Table 1.</w:t>
      </w:r>
      <w:r w:rsidRPr="00DD1225">
        <w:rPr>
          <w:rFonts w:ascii="CMU Serif" w:hAnsi="CMU Serif" w:cs="CMU Serif"/>
          <w:lang w:val="en-ZA"/>
        </w:rPr>
        <w:t xml:space="preserve"> </w:t>
      </w:r>
      <w:r w:rsidRPr="00DD1225">
        <w:rPr>
          <w:rFonts w:ascii="CMU Serif" w:hAnsi="CMU Serif" w:cs="CMU Serif"/>
          <w:i/>
          <w:lang w:val="en-ZA"/>
        </w:rPr>
        <w:t>COVID-19 and Term Spreads: Panel Regression Results</w:t>
      </w:r>
    </w:p>
    <w:p w14:paraId="4D935EAC" w14:textId="39D6A8D0" w:rsidR="001F79F0" w:rsidRPr="00DD1225" w:rsidRDefault="00AE209A" w:rsidP="00220320">
      <w:pPr>
        <w:jc w:val="both"/>
        <w:rPr>
          <w:rFonts w:ascii="CMU Serif" w:eastAsia="Times New Roman" w:hAnsi="CMU Serif" w:cs="CMU Serif"/>
          <w:color w:val="000000"/>
          <w:sz w:val="20"/>
          <w:szCs w:val="20"/>
          <w:lang w:val="en-ZA" w:eastAsia="pl-PL"/>
        </w:rPr>
      </w:pPr>
      <w:r w:rsidRPr="00DD1225">
        <w:rPr>
          <w:rFonts w:ascii="CMU Serif" w:hAnsi="CMU Serif" w:cs="CMU Serif"/>
          <w:sz w:val="20"/>
          <w:szCs w:val="20"/>
          <w:lang w:val="en-ZA"/>
        </w:rPr>
        <w:t xml:space="preserve">The table </w:t>
      </w:r>
      <w:r w:rsidR="001D5C63" w:rsidRPr="00DD1225">
        <w:rPr>
          <w:rFonts w:ascii="CMU Serif" w:hAnsi="CMU Serif" w:cs="CMU Serif"/>
          <w:sz w:val="20"/>
          <w:szCs w:val="20"/>
          <w:lang w:val="en-ZA"/>
        </w:rPr>
        <w:t>summarizes</w:t>
      </w:r>
      <w:r w:rsidR="00AA24D6" w:rsidRPr="00DD1225">
        <w:rPr>
          <w:rFonts w:ascii="CMU Serif" w:hAnsi="CMU Serif" w:cs="CMU Serif"/>
          <w:sz w:val="20"/>
          <w:szCs w:val="20"/>
          <w:lang w:val="en-ZA"/>
        </w:rPr>
        <w:t xml:space="preserve"> panel data regressions</w:t>
      </w:r>
      <w:r w:rsidR="008E0A97" w:rsidRPr="00DD1225">
        <w:rPr>
          <w:rFonts w:ascii="CMU Serif" w:hAnsi="CMU Serif" w:cs="CMU Serif"/>
          <w:sz w:val="20"/>
          <w:szCs w:val="20"/>
          <w:lang w:val="en-ZA"/>
        </w:rPr>
        <w:t>. The dependent variable is the spread (</w:t>
      </w:r>
      <w:r w:rsidR="008E0A97" w:rsidRPr="00DD1225">
        <w:rPr>
          <w:rFonts w:ascii="CMU Serif" w:hAnsi="CMU Serif" w:cs="CMU Serif"/>
          <w:i/>
          <w:sz w:val="20"/>
          <w:szCs w:val="20"/>
          <w:lang w:val="en-ZA"/>
        </w:rPr>
        <w:t>TERM</w:t>
      </w:r>
      <w:r w:rsidR="0089606E" w:rsidRPr="00DD1225">
        <w:rPr>
          <w:rFonts w:ascii="CMU Serif" w:hAnsi="CMU Serif" w:cs="CMU Serif"/>
          <w:sz w:val="20"/>
          <w:szCs w:val="20"/>
          <w:lang w:val="en-ZA"/>
        </w:rPr>
        <w:t>)</w:t>
      </w:r>
      <w:r w:rsidR="008E0A97" w:rsidRPr="00DD1225">
        <w:rPr>
          <w:rFonts w:ascii="CMU Serif" w:hAnsi="CMU Serif" w:cs="CMU Serif"/>
          <w:sz w:val="20"/>
          <w:szCs w:val="20"/>
          <w:lang w:val="en-ZA"/>
        </w:rPr>
        <w:t>, and the explanatory variables are: change in the number of COVID-19 infections (</w:t>
      </w:r>
      <w:r w:rsidR="008E0A97" w:rsidRPr="00DD1225">
        <w:rPr>
          <w:rFonts w:ascii="CMU Serif" w:eastAsia="Times New Roman" w:hAnsi="CMU Serif" w:cs="CMU Serif"/>
          <w:i/>
          <w:iCs/>
          <w:color w:val="000000"/>
          <w:sz w:val="20"/>
          <w:szCs w:val="20"/>
          <w:lang w:eastAsia="pl-PL"/>
        </w:rPr>
        <w:t>Δ</w:t>
      </w:r>
      <w:r w:rsidR="00617F5C" w:rsidRPr="00DD1225">
        <w:rPr>
          <w:rFonts w:ascii="CMU Serif" w:hAnsi="CMU Serif" w:cs="CMU Serif"/>
          <w:i/>
          <w:sz w:val="20"/>
          <w:szCs w:val="20"/>
          <w:lang w:val="en-ZA"/>
        </w:rPr>
        <w:t>CC</w:t>
      </w:r>
      <w:r w:rsidR="008E0A97" w:rsidRPr="00DD1225">
        <w:rPr>
          <w:rFonts w:ascii="CMU Serif" w:hAnsi="CMU Serif" w:cs="CMU Serif"/>
          <w:sz w:val="20"/>
          <w:szCs w:val="20"/>
          <w:lang w:val="en-ZA"/>
        </w:rPr>
        <w:t>), duration (</w:t>
      </w:r>
      <w:r w:rsidR="008E0A97" w:rsidRPr="00DD1225">
        <w:rPr>
          <w:rFonts w:ascii="CMU Serif" w:hAnsi="CMU Serif" w:cs="CMU Serif"/>
          <w:i/>
          <w:sz w:val="20"/>
          <w:szCs w:val="20"/>
          <w:lang w:val="en-ZA"/>
        </w:rPr>
        <w:t>DUR</w:t>
      </w:r>
      <w:r w:rsidR="008E0A97" w:rsidRPr="00DD1225">
        <w:rPr>
          <w:rFonts w:ascii="CMU Serif" w:hAnsi="CMU Serif" w:cs="CMU Serif"/>
          <w:sz w:val="20"/>
          <w:szCs w:val="20"/>
          <w:lang w:val="en-ZA"/>
        </w:rPr>
        <w:t>), sovereign rating (</w:t>
      </w:r>
      <w:r w:rsidR="008E0A97" w:rsidRPr="00DD1225">
        <w:rPr>
          <w:rFonts w:ascii="CMU Serif" w:hAnsi="CMU Serif" w:cs="CMU Serif"/>
          <w:i/>
          <w:sz w:val="20"/>
          <w:szCs w:val="20"/>
          <w:lang w:val="en-ZA"/>
        </w:rPr>
        <w:t>CRED</w:t>
      </w:r>
      <w:r w:rsidR="008E0A97" w:rsidRPr="00DD1225">
        <w:rPr>
          <w:rFonts w:ascii="CMU Serif" w:hAnsi="CMU Serif" w:cs="CMU Serif"/>
          <w:sz w:val="20"/>
          <w:szCs w:val="20"/>
          <w:lang w:val="en-ZA"/>
        </w:rPr>
        <w:t xml:space="preserve">), convexity </w:t>
      </w:r>
      <w:r w:rsidR="00F01AC5" w:rsidRPr="00DD1225">
        <w:rPr>
          <w:rFonts w:ascii="CMU Serif" w:hAnsi="CMU Serif" w:cs="CMU Serif"/>
          <w:sz w:val="20"/>
          <w:szCs w:val="20"/>
          <w:lang w:val="en-ZA"/>
        </w:rPr>
        <w:t>(</w:t>
      </w:r>
      <w:r w:rsidR="00F01AC5" w:rsidRPr="00DD1225">
        <w:rPr>
          <w:rFonts w:ascii="CMU Serif" w:hAnsi="CMU Serif" w:cs="CMU Serif"/>
          <w:i/>
          <w:sz w:val="20"/>
          <w:szCs w:val="20"/>
          <w:lang w:val="en-ZA"/>
        </w:rPr>
        <w:t>CX</w:t>
      </w:r>
      <w:r w:rsidR="007F0E94" w:rsidRPr="00DD1225">
        <w:rPr>
          <w:rFonts w:ascii="CMU Serif" w:hAnsi="CMU Serif" w:cs="CMU Serif"/>
          <w:sz w:val="20"/>
          <w:szCs w:val="20"/>
          <w:lang w:val="en-ZA"/>
        </w:rPr>
        <w:t xml:space="preserve">), </w:t>
      </w:r>
      <w:r w:rsidR="007F0E94" w:rsidRPr="00DD1225">
        <w:rPr>
          <w:rFonts w:ascii="CMU Serif" w:eastAsia="Times New Roman" w:hAnsi="CMU Serif" w:cs="CMU Serif"/>
          <w:color w:val="000000"/>
          <w:sz w:val="20"/>
          <w:szCs w:val="20"/>
          <w:lang w:val="en-ZA" w:eastAsia="pl-PL"/>
        </w:rPr>
        <w:t xml:space="preserve">market </w:t>
      </w:r>
      <w:r w:rsidR="0089606E" w:rsidRPr="00DD1225">
        <w:rPr>
          <w:rFonts w:ascii="CMU Serif" w:eastAsia="Times New Roman" w:hAnsi="CMU Serif" w:cs="CMU Serif"/>
          <w:color w:val="000000"/>
          <w:sz w:val="20"/>
          <w:szCs w:val="20"/>
          <w:lang w:val="en-ZA" w:eastAsia="pl-PL"/>
        </w:rPr>
        <w:t xml:space="preserve">value </w:t>
      </w:r>
      <w:r w:rsidR="007F0E94" w:rsidRPr="00DD1225">
        <w:rPr>
          <w:rFonts w:ascii="CMU Serif" w:eastAsia="Times New Roman" w:hAnsi="CMU Serif" w:cs="CMU Serif"/>
          <w:color w:val="000000"/>
          <w:sz w:val="20"/>
          <w:szCs w:val="20"/>
          <w:lang w:val="en-ZA" w:eastAsia="pl-PL"/>
        </w:rPr>
        <w:t>(</w:t>
      </w:r>
      <w:r w:rsidR="007F0E94" w:rsidRPr="00DD1225">
        <w:rPr>
          <w:rFonts w:ascii="CMU Serif" w:eastAsia="Times New Roman" w:hAnsi="CMU Serif" w:cs="CMU Serif"/>
          <w:i/>
          <w:color w:val="000000"/>
          <w:sz w:val="20"/>
          <w:szCs w:val="20"/>
          <w:lang w:val="en-ZA" w:eastAsia="pl-PL"/>
        </w:rPr>
        <w:t>MV</w:t>
      </w:r>
      <w:r w:rsidR="007F0E94" w:rsidRPr="00DD1225">
        <w:rPr>
          <w:rFonts w:ascii="CMU Serif" w:eastAsia="Times New Roman" w:hAnsi="CMU Serif" w:cs="CMU Serif"/>
          <w:color w:val="000000"/>
          <w:sz w:val="20"/>
          <w:szCs w:val="20"/>
          <w:lang w:val="en-ZA" w:eastAsia="pl-PL"/>
        </w:rPr>
        <w:t>), VIX volatility index (</w:t>
      </w:r>
      <w:r w:rsidR="007F0E94" w:rsidRPr="00DD1225">
        <w:rPr>
          <w:rFonts w:ascii="CMU Serif" w:eastAsia="Times New Roman" w:hAnsi="CMU Serif" w:cs="CMU Serif"/>
          <w:i/>
          <w:color w:val="000000"/>
          <w:sz w:val="20"/>
          <w:szCs w:val="20"/>
          <w:lang w:val="en-ZA" w:eastAsia="pl-PL"/>
        </w:rPr>
        <w:t>VIX</w:t>
      </w:r>
      <w:r w:rsidR="007F0E94" w:rsidRPr="00DD1225">
        <w:rPr>
          <w:rFonts w:ascii="CMU Serif" w:eastAsia="Times New Roman" w:hAnsi="CMU Serif" w:cs="CMU Serif"/>
          <w:color w:val="000000"/>
          <w:sz w:val="20"/>
          <w:szCs w:val="20"/>
          <w:lang w:val="en-ZA" w:eastAsia="pl-PL"/>
        </w:rPr>
        <w:t xml:space="preserve">), </w:t>
      </w:r>
      <w:r w:rsidR="0089606E" w:rsidRPr="00DD1225">
        <w:rPr>
          <w:rFonts w:ascii="CMU Serif" w:eastAsia="Times New Roman" w:hAnsi="CMU Serif" w:cs="CMU Serif"/>
          <w:color w:val="000000"/>
          <w:sz w:val="20"/>
          <w:szCs w:val="20"/>
          <w:lang w:val="en-ZA" w:eastAsia="pl-PL"/>
        </w:rPr>
        <w:t>U.S. default</w:t>
      </w:r>
      <w:r w:rsidR="007F0E94" w:rsidRPr="00DD1225">
        <w:rPr>
          <w:rFonts w:ascii="CMU Serif" w:eastAsia="Times New Roman" w:hAnsi="CMU Serif" w:cs="CMU Serif"/>
          <w:color w:val="000000"/>
          <w:sz w:val="20"/>
          <w:szCs w:val="20"/>
          <w:lang w:val="en-ZA" w:eastAsia="pl-PL"/>
        </w:rPr>
        <w:t xml:space="preserve"> spread (</w:t>
      </w:r>
      <w:r w:rsidR="007F0E94" w:rsidRPr="00DD1225">
        <w:rPr>
          <w:rFonts w:ascii="CMU Serif" w:eastAsia="Times New Roman" w:hAnsi="CMU Serif" w:cs="CMU Serif"/>
          <w:i/>
          <w:color w:val="000000"/>
          <w:sz w:val="20"/>
          <w:szCs w:val="20"/>
          <w:lang w:val="en-ZA" w:eastAsia="pl-PL"/>
        </w:rPr>
        <w:t>DEF</w:t>
      </w:r>
      <w:r w:rsidR="007F0E94" w:rsidRPr="00DD1225">
        <w:rPr>
          <w:rFonts w:ascii="CMU Serif" w:eastAsia="Times New Roman" w:hAnsi="CMU Serif" w:cs="CMU Serif"/>
          <w:color w:val="000000"/>
          <w:sz w:val="20"/>
          <w:szCs w:val="20"/>
          <w:lang w:val="en-ZA" w:eastAsia="pl-PL"/>
        </w:rPr>
        <w:t>), TED spread (</w:t>
      </w:r>
      <w:r w:rsidR="007F0E94" w:rsidRPr="00DD1225">
        <w:rPr>
          <w:rFonts w:ascii="CMU Serif" w:eastAsia="Times New Roman" w:hAnsi="CMU Serif" w:cs="CMU Serif"/>
          <w:i/>
          <w:color w:val="000000"/>
          <w:sz w:val="20"/>
          <w:szCs w:val="20"/>
          <w:lang w:val="en-ZA" w:eastAsia="pl-PL"/>
        </w:rPr>
        <w:t>TED</w:t>
      </w:r>
      <w:r w:rsidR="007F0E94" w:rsidRPr="00DD1225">
        <w:rPr>
          <w:rFonts w:ascii="CMU Serif" w:eastAsia="Times New Roman" w:hAnsi="CMU Serif" w:cs="CMU Serif"/>
          <w:color w:val="000000"/>
          <w:sz w:val="20"/>
          <w:szCs w:val="20"/>
          <w:lang w:val="en-ZA" w:eastAsia="pl-PL"/>
        </w:rPr>
        <w:t>), the yield</w:t>
      </w:r>
      <w:r w:rsidR="00870330" w:rsidRPr="00DD1225">
        <w:rPr>
          <w:rFonts w:ascii="CMU Serif" w:eastAsia="Times New Roman" w:hAnsi="CMU Serif" w:cs="CMU Serif"/>
          <w:color w:val="000000"/>
          <w:sz w:val="20"/>
          <w:szCs w:val="20"/>
          <w:lang w:val="en-ZA" w:eastAsia="pl-PL"/>
        </w:rPr>
        <w:t xml:space="preserve"> on</w:t>
      </w:r>
      <w:r w:rsidR="007F0E94" w:rsidRPr="00DD1225">
        <w:rPr>
          <w:rFonts w:ascii="CMU Serif" w:eastAsia="Times New Roman" w:hAnsi="CMU Serif" w:cs="CMU Serif"/>
          <w:color w:val="000000"/>
          <w:sz w:val="20"/>
          <w:szCs w:val="20"/>
          <w:lang w:val="en-ZA" w:eastAsia="pl-PL"/>
        </w:rPr>
        <w:t xml:space="preserve"> U.S. government bonds</w:t>
      </w:r>
      <w:r w:rsidR="00870330" w:rsidRPr="00DD1225">
        <w:rPr>
          <w:rFonts w:ascii="CMU Serif" w:eastAsia="Times New Roman" w:hAnsi="CMU Serif" w:cs="CMU Serif"/>
          <w:color w:val="000000"/>
          <w:sz w:val="20"/>
          <w:szCs w:val="20"/>
          <w:lang w:val="en-ZA" w:eastAsia="pl-PL"/>
        </w:rPr>
        <w:t xml:space="preserve"> (</w:t>
      </w:r>
      <w:r w:rsidR="00870330" w:rsidRPr="00DD1225">
        <w:rPr>
          <w:rFonts w:ascii="CMU Serif" w:eastAsia="Times New Roman" w:hAnsi="CMU Serif" w:cs="CMU Serif"/>
          <w:i/>
          <w:color w:val="000000"/>
          <w:sz w:val="20"/>
          <w:szCs w:val="20"/>
          <w:lang w:val="en-ZA" w:eastAsia="pl-PL"/>
        </w:rPr>
        <w:t>YLD</w:t>
      </w:r>
      <w:r w:rsidR="00870330" w:rsidRPr="00DD1225">
        <w:rPr>
          <w:rFonts w:ascii="CMU Serif" w:eastAsia="Times New Roman" w:hAnsi="CMU Serif" w:cs="CMU Serif"/>
          <w:color w:val="000000"/>
          <w:sz w:val="20"/>
          <w:szCs w:val="20"/>
          <w:lang w:val="en-ZA" w:eastAsia="pl-PL"/>
        </w:rPr>
        <w:t>)</w:t>
      </w:r>
      <w:r w:rsidR="007F0E94" w:rsidRPr="00DD1225">
        <w:rPr>
          <w:rFonts w:ascii="CMU Serif" w:eastAsia="Times New Roman" w:hAnsi="CMU Serif" w:cs="CMU Serif"/>
          <w:color w:val="000000"/>
          <w:sz w:val="20"/>
          <w:szCs w:val="20"/>
          <w:lang w:val="en-ZA" w:eastAsia="pl-PL"/>
        </w:rPr>
        <w:t>,</w:t>
      </w:r>
      <w:r w:rsidR="00AA24D6" w:rsidRPr="00DD1225">
        <w:rPr>
          <w:rFonts w:ascii="CMU Serif" w:eastAsia="Times New Roman" w:hAnsi="CMU Serif" w:cs="CMU Serif"/>
          <w:color w:val="000000"/>
          <w:sz w:val="20"/>
          <w:szCs w:val="20"/>
          <w:lang w:val="en-ZA" w:eastAsia="pl-PL"/>
        </w:rPr>
        <w:t xml:space="preserve"> </w:t>
      </w:r>
      <w:r w:rsidR="007B7011" w:rsidRPr="00DD1225">
        <w:rPr>
          <w:rFonts w:ascii="CMU Serif" w:hAnsi="CMU Serif" w:cs="CMU Serif"/>
          <w:sz w:val="20"/>
          <w:szCs w:val="20"/>
          <w:lang w:val="en-ZA"/>
        </w:rPr>
        <w:t>Government Response, Economic Support, and Containment and Health indexes (</w:t>
      </w:r>
      <w:r w:rsidR="007B7011" w:rsidRPr="00DD1225">
        <w:rPr>
          <w:rFonts w:ascii="CMU Serif" w:hAnsi="CMU Serif" w:cs="CMU Serif"/>
          <w:i/>
          <w:sz w:val="20"/>
          <w:szCs w:val="20"/>
          <w:lang w:val="en-ZA"/>
        </w:rPr>
        <w:t>GVT, ECON, CTNT</w:t>
      </w:r>
      <w:r w:rsidR="007B7011" w:rsidRPr="00DD1225">
        <w:rPr>
          <w:rFonts w:ascii="CMU Serif" w:hAnsi="CMU Serif" w:cs="CMU Serif"/>
          <w:sz w:val="20"/>
          <w:szCs w:val="20"/>
          <w:lang w:val="en-ZA"/>
        </w:rPr>
        <w:t xml:space="preserve">), </w:t>
      </w:r>
      <w:r w:rsidR="00CB48D5" w:rsidRPr="00DD1225">
        <w:rPr>
          <w:rFonts w:ascii="CMU Serif" w:hAnsi="CMU Serif" w:cs="CMU Serif"/>
          <w:sz w:val="20"/>
          <w:szCs w:val="20"/>
          <w:lang w:val="en-ZA"/>
        </w:rPr>
        <w:t>relative rate of</w:t>
      </w:r>
      <w:r w:rsidR="007B7011" w:rsidRPr="00DD1225">
        <w:rPr>
          <w:rFonts w:ascii="CMU Serif" w:hAnsi="CMU Serif" w:cs="CMU Serif"/>
          <w:sz w:val="20"/>
          <w:szCs w:val="20"/>
          <w:lang w:val="en-ZA"/>
        </w:rPr>
        <w:t xml:space="preserve"> change in central bank total assets (</w:t>
      </w:r>
      <w:r w:rsidR="007B7011" w:rsidRPr="00DD1225">
        <w:rPr>
          <w:rFonts w:ascii="CMU Serif" w:hAnsi="CMU Serif" w:cs="CMU Serif"/>
          <w:i/>
          <w:sz w:val="20"/>
          <w:szCs w:val="20"/>
          <w:lang w:val="en-ZA"/>
        </w:rPr>
        <w:t>CBTA</w:t>
      </w:r>
      <w:r w:rsidR="007B7011" w:rsidRPr="00DD1225">
        <w:rPr>
          <w:rFonts w:ascii="CMU Serif" w:hAnsi="CMU Serif" w:cs="CMU Serif"/>
          <w:sz w:val="20"/>
          <w:szCs w:val="20"/>
          <w:lang w:val="en-ZA"/>
        </w:rPr>
        <w:t xml:space="preserve">), </w:t>
      </w:r>
      <w:r w:rsidR="00AA24D6" w:rsidRPr="00DD1225">
        <w:rPr>
          <w:rFonts w:ascii="CMU Serif" w:eastAsia="Times New Roman" w:hAnsi="CMU Serif" w:cs="CMU Serif"/>
          <w:color w:val="000000"/>
          <w:sz w:val="20"/>
          <w:szCs w:val="20"/>
          <w:lang w:val="en-ZA" w:eastAsia="pl-PL"/>
        </w:rPr>
        <w:t>and weekday dum</w:t>
      </w:r>
      <w:r w:rsidR="007F0E94" w:rsidRPr="00DD1225">
        <w:rPr>
          <w:rFonts w:ascii="CMU Serif" w:eastAsia="Times New Roman" w:hAnsi="CMU Serif" w:cs="CMU Serif"/>
          <w:color w:val="000000"/>
          <w:sz w:val="20"/>
          <w:szCs w:val="20"/>
          <w:lang w:val="en-ZA" w:eastAsia="pl-PL"/>
        </w:rPr>
        <w:t>mies</w:t>
      </w:r>
      <w:r w:rsidR="00AA24D6" w:rsidRPr="00DD1225">
        <w:rPr>
          <w:rFonts w:ascii="CMU Serif" w:eastAsia="Times New Roman" w:hAnsi="CMU Serif" w:cs="CMU Serif"/>
          <w:color w:val="000000"/>
          <w:sz w:val="20"/>
          <w:szCs w:val="20"/>
          <w:lang w:val="en-ZA" w:eastAsia="pl-PL"/>
        </w:rPr>
        <w:t xml:space="preserve">. </w:t>
      </w:r>
      <w:r w:rsidR="008556DB" w:rsidRPr="00DD1225">
        <w:rPr>
          <w:rFonts w:ascii="CMU Serif" w:eastAsia="Times New Roman" w:hAnsi="CMU Serif" w:cs="CMU Serif"/>
          <w:color w:val="000000"/>
          <w:sz w:val="20"/>
          <w:szCs w:val="20"/>
          <w:lang w:val="en-ZA" w:eastAsia="pl-PL"/>
        </w:rPr>
        <w:t xml:space="preserve">We use linear interpolation to obtain daily observations of the central bank total assets. Results obtained with other interpolation methods are not reported by are available from the authors upon request. </w:t>
      </w:r>
      <w:r w:rsidR="00AA24D6" w:rsidRPr="00DD1225">
        <w:rPr>
          <w:rFonts w:ascii="CMU Serif" w:eastAsia="Times New Roman" w:hAnsi="CMU Serif" w:cs="CMU Serif"/>
          <w:i/>
          <w:color w:val="000000"/>
          <w:sz w:val="20"/>
          <w:szCs w:val="20"/>
          <w:lang w:val="en-ZA" w:eastAsia="pl-PL"/>
        </w:rPr>
        <w:t>R</w:t>
      </w:r>
      <w:r w:rsidR="00AA24D6" w:rsidRPr="00DD1225">
        <w:rPr>
          <w:rFonts w:ascii="CMU Serif" w:eastAsia="Times New Roman" w:hAnsi="CMU Serif" w:cs="CMU Serif"/>
          <w:i/>
          <w:color w:val="000000"/>
          <w:sz w:val="20"/>
          <w:szCs w:val="20"/>
          <w:vertAlign w:val="superscript"/>
          <w:lang w:val="en-ZA" w:eastAsia="pl-PL"/>
        </w:rPr>
        <w:t>2</w:t>
      </w:r>
      <w:r w:rsidR="00AA24D6" w:rsidRPr="00DD1225">
        <w:rPr>
          <w:rFonts w:ascii="CMU Serif" w:eastAsia="Times New Roman" w:hAnsi="CMU Serif" w:cs="CMU Serif"/>
          <w:color w:val="000000"/>
          <w:sz w:val="20"/>
          <w:szCs w:val="20"/>
          <w:lang w:val="en-ZA" w:eastAsia="pl-PL"/>
        </w:rPr>
        <w:t xml:space="preserve"> </w:t>
      </w:r>
      <w:r w:rsidR="002627E4" w:rsidRPr="00DD1225">
        <w:rPr>
          <w:rFonts w:ascii="CMU Serif" w:eastAsia="Times New Roman" w:hAnsi="CMU Serif" w:cs="CMU Serif"/>
          <w:color w:val="000000"/>
          <w:sz w:val="20"/>
          <w:szCs w:val="20"/>
          <w:lang w:val="en-ZA" w:eastAsia="pl-PL"/>
        </w:rPr>
        <w:t>is the</w:t>
      </w:r>
      <w:r w:rsidR="00AA24D6" w:rsidRPr="00DD1225">
        <w:rPr>
          <w:rFonts w:ascii="CMU Serif" w:eastAsia="Times New Roman" w:hAnsi="CMU Serif" w:cs="CMU Serif"/>
          <w:color w:val="000000"/>
          <w:sz w:val="20"/>
          <w:szCs w:val="20"/>
          <w:lang w:val="en-ZA" w:eastAsia="pl-PL"/>
        </w:rPr>
        <w:t xml:space="preserve"> adjusted coefficient of determination. The regressions are run using random-effects models. </w:t>
      </w:r>
      <w:r w:rsidR="001D5C63" w:rsidRPr="00DD1225">
        <w:rPr>
          <w:rFonts w:ascii="CMU Serif" w:eastAsia="Times New Roman" w:hAnsi="CMU Serif" w:cs="CMU Serif"/>
          <w:color w:val="000000"/>
          <w:sz w:val="20"/>
          <w:szCs w:val="20"/>
          <w:lang w:val="en-ZA" w:eastAsia="pl-PL"/>
        </w:rPr>
        <w:t>C</w:t>
      </w:r>
      <w:r w:rsidR="00AA24D6" w:rsidRPr="00DD1225">
        <w:rPr>
          <w:rFonts w:ascii="CMU Serif" w:eastAsia="Times New Roman" w:hAnsi="CMU Serif" w:cs="CMU Serif"/>
          <w:color w:val="000000"/>
          <w:sz w:val="20"/>
          <w:szCs w:val="20"/>
          <w:lang w:val="en-ZA" w:eastAsia="pl-PL"/>
        </w:rPr>
        <w:t>oefficient standard errors</w:t>
      </w:r>
      <w:r w:rsidR="007F0E94" w:rsidRPr="00DD1225">
        <w:rPr>
          <w:rFonts w:ascii="CMU Serif" w:eastAsia="Times New Roman" w:hAnsi="CMU Serif" w:cs="CMU Serif"/>
          <w:color w:val="000000"/>
          <w:sz w:val="20"/>
          <w:szCs w:val="20"/>
          <w:lang w:val="en-ZA" w:eastAsia="pl-PL"/>
        </w:rPr>
        <w:t xml:space="preserve"> </w:t>
      </w:r>
      <w:r w:rsidR="001D5C63" w:rsidRPr="00DD1225">
        <w:rPr>
          <w:rFonts w:ascii="CMU Serif" w:eastAsia="Times New Roman" w:hAnsi="CMU Serif" w:cs="CMU Serif"/>
          <w:color w:val="000000"/>
          <w:sz w:val="20"/>
          <w:szCs w:val="20"/>
          <w:lang w:val="en-ZA" w:eastAsia="pl-PL"/>
        </w:rPr>
        <w:t xml:space="preserve">(in parentheses) are </w:t>
      </w:r>
      <w:r w:rsidR="007F0E94" w:rsidRPr="00DD1225">
        <w:rPr>
          <w:rFonts w:ascii="CMU Serif" w:eastAsia="Times New Roman" w:hAnsi="CMU Serif" w:cs="CMU Serif"/>
          <w:color w:val="000000"/>
          <w:sz w:val="20"/>
          <w:szCs w:val="20"/>
          <w:lang w:val="en-ZA" w:eastAsia="pl-PL"/>
        </w:rPr>
        <w:t>robust to autocorrelation and heteroscedasticity</w:t>
      </w:r>
      <w:r w:rsidR="00AA24D6" w:rsidRPr="00DD1225">
        <w:rPr>
          <w:rFonts w:ascii="CMU Serif" w:eastAsia="Times New Roman" w:hAnsi="CMU Serif" w:cs="CMU Serif"/>
          <w:color w:val="000000"/>
          <w:sz w:val="20"/>
          <w:szCs w:val="20"/>
          <w:lang w:val="en-ZA" w:eastAsia="pl-PL"/>
        </w:rPr>
        <w:t xml:space="preserve">. The asterisks *, **, and *** </w:t>
      </w:r>
      <w:r w:rsidR="007F0E94" w:rsidRPr="00DD1225">
        <w:rPr>
          <w:rFonts w:ascii="CMU Serif" w:eastAsia="Times New Roman" w:hAnsi="CMU Serif" w:cs="CMU Serif"/>
          <w:color w:val="000000"/>
          <w:sz w:val="20"/>
          <w:szCs w:val="20"/>
          <w:lang w:val="en-ZA" w:eastAsia="pl-PL"/>
        </w:rPr>
        <w:t>denote</w:t>
      </w:r>
      <w:r w:rsidR="00AA24D6" w:rsidRPr="00DD1225">
        <w:rPr>
          <w:rFonts w:ascii="CMU Serif" w:eastAsia="Times New Roman" w:hAnsi="CMU Serif" w:cs="CMU Serif"/>
          <w:color w:val="000000"/>
          <w:sz w:val="20"/>
          <w:szCs w:val="20"/>
          <w:lang w:val="en-ZA" w:eastAsia="pl-PL"/>
        </w:rPr>
        <w:t xml:space="preserve"> statistical significance at the 10%, 5%, and 1% levels, respectively. </w:t>
      </w:r>
      <w:r w:rsidR="00C57EC3" w:rsidRPr="00DD1225">
        <w:rPr>
          <w:rFonts w:ascii="CMU Serif" w:eastAsia="Times New Roman" w:hAnsi="CMU Serif" w:cs="CMU Serif"/>
          <w:color w:val="000000"/>
          <w:sz w:val="20"/>
          <w:szCs w:val="20"/>
          <w:lang w:val="en-ZA" w:eastAsia="pl-PL"/>
        </w:rPr>
        <w:t xml:space="preserve">#Countries and #Obs. indicate the total number of countries and country-day observations available in a given specification. </w:t>
      </w:r>
      <w:r w:rsidR="007F0E94" w:rsidRPr="00DD1225">
        <w:rPr>
          <w:rFonts w:ascii="CMU Serif" w:eastAsia="Times New Roman" w:hAnsi="CMU Serif" w:cs="CMU Serif"/>
          <w:color w:val="000000"/>
          <w:sz w:val="20"/>
          <w:szCs w:val="20"/>
          <w:lang w:val="en-ZA" w:eastAsia="pl-PL"/>
        </w:rPr>
        <w:t>The</w:t>
      </w:r>
      <w:r w:rsidR="00AA24D6" w:rsidRPr="00DD1225">
        <w:rPr>
          <w:rFonts w:ascii="CMU Serif" w:eastAsia="Times New Roman" w:hAnsi="CMU Serif" w:cs="CMU Serif"/>
          <w:color w:val="000000"/>
          <w:sz w:val="20"/>
          <w:szCs w:val="20"/>
          <w:lang w:val="en-ZA" w:eastAsia="pl-PL"/>
        </w:rPr>
        <w:t xml:space="preserve"> coefficients for </w:t>
      </w:r>
      <w:r w:rsidR="00AA24D6" w:rsidRPr="00DD1225">
        <w:rPr>
          <w:rFonts w:ascii="CMU Serif" w:eastAsia="Times New Roman" w:hAnsi="CMU Serif" w:cs="CMU Serif"/>
          <w:i/>
          <w:color w:val="000000"/>
          <w:sz w:val="20"/>
          <w:szCs w:val="20"/>
          <w:lang w:eastAsia="pl-PL"/>
        </w:rPr>
        <w:t>Δ</w:t>
      </w:r>
      <w:r w:rsidR="00AA24D6" w:rsidRPr="00DD1225">
        <w:rPr>
          <w:rFonts w:ascii="CMU Serif" w:eastAsia="Times New Roman" w:hAnsi="CMU Serif" w:cs="CMU Serif"/>
          <w:i/>
          <w:color w:val="000000"/>
          <w:sz w:val="20"/>
          <w:szCs w:val="20"/>
          <w:lang w:val="en-ZA" w:eastAsia="pl-PL"/>
        </w:rPr>
        <w:t>INF</w:t>
      </w:r>
      <w:r w:rsidR="00AA24D6" w:rsidRPr="00DD1225">
        <w:rPr>
          <w:rFonts w:ascii="CMU Serif" w:eastAsia="Times New Roman" w:hAnsi="CMU Serif" w:cs="CMU Serif"/>
          <w:color w:val="000000"/>
          <w:sz w:val="20"/>
          <w:szCs w:val="20"/>
          <w:lang w:val="en-ZA" w:eastAsia="pl-PL"/>
        </w:rPr>
        <w:t xml:space="preserve"> a</w:t>
      </w:r>
      <w:r w:rsidR="007F0E94" w:rsidRPr="00DD1225">
        <w:rPr>
          <w:rFonts w:ascii="CMU Serif" w:eastAsia="Times New Roman" w:hAnsi="CMU Serif" w:cs="CMU Serif"/>
          <w:color w:val="000000"/>
          <w:sz w:val="20"/>
          <w:szCs w:val="20"/>
          <w:lang w:val="en-ZA" w:eastAsia="pl-PL"/>
        </w:rPr>
        <w:t xml:space="preserve">nd </w:t>
      </w:r>
      <w:r w:rsidR="007F0E94" w:rsidRPr="00DD1225">
        <w:rPr>
          <w:rFonts w:ascii="CMU Serif" w:eastAsia="Times New Roman" w:hAnsi="CMU Serif" w:cs="CMU Serif"/>
          <w:i/>
          <w:color w:val="000000"/>
          <w:sz w:val="20"/>
          <w:szCs w:val="20"/>
          <w:lang w:val="en-ZA" w:eastAsia="pl-PL"/>
        </w:rPr>
        <w:t xml:space="preserve">MV </w:t>
      </w:r>
      <w:r w:rsidR="007F0E94" w:rsidRPr="00DD1225">
        <w:rPr>
          <w:rFonts w:ascii="CMU Serif" w:eastAsia="Times New Roman" w:hAnsi="CMU Serif" w:cs="CMU Serif"/>
          <w:color w:val="000000"/>
          <w:sz w:val="20"/>
          <w:szCs w:val="20"/>
          <w:lang w:val="en-ZA" w:eastAsia="pl-PL"/>
        </w:rPr>
        <w:t>a</w:t>
      </w:r>
      <w:r w:rsidR="00AA24D6" w:rsidRPr="00DD1225">
        <w:rPr>
          <w:rFonts w:ascii="CMU Serif" w:eastAsia="Times New Roman" w:hAnsi="CMU Serif" w:cs="CMU Serif"/>
          <w:color w:val="000000"/>
          <w:sz w:val="20"/>
          <w:szCs w:val="20"/>
          <w:lang w:val="en-ZA" w:eastAsia="pl-PL"/>
        </w:rPr>
        <w:t xml:space="preserve">re multiplied by </w:t>
      </w:r>
      <w:r w:rsidR="007F0E94" w:rsidRPr="00DD1225">
        <w:rPr>
          <w:rFonts w:ascii="CMU Serif" w:eastAsia="Times New Roman" w:hAnsi="CMU Serif" w:cs="CMU Serif"/>
          <w:color w:val="000000"/>
          <w:sz w:val="20"/>
          <w:szCs w:val="20"/>
          <w:lang w:val="en-ZA" w:eastAsia="pl-PL"/>
        </w:rPr>
        <w:t>100</w:t>
      </w:r>
      <w:r w:rsidR="00F93831" w:rsidRPr="00DD1225">
        <w:rPr>
          <w:rFonts w:ascii="CMU Serif" w:eastAsia="Times New Roman" w:hAnsi="CMU Serif" w:cs="CMU Serif"/>
          <w:color w:val="000000"/>
          <w:sz w:val="20"/>
          <w:szCs w:val="20"/>
          <w:lang w:val="en-ZA" w:eastAsia="pl-PL"/>
        </w:rPr>
        <w:t>,000</w:t>
      </w:r>
      <w:r w:rsidR="00AA24D6" w:rsidRPr="00DD1225">
        <w:rPr>
          <w:rFonts w:ascii="CMU Serif" w:eastAsia="Times New Roman" w:hAnsi="CMU Serif" w:cs="CMU Serif"/>
          <w:color w:val="000000"/>
          <w:sz w:val="20"/>
          <w:szCs w:val="20"/>
          <w:lang w:val="en-ZA" w:eastAsia="pl-PL"/>
        </w:rPr>
        <w:t xml:space="preserve"> </w:t>
      </w:r>
      <w:r w:rsidR="007F0E94" w:rsidRPr="00DD1225">
        <w:rPr>
          <w:rFonts w:ascii="CMU Serif" w:eastAsia="Times New Roman" w:hAnsi="CMU Serif" w:cs="CMU Serif"/>
          <w:color w:val="000000"/>
          <w:sz w:val="20"/>
          <w:szCs w:val="20"/>
          <w:lang w:val="en-ZA" w:eastAsia="pl-PL"/>
        </w:rPr>
        <w:t>and one billion, respectively</w:t>
      </w:r>
      <w:r w:rsidR="00AA24D6" w:rsidRPr="00DD1225">
        <w:rPr>
          <w:rFonts w:ascii="CMU Serif" w:eastAsia="Times New Roman" w:hAnsi="CMU Serif" w:cs="CMU Serif"/>
          <w:color w:val="000000"/>
          <w:sz w:val="20"/>
          <w:szCs w:val="20"/>
          <w:lang w:val="en-ZA" w:eastAsia="pl-PL"/>
        </w:rPr>
        <w:t>. The study period is</w:t>
      </w:r>
      <w:r w:rsidR="005028C2" w:rsidRPr="00DD1225">
        <w:rPr>
          <w:rFonts w:ascii="CMU Serif" w:eastAsia="Times New Roman" w:hAnsi="CMU Serif" w:cs="CMU Serif"/>
          <w:color w:val="000000"/>
          <w:sz w:val="20"/>
          <w:szCs w:val="20"/>
          <w:lang w:val="en-ZA" w:eastAsia="pl-PL"/>
        </w:rPr>
        <w:t xml:space="preserve"> from</w:t>
      </w:r>
      <w:r w:rsidR="00AA24D6" w:rsidRPr="00DD1225">
        <w:rPr>
          <w:rFonts w:ascii="CMU Serif" w:eastAsia="Times New Roman" w:hAnsi="CMU Serif" w:cs="CMU Serif"/>
          <w:color w:val="000000"/>
          <w:sz w:val="20"/>
          <w:szCs w:val="20"/>
          <w:lang w:val="en-ZA" w:eastAsia="pl-PL"/>
        </w:rPr>
        <w:t xml:space="preserve"> </w:t>
      </w:r>
      <w:r w:rsidR="00220320" w:rsidRPr="00DD1225">
        <w:rPr>
          <w:rFonts w:ascii="CMU Serif" w:eastAsia="Times New Roman" w:hAnsi="CMU Serif" w:cs="CMU Serif"/>
          <w:color w:val="000000"/>
          <w:sz w:val="20"/>
          <w:szCs w:val="20"/>
          <w:lang w:val="en-ZA" w:eastAsia="pl-PL"/>
        </w:rPr>
        <w:t>01/01/2020</w:t>
      </w:r>
      <w:r w:rsidR="00F93831" w:rsidRPr="00DD1225">
        <w:rPr>
          <w:rFonts w:ascii="CMU Serif" w:eastAsia="Times New Roman" w:hAnsi="CMU Serif" w:cs="CMU Serif"/>
          <w:color w:val="000000"/>
          <w:sz w:val="20"/>
          <w:szCs w:val="20"/>
          <w:lang w:val="en-ZA" w:eastAsia="pl-PL"/>
        </w:rPr>
        <w:t xml:space="preserve"> to </w:t>
      </w:r>
      <w:r w:rsidR="00220320" w:rsidRPr="00DD1225">
        <w:rPr>
          <w:rFonts w:ascii="CMU Serif" w:eastAsia="Times New Roman" w:hAnsi="CMU Serif" w:cs="CMU Serif"/>
          <w:color w:val="000000"/>
          <w:sz w:val="20"/>
          <w:szCs w:val="20"/>
          <w:lang w:val="en-ZA" w:eastAsia="pl-PL"/>
        </w:rPr>
        <w:t>12/09/2020</w:t>
      </w:r>
      <w:r w:rsidR="00864A20" w:rsidRPr="00DD1225">
        <w:rPr>
          <w:rFonts w:ascii="CMU Serif" w:eastAsia="Times New Roman" w:hAnsi="CMU Serif" w:cs="CMU Serif"/>
          <w:color w:val="000000"/>
          <w:sz w:val="20"/>
          <w:szCs w:val="20"/>
          <w:lang w:val="en-ZA" w:eastAsia="pl-PL"/>
        </w:rPr>
        <w:t>.</w:t>
      </w:r>
      <w:r w:rsidR="00DD1D53" w:rsidRPr="00DD1225">
        <w:rPr>
          <w:rFonts w:ascii="CMU Serif" w:eastAsia="Times New Roman" w:hAnsi="CMU Serif" w:cs="CMU Serif"/>
          <w:color w:val="000000"/>
          <w:sz w:val="20"/>
          <w:szCs w:val="20"/>
          <w:lang w:val="en-ZA" w:eastAsia="pl-PL"/>
        </w:rPr>
        <w:t xml:space="preserve"> </w:t>
      </w:r>
      <w:bookmarkStart w:id="20" w:name="_Hlk66049709"/>
      <w:r w:rsidR="00DD1D53" w:rsidRPr="00DD1225">
        <w:rPr>
          <w:rFonts w:ascii="CMU Serif" w:eastAsia="Times New Roman" w:hAnsi="CMU Serif" w:cs="CMU Serif"/>
          <w:color w:val="000000"/>
          <w:sz w:val="20"/>
          <w:szCs w:val="20"/>
          <w:lang w:val="en-ZA" w:eastAsia="pl-PL"/>
        </w:rPr>
        <w:t>The research sample comprises 30 countries. The specifications (7) and (8) exclude Czechia and New Zealand due to data limitations.</w:t>
      </w:r>
    </w:p>
    <w:tbl>
      <w:tblPr>
        <w:tblW w:w="4629" w:type="pct"/>
        <w:jc w:val="center"/>
        <w:tblLook w:val="04A0" w:firstRow="1" w:lastRow="0" w:firstColumn="1" w:lastColumn="0" w:noHBand="0" w:noVBand="1"/>
      </w:tblPr>
      <w:tblGrid>
        <w:gridCol w:w="1225"/>
        <w:gridCol w:w="974"/>
        <w:gridCol w:w="973"/>
        <w:gridCol w:w="973"/>
        <w:gridCol w:w="973"/>
        <w:gridCol w:w="973"/>
        <w:gridCol w:w="973"/>
        <w:gridCol w:w="1036"/>
        <w:gridCol w:w="1032"/>
      </w:tblGrid>
      <w:tr w:rsidR="002733F0" w:rsidRPr="00DD1225" w14:paraId="7234D500" w14:textId="77777777" w:rsidTr="002733F0">
        <w:trPr>
          <w:trHeight w:val="227"/>
          <w:jc w:val="center"/>
        </w:trPr>
        <w:tc>
          <w:tcPr>
            <w:tcW w:w="670" w:type="pct"/>
            <w:tcBorders>
              <w:top w:val="single" w:sz="4" w:space="0" w:color="auto"/>
              <w:left w:val="nil"/>
              <w:bottom w:val="nil"/>
              <w:right w:val="nil"/>
            </w:tcBorders>
            <w:shd w:val="clear" w:color="auto" w:fill="auto"/>
            <w:noWrap/>
            <w:vAlign w:val="bottom"/>
            <w:hideMark/>
          </w:tcPr>
          <w:bookmarkEnd w:id="20"/>
          <w:p w14:paraId="085FC08B" w14:textId="77777777" w:rsidR="002733F0" w:rsidRPr="00DD1225" w:rsidRDefault="002733F0" w:rsidP="00C57EC3">
            <w:pPr>
              <w:spacing w:after="0" w:line="240" w:lineRule="auto"/>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 </w:t>
            </w:r>
          </w:p>
        </w:tc>
        <w:tc>
          <w:tcPr>
            <w:tcW w:w="533" w:type="pct"/>
            <w:tcBorders>
              <w:top w:val="single" w:sz="4" w:space="0" w:color="auto"/>
              <w:left w:val="nil"/>
              <w:bottom w:val="single" w:sz="4" w:space="0" w:color="auto"/>
              <w:right w:val="nil"/>
            </w:tcBorders>
            <w:shd w:val="clear" w:color="auto" w:fill="auto"/>
            <w:noWrap/>
            <w:vAlign w:val="center"/>
            <w:hideMark/>
          </w:tcPr>
          <w:p w14:paraId="5C6A498B" w14:textId="77777777" w:rsidR="002733F0" w:rsidRPr="00DD1225" w:rsidRDefault="002733F0" w:rsidP="00C57EC3">
            <w:pPr>
              <w:spacing w:after="0" w:line="240" w:lineRule="auto"/>
              <w:jc w:val="center"/>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(1)</w:t>
            </w:r>
          </w:p>
        </w:tc>
        <w:tc>
          <w:tcPr>
            <w:tcW w:w="533" w:type="pct"/>
            <w:tcBorders>
              <w:top w:val="single" w:sz="4" w:space="0" w:color="auto"/>
              <w:left w:val="nil"/>
              <w:bottom w:val="single" w:sz="4" w:space="0" w:color="auto"/>
              <w:right w:val="nil"/>
            </w:tcBorders>
            <w:shd w:val="clear" w:color="auto" w:fill="auto"/>
            <w:noWrap/>
            <w:vAlign w:val="center"/>
            <w:hideMark/>
          </w:tcPr>
          <w:p w14:paraId="74944A69" w14:textId="77777777" w:rsidR="002733F0" w:rsidRPr="00DD1225" w:rsidRDefault="002733F0" w:rsidP="00C57EC3">
            <w:pPr>
              <w:spacing w:after="0" w:line="240" w:lineRule="auto"/>
              <w:jc w:val="center"/>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(2)</w:t>
            </w:r>
          </w:p>
        </w:tc>
        <w:tc>
          <w:tcPr>
            <w:tcW w:w="533" w:type="pct"/>
            <w:tcBorders>
              <w:top w:val="single" w:sz="4" w:space="0" w:color="auto"/>
              <w:left w:val="nil"/>
              <w:bottom w:val="single" w:sz="4" w:space="0" w:color="auto"/>
              <w:right w:val="nil"/>
            </w:tcBorders>
            <w:shd w:val="clear" w:color="auto" w:fill="auto"/>
            <w:noWrap/>
            <w:vAlign w:val="center"/>
            <w:hideMark/>
          </w:tcPr>
          <w:p w14:paraId="77F79414" w14:textId="77777777" w:rsidR="002733F0" w:rsidRPr="00DD1225" w:rsidRDefault="002733F0" w:rsidP="00C57EC3">
            <w:pPr>
              <w:spacing w:after="0" w:line="240" w:lineRule="auto"/>
              <w:jc w:val="center"/>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(3)</w:t>
            </w:r>
          </w:p>
        </w:tc>
        <w:tc>
          <w:tcPr>
            <w:tcW w:w="533" w:type="pct"/>
            <w:tcBorders>
              <w:top w:val="single" w:sz="4" w:space="0" w:color="auto"/>
              <w:left w:val="nil"/>
              <w:bottom w:val="single" w:sz="4" w:space="0" w:color="auto"/>
              <w:right w:val="nil"/>
            </w:tcBorders>
            <w:shd w:val="clear" w:color="auto" w:fill="auto"/>
            <w:noWrap/>
            <w:vAlign w:val="center"/>
            <w:hideMark/>
          </w:tcPr>
          <w:p w14:paraId="6FF8BFDE" w14:textId="77777777" w:rsidR="002733F0" w:rsidRPr="00DD1225" w:rsidRDefault="002733F0" w:rsidP="00C57EC3">
            <w:pPr>
              <w:spacing w:after="0" w:line="240" w:lineRule="auto"/>
              <w:jc w:val="center"/>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(4)</w:t>
            </w:r>
          </w:p>
        </w:tc>
        <w:tc>
          <w:tcPr>
            <w:tcW w:w="533" w:type="pct"/>
            <w:tcBorders>
              <w:top w:val="single" w:sz="4" w:space="0" w:color="auto"/>
              <w:left w:val="nil"/>
              <w:bottom w:val="single" w:sz="4" w:space="0" w:color="auto"/>
              <w:right w:val="nil"/>
            </w:tcBorders>
            <w:shd w:val="clear" w:color="auto" w:fill="auto"/>
            <w:noWrap/>
            <w:vAlign w:val="center"/>
            <w:hideMark/>
          </w:tcPr>
          <w:p w14:paraId="34E5AA8D" w14:textId="77777777" w:rsidR="002733F0" w:rsidRPr="00DD1225" w:rsidRDefault="002733F0" w:rsidP="00C57EC3">
            <w:pPr>
              <w:spacing w:after="0" w:line="240" w:lineRule="auto"/>
              <w:jc w:val="center"/>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(5)</w:t>
            </w:r>
          </w:p>
        </w:tc>
        <w:tc>
          <w:tcPr>
            <w:tcW w:w="533" w:type="pct"/>
            <w:tcBorders>
              <w:top w:val="single" w:sz="4" w:space="0" w:color="auto"/>
              <w:left w:val="nil"/>
              <w:bottom w:val="single" w:sz="4" w:space="0" w:color="auto"/>
              <w:right w:val="nil"/>
            </w:tcBorders>
            <w:shd w:val="clear" w:color="auto" w:fill="auto"/>
            <w:noWrap/>
            <w:vAlign w:val="center"/>
            <w:hideMark/>
          </w:tcPr>
          <w:p w14:paraId="69CCA349" w14:textId="77777777" w:rsidR="002733F0" w:rsidRPr="00DD1225" w:rsidRDefault="002733F0" w:rsidP="00C57EC3">
            <w:pPr>
              <w:spacing w:after="0" w:line="240" w:lineRule="auto"/>
              <w:jc w:val="center"/>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(6)</w:t>
            </w:r>
          </w:p>
        </w:tc>
        <w:tc>
          <w:tcPr>
            <w:tcW w:w="567" w:type="pct"/>
            <w:tcBorders>
              <w:top w:val="single" w:sz="4" w:space="0" w:color="auto"/>
              <w:left w:val="nil"/>
              <w:bottom w:val="single" w:sz="4" w:space="0" w:color="auto"/>
              <w:right w:val="nil"/>
            </w:tcBorders>
            <w:shd w:val="clear" w:color="auto" w:fill="auto"/>
            <w:noWrap/>
            <w:vAlign w:val="center"/>
            <w:hideMark/>
          </w:tcPr>
          <w:p w14:paraId="6AA10CF8" w14:textId="77777777" w:rsidR="002733F0" w:rsidRPr="00DD1225" w:rsidRDefault="002733F0" w:rsidP="00C57EC3">
            <w:pPr>
              <w:spacing w:after="0" w:line="240" w:lineRule="auto"/>
              <w:jc w:val="center"/>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(7)</w:t>
            </w:r>
          </w:p>
        </w:tc>
        <w:tc>
          <w:tcPr>
            <w:tcW w:w="566" w:type="pct"/>
            <w:tcBorders>
              <w:top w:val="single" w:sz="4" w:space="0" w:color="auto"/>
              <w:left w:val="nil"/>
              <w:bottom w:val="single" w:sz="4" w:space="0" w:color="auto"/>
              <w:right w:val="nil"/>
            </w:tcBorders>
            <w:shd w:val="clear" w:color="auto" w:fill="auto"/>
            <w:noWrap/>
            <w:vAlign w:val="center"/>
            <w:hideMark/>
          </w:tcPr>
          <w:p w14:paraId="3F7B840C" w14:textId="77777777" w:rsidR="002733F0" w:rsidRPr="00DD1225" w:rsidRDefault="002733F0" w:rsidP="00C57EC3">
            <w:pPr>
              <w:spacing w:after="0" w:line="240" w:lineRule="auto"/>
              <w:jc w:val="center"/>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(8)</w:t>
            </w:r>
          </w:p>
        </w:tc>
      </w:tr>
      <w:tr w:rsidR="002733F0" w:rsidRPr="00DD1225" w14:paraId="0BBF782D"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6FDC552C" w14:textId="43616481" w:rsidR="002733F0" w:rsidRPr="00DD1225" w:rsidRDefault="002733F0" w:rsidP="00C57EC3">
            <w:pPr>
              <w:spacing w:after="0" w:line="240" w:lineRule="auto"/>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ΔCC</w:t>
            </w:r>
          </w:p>
        </w:tc>
        <w:tc>
          <w:tcPr>
            <w:tcW w:w="533" w:type="pct"/>
            <w:tcBorders>
              <w:top w:val="nil"/>
              <w:left w:val="nil"/>
              <w:bottom w:val="nil"/>
              <w:right w:val="nil"/>
            </w:tcBorders>
            <w:shd w:val="clear" w:color="auto" w:fill="auto"/>
            <w:noWrap/>
            <w:vAlign w:val="center"/>
            <w:hideMark/>
          </w:tcPr>
          <w:p w14:paraId="72BC7E6E"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0.699***</w:t>
            </w:r>
          </w:p>
        </w:tc>
        <w:tc>
          <w:tcPr>
            <w:tcW w:w="533" w:type="pct"/>
            <w:tcBorders>
              <w:top w:val="nil"/>
              <w:left w:val="nil"/>
              <w:bottom w:val="nil"/>
              <w:right w:val="nil"/>
            </w:tcBorders>
            <w:shd w:val="clear" w:color="auto" w:fill="auto"/>
            <w:noWrap/>
            <w:vAlign w:val="center"/>
            <w:hideMark/>
          </w:tcPr>
          <w:p w14:paraId="444B2F22"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0.688***</w:t>
            </w:r>
          </w:p>
        </w:tc>
        <w:tc>
          <w:tcPr>
            <w:tcW w:w="533" w:type="pct"/>
            <w:tcBorders>
              <w:top w:val="nil"/>
              <w:left w:val="nil"/>
              <w:bottom w:val="nil"/>
              <w:right w:val="nil"/>
            </w:tcBorders>
            <w:shd w:val="clear" w:color="auto" w:fill="auto"/>
            <w:noWrap/>
            <w:vAlign w:val="center"/>
            <w:hideMark/>
          </w:tcPr>
          <w:p w14:paraId="135BF7DB"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0.437**</w:t>
            </w:r>
          </w:p>
        </w:tc>
        <w:tc>
          <w:tcPr>
            <w:tcW w:w="533" w:type="pct"/>
            <w:tcBorders>
              <w:top w:val="nil"/>
              <w:left w:val="nil"/>
              <w:bottom w:val="nil"/>
              <w:right w:val="nil"/>
            </w:tcBorders>
            <w:shd w:val="clear" w:color="auto" w:fill="auto"/>
            <w:noWrap/>
            <w:vAlign w:val="center"/>
            <w:hideMark/>
          </w:tcPr>
          <w:p w14:paraId="4A40517E"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0.394**</w:t>
            </w:r>
          </w:p>
        </w:tc>
        <w:tc>
          <w:tcPr>
            <w:tcW w:w="533" w:type="pct"/>
            <w:tcBorders>
              <w:top w:val="nil"/>
              <w:left w:val="nil"/>
              <w:bottom w:val="nil"/>
              <w:right w:val="nil"/>
            </w:tcBorders>
            <w:shd w:val="clear" w:color="auto" w:fill="auto"/>
            <w:noWrap/>
            <w:vAlign w:val="center"/>
            <w:hideMark/>
          </w:tcPr>
          <w:p w14:paraId="20832CD0"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0.402**</w:t>
            </w:r>
          </w:p>
        </w:tc>
        <w:tc>
          <w:tcPr>
            <w:tcW w:w="533" w:type="pct"/>
            <w:tcBorders>
              <w:top w:val="nil"/>
              <w:left w:val="nil"/>
              <w:bottom w:val="nil"/>
              <w:right w:val="nil"/>
            </w:tcBorders>
            <w:shd w:val="clear" w:color="auto" w:fill="auto"/>
            <w:noWrap/>
            <w:vAlign w:val="center"/>
            <w:hideMark/>
          </w:tcPr>
          <w:p w14:paraId="635AD977"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0.376**</w:t>
            </w:r>
          </w:p>
        </w:tc>
        <w:tc>
          <w:tcPr>
            <w:tcW w:w="567" w:type="pct"/>
            <w:tcBorders>
              <w:top w:val="nil"/>
              <w:left w:val="nil"/>
              <w:bottom w:val="nil"/>
              <w:right w:val="nil"/>
            </w:tcBorders>
            <w:shd w:val="clear" w:color="auto" w:fill="auto"/>
            <w:noWrap/>
            <w:vAlign w:val="center"/>
            <w:hideMark/>
          </w:tcPr>
          <w:p w14:paraId="2F558306"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0.423**</w:t>
            </w:r>
          </w:p>
        </w:tc>
        <w:tc>
          <w:tcPr>
            <w:tcW w:w="566" w:type="pct"/>
            <w:tcBorders>
              <w:top w:val="nil"/>
              <w:left w:val="nil"/>
              <w:bottom w:val="nil"/>
              <w:right w:val="nil"/>
            </w:tcBorders>
            <w:shd w:val="clear" w:color="auto" w:fill="auto"/>
            <w:noWrap/>
            <w:vAlign w:val="center"/>
            <w:hideMark/>
          </w:tcPr>
          <w:p w14:paraId="7E903A05"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0.403**</w:t>
            </w:r>
          </w:p>
        </w:tc>
      </w:tr>
      <w:tr w:rsidR="002733F0" w:rsidRPr="00DD1225" w14:paraId="14EF91A1"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4B7212BD"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p>
        </w:tc>
        <w:tc>
          <w:tcPr>
            <w:tcW w:w="533" w:type="pct"/>
            <w:tcBorders>
              <w:top w:val="nil"/>
              <w:left w:val="nil"/>
              <w:bottom w:val="nil"/>
              <w:right w:val="nil"/>
            </w:tcBorders>
            <w:shd w:val="clear" w:color="auto" w:fill="auto"/>
            <w:noWrap/>
            <w:vAlign w:val="center"/>
            <w:hideMark/>
          </w:tcPr>
          <w:p w14:paraId="7245C5EF" w14:textId="1C8A6341"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(0.114)</w:t>
            </w:r>
          </w:p>
        </w:tc>
        <w:tc>
          <w:tcPr>
            <w:tcW w:w="533" w:type="pct"/>
            <w:tcBorders>
              <w:top w:val="nil"/>
              <w:left w:val="nil"/>
              <w:bottom w:val="nil"/>
              <w:right w:val="nil"/>
            </w:tcBorders>
            <w:shd w:val="clear" w:color="auto" w:fill="auto"/>
            <w:noWrap/>
            <w:vAlign w:val="center"/>
            <w:hideMark/>
          </w:tcPr>
          <w:p w14:paraId="79C74387" w14:textId="040E88C3"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(0.132)</w:t>
            </w:r>
          </w:p>
        </w:tc>
        <w:tc>
          <w:tcPr>
            <w:tcW w:w="533" w:type="pct"/>
            <w:tcBorders>
              <w:top w:val="nil"/>
              <w:left w:val="nil"/>
              <w:bottom w:val="nil"/>
              <w:right w:val="nil"/>
            </w:tcBorders>
            <w:shd w:val="clear" w:color="auto" w:fill="auto"/>
            <w:noWrap/>
            <w:vAlign w:val="center"/>
            <w:hideMark/>
          </w:tcPr>
          <w:p w14:paraId="6C768CD9" w14:textId="3CA153A4"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(0.197)</w:t>
            </w:r>
          </w:p>
        </w:tc>
        <w:tc>
          <w:tcPr>
            <w:tcW w:w="533" w:type="pct"/>
            <w:tcBorders>
              <w:top w:val="nil"/>
              <w:left w:val="nil"/>
              <w:bottom w:val="nil"/>
              <w:right w:val="nil"/>
            </w:tcBorders>
            <w:shd w:val="clear" w:color="auto" w:fill="auto"/>
            <w:noWrap/>
            <w:vAlign w:val="center"/>
            <w:hideMark/>
          </w:tcPr>
          <w:p w14:paraId="1B0655F3" w14:textId="14129A44"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(0.196)</w:t>
            </w:r>
          </w:p>
        </w:tc>
        <w:tc>
          <w:tcPr>
            <w:tcW w:w="533" w:type="pct"/>
            <w:tcBorders>
              <w:top w:val="nil"/>
              <w:left w:val="nil"/>
              <w:bottom w:val="nil"/>
              <w:right w:val="nil"/>
            </w:tcBorders>
            <w:shd w:val="clear" w:color="auto" w:fill="auto"/>
            <w:noWrap/>
            <w:vAlign w:val="center"/>
            <w:hideMark/>
          </w:tcPr>
          <w:p w14:paraId="5D1BFB28" w14:textId="28B4D475"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(0.196)</w:t>
            </w:r>
          </w:p>
        </w:tc>
        <w:tc>
          <w:tcPr>
            <w:tcW w:w="533" w:type="pct"/>
            <w:tcBorders>
              <w:top w:val="nil"/>
              <w:left w:val="nil"/>
              <w:bottom w:val="nil"/>
              <w:right w:val="nil"/>
            </w:tcBorders>
            <w:shd w:val="clear" w:color="auto" w:fill="auto"/>
            <w:noWrap/>
            <w:vAlign w:val="center"/>
            <w:hideMark/>
          </w:tcPr>
          <w:p w14:paraId="157F09FF" w14:textId="3C47575C"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(0.188)</w:t>
            </w:r>
          </w:p>
        </w:tc>
        <w:tc>
          <w:tcPr>
            <w:tcW w:w="567" w:type="pct"/>
            <w:tcBorders>
              <w:top w:val="nil"/>
              <w:left w:val="nil"/>
              <w:bottom w:val="nil"/>
              <w:right w:val="nil"/>
            </w:tcBorders>
            <w:shd w:val="clear" w:color="auto" w:fill="auto"/>
            <w:noWrap/>
            <w:vAlign w:val="center"/>
            <w:hideMark/>
          </w:tcPr>
          <w:p w14:paraId="45AF34A8" w14:textId="17EF2982"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(0.199)</w:t>
            </w:r>
          </w:p>
        </w:tc>
        <w:tc>
          <w:tcPr>
            <w:tcW w:w="566" w:type="pct"/>
            <w:tcBorders>
              <w:top w:val="nil"/>
              <w:left w:val="nil"/>
              <w:bottom w:val="nil"/>
              <w:right w:val="nil"/>
            </w:tcBorders>
            <w:shd w:val="clear" w:color="auto" w:fill="auto"/>
            <w:noWrap/>
            <w:vAlign w:val="center"/>
            <w:hideMark/>
          </w:tcPr>
          <w:p w14:paraId="6D83F3A2" w14:textId="39DD2954"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(0.187)</w:t>
            </w:r>
          </w:p>
        </w:tc>
      </w:tr>
      <w:tr w:rsidR="002733F0" w:rsidRPr="00DD1225" w14:paraId="14D1C129"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45B27FB1" w14:textId="77777777" w:rsidR="002733F0" w:rsidRPr="00DD1225" w:rsidRDefault="002733F0" w:rsidP="00C57EC3">
            <w:pPr>
              <w:spacing w:after="0" w:line="240" w:lineRule="auto"/>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DUR</w:t>
            </w:r>
          </w:p>
        </w:tc>
        <w:tc>
          <w:tcPr>
            <w:tcW w:w="533" w:type="pct"/>
            <w:tcBorders>
              <w:top w:val="nil"/>
              <w:left w:val="nil"/>
              <w:bottom w:val="nil"/>
              <w:right w:val="nil"/>
            </w:tcBorders>
            <w:shd w:val="clear" w:color="auto" w:fill="auto"/>
            <w:noWrap/>
            <w:vAlign w:val="center"/>
            <w:hideMark/>
          </w:tcPr>
          <w:p w14:paraId="6BD97799"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0.060</w:t>
            </w:r>
          </w:p>
        </w:tc>
        <w:tc>
          <w:tcPr>
            <w:tcW w:w="533" w:type="pct"/>
            <w:tcBorders>
              <w:top w:val="nil"/>
              <w:left w:val="nil"/>
              <w:bottom w:val="nil"/>
              <w:right w:val="nil"/>
            </w:tcBorders>
            <w:shd w:val="clear" w:color="auto" w:fill="auto"/>
            <w:noWrap/>
            <w:vAlign w:val="center"/>
            <w:hideMark/>
          </w:tcPr>
          <w:p w14:paraId="10CE21AB"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-0.454</w:t>
            </w:r>
          </w:p>
        </w:tc>
        <w:tc>
          <w:tcPr>
            <w:tcW w:w="533" w:type="pct"/>
            <w:tcBorders>
              <w:top w:val="nil"/>
              <w:left w:val="nil"/>
              <w:bottom w:val="nil"/>
              <w:right w:val="nil"/>
            </w:tcBorders>
            <w:shd w:val="clear" w:color="auto" w:fill="auto"/>
            <w:noWrap/>
            <w:vAlign w:val="center"/>
            <w:hideMark/>
          </w:tcPr>
          <w:p w14:paraId="4EEE64FA"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0.076</w:t>
            </w:r>
          </w:p>
        </w:tc>
        <w:tc>
          <w:tcPr>
            <w:tcW w:w="533" w:type="pct"/>
            <w:tcBorders>
              <w:top w:val="nil"/>
              <w:left w:val="nil"/>
              <w:bottom w:val="nil"/>
              <w:right w:val="nil"/>
            </w:tcBorders>
            <w:shd w:val="clear" w:color="auto" w:fill="auto"/>
            <w:noWrap/>
            <w:vAlign w:val="center"/>
            <w:hideMark/>
          </w:tcPr>
          <w:p w14:paraId="2AA4AC14"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0.083</w:t>
            </w:r>
          </w:p>
        </w:tc>
        <w:tc>
          <w:tcPr>
            <w:tcW w:w="533" w:type="pct"/>
            <w:tcBorders>
              <w:top w:val="nil"/>
              <w:left w:val="nil"/>
              <w:bottom w:val="nil"/>
              <w:right w:val="nil"/>
            </w:tcBorders>
            <w:shd w:val="clear" w:color="auto" w:fill="auto"/>
            <w:noWrap/>
            <w:vAlign w:val="center"/>
            <w:hideMark/>
          </w:tcPr>
          <w:p w14:paraId="0A6A4C44"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0.070</w:t>
            </w:r>
          </w:p>
        </w:tc>
        <w:tc>
          <w:tcPr>
            <w:tcW w:w="533" w:type="pct"/>
            <w:tcBorders>
              <w:top w:val="nil"/>
              <w:left w:val="nil"/>
              <w:bottom w:val="nil"/>
              <w:right w:val="nil"/>
            </w:tcBorders>
            <w:shd w:val="clear" w:color="auto" w:fill="auto"/>
            <w:noWrap/>
            <w:vAlign w:val="center"/>
            <w:hideMark/>
          </w:tcPr>
          <w:p w14:paraId="2AFC8DBE"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0.047</w:t>
            </w:r>
          </w:p>
        </w:tc>
        <w:tc>
          <w:tcPr>
            <w:tcW w:w="567" w:type="pct"/>
            <w:tcBorders>
              <w:top w:val="nil"/>
              <w:left w:val="nil"/>
              <w:bottom w:val="nil"/>
              <w:right w:val="nil"/>
            </w:tcBorders>
            <w:shd w:val="clear" w:color="auto" w:fill="auto"/>
            <w:noWrap/>
            <w:vAlign w:val="center"/>
            <w:hideMark/>
          </w:tcPr>
          <w:p w14:paraId="35D67EFA"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0.115</w:t>
            </w:r>
          </w:p>
        </w:tc>
        <w:tc>
          <w:tcPr>
            <w:tcW w:w="566" w:type="pct"/>
            <w:tcBorders>
              <w:top w:val="nil"/>
              <w:left w:val="nil"/>
              <w:bottom w:val="nil"/>
              <w:right w:val="nil"/>
            </w:tcBorders>
            <w:shd w:val="clear" w:color="auto" w:fill="auto"/>
            <w:noWrap/>
            <w:vAlign w:val="center"/>
            <w:hideMark/>
          </w:tcPr>
          <w:p w14:paraId="00D20535"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0.066</w:t>
            </w:r>
          </w:p>
        </w:tc>
      </w:tr>
      <w:tr w:rsidR="002733F0" w:rsidRPr="00DD1225" w14:paraId="72B4E163"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4DEC04F4"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p>
        </w:tc>
        <w:tc>
          <w:tcPr>
            <w:tcW w:w="533" w:type="pct"/>
            <w:tcBorders>
              <w:top w:val="nil"/>
              <w:left w:val="nil"/>
              <w:bottom w:val="nil"/>
              <w:right w:val="nil"/>
            </w:tcBorders>
            <w:shd w:val="clear" w:color="auto" w:fill="auto"/>
            <w:noWrap/>
            <w:vAlign w:val="center"/>
            <w:hideMark/>
          </w:tcPr>
          <w:p w14:paraId="7286F448" w14:textId="3DCEC88E"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(0.098)</w:t>
            </w:r>
          </w:p>
        </w:tc>
        <w:tc>
          <w:tcPr>
            <w:tcW w:w="533" w:type="pct"/>
            <w:tcBorders>
              <w:top w:val="nil"/>
              <w:left w:val="nil"/>
              <w:bottom w:val="nil"/>
              <w:right w:val="nil"/>
            </w:tcBorders>
            <w:shd w:val="clear" w:color="auto" w:fill="auto"/>
            <w:noWrap/>
            <w:vAlign w:val="center"/>
            <w:hideMark/>
          </w:tcPr>
          <w:p w14:paraId="3E5660B9" w14:textId="7962D58D"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(0.930)</w:t>
            </w:r>
          </w:p>
        </w:tc>
        <w:tc>
          <w:tcPr>
            <w:tcW w:w="533" w:type="pct"/>
            <w:tcBorders>
              <w:top w:val="nil"/>
              <w:left w:val="nil"/>
              <w:bottom w:val="nil"/>
              <w:right w:val="nil"/>
            </w:tcBorders>
            <w:shd w:val="clear" w:color="auto" w:fill="auto"/>
            <w:noWrap/>
            <w:vAlign w:val="center"/>
            <w:hideMark/>
          </w:tcPr>
          <w:p w14:paraId="12C968B6" w14:textId="70103068"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(0.679)</w:t>
            </w:r>
          </w:p>
        </w:tc>
        <w:tc>
          <w:tcPr>
            <w:tcW w:w="533" w:type="pct"/>
            <w:tcBorders>
              <w:top w:val="nil"/>
              <w:left w:val="nil"/>
              <w:bottom w:val="nil"/>
              <w:right w:val="nil"/>
            </w:tcBorders>
            <w:shd w:val="clear" w:color="auto" w:fill="auto"/>
            <w:noWrap/>
            <w:vAlign w:val="center"/>
            <w:hideMark/>
          </w:tcPr>
          <w:p w14:paraId="53C2B6E1" w14:textId="6F8B4C50"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(0.687)</w:t>
            </w:r>
          </w:p>
        </w:tc>
        <w:tc>
          <w:tcPr>
            <w:tcW w:w="533" w:type="pct"/>
            <w:tcBorders>
              <w:top w:val="nil"/>
              <w:left w:val="nil"/>
              <w:bottom w:val="nil"/>
              <w:right w:val="nil"/>
            </w:tcBorders>
            <w:shd w:val="clear" w:color="auto" w:fill="auto"/>
            <w:noWrap/>
            <w:vAlign w:val="center"/>
            <w:hideMark/>
          </w:tcPr>
          <w:p w14:paraId="6FEEA862" w14:textId="46C687CD"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(0.692)</w:t>
            </w:r>
          </w:p>
        </w:tc>
        <w:tc>
          <w:tcPr>
            <w:tcW w:w="533" w:type="pct"/>
            <w:tcBorders>
              <w:top w:val="nil"/>
              <w:left w:val="nil"/>
              <w:bottom w:val="nil"/>
              <w:right w:val="nil"/>
            </w:tcBorders>
            <w:shd w:val="clear" w:color="auto" w:fill="auto"/>
            <w:noWrap/>
            <w:vAlign w:val="center"/>
            <w:hideMark/>
          </w:tcPr>
          <w:p w14:paraId="31BE9EDB" w14:textId="4C04902D"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(0.665)</w:t>
            </w:r>
          </w:p>
        </w:tc>
        <w:tc>
          <w:tcPr>
            <w:tcW w:w="567" w:type="pct"/>
            <w:tcBorders>
              <w:top w:val="nil"/>
              <w:left w:val="nil"/>
              <w:bottom w:val="nil"/>
              <w:right w:val="nil"/>
            </w:tcBorders>
            <w:shd w:val="clear" w:color="auto" w:fill="auto"/>
            <w:noWrap/>
            <w:vAlign w:val="center"/>
            <w:hideMark/>
          </w:tcPr>
          <w:p w14:paraId="78E0F6B8" w14:textId="595397D7"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(0.720)</w:t>
            </w:r>
          </w:p>
        </w:tc>
        <w:tc>
          <w:tcPr>
            <w:tcW w:w="566" w:type="pct"/>
            <w:tcBorders>
              <w:top w:val="nil"/>
              <w:left w:val="nil"/>
              <w:bottom w:val="nil"/>
              <w:right w:val="nil"/>
            </w:tcBorders>
            <w:shd w:val="clear" w:color="auto" w:fill="auto"/>
            <w:noWrap/>
            <w:vAlign w:val="center"/>
            <w:hideMark/>
          </w:tcPr>
          <w:p w14:paraId="6965F5C4" w14:textId="2D18F2C0"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(0.693)</w:t>
            </w:r>
          </w:p>
        </w:tc>
      </w:tr>
      <w:tr w:rsidR="002733F0" w:rsidRPr="00DD1225" w14:paraId="28B7CF0E"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20378E26" w14:textId="77777777" w:rsidR="002733F0" w:rsidRPr="00DD1225" w:rsidRDefault="002733F0" w:rsidP="00C57EC3">
            <w:pPr>
              <w:spacing w:after="0" w:line="240" w:lineRule="auto"/>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CRED</w:t>
            </w:r>
          </w:p>
        </w:tc>
        <w:tc>
          <w:tcPr>
            <w:tcW w:w="533" w:type="pct"/>
            <w:tcBorders>
              <w:top w:val="nil"/>
              <w:left w:val="nil"/>
              <w:bottom w:val="nil"/>
              <w:right w:val="nil"/>
            </w:tcBorders>
            <w:shd w:val="clear" w:color="auto" w:fill="auto"/>
            <w:noWrap/>
            <w:vAlign w:val="center"/>
            <w:hideMark/>
          </w:tcPr>
          <w:p w14:paraId="0E5512F6"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0.226***</w:t>
            </w:r>
          </w:p>
        </w:tc>
        <w:tc>
          <w:tcPr>
            <w:tcW w:w="533" w:type="pct"/>
            <w:tcBorders>
              <w:top w:val="nil"/>
              <w:left w:val="nil"/>
              <w:bottom w:val="nil"/>
              <w:right w:val="nil"/>
            </w:tcBorders>
            <w:shd w:val="clear" w:color="auto" w:fill="auto"/>
            <w:noWrap/>
            <w:vAlign w:val="center"/>
            <w:hideMark/>
          </w:tcPr>
          <w:p w14:paraId="70C521F5"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0.237***</w:t>
            </w:r>
          </w:p>
        </w:tc>
        <w:tc>
          <w:tcPr>
            <w:tcW w:w="533" w:type="pct"/>
            <w:tcBorders>
              <w:top w:val="nil"/>
              <w:left w:val="nil"/>
              <w:bottom w:val="nil"/>
              <w:right w:val="nil"/>
            </w:tcBorders>
            <w:shd w:val="clear" w:color="auto" w:fill="auto"/>
            <w:noWrap/>
            <w:vAlign w:val="center"/>
            <w:hideMark/>
          </w:tcPr>
          <w:p w14:paraId="55B4B5DB"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0.222***</w:t>
            </w:r>
          </w:p>
        </w:tc>
        <w:tc>
          <w:tcPr>
            <w:tcW w:w="533" w:type="pct"/>
            <w:tcBorders>
              <w:top w:val="nil"/>
              <w:left w:val="nil"/>
              <w:bottom w:val="nil"/>
              <w:right w:val="nil"/>
            </w:tcBorders>
            <w:shd w:val="clear" w:color="auto" w:fill="auto"/>
            <w:noWrap/>
            <w:vAlign w:val="center"/>
            <w:hideMark/>
          </w:tcPr>
          <w:p w14:paraId="10B16429"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0.221***</w:t>
            </w:r>
          </w:p>
        </w:tc>
        <w:tc>
          <w:tcPr>
            <w:tcW w:w="533" w:type="pct"/>
            <w:tcBorders>
              <w:top w:val="nil"/>
              <w:left w:val="nil"/>
              <w:bottom w:val="nil"/>
              <w:right w:val="nil"/>
            </w:tcBorders>
            <w:shd w:val="clear" w:color="auto" w:fill="auto"/>
            <w:noWrap/>
            <w:vAlign w:val="center"/>
            <w:hideMark/>
          </w:tcPr>
          <w:p w14:paraId="005C24F5"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0.221***</w:t>
            </w:r>
          </w:p>
        </w:tc>
        <w:tc>
          <w:tcPr>
            <w:tcW w:w="533" w:type="pct"/>
            <w:tcBorders>
              <w:top w:val="nil"/>
              <w:left w:val="nil"/>
              <w:bottom w:val="nil"/>
              <w:right w:val="nil"/>
            </w:tcBorders>
            <w:shd w:val="clear" w:color="auto" w:fill="auto"/>
            <w:noWrap/>
            <w:vAlign w:val="center"/>
            <w:hideMark/>
          </w:tcPr>
          <w:p w14:paraId="6A0276FC"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0.221***</w:t>
            </w:r>
          </w:p>
        </w:tc>
        <w:tc>
          <w:tcPr>
            <w:tcW w:w="567" w:type="pct"/>
            <w:tcBorders>
              <w:top w:val="nil"/>
              <w:left w:val="nil"/>
              <w:bottom w:val="nil"/>
              <w:right w:val="nil"/>
            </w:tcBorders>
            <w:shd w:val="clear" w:color="auto" w:fill="auto"/>
            <w:noWrap/>
            <w:vAlign w:val="center"/>
            <w:hideMark/>
          </w:tcPr>
          <w:p w14:paraId="7B9B9349"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0.208***</w:t>
            </w:r>
          </w:p>
        </w:tc>
        <w:tc>
          <w:tcPr>
            <w:tcW w:w="566" w:type="pct"/>
            <w:tcBorders>
              <w:top w:val="nil"/>
              <w:left w:val="nil"/>
              <w:bottom w:val="nil"/>
              <w:right w:val="nil"/>
            </w:tcBorders>
            <w:shd w:val="clear" w:color="auto" w:fill="auto"/>
            <w:noWrap/>
            <w:vAlign w:val="center"/>
            <w:hideMark/>
          </w:tcPr>
          <w:p w14:paraId="1A6E5BC5"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0.207***</w:t>
            </w:r>
          </w:p>
        </w:tc>
      </w:tr>
      <w:tr w:rsidR="002733F0" w:rsidRPr="00DD1225" w14:paraId="157AB42D"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2E8F19DD"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p>
        </w:tc>
        <w:tc>
          <w:tcPr>
            <w:tcW w:w="533" w:type="pct"/>
            <w:tcBorders>
              <w:top w:val="nil"/>
              <w:left w:val="nil"/>
              <w:bottom w:val="nil"/>
              <w:right w:val="nil"/>
            </w:tcBorders>
            <w:shd w:val="clear" w:color="auto" w:fill="auto"/>
            <w:noWrap/>
            <w:vAlign w:val="center"/>
            <w:hideMark/>
          </w:tcPr>
          <w:p w14:paraId="42DFFB97" w14:textId="07DCFA60"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(0.047)</w:t>
            </w:r>
          </w:p>
        </w:tc>
        <w:tc>
          <w:tcPr>
            <w:tcW w:w="533" w:type="pct"/>
            <w:tcBorders>
              <w:top w:val="nil"/>
              <w:left w:val="nil"/>
              <w:bottom w:val="nil"/>
              <w:right w:val="nil"/>
            </w:tcBorders>
            <w:shd w:val="clear" w:color="auto" w:fill="auto"/>
            <w:noWrap/>
            <w:vAlign w:val="center"/>
            <w:hideMark/>
          </w:tcPr>
          <w:p w14:paraId="25C3B490" w14:textId="524CFF16"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(0.059)</w:t>
            </w:r>
          </w:p>
        </w:tc>
        <w:tc>
          <w:tcPr>
            <w:tcW w:w="533" w:type="pct"/>
            <w:tcBorders>
              <w:top w:val="nil"/>
              <w:left w:val="nil"/>
              <w:bottom w:val="nil"/>
              <w:right w:val="nil"/>
            </w:tcBorders>
            <w:shd w:val="clear" w:color="auto" w:fill="auto"/>
            <w:noWrap/>
            <w:vAlign w:val="center"/>
            <w:hideMark/>
          </w:tcPr>
          <w:p w14:paraId="5FF2B095" w14:textId="10FF79DC"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(0.054)</w:t>
            </w:r>
          </w:p>
        </w:tc>
        <w:tc>
          <w:tcPr>
            <w:tcW w:w="533" w:type="pct"/>
            <w:tcBorders>
              <w:top w:val="nil"/>
              <w:left w:val="nil"/>
              <w:bottom w:val="nil"/>
              <w:right w:val="nil"/>
            </w:tcBorders>
            <w:shd w:val="clear" w:color="auto" w:fill="auto"/>
            <w:noWrap/>
            <w:vAlign w:val="center"/>
            <w:hideMark/>
          </w:tcPr>
          <w:p w14:paraId="7C6D2DC6" w14:textId="7EA1337B"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(0.054)</w:t>
            </w:r>
          </w:p>
        </w:tc>
        <w:tc>
          <w:tcPr>
            <w:tcW w:w="533" w:type="pct"/>
            <w:tcBorders>
              <w:top w:val="nil"/>
              <w:left w:val="nil"/>
              <w:bottom w:val="nil"/>
              <w:right w:val="nil"/>
            </w:tcBorders>
            <w:shd w:val="clear" w:color="auto" w:fill="auto"/>
            <w:noWrap/>
            <w:vAlign w:val="center"/>
            <w:hideMark/>
          </w:tcPr>
          <w:p w14:paraId="0382097B" w14:textId="1BFD9906"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(0.054)</w:t>
            </w:r>
          </w:p>
        </w:tc>
        <w:tc>
          <w:tcPr>
            <w:tcW w:w="533" w:type="pct"/>
            <w:tcBorders>
              <w:top w:val="nil"/>
              <w:left w:val="nil"/>
              <w:bottom w:val="nil"/>
              <w:right w:val="nil"/>
            </w:tcBorders>
            <w:shd w:val="clear" w:color="auto" w:fill="auto"/>
            <w:noWrap/>
            <w:vAlign w:val="center"/>
            <w:hideMark/>
          </w:tcPr>
          <w:p w14:paraId="2EB27399" w14:textId="52BE6816"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(0.054)</w:t>
            </w:r>
          </w:p>
        </w:tc>
        <w:tc>
          <w:tcPr>
            <w:tcW w:w="567" w:type="pct"/>
            <w:tcBorders>
              <w:top w:val="nil"/>
              <w:left w:val="nil"/>
              <w:bottom w:val="nil"/>
              <w:right w:val="nil"/>
            </w:tcBorders>
            <w:shd w:val="clear" w:color="auto" w:fill="auto"/>
            <w:noWrap/>
            <w:vAlign w:val="center"/>
            <w:hideMark/>
          </w:tcPr>
          <w:p w14:paraId="0F098C1A" w14:textId="77685AB4"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(0.007)</w:t>
            </w:r>
          </w:p>
        </w:tc>
        <w:tc>
          <w:tcPr>
            <w:tcW w:w="566" w:type="pct"/>
            <w:tcBorders>
              <w:top w:val="nil"/>
              <w:left w:val="nil"/>
              <w:bottom w:val="nil"/>
              <w:right w:val="nil"/>
            </w:tcBorders>
            <w:shd w:val="clear" w:color="auto" w:fill="auto"/>
            <w:noWrap/>
            <w:vAlign w:val="center"/>
            <w:hideMark/>
          </w:tcPr>
          <w:p w14:paraId="7C507AE9" w14:textId="5830C147"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(0.005)</w:t>
            </w:r>
          </w:p>
        </w:tc>
      </w:tr>
      <w:tr w:rsidR="002733F0" w:rsidRPr="00DD1225" w14:paraId="5508DC28"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1F5ED8AC" w14:textId="77777777" w:rsidR="002733F0" w:rsidRPr="00DD1225" w:rsidRDefault="002733F0" w:rsidP="00C57EC3">
            <w:pPr>
              <w:spacing w:after="0" w:line="240" w:lineRule="auto"/>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CX</w:t>
            </w:r>
          </w:p>
        </w:tc>
        <w:tc>
          <w:tcPr>
            <w:tcW w:w="533" w:type="pct"/>
            <w:tcBorders>
              <w:top w:val="nil"/>
              <w:left w:val="nil"/>
              <w:bottom w:val="nil"/>
              <w:right w:val="nil"/>
            </w:tcBorders>
            <w:shd w:val="clear" w:color="auto" w:fill="auto"/>
            <w:noWrap/>
            <w:vAlign w:val="bottom"/>
            <w:hideMark/>
          </w:tcPr>
          <w:p w14:paraId="14AB0C6A" w14:textId="77777777" w:rsidR="002733F0" w:rsidRPr="00DD1225" w:rsidRDefault="002733F0" w:rsidP="00C57EC3">
            <w:pPr>
              <w:spacing w:after="0" w:line="240" w:lineRule="auto"/>
              <w:rPr>
                <w:rFonts w:ascii="CMU Serif" w:eastAsia="Times New Roman" w:hAnsi="CMU Serif" w:cs="CMU Serif"/>
                <w:color w:val="000000"/>
                <w:sz w:val="18"/>
                <w:szCs w:val="18"/>
                <w:lang w:val="en-US"/>
              </w:rPr>
            </w:pPr>
          </w:p>
        </w:tc>
        <w:tc>
          <w:tcPr>
            <w:tcW w:w="533" w:type="pct"/>
            <w:tcBorders>
              <w:top w:val="nil"/>
              <w:left w:val="nil"/>
              <w:bottom w:val="nil"/>
              <w:right w:val="nil"/>
            </w:tcBorders>
            <w:shd w:val="clear" w:color="auto" w:fill="auto"/>
            <w:noWrap/>
            <w:vAlign w:val="center"/>
            <w:hideMark/>
          </w:tcPr>
          <w:p w14:paraId="0107EE64"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0.029</w:t>
            </w:r>
          </w:p>
        </w:tc>
        <w:tc>
          <w:tcPr>
            <w:tcW w:w="533" w:type="pct"/>
            <w:tcBorders>
              <w:top w:val="nil"/>
              <w:left w:val="nil"/>
              <w:bottom w:val="nil"/>
              <w:right w:val="nil"/>
            </w:tcBorders>
            <w:shd w:val="clear" w:color="auto" w:fill="auto"/>
            <w:noWrap/>
            <w:vAlign w:val="center"/>
            <w:hideMark/>
          </w:tcPr>
          <w:p w14:paraId="2851286E"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-0.001</w:t>
            </w:r>
          </w:p>
        </w:tc>
        <w:tc>
          <w:tcPr>
            <w:tcW w:w="533" w:type="pct"/>
            <w:tcBorders>
              <w:top w:val="nil"/>
              <w:left w:val="nil"/>
              <w:bottom w:val="nil"/>
              <w:right w:val="nil"/>
            </w:tcBorders>
            <w:shd w:val="clear" w:color="auto" w:fill="auto"/>
            <w:noWrap/>
            <w:vAlign w:val="center"/>
            <w:hideMark/>
          </w:tcPr>
          <w:p w14:paraId="4C88BCFB"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-0.002</w:t>
            </w:r>
          </w:p>
        </w:tc>
        <w:tc>
          <w:tcPr>
            <w:tcW w:w="533" w:type="pct"/>
            <w:tcBorders>
              <w:top w:val="nil"/>
              <w:left w:val="nil"/>
              <w:bottom w:val="nil"/>
              <w:right w:val="nil"/>
            </w:tcBorders>
            <w:shd w:val="clear" w:color="auto" w:fill="auto"/>
            <w:noWrap/>
            <w:vAlign w:val="center"/>
            <w:hideMark/>
          </w:tcPr>
          <w:p w14:paraId="34C6D74B"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-0.001</w:t>
            </w:r>
          </w:p>
        </w:tc>
        <w:tc>
          <w:tcPr>
            <w:tcW w:w="533" w:type="pct"/>
            <w:tcBorders>
              <w:top w:val="nil"/>
              <w:left w:val="nil"/>
              <w:bottom w:val="nil"/>
              <w:right w:val="nil"/>
            </w:tcBorders>
            <w:shd w:val="clear" w:color="auto" w:fill="auto"/>
            <w:noWrap/>
            <w:vAlign w:val="center"/>
            <w:hideMark/>
          </w:tcPr>
          <w:p w14:paraId="4B3E1BD5"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0.000</w:t>
            </w:r>
          </w:p>
        </w:tc>
        <w:tc>
          <w:tcPr>
            <w:tcW w:w="567" w:type="pct"/>
            <w:tcBorders>
              <w:top w:val="nil"/>
              <w:left w:val="nil"/>
              <w:bottom w:val="nil"/>
              <w:right w:val="nil"/>
            </w:tcBorders>
            <w:shd w:val="clear" w:color="auto" w:fill="auto"/>
            <w:noWrap/>
            <w:vAlign w:val="center"/>
            <w:hideMark/>
          </w:tcPr>
          <w:p w14:paraId="28BE8E13"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-0.039</w:t>
            </w:r>
          </w:p>
        </w:tc>
        <w:tc>
          <w:tcPr>
            <w:tcW w:w="566" w:type="pct"/>
            <w:tcBorders>
              <w:top w:val="nil"/>
              <w:left w:val="nil"/>
              <w:bottom w:val="nil"/>
              <w:right w:val="nil"/>
            </w:tcBorders>
            <w:shd w:val="clear" w:color="auto" w:fill="auto"/>
            <w:noWrap/>
            <w:vAlign w:val="center"/>
            <w:hideMark/>
          </w:tcPr>
          <w:p w14:paraId="315D449F"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-0.037</w:t>
            </w:r>
          </w:p>
        </w:tc>
      </w:tr>
      <w:tr w:rsidR="002733F0" w:rsidRPr="00DD1225" w14:paraId="713D1C8B"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4FF2DE85"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p>
        </w:tc>
        <w:tc>
          <w:tcPr>
            <w:tcW w:w="533" w:type="pct"/>
            <w:tcBorders>
              <w:top w:val="nil"/>
              <w:left w:val="nil"/>
              <w:bottom w:val="nil"/>
              <w:right w:val="nil"/>
            </w:tcBorders>
            <w:shd w:val="clear" w:color="auto" w:fill="auto"/>
            <w:noWrap/>
            <w:vAlign w:val="bottom"/>
            <w:hideMark/>
          </w:tcPr>
          <w:p w14:paraId="334F750D" w14:textId="77777777" w:rsidR="002733F0" w:rsidRPr="00DD1225" w:rsidRDefault="002733F0" w:rsidP="00C57EC3">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0A4A3A4F" w14:textId="2A7610BC"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(0.051)</w:t>
            </w:r>
          </w:p>
        </w:tc>
        <w:tc>
          <w:tcPr>
            <w:tcW w:w="533" w:type="pct"/>
            <w:tcBorders>
              <w:top w:val="nil"/>
              <w:left w:val="nil"/>
              <w:bottom w:val="nil"/>
              <w:right w:val="nil"/>
            </w:tcBorders>
            <w:shd w:val="clear" w:color="auto" w:fill="auto"/>
            <w:noWrap/>
            <w:vAlign w:val="center"/>
            <w:hideMark/>
          </w:tcPr>
          <w:p w14:paraId="5CABA038" w14:textId="54FB11DA"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(0.037)</w:t>
            </w:r>
          </w:p>
        </w:tc>
        <w:tc>
          <w:tcPr>
            <w:tcW w:w="533" w:type="pct"/>
            <w:tcBorders>
              <w:top w:val="nil"/>
              <w:left w:val="nil"/>
              <w:bottom w:val="nil"/>
              <w:right w:val="nil"/>
            </w:tcBorders>
            <w:shd w:val="clear" w:color="auto" w:fill="auto"/>
            <w:noWrap/>
            <w:vAlign w:val="center"/>
            <w:hideMark/>
          </w:tcPr>
          <w:p w14:paraId="3F2E7509" w14:textId="038C4C35"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(0.037)</w:t>
            </w:r>
          </w:p>
        </w:tc>
        <w:tc>
          <w:tcPr>
            <w:tcW w:w="533" w:type="pct"/>
            <w:tcBorders>
              <w:top w:val="nil"/>
              <w:left w:val="nil"/>
              <w:bottom w:val="nil"/>
              <w:right w:val="nil"/>
            </w:tcBorders>
            <w:shd w:val="clear" w:color="auto" w:fill="auto"/>
            <w:noWrap/>
            <w:vAlign w:val="center"/>
            <w:hideMark/>
          </w:tcPr>
          <w:p w14:paraId="744CBB4C" w14:textId="14216DA6"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(0.038)</w:t>
            </w:r>
          </w:p>
        </w:tc>
        <w:tc>
          <w:tcPr>
            <w:tcW w:w="533" w:type="pct"/>
            <w:tcBorders>
              <w:top w:val="nil"/>
              <w:left w:val="nil"/>
              <w:bottom w:val="nil"/>
              <w:right w:val="nil"/>
            </w:tcBorders>
            <w:shd w:val="clear" w:color="auto" w:fill="auto"/>
            <w:noWrap/>
            <w:vAlign w:val="center"/>
            <w:hideMark/>
          </w:tcPr>
          <w:p w14:paraId="3EBA5B6E" w14:textId="23E0898D"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(0.036)</w:t>
            </w:r>
          </w:p>
        </w:tc>
        <w:tc>
          <w:tcPr>
            <w:tcW w:w="567" w:type="pct"/>
            <w:tcBorders>
              <w:top w:val="nil"/>
              <w:left w:val="nil"/>
              <w:bottom w:val="nil"/>
              <w:right w:val="nil"/>
            </w:tcBorders>
            <w:shd w:val="clear" w:color="auto" w:fill="auto"/>
            <w:noWrap/>
            <w:vAlign w:val="center"/>
            <w:hideMark/>
          </w:tcPr>
          <w:p w14:paraId="0E525884" w14:textId="5E79B6DD"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(0.051)</w:t>
            </w:r>
          </w:p>
        </w:tc>
        <w:tc>
          <w:tcPr>
            <w:tcW w:w="566" w:type="pct"/>
            <w:tcBorders>
              <w:top w:val="nil"/>
              <w:left w:val="nil"/>
              <w:bottom w:val="nil"/>
              <w:right w:val="nil"/>
            </w:tcBorders>
            <w:shd w:val="clear" w:color="auto" w:fill="auto"/>
            <w:noWrap/>
            <w:vAlign w:val="center"/>
            <w:hideMark/>
          </w:tcPr>
          <w:p w14:paraId="081A735C" w14:textId="23C155EC"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(0.050)</w:t>
            </w:r>
          </w:p>
        </w:tc>
      </w:tr>
      <w:tr w:rsidR="002733F0" w:rsidRPr="00DD1225" w14:paraId="0F61AE81"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507CF622" w14:textId="77777777" w:rsidR="002733F0" w:rsidRPr="00DD1225" w:rsidRDefault="002733F0" w:rsidP="00C57EC3">
            <w:pPr>
              <w:spacing w:after="0" w:line="240" w:lineRule="auto"/>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MV</w:t>
            </w:r>
          </w:p>
        </w:tc>
        <w:tc>
          <w:tcPr>
            <w:tcW w:w="533" w:type="pct"/>
            <w:tcBorders>
              <w:top w:val="nil"/>
              <w:left w:val="nil"/>
              <w:bottom w:val="nil"/>
              <w:right w:val="nil"/>
            </w:tcBorders>
            <w:shd w:val="clear" w:color="auto" w:fill="auto"/>
            <w:noWrap/>
            <w:vAlign w:val="bottom"/>
            <w:hideMark/>
          </w:tcPr>
          <w:p w14:paraId="64FB5715" w14:textId="77777777" w:rsidR="002733F0" w:rsidRPr="00DD1225" w:rsidRDefault="002733F0" w:rsidP="00C57EC3">
            <w:pPr>
              <w:spacing w:after="0" w:line="240" w:lineRule="auto"/>
              <w:rPr>
                <w:rFonts w:ascii="CMU Serif" w:eastAsia="Times New Roman" w:hAnsi="CMU Serif" w:cs="CMU Serif"/>
                <w:color w:val="000000"/>
                <w:sz w:val="18"/>
                <w:szCs w:val="18"/>
                <w:lang w:val="en-US"/>
              </w:rPr>
            </w:pPr>
          </w:p>
        </w:tc>
        <w:tc>
          <w:tcPr>
            <w:tcW w:w="533" w:type="pct"/>
            <w:tcBorders>
              <w:top w:val="nil"/>
              <w:left w:val="nil"/>
              <w:bottom w:val="nil"/>
              <w:right w:val="nil"/>
            </w:tcBorders>
            <w:shd w:val="clear" w:color="auto" w:fill="auto"/>
            <w:noWrap/>
            <w:vAlign w:val="center"/>
            <w:hideMark/>
          </w:tcPr>
          <w:p w14:paraId="1948AD94"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0.984</w:t>
            </w:r>
          </w:p>
        </w:tc>
        <w:tc>
          <w:tcPr>
            <w:tcW w:w="533" w:type="pct"/>
            <w:tcBorders>
              <w:top w:val="nil"/>
              <w:left w:val="nil"/>
              <w:bottom w:val="nil"/>
              <w:right w:val="nil"/>
            </w:tcBorders>
            <w:shd w:val="clear" w:color="auto" w:fill="auto"/>
            <w:noWrap/>
            <w:vAlign w:val="center"/>
            <w:hideMark/>
          </w:tcPr>
          <w:p w14:paraId="1437BE4A"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-3.470</w:t>
            </w:r>
          </w:p>
        </w:tc>
        <w:tc>
          <w:tcPr>
            <w:tcW w:w="533" w:type="pct"/>
            <w:tcBorders>
              <w:top w:val="nil"/>
              <w:left w:val="nil"/>
              <w:bottom w:val="nil"/>
              <w:right w:val="nil"/>
            </w:tcBorders>
            <w:shd w:val="clear" w:color="auto" w:fill="auto"/>
            <w:noWrap/>
            <w:vAlign w:val="center"/>
            <w:hideMark/>
          </w:tcPr>
          <w:p w14:paraId="398BE736"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-3.520</w:t>
            </w:r>
          </w:p>
        </w:tc>
        <w:tc>
          <w:tcPr>
            <w:tcW w:w="533" w:type="pct"/>
            <w:tcBorders>
              <w:top w:val="nil"/>
              <w:left w:val="nil"/>
              <w:bottom w:val="nil"/>
              <w:right w:val="nil"/>
            </w:tcBorders>
            <w:shd w:val="clear" w:color="auto" w:fill="auto"/>
            <w:noWrap/>
            <w:vAlign w:val="center"/>
            <w:hideMark/>
          </w:tcPr>
          <w:p w14:paraId="4731E3A6"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-3.500</w:t>
            </w:r>
          </w:p>
        </w:tc>
        <w:tc>
          <w:tcPr>
            <w:tcW w:w="533" w:type="pct"/>
            <w:tcBorders>
              <w:top w:val="nil"/>
              <w:left w:val="nil"/>
              <w:bottom w:val="nil"/>
              <w:right w:val="nil"/>
            </w:tcBorders>
            <w:shd w:val="clear" w:color="auto" w:fill="auto"/>
            <w:noWrap/>
            <w:vAlign w:val="center"/>
            <w:hideMark/>
          </w:tcPr>
          <w:p w14:paraId="5FF739C2"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-3.220</w:t>
            </w:r>
          </w:p>
        </w:tc>
        <w:tc>
          <w:tcPr>
            <w:tcW w:w="567" w:type="pct"/>
            <w:tcBorders>
              <w:top w:val="nil"/>
              <w:left w:val="nil"/>
              <w:bottom w:val="nil"/>
              <w:right w:val="nil"/>
            </w:tcBorders>
            <w:shd w:val="clear" w:color="auto" w:fill="auto"/>
            <w:noWrap/>
            <w:vAlign w:val="center"/>
            <w:hideMark/>
          </w:tcPr>
          <w:p w14:paraId="2A6FBB3E"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-3.680</w:t>
            </w:r>
          </w:p>
        </w:tc>
        <w:tc>
          <w:tcPr>
            <w:tcW w:w="566" w:type="pct"/>
            <w:tcBorders>
              <w:top w:val="nil"/>
              <w:left w:val="nil"/>
              <w:bottom w:val="nil"/>
              <w:right w:val="nil"/>
            </w:tcBorders>
            <w:shd w:val="clear" w:color="auto" w:fill="auto"/>
            <w:noWrap/>
            <w:vAlign w:val="center"/>
            <w:hideMark/>
          </w:tcPr>
          <w:p w14:paraId="1B6F055A"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-3.250</w:t>
            </w:r>
          </w:p>
        </w:tc>
      </w:tr>
      <w:tr w:rsidR="002733F0" w:rsidRPr="00DD1225" w14:paraId="1AC76340"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3170369F"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p>
        </w:tc>
        <w:tc>
          <w:tcPr>
            <w:tcW w:w="533" w:type="pct"/>
            <w:tcBorders>
              <w:top w:val="nil"/>
              <w:left w:val="nil"/>
              <w:bottom w:val="nil"/>
              <w:right w:val="nil"/>
            </w:tcBorders>
            <w:shd w:val="clear" w:color="auto" w:fill="auto"/>
            <w:noWrap/>
            <w:vAlign w:val="bottom"/>
            <w:hideMark/>
          </w:tcPr>
          <w:p w14:paraId="38EC4E99" w14:textId="77777777" w:rsidR="002733F0" w:rsidRPr="00DD1225" w:rsidRDefault="002733F0" w:rsidP="00C57EC3">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5C901F71" w14:textId="5B7B57CA"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(1.580)</w:t>
            </w:r>
          </w:p>
        </w:tc>
        <w:tc>
          <w:tcPr>
            <w:tcW w:w="533" w:type="pct"/>
            <w:tcBorders>
              <w:top w:val="nil"/>
              <w:left w:val="nil"/>
              <w:bottom w:val="nil"/>
              <w:right w:val="nil"/>
            </w:tcBorders>
            <w:shd w:val="clear" w:color="auto" w:fill="auto"/>
            <w:noWrap/>
            <w:vAlign w:val="center"/>
            <w:hideMark/>
          </w:tcPr>
          <w:p w14:paraId="2013266B" w14:textId="2C690E82"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(2.570)</w:t>
            </w:r>
          </w:p>
        </w:tc>
        <w:tc>
          <w:tcPr>
            <w:tcW w:w="533" w:type="pct"/>
            <w:tcBorders>
              <w:top w:val="nil"/>
              <w:left w:val="nil"/>
              <w:bottom w:val="nil"/>
              <w:right w:val="nil"/>
            </w:tcBorders>
            <w:shd w:val="clear" w:color="auto" w:fill="auto"/>
            <w:noWrap/>
            <w:vAlign w:val="center"/>
            <w:hideMark/>
          </w:tcPr>
          <w:p w14:paraId="19B58DB9" w14:textId="22CB1683"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(2.590)</w:t>
            </w:r>
          </w:p>
        </w:tc>
        <w:tc>
          <w:tcPr>
            <w:tcW w:w="533" w:type="pct"/>
            <w:tcBorders>
              <w:top w:val="nil"/>
              <w:left w:val="nil"/>
              <w:bottom w:val="nil"/>
              <w:right w:val="nil"/>
            </w:tcBorders>
            <w:shd w:val="clear" w:color="auto" w:fill="auto"/>
            <w:noWrap/>
            <w:vAlign w:val="center"/>
            <w:hideMark/>
          </w:tcPr>
          <w:p w14:paraId="650AA42F" w14:textId="7148F4DD"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(2.590)</w:t>
            </w:r>
          </w:p>
        </w:tc>
        <w:tc>
          <w:tcPr>
            <w:tcW w:w="533" w:type="pct"/>
            <w:tcBorders>
              <w:top w:val="nil"/>
              <w:left w:val="nil"/>
              <w:bottom w:val="nil"/>
              <w:right w:val="nil"/>
            </w:tcBorders>
            <w:shd w:val="clear" w:color="auto" w:fill="auto"/>
            <w:noWrap/>
            <w:vAlign w:val="center"/>
            <w:hideMark/>
          </w:tcPr>
          <w:p w14:paraId="64497ED5" w14:textId="2E865E29"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(2.600)</w:t>
            </w:r>
          </w:p>
        </w:tc>
        <w:tc>
          <w:tcPr>
            <w:tcW w:w="567" w:type="pct"/>
            <w:tcBorders>
              <w:top w:val="nil"/>
              <w:left w:val="nil"/>
              <w:bottom w:val="nil"/>
              <w:right w:val="nil"/>
            </w:tcBorders>
            <w:shd w:val="clear" w:color="auto" w:fill="auto"/>
            <w:noWrap/>
            <w:vAlign w:val="center"/>
            <w:hideMark/>
          </w:tcPr>
          <w:p w14:paraId="72939076" w14:textId="1D394E09"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(2.550)</w:t>
            </w:r>
          </w:p>
        </w:tc>
        <w:tc>
          <w:tcPr>
            <w:tcW w:w="566" w:type="pct"/>
            <w:tcBorders>
              <w:top w:val="nil"/>
              <w:left w:val="nil"/>
              <w:bottom w:val="nil"/>
              <w:right w:val="nil"/>
            </w:tcBorders>
            <w:shd w:val="clear" w:color="auto" w:fill="auto"/>
            <w:noWrap/>
            <w:vAlign w:val="center"/>
            <w:hideMark/>
          </w:tcPr>
          <w:p w14:paraId="2219EBF7" w14:textId="795AB724"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(2.580)</w:t>
            </w:r>
          </w:p>
        </w:tc>
      </w:tr>
      <w:tr w:rsidR="002733F0" w:rsidRPr="00DD1225" w14:paraId="24993960"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6E37434C" w14:textId="77777777" w:rsidR="002733F0" w:rsidRPr="00DD1225" w:rsidRDefault="002733F0" w:rsidP="00C57EC3">
            <w:pPr>
              <w:spacing w:after="0" w:line="240" w:lineRule="auto"/>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VIX</w:t>
            </w:r>
          </w:p>
        </w:tc>
        <w:tc>
          <w:tcPr>
            <w:tcW w:w="533" w:type="pct"/>
            <w:tcBorders>
              <w:top w:val="nil"/>
              <w:left w:val="nil"/>
              <w:bottom w:val="nil"/>
              <w:right w:val="nil"/>
            </w:tcBorders>
            <w:shd w:val="clear" w:color="auto" w:fill="auto"/>
            <w:noWrap/>
            <w:vAlign w:val="bottom"/>
            <w:hideMark/>
          </w:tcPr>
          <w:p w14:paraId="591DAB86" w14:textId="77777777" w:rsidR="002733F0" w:rsidRPr="00DD1225" w:rsidRDefault="002733F0" w:rsidP="00C57EC3">
            <w:pPr>
              <w:spacing w:after="0" w:line="240" w:lineRule="auto"/>
              <w:rPr>
                <w:rFonts w:ascii="CMU Serif" w:eastAsia="Times New Roman" w:hAnsi="CMU Serif" w:cs="CMU Serif"/>
                <w:color w:val="000000"/>
                <w:sz w:val="18"/>
                <w:szCs w:val="18"/>
                <w:lang w:val="en-US"/>
              </w:rPr>
            </w:pPr>
          </w:p>
        </w:tc>
        <w:tc>
          <w:tcPr>
            <w:tcW w:w="533" w:type="pct"/>
            <w:tcBorders>
              <w:top w:val="nil"/>
              <w:left w:val="nil"/>
              <w:bottom w:val="nil"/>
              <w:right w:val="nil"/>
            </w:tcBorders>
            <w:shd w:val="clear" w:color="auto" w:fill="auto"/>
            <w:noWrap/>
            <w:vAlign w:val="bottom"/>
            <w:hideMark/>
          </w:tcPr>
          <w:p w14:paraId="624A29B1" w14:textId="77777777" w:rsidR="002733F0" w:rsidRPr="00DD1225" w:rsidRDefault="002733F0" w:rsidP="00C57EC3">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522E485C"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-0.002</w:t>
            </w:r>
          </w:p>
        </w:tc>
        <w:tc>
          <w:tcPr>
            <w:tcW w:w="533" w:type="pct"/>
            <w:tcBorders>
              <w:top w:val="nil"/>
              <w:left w:val="nil"/>
              <w:bottom w:val="nil"/>
              <w:right w:val="nil"/>
            </w:tcBorders>
            <w:shd w:val="clear" w:color="auto" w:fill="auto"/>
            <w:noWrap/>
            <w:vAlign w:val="center"/>
            <w:hideMark/>
          </w:tcPr>
          <w:p w14:paraId="549AE230"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-0.002</w:t>
            </w:r>
          </w:p>
        </w:tc>
        <w:tc>
          <w:tcPr>
            <w:tcW w:w="533" w:type="pct"/>
            <w:tcBorders>
              <w:top w:val="nil"/>
              <w:left w:val="nil"/>
              <w:bottom w:val="nil"/>
              <w:right w:val="nil"/>
            </w:tcBorders>
            <w:shd w:val="clear" w:color="auto" w:fill="auto"/>
            <w:noWrap/>
            <w:vAlign w:val="center"/>
            <w:hideMark/>
          </w:tcPr>
          <w:p w14:paraId="54E43370"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-0.002</w:t>
            </w:r>
          </w:p>
        </w:tc>
        <w:tc>
          <w:tcPr>
            <w:tcW w:w="533" w:type="pct"/>
            <w:tcBorders>
              <w:top w:val="nil"/>
              <w:left w:val="nil"/>
              <w:bottom w:val="nil"/>
              <w:right w:val="nil"/>
            </w:tcBorders>
            <w:shd w:val="clear" w:color="auto" w:fill="auto"/>
            <w:noWrap/>
            <w:vAlign w:val="center"/>
            <w:hideMark/>
          </w:tcPr>
          <w:p w14:paraId="51962E05"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-0.003</w:t>
            </w:r>
          </w:p>
        </w:tc>
        <w:tc>
          <w:tcPr>
            <w:tcW w:w="567" w:type="pct"/>
            <w:tcBorders>
              <w:top w:val="nil"/>
              <w:left w:val="nil"/>
              <w:bottom w:val="nil"/>
              <w:right w:val="nil"/>
            </w:tcBorders>
            <w:shd w:val="clear" w:color="auto" w:fill="auto"/>
            <w:noWrap/>
            <w:vAlign w:val="center"/>
            <w:hideMark/>
          </w:tcPr>
          <w:p w14:paraId="097069F5"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0.001</w:t>
            </w:r>
          </w:p>
        </w:tc>
        <w:tc>
          <w:tcPr>
            <w:tcW w:w="566" w:type="pct"/>
            <w:tcBorders>
              <w:top w:val="nil"/>
              <w:left w:val="nil"/>
              <w:bottom w:val="nil"/>
              <w:right w:val="nil"/>
            </w:tcBorders>
            <w:shd w:val="clear" w:color="auto" w:fill="auto"/>
            <w:noWrap/>
            <w:vAlign w:val="center"/>
            <w:hideMark/>
          </w:tcPr>
          <w:p w14:paraId="389DA44F"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-0.001</w:t>
            </w:r>
          </w:p>
        </w:tc>
      </w:tr>
      <w:tr w:rsidR="002733F0" w:rsidRPr="00DD1225" w14:paraId="78E362F9"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253ACFB3"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p>
        </w:tc>
        <w:tc>
          <w:tcPr>
            <w:tcW w:w="533" w:type="pct"/>
            <w:tcBorders>
              <w:top w:val="nil"/>
              <w:left w:val="nil"/>
              <w:bottom w:val="nil"/>
              <w:right w:val="nil"/>
            </w:tcBorders>
            <w:shd w:val="clear" w:color="auto" w:fill="auto"/>
            <w:noWrap/>
            <w:vAlign w:val="bottom"/>
            <w:hideMark/>
          </w:tcPr>
          <w:p w14:paraId="5C3EC5DD" w14:textId="77777777" w:rsidR="002733F0" w:rsidRPr="00DD1225" w:rsidRDefault="002733F0" w:rsidP="00C57EC3">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bottom"/>
            <w:hideMark/>
          </w:tcPr>
          <w:p w14:paraId="6F39A632" w14:textId="77777777" w:rsidR="002733F0" w:rsidRPr="00DD1225" w:rsidRDefault="002733F0" w:rsidP="00C57EC3">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11A9B01F" w14:textId="77777777"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(0.000)</w:t>
            </w:r>
          </w:p>
        </w:tc>
        <w:tc>
          <w:tcPr>
            <w:tcW w:w="533" w:type="pct"/>
            <w:tcBorders>
              <w:top w:val="nil"/>
              <w:left w:val="nil"/>
              <w:bottom w:val="nil"/>
              <w:right w:val="nil"/>
            </w:tcBorders>
            <w:shd w:val="clear" w:color="auto" w:fill="auto"/>
            <w:noWrap/>
            <w:vAlign w:val="center"/>
            <w:hideMark/>
          </w:tcPr>
          <w:p w14:paraId="35D654BA" w14:textId="41FBE962"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(0.002)</w:t>
            </w:r>
          </w:p>
        </w:tc>
        <w:tc>
          <w:tcPr>
            <w:tcW w:w="533" w:type="pct"/>
            <w:tcBorders>
              <w:top w:val="nil"/>
              <w:left w:val="nil"/>
              <w:bottom w:val="nil"/>
              <w:right w:val="nil"/>
            </w:tcBorders>
            <w:shd w:val="clear" w:color="auto" w:fill="auto"/>
            <w:noWrap/>
            <w:vAlign w:val="center"/>
            <w:hideMark/>
          </w:tcPr>
          <w:p w14:paraId="7A7D37A3" w14:textId="2A1B640B"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(0.003)</w:t>
            </w:r>
          </w:p>
        </w:tc>
        <w:tc>
          <w:tcPr>
            <w:tcW w:w="533" w:type="pct"/>
            <w:tcBorders>
              <w:top w:val="nil"/>
              <w:left w:val="nil"/>
              <w:bottom w:val="nil"/>
              <w:right w:val="nil"/>
            </w:tcBorders>
            <w:shd w:val="clear" w:color="auto" w:fill="auto"/>
            <w:noWrap/>
            <w:vAlign w:val="center"/>
            <w:hideMark/>
          </w:tcPr>
          <w:p w14:paraId="30CC60C7" w14:textId="7AF106CA"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(0.003)</w:t>
            </w:r>
          </w:p>
        </w:tc>
        <w:tc>
          <w:tcPr>
            <w:tcW w:w="567" w:type="pct"/>
            <w:tcBorders>
              <w:top w:val="nil"/>
              <w:left w:val="nil"/>
              <w:bottom w:val="nil"/>
              <w:right w:val="nil"/>
            </w:tcBorders>
            <w:shd w:val="clear" w:color="auto" w:fill="auto"/>
            <w:noWrap/>
            <w:vAlign w:val="center"/>
            <w:hideMark/>
          </w:tcPr>
          <w:p w14:paraId="2BA96FD0" w14:textId="58AE1446"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(0.002)</w:t>
            </w:r>
          </w:p>
        </w:tc>
        <w:tc>
          <w:tcPr>
            <w:tcW w:w="566" w:type="pct"/>
            <w:tcBorders>
              <w:top w:val="nil"/>
              <w:left w:val="nil"/>
              <w:bottom w:val="nil"/>
              <w:right w:val="nil"/>
            </w:tcBorders>
            <w:shd w:val="clear" w:color="auto" w:fill="auto"/>
            <w:noWrap/>
            <w:vAlign w:val="center"/>
            <w:hideMark/>
          </w:tcPr>
          <w:p w14:paraId="1E3336E9" w14:textId="7B1895CC"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(0.002)</w:t>
            </w:r>
          </w:p>
        </w:tc>
      </w:tr>
      <w:tr w:rsidR="002733F0" w:rsidRPr="00DD1225" w14:paraId="77A65472"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4658DDD9" w14:textId="77777777" w:rsidR="002733F0" w:rsidRPr="00DD1225" w:rsidRDefault="002733F0" w:rsidP="00C57EC3">
            <w:pPr>
              <w:spacing w:after="0" w:line="240" w:lineRule="auto"/>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DEF</w:t>
            </w:r>
          </w:p>
        </w:tc>
        <w:tc>
          <w:tcPr>
            <w:tcW w:w="533" w:type="pct"/>
            <w:tcBorders>
              <w:top w:val="nil"/>
              <w:left w:val="nil"/>
              <w:bottom w:val="nil"/>
              <w:right w:val="nil"/>
            </w:tcBorders>
            <w:shd w:val="clear" w:color="auto" w:fill="auto"/>
            <w:noWrap/>
            <w:vAlign w:val="bottom"/>
            <w:hideMark/>
          </w:tcPr>
          <w:p w14:paraId="5A439D2E" w14:textId="77777777" w:rsidR="002733F0" w:rsidRPr="00DD1225" w:rsidRDefault="002733F0" w:rsidP="00C57EC3">
            <w:pPr>
              <w:spacing w:after="0" w:line="240" w:lineRule="auto"/>
              <w:rPr>
                <w:rFonts w:ascii="CMU Serif" w:eastAsia="Times New Roman" w:hAnsi="CMU Serif" w:cs="CMU Serif"/>
                <w:color w:val="000000"/>
                <w:sz w:val="18"/>
                <w:szCs w:val="18"/>
                <w:lang w:val="en-US"/>
              </w:rPr>
            </w:pPr>
          </w:p>
        </w:tc>
        <w:tc>
          <w:tcPr>
            <w:tcW w:w="533" w:type="pct"/>
            <w:tcBorders>
              <w:top w:val="nil"/>
              <w:left w:val="nil"/>
              <w:bottom w:val="nil"/>
              <w:right w:val="nil"/>
            </w:tcBorders>
            <w:shd w:val="clear" w:color="auto" w:fill="auto"/>
            <w:noWrap/>
            <w:vAlign w:val="bottom"/>
            <w:hideMark/>
          </w:tcPr>
          <w:p w14:paraId="6EF1D542" w14:textId="77777777" w:rsidR="002733F0" w:rsidRPr="00DD1225" w:rsidRDefault="002733F0" w:rsidP="00C57EC3">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4E8F463A"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0.083</w:t>
            </w:r>
          </w:p>
        </w:tc>
        <w:tc>
          <w:tcPr>
            <w:tcW w:w="533" w:type="pct"/>
            <w:tcBorders>
              <w:top w:val="nil"/>
              <w:left w:val="nil"/>
              <w:bottom w:val="nil"/>
              <w:right w:val="nil"/>
            </w:tcBorders>
            <w:shd w:val="clear" w:color="auto" w:fill="auto"/>
            <w:noWrap/>
            <w:vAlign w:val="center"/>
            <w:hideMark/>
          </w:tcPr>
          <w:p w14:paraId="698605A5"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0.005</w:t>
            </w:r>
          </w:p>
        </w:tc>
        <w:tc>
          <w:tcPr>
            <w:tcW w:w="533" w:type="pct"/>
            <w:tcBorders>
              <w:top w:val="nil"/>
              <w:left w:val="nil"/>
              <w:bottom w:val="nil"/>
              <w:right w:val="nil"/>
            </w:tcBorders>
            <w:shd w:val="clear" w:color="auto" w:fill="auto"/>
            <w:noWrap/>
            <w:vAlign w:val="center"/>
            <w:hideMark/>
          </w:tcPr>
          <w:p w14:paraId="55937E54"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0.008</w:t>
            </w:r>
          </w:p>
        </w:tc>
        <w:tc>
          <w:tcPr>
            <w:tcW w:w="533" w:type="pct"/>
            <w:tcBorders>
              <w:top w:val="nil"/>
              <w:left w:val="nil"/>
              <w:bottom w:val="nil"/>
              <w:right w:val="nil"/>
            </w:tcBorders>
            <w:shd w:val="clear" w:color="auto" w:fill="auto"/>
            <w:noWrap/>
            <w:vAlign w:val="center"/>
            <w:hideMark/>
          </w:tcPr>
          <w:p w14:paraId="1662523B"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0.006</w:t>
            </w:r>
          </w:p>
        </w:tc>
        <w:tc>
          <w:tcPr>
            <w:tcW w:w="567" w:type="pct"/>
            <w:tcBorders>
              <w:top w:val="nil"/>
              <w:left w:val="nil"/>
              <w:bottom w:val="nil"/>
              <w:right w:val="nil"/>
            </w:tcBorders>
            <w:shd w:val="clear" w:color="auto" w:fill="auto"/>
            <w:noWrap/>
            <w:vAlign w:val="center"/>
            <w:hideMark/>
          </w:tcPr>
          <w:p w14:paraId="54F9629F"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0.017</w:t>
            </w:r>
          </w:p>
        </w:tc>
        <w:tc>
          <w:tcPr>
            <w:tcW w:w="566" w:type="pct"/>
            <w:tcBorders>
              <w:top w:val="nil"/>
              <w:left w:val="nil"/>
              <w:bottom w:val="nil"/>
              <w:right w:val="nil"/>
            </w:tcBorders>
            <w:shd w:val="clear" w:color="auto" w:fill="auto"/>
            <w:noWrap/>
            <w:vAlign w:val="center"/>
            <w:hideMark/>
          </w:tcPr>
          <w:p w14:paraId="7E4948A5"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0.012</w:t>
            </w:r>
          </w:p>
        </w:tc>
      </w:tr>
      <w:tr w:rsidR="002733F0" w:rsidRPr="00DD1225" w14:paraId="78A3A239"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43028097"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p>
        </w:tc>
        <w:tc>
          <w:tcPr>
            <w:tcW w:w="533" w:type="pct"/>
            <w:tcBorders>
              <w:top w:val="nil"/>
              <w:left w:val="nil"/>
              <w:bottom w:val="nil"/>
              <w:right w:val="nil"/>
            </w:tcBorders>
            <w:shd w:val="clear" w:color="auto" w:fill="auto"/>
            <w:noWrap/>
            <w:vAlign w:val="bottom"/>
            <w:hideMark/>
          </w:tcPr>
          <w:p w14:paraId="520BFF57" w14:textId="77777777" w:rsidR="002733F0" w:rsidRPr="00DD1225" w:rsidRDefault="002733F0" w:rsidP="00C57EC3">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bottom"/>
            <w:hideMark/>
          </w:tcPr>
          <w:p w14:paraId="314F8852" w14:textId="77777777" w:rsidR="002733F0" w:rsidRPr="00DD1225" w:rsidRDefault="002733F0" w:rsidP="00C57EC3">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532D71DA" w14:textId="77777777"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(0.000)</w:t>
            </w:r>
          </w:p>
        </w:tc>
        <w:tc>
          <w:tcPr>
            <w:tcW w:w="533" w:type="pct"/>
            <w:tcBorders>
              <w:top w:val="nil"/>
              <w:left w:val="nil"/>
              <w:bottom w:val="nil"/>
              <w:right w:val="nil"/>
            </w:tcBorders>
            <w:shd w:val="clear" w:color="auto" w:fill="auto"/>
            <w:noWrap/>
            <w:vAlign w:val="center"/>
            <w:hideMark/>
          </w:tcPr>
          <w:p w14:paraId="11759DA7" w14:textId="79DAA71D"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(0.070)</w:t>
            </w:r>
          </w:p>
        </w:tc>
        <w:tc>
          <w:tcPr>
            <w:tcW w:w="533" w:type="pct"/>
            <w:tcBorders>
              <w:top w:val="nil"/>
              <w:left w:val="nil"/>
              <w:bottom w:val="nil"/>
              <w:right w:val="nil"/>
            </w:tcBorders>
            <w:shd w:val="clear" w:color="auto" w:fill="auto"/>
            <w:noWrap/>
            <w:vAlign w:val="center"/>
            <w:hideMark/>
          </w:tcPr>
          <w:p w14:paraId="682DC0E5" w14:textId="33B55B7B"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(0.133)</w:t>
            </w:r>
          </w:p>
        </w:tc>
        <w:tc>
          <w:tcPr>
            <w:tcW w:w="533" w:type="pct"/>
            <w:tcBorders>
              <w:top w:val="nil"/>
              <w:left w:val="nil"/>
              <w:bottom w:val="nil"/>
              <w:right w:val="nil"/>
            </w:tcBorders>
            <w:shd w:val="clear" w:color="auto" w:fill="auto"/>
            <w:noWrap/>
            <w:vAlign w:val="center"/>
            <w:hideMark/>
          </w:tcPr>
          <w:p w14:paraId="3E4DF7FE" w14:textId="7BAAADE5"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(0.134)</w:t>
            </w:r>
          </w:p>
        </w:tc>
        <w:tc>
          <w:tcPr>
            <w:tcW w:w="567" w:type="pct"/>
            <w:tcBorders>
              <w:top w:val="nil"/>
              <w:left w:val="nil"/>
              <w:bottom w:val="nil"/>
              <w:right w:val="nil"/>
            </w:tcBorders>
            <w:shd w:val="clear" w:color="auto" w:fill="auto"/>
            <w:noWrap/>
            <w:vAlign w:val="center"/>
            <w:hideMark/>
          </w:tcPr>
          <w:p w14:paraId="502FAD34" w14:textId="2BA63D8D"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(0.136)</w:t>
            </w:r>
          </w:p>
        </w:tc>
        <w:tc>
          <w:tcPr>
            <w:tcW w:w="566" w:type="pct"/>
            <w:tcBorders>
              <w:top w:val="nil"/>
              <w:left w:val="nil"/>
              <w:bottom w:val="nil"/>
              <w:right w:val="nil"/>
            </w:tcBorders>
            <w:shd w:val="clear" w:color="auto" w:fill="auto"/>
            <w:noWrap/>
            <w:vAlign w:val="center"/>
            <w:hideMark/>
          </w:tcPr>
          <w:p w14:paraId="50148D3D" w14:textId="028F0A23"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(0.137)</w:t>
            </w:r>
          </w:p>
        </w:tc>
      </w:tr>
      <w:tr w:rsidR="002733F0" w:rsidRPr="00DD1225" w14:paraId="26857250"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389356D3" w14:textId="77777777" w:rsidR="002733F0" w:rsidRPr="00DD1225" w:rsidRDefault="002733F0" w:rsidP="00C57EC3">
            <w:pPr>
              <w:spacing w:after="0" w:line="240" w:lineRule="auto"/>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TED</w:t>
            </w:r>
          </w:p>
        </w:tc>
        <w:tc>
          <w:tcPr>
            <w:tcW w:w="533" w:type="pct"/>
            <w:tcBorders>
              <w:top w:val="nil"/>
              <w:left w:val="nil"/>
              <w:bottom w:val="nil"/>
              <w:right w:val="nil"/>
            </w:tcBorders>
            <w:shd w:val="clear" w:color="auto" w:fill="auto"/>
            <w:noWrap/>
            <w:vAlign w:val="bottom"/>
            <w:hideMark/>
          </w:tcPr>
          <w:p w14:paraId="0776A8B5" w14:textId="77777777" w:rsidR="002733F0" w:rsidRPr="00DD1225" w:rsidRDefault="002733F0" w:rsidP="00C57EC3">
            <w:pPr>
              <w:spacing w:after="0" w:line="240" w:lineRule="auto"/>
              <w:rPr>
                <w:rFonts w:ascii="CMU Serif" w:eastAsia="Times New Roman" w:hAnsi="CMU Serif" w:cs="CMU Serif"/>
                <w:color w:val="000000"/>
                <w:sz w:val="18"/>
                <w:szCs w:val="18"/>
                <w:lang w:val="en-US"/>
              </w:rPr>
            </w:pPr>
          </w:p>
        </w:tc>
        <w:tc>
          <w:tcPr>
            <w:tcW w:w="533" w:type="pct"/>
            <w:tcBorders>
              <w:top w:val="nil"/>
              <w:left w:val="nil"/>
              <w:bottom w:val="nil"/>
              <w:right w:val="nil"/>
            </w:tcBorders>
            <w:shd w:val="clear" w:color="auto" w:fill="auto"/>
            <w:noWrap/>
            <w:vAlign w:val="bottom"/>
            <w:hideMark/>
          </w:tcPr>
          <w:p w14:paraId="6E32E93D" w14:textId="77777777" w:rsidR="002733F0" w:rsidRPr="00DD1225" w:rsidRDefault="002733F0" w:rsidP="00C57EC3">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322ABFEC"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0.075</w:t>
            </w:r>
          </w:p>
        </w:tc>
        <w:tc>
          <w:tcPr>
            <w:tcW w:w="533" w:type="pct"/>
            <w:tcBorders>
              <w:top w:val="nil"/>
              <w:left w:val="nil"/>
              <w:bottom w:val="nil"/>
              <w:right w:val="nil"/>
            </w:tcBorders>
            <w:shd w:val="clear" w:color="auto" w:fill="auto"/>
            <w:noWrap/>
            <w:vAlign w:val="center"/>
            <w:hideMark/>
          </w:tcPr>
          <w:p w14:paraId="2D1196D4"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0.072</w:t>
            </w:r>
          </w:p>
        </w:tc>
        <w:tc>
          <w:tcPr>
            <w:tcW w:w="533" w:type="pct"/>
            <w:tcBorders>
              <w:top w:val="nil"/>
              <w:left w:val="nil"/>
              <w:bottom w:val="nil"/>
              <w:right w:val="nil"/>
            </w:tcBorders>
            <w:shd w:val="clear" w:color="auto" w:fill="auto"/>
            <w:noWrap/>
            <w:vAlign w:val="center"/>
            <w:hideMark/>
          </w:tcPr>
          <w:p w14:paraId="16D4118B"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0.072</w:t>
            </w:r>
          </w:p>
        </w:tc>
        <w:tc>
          <w:tcPr>
            <w:tcW w:w="533" w:type="pct"/>
            <w:tcBorders>
              <w:top w:val="nil"/>
              <w:left w:val="nil"/>
              <w:bottom w:val="nil"/>
              <w:right w:val="nil"/>
            </w:tcBorders>
            <w:shd w:val="clear" w:color="auto" w:fill="auto"/>
            <w:noWrap/>
            <w:vAlign w:val="center"/>
            <w:hideMark/>
          </w:tcPr>
          <w:p w14:paraId="60B1C2C2"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0.071</w:t>
            </w:r>
          </w:p>
        </w:tc>
        <w:tc>
          <w:tcPr>
            <w:tcW w:w="567" w:type="pct"/>
            <w:tcBorders>
              <w:top w:val="nil"/>
              <w:left w:val="nil"/>
              <w:bottom w:val="nil"/>
              <w:right w:val="nil"/>
            </w:tcBorders>
            <w:shd w:val="clear" w:color="auto" w:fill="auto"/>
            <w:noWrap/>
            <w:vAlign w:val="center"/>
            <w:hideMark/>
          </w:tcPr>
          <w:p w14:paraId="1E896E56"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0.068</w:t>
            </w:r>
          </w:p>
        </w:tc>
        <w:tc>
          <w:tcPr>
            <w:tcW w:w="566" w:type="pct"/>
            <w:tcBorders>
              <w:top w:val="nil"/>
              <w:left w:val="nil"/>
              <w:bottom w:val="nil"/>
              <w:right w:val="nil"/>
            </w:tcBorders>
            <w:shd w:val="clear" w:color="auto" w:fill="auto"/>
            <w:noWrap/>
            <w:vAlign w:val="center"/>
            <w:hideMark/>
          </w:tcPr>
          <w:p w14:paraId="195A9543"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0.068</w:t>
            </w:r>
          </w:p>
        </w:tc>
      </w:tr>
      <w:tr w:rsidR="002733F0" w:rsidRPr="00DD1225" w14:paraId="51E8FE61"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687F20FB"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p>
        </w:tc>
        <w:tc>
          <w:tcPr>
            <w:tcW w:w="533" w:type="pct"/>
            <w:tcBorders>
              <w:top w:val="nil"/>
              <w:left w:val="nil"/>
              <w:bottom w:val="nil"/>
              <w:right w:val="nil"/>
            </w:tcBorders>
            <w:shd w:val="clear" w:color="auto" w:fill="auto"/>
            <w:noWrap/>
            <w:vAlign w:val="bottom"/>
            <w:hideMark/>
          </w:tcPr>
          <w:p w14:paraId="702126AE" w14:textId="77777777" w:rsidR="002733F0" w:rsidRPr="00DD1225" w:rsidRDefault="002733F0" w:rsidP="00C57EC3">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bottom"/>
            <w:hideMark/>
          </w:tcPr>
          <w:p w14:paraId="42D5D7D3" w14:textId="77777777" w:rsidR="002733F0" w:rsidRPr="00DD1225" w:rsidRDefault="002733F0" w:rsidP="00C57EC3">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20C581CF" w14:textId="77777777"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(0.000)</w:t>
            </w:r>
          </w:p>
        </w:tc>
        <w:tc>
          <w:tcPr>
            <w:tcW w:w="533" w:type="pct"/>
            <w:tcBorders>
              <w:top w:val="nil"/>
              <w:left w:val="nil"/>
              <w:bottom w:val="nil"/>
              <w:right w:val="nil"/>
            </w:tcBorders>
            <w:shd w:val="clear" w:color="auto" w:fill="auto"/>
            <w:noWrap/>
            <w:vAlign w:val="center"/>
            <w:hideMark/>
          </w:tcPr>
          <w:p w14:paraId="5411B8F7" w14:textId="0B392A32"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(0.079)</w:t>
            </w:r>
          </w:p>
        </w:tc>
        <w:tc>
          <w:tcPr>
            <w:tcW w:w="533" w:type="pct"/>
            <w:tcBorders>
              <w:top w:val="nil"/>
              <w:left w:val="nil"/>
              <w:bottom w:val="nil"/>
              <w:right w:val="nil"/>
            </w:tcBorders>
            <w:shd w:val="clear" w:color="auto" w:fill="auto"/>
            <w:noWrap/>
            <w:vAlign w:val="center"/>
            <w:hideMark/>
          </w:tcPr>
          <w:p w14:paraId="46F1C29B" w14:textId="4BB36018"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(0.081)</w:t>
            </w:r>
          </w:p>
        </w:tc>
        <w:tc>
          <w:tcPr>
            <w:tcW w:w="533" w:type="pct"/>
            <w:tcBorders>
              <w:top w:val="nil"/>
              <w:left w:val="nil"/>
              <w:bottom w:val="nil"/>
              <w:right w:val="nil"/>
            </w:tcBorders>
            <w:shd w:val="clear" w:color="auto" w:fill="auto"/>
            <w:noWrap/>
            <w:vAlign w:val="center"/>
            <w:hideMark/>
          </w:tcPr>
          <w:p w14:paraId="43C39D35" w14:textId="5E1D10DD"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(0.082)</w:t>
            </w:r>
          </w:p>
        </w:tc>
        <w:tc>
          <w:tcPr>
            <w:tcW w:w="567" w:type="pct"/>
            <w:tcBorders>
              <w:top w:val="nil"/>
              <w:left w:val="nil"/>
              <w:bottom w:val="nil"/>
              <w:right w:val="nil"/>
            </w:tcBorders>
            <w:shd w:val="clear" w:color="auto" w:fill="auto"/>
            <w:noWrap/>
            <w:vAlign w:val="center"/>
            <w:hideMark/>
          </w:tcPr>
          <w:p w14:paraId="4272DF7B" w14:textId="173C050A"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(0.081)</w:t>
            </w:r>
          </w:p>
        </w:tc>
        <w:tc>
          <w:tcPr>
            <w:tcW w:w="566" w:type="pct"/>
            <w:tcBorders>
              <w:top w:val="nil"/>
              <w:left w:val="nil"/>
              <w:bottom w:val="nil"/>
              <w:right w:val="nil"/>
            </w:tcBorders>
            <w:shd w:val="clear" w:color="auto" w:fill="auto"/>
            <w:noWrap/>
            <w:vAlign w:val="center"/>
            <w:hideMark/>
          </w:tcPr>
          <w:p w14:paraId="4BF45ABC" w14:textId="580EC4A1"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(0.087)</w:t>
            </w:r>
          </w:p>
        </w:tc>
      </w:tr>
      <w:tr w:rsidR="002733F0" w:rsidRPr="00DD1225" w14:paraId="3AB491C5"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7273A900" w14:textId="77777777" w:rsidR="002733F0" w:rsidRPr="00DD1225" w:rsidRDefault="002733F0" w:rsidP="00C57EC3">
            <w:pPr>
              <w:spacing w:after="0" w:line="240" w:lineRule="auto"/>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USD</w:t>
            </w:r>
          </w:p>
        </w:tc>
        <w:tc>
          <w:tcPr>
            <w:tcW w:w="533" w:type="pct"/>
            <w:tcBorders>
              <w:top w:val="nil"/>
              <w:left w:val="nil"/>
              <w:bottom w:val="nil"/>
              <w:right w:val="nil"/>
            </w:tcBorders>
            <w:shd w:val="clear" w:color="auto" w:fill="auto"/>
            <w:noWrap/>
            <w:vAlign w:val="bottom"/>
            <w:hideMark/>
          </w:tcPr>
          <w:p w14:paraId="5A275611" w14:textId="77777777" w:rsidR="002733F0" w:rsidRPr="00DD1225" w:rsidRDefault="002733F0" w:rsidP="00C57EC3">
            <w:pPr>
              <w:spacing w:after="0" w:line="240" w:lineRule="auto"/>
              <w:rPr>
                <w:rFonts w:ascii="CMU Serif" w:eastAsia="Times New Roman" w:hAnsi="CMU Serif" w:cs="CMU Serif"/>
                <w:color w:val="000000"/>
                <w:sz w:val="18"/>
                <w:szCs w:val="18"/>
                <w:lang w:val="en-US"/>
              </w:rPr>
            </w:pPr>
          </w:p>
        </w:tc>
        <w:tc>
          <w:tcPr>
            <w:tcW w:w="533" w:type="pct"/>
            <w:tcBorders>
              <w:top w:val="nil"/>
              <w:left w:val="nil"/>
              <w:bottom w:val="nil"/>
              <w:right w:val="nil"/>
            </w:tcBorders>
            <w:shd w:val="clear" w:color="auto" w:fill="auto"/>
            <w:noWrap/>
            <w:vAlign w:val="bottom"/>
            <w:hideMark/>
          </w:tcPr>
          <w:p w14:paraId="321DA7C3" w14:textId="77777777" w:rsidR="002733F0" w:rsidRPr="00DD1225" w:rsidRDefault="002733F0" w:rsidP="00C57EC3">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36B9B8A9"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-0.311**</w:t>
            </w:r>
          </w:p>
        </w:tc>
        <w:tc>
          <w:tcPr>
            <w:tcW w:w="533" w:type="pct"/>
            <w:tcBorders>
              <w:top w:val="nil"/>
              <w:left w:val="nil"/>
              <w:bottom w:val="nil"/>
              <w:right w:val="nil"/>
            </w:tcBorders>
            <w:shd w:val="clear" w:color="auto" w:fill="auto"/>
            <w:noWrap/>
            <w:vAlign w:val="center"/>
            <w:hideMark/>
          </w:tcPr>
          <w:p w14:paraId="0DEDF68D"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-0.186</w:t>
            </w:r>
          </w:p>
        </w:tc>
        <w:tc>
          <w:tcPr>
            <w:tcW w:w="533" w:type="pct"/>
            <w:tcBorders>
              <w:top w:val="nil"/>
              <w:left w:val="nil"/>
              <w:bottom w:val="nil"/>
              <w:right w:val="nil"/>
            </w:tcBorders>
            <w:shd w:val="clear" w:color="auto" w:fill="auto"/>
            <w:noWrap/>
            <w:vAlign w:val="center"/>
            <w:hideMark/>
          </w:tcPr>
          <w:p w14:paraId="7D1839D0"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-0.189</w:t>
            </w:r>
          </w:p>
        </w:tc>
        <w:tc>
          <w:tcPr>
            <w:tcW w:w="533" w:type="pct"/>
            <w:tcBorders>
              <w:top w:val="nil"/>
              <w:left w:val="nil"/>
              <w:bottom w:val="nil"/>
              <w:right w:val="nil"/>
            </w:tcBorders>
            <w:shd w:val="clear" w:color="auto" w:fill="auto"/>
            <w:noWrap/>
            <w:vAlign w:val="center"/>
            <w:hideMark/>
          </w:tcPr>
          <w:p w14:paraId="256EE26A"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-0.229</w:t>
            </w:r>
          </w:p>
        </w:tc>
        <w:tc>
          <w:tcPr>
            <w:tcW w:w="567" w:type="pct"/>
            <w:tcBorders>
              <w:top w:val="nil"/>
              <w:left w:val="nil"/>
              <w:bottom w:val="nil"/>
              <w:right w:val="nil"/>
            </w:tcBorders>
            <w:shd w:val="clear" w:color="auto" w:fill="auto"/>
            <w:noWrap/>
            <w:vAlign w:val="center"/>
            <w:hideMark/>
          </w:tcPr>
          <w:p w14:paraId="29F0CE1B"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-0.140</w:t>
            </w:r>
          </w:p>
        </w:tc>
        <w:tc>
          <w:tcPr>
            <w:tcW w:w="566" w:type="pct"/>
            <w:tcBorders>
              <w:top w:val="nil"/>
              <w:left w:val="nil"/>
              <w:bottom w:val="nil"/>
              <w:right w:val="nil"/>
            </w:tcBorders>
            <w:shd w:val="clear" w:color="auto" w:fill="auto"/>
            <w:noWrap/>
            <w:vAlign w:val="center"/>
            <w:hideMark/>
          </w:tcPr>
          <w:p w14:paraId="161FB43C"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-0.198</w:t>
            </w:r>
          </w:p>
        </w:tc>
      </w:tr>
      <w:tr w:rsidR="002733F0" w:rsidRPr="00DD1225" w14:paraId="4506FA4A"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3C4901B1"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p>
        </w:tc>
        <w:tc>
          <w:tcPr>
            <w:tcW w:w="533" w:type="pct"/>
            <w:tcBorders>
              <w:top w:val="nil"/>
              <w:left w:val="nil"/>
              <w:bottom w:val="nil"/>
              <w:right w:val="nil"/>
            </w:tcBorders>
            <w:shd w:val="clear" w:color="auto" w:fill="auto"/>
            <w:noWrap/>
            <w:vAlign w:val="bottom"/>
            <w:hideMark/>
          </w:tcPr>
          <w:p w14:paraId="57D2B5F2" w14:textId="77777777" w:rsidR="002733F0" w:rsidRPr="00DD1225" w:rsidRDefault="002733F0" w:rsidP="00C57EC3">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bottom"/>
            <w:hideMark/>
          </w:tcPr>
          <w:p w14:paraId="499AEC2A" w14:textId="77777777" w:rsidR="002733F0" w:rsidRPr="00DD1225" w:rsidRDefault="002733F0" w:rsidP="00C57EC3">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5762ECA2" w14:textId="77777777"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(0.000)</w:t>
            </w:r>
          </w:p>
        </w:tc>
        <w:tc>
          <w:tcPr>
            <w:tcW w:w="533" w:type="pct"/>
            <w:tcBorders>
              <w:top w:val="nil"/>
              <w:left w:val="nil"/>
              <w:bottom w:val="nil"/>
              <w:right w:val="nil"/>
            </w:tcBorders>
            <w:shd w:val="clear" w:color="auto" w:fill="auto"/>
            <w:noWrap/>
            <w:vAlign w:val="center"/>
            <w:hideMark/>
          </w:tcPr>
          <w:p w14:paraId="091CF9D7" w14:textId="28E32B11"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(0.133)</w:t>
            </w:r>
          </w:p>
        </w:tc>
        <w:tc>
          <w:tcPr>
            <w:tcW w:w="533" w:type="pct"/>
            <w:tcBorders>
              <w:top w:val="nil"/>
              <w:left w:val="nil"/>
              <w:bottom w:val="nil"/>
              <w:right w:val="nil"/>
            </w:tcBorders>
            <w:shd w:val="clear" w:color="auto" w:fill="auto"/>
            <w:noWrap/>
            <w:vAlign w:val="center"/>
            <w:hideMark/>
          </w:tcPr>
          <w:p w14:paraId="37A971AA" w14:textId="1C169C75"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(0.238)</w:t>
            </w:r>
          </w:p>
        </w:tc>
        <w:tc>
          <w:tcPr>
            <w:tcW w:w="533" w:type="pct"/>
            <w:tcBorders>
              <w:top w:val="nil"/>
              <w:left w:val="nil"/>
              <w:bottom w:val="nil"/>
              <w:right w:val="nil"/>
            </w:tcBorders>
            <w:shd w:val="clear" w:color="auto" w:fill="auto"/>
            <w:noWrap/>
            <w:vAlign w:val="center"/>
            <w:hideMark/>
          </w:tcPr>
          <w:p w14:paraId="7A7A6850" w14:textId="19B621FD"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(0.239)</w:t>
            </w:r>
          </w:p>
        </w:tc>
        <w:tc>
          <w:tcPr>
            <w:tcW w:w="567" w:type="pct"/>
            <w:tcBorders>
              <w:top w:val="nil"/>
              <w:left w:val="nil"/>
              <w:bottom w:val="nil"/>
              <w:right w:val="nil"/>
            </w:tcBorders>
            <w:shd w:val="clear" w:color="auto" w:fill="auto"/>
            <w:noWrap/>
            <w:vAlign w:val="center"/>
            <w:hideMark/>
          </w:tcPr>
          <w:p w14:paraId="4500B1EF" w14:textId="48823319"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(0.234)</w:t>
            </w:r>
          </w:p>
        </w:tc>
        <w:tc>
          <w:tcPr>
            <w:tcW w:w="566" w:type="pct"/>
            <w:tcBorders>
              <w:top w:val="nil"/>
              <w:left w:val="nil"/>
              <w:bottom w:val="nil"/>
              <w:right w:val="nil"/>
            </w:tcBorders>
            <w:shd w:val="clear" w:color="auto" w:fill="auto"/>
            <w:noWrap/>
            <w:vAlign w:val="center"/>
            <w:hideMark/>
          </w:tcPr>
          <w:p w14:paraId="46B6F4D1" w14:textId="0185F3F6"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(0.250)</w:t>
            </w:r>
          </w:p>
        </w:tc>
      </w:tr>
      <w:tr w:rsidR="002733F0" w:rsidRPr="00DD1225" w14:paraId="18D41F45"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37BCCE56" w14:textId="77777777" w:rsidR="002733F0" w:rsidRPr="00DD1225" w:rsidRDefault="002733F0" w:rsidP="00C57EC3">
            <w:pPr>
              <w:spacing w:after="0" w:line="240" w:lineRule="auto"/>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GVT</w:t>
            </w:r>
          </w:p>
        </w:tc>
        <w:tc>
          <w:tcPr>
            <w:tcW w:w="533" w:type="pct"/>
            <w:tcBorders>
              <w:top w:val="nil"/>
              <w:left w:val="nil"/>
              <w:bottom w:val="nil"/>
              <w:right w:val="nil"/>
            </w:tcBorders>
            <w:shd w:val="clear" w:color="auto" w:fill="auto"/>
            <w:noWrap/>
            <w:vAlign w:val="bottom"/>
            <w:hideMark/>
          </w:tcPr>
          <w:p w14:paraId="614490D5" w14:textId="77777777" w:rsidR="002733F0" w:rsidRPr="00DD1225" w:rsidRDefault="002733F0" w:rsidP="00C57EC3">
            <w:pPr>
              <w:spacing w:after="0" w:line="240" w:lineRule="auto"/>
              <w:rPr>
                <w:rFonts w:ascii="CMU Serif" w:eastAsia="Times New Roman" w:hAnsi="CMU Serif" w:cs="CMU Serif"/>
                <w:color w:val="000000"/>
                <w:sz w:val="18"/>
                <w:szCs w:val="18"/>
                <w:lang w:val="en-US"/>
              </w:rPr>
            </w:pPr>
          </w:p>
        </w:tc>
        <w:tc>
          <w:tcPr>
            <w:tcW w:w="533" w:type="pct"/>
            <w:tcBorders>
              <w:top w:val="nil"/>
              <w:left w:val="nil"/>
              <w:bottom w:val="nil"/>
              <w:right w:val="nil"/>
            </w:tcBorders>
            <w:shd w:val="clear" w:color="auto" w:fill="auto"/>
            <w:noWrap/>
            <w:vAlign w:val="bottom"/>
            <w:hideMark/>
          </w:tcPr>
          <w:p w14:paraId="1E75222F" w14:textId="77777777" w:rsidR="002733F0" w:rsidRPr="00DD1225" w:rsidRDefault="002733F0" w:rsidP="00C57EC3">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bottom"/>
            <w:hideMark/>
          </w:tcPr>
          <w:p w14:paraId="0EAD20A5" w14:textId="77777777" w:rsidR="002733F0" w:rsidRPr="00DD1225" w:rsidRDefault="002733F0" w:rsidP="00C57EC3">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22CA1CEE"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0.003</w:t>
            </w:r>
          </w:p>
        </w:tc>
        <w:tc>
          <w:tcPr>
            <w:tcW w:w="533" w:type="pct"/>
            <w:tcBorders>
              <w:top w:val="nil"/>
              <w:left w:val="nil"/>
              <w:bottom w:val="nil"/>
              <w:right w:val="nil"/>
            </w:tcBorders>
            <w:shd w:val="clear" w:color="auto" w:fill="auto"/>
            <w:noWrap/>
            <w:vAlign w:val="center"/>
            <w:hideMark/>
          </w:tcPr>
          <w:p w14:paraId="3EC498C6"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0.003</w:t>
            </w:r>
          </w:p>
        </w:tc>
        <w:tc>
          <w:tcPr>
            <w:tcW w:w="533" w:type="pct"/>
            <w:tcBorders>
              <w:top w:val="nil"/>
              <w:left w:val="nil"/>
              <w:bottom w:val="nil"/>
              <w:right w:val="nil"/>
            </w:tcBorders>
            <w:shd w:val="clear" w:color="auto" w:fill="auto"/>
            <w:noWrap/>
            <w:vAlign w:val="center"/>
            <w:hideMark/>
          </w:tcPr>
          <w:p w14:paraId="1725B441"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p>
        </w:tc>
        <w:tc>
          <w:tcPr>
            <w:tcW w:w="567" w:type="pct"/>
            <w:tcBorders>
              <w:top w:val="nil"/>
              <w:left w:val="nil"/>
              <w:bottom w:val="nil"/>
              <w:right w:val="nil"/>
            </w:tcBorders>
            <w:shd w:val="clear" w:color="auto" w:fill="auto"/>
            <w:noWrap/>
            <w:vAlign w:val="center"/>
            <w:hideMark/>
          </w:tcPr>
          <w:p w14:paraId="1C80F0AA"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0.003</w:t>
            </w:r>
          </w:p>
        </w:tc>
        <w:tc>
          <w:tcPr>
            <w:tcW w:w="566" w:type="pct"/>
            <w:tcBorders>
              <w:top w:val="nil"/>
              <w:left w:val="nil"/>
              <w:bottom w:val="nil"/>
              <w:right w:val="nil"/>
            </w:tcBorders>
            <w:shd w:val="clear" w:color="auto" w:fill="auto"/>
            <w:noWrap/>
            <w:vAlign w:val="center"/>
            <w:hideMark/>
          </w:tcPr>
          <w:p w14:paraId="199D7570" w14:textId="77777777" w:rsidR="002733F0" w:rsidRPr="00DD1225" w:rsidRDefault="002733F0" w:rsidP="00C57EC3">
            <w:pPr>
              <w:spacing w:after="0" w:line="240" w:lineRule="auto"/>
              <w:jc w:val="right"/>
              <w:rPr>
                <w:rFonts w:ascii="CMU Serif" w:eastAsia="Times New Roman" w:hAnsi="CMU Serif" w:cs="CMU Serif"/>
                <w:color w:val="000000"/>
                <w:sz w:val="18"/>
                <w:szCs w:val="18"/>
                <w:lang w:val="en-US"/>
              </w:rPr>
            </w:pPr>
          </w:p>
        </w:tc>
      </w:tr>
      <w:tr w:rsidR="002733F0" w:rsidRPr="00DD1225" w14:paraId="5A373F57"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1CC04CF2" w14:textId="77777777" w:rsidR="002733F0" w:rsidRPr="00DD1225" w:rsidRDefault="002733F0" w:rsidP="00C57EC3">
            <w:pPr>
              <w:spacing w:after="0" w:line="240" w:lineRule="auto"/>
              <w:jc w:val="right"/>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bottom"/>
            <w:hideMark/>
          </w:tcPr>
          <w:p w14:paraId="1854A035" w14:textId="77777777" w:rsidR="002733F0" w:rsidRPr="00DD1225" w:rsidRDefault="002733F0" w:rsidP="00C57EC3">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bottom"/>
            <w:hideMark/>
          </w:tcPr>
          <w:p w14:paraId="0192BEE4" w14:textId="77777777" w:rsidR="002733F0" w:rsidRPr="00DD1225" w:rsidRDefault="002733F0" w:rsidP="00C57EC3">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bottom"/>
            <w:hideMark/>
          </w:tcPr>
          <w:p w14:paraId="75B1D5B1" w14:textId="77777777" w:rsidR="002733F0" w:rsidRPr="00DD1225" w:rsidRDefault="002733F0" w:rsidP="00C57EC3">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425FCF3A" w14:textId="77777777"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(0.000)</w:t>
            </w:r>
          </w:p>
        </w:tc>
        <w:tc>
          <w:tcPr>
            <w:tcW w:w="533" w:type="pct"/>
            <w:tcBorders>
              <w:top w:val="nil"/>
              <w:left w:val="nil"/>
              <w:bottom w:val="nil"/>
              <w:right w:val="nil"/>
            </w:tcBorders>
            <w:shd w:val="clear" w:color="auto" w:fill="auto"/>
            <w:noWrap/>
            <w:vAlign w:val="center"/>
            <w:hideMark/>
          </w:tcPr>
          <w:p w14:paraId="709DC70C" w14:textId="1010D0D6"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(0.003)</w:t>
            </w:r>
          </w:p>
        </w:tc>
        <w:tc>
          <w:tcPr>
            <w:tcW w:w="533" w:type="pct"/>
            <w:tcBorders>
              <w:top w:val="nil"/>
              <w:left w:val="nil"/>
              <w:bottom w:val="nil"/>
              <w:right w:val="nil"/>
            </w:tcBorders>
            <w:shd w:val="clear" w:color="auto" w:fill="auto"/>
            <w:noWrap/>
            <w:vAlign w:val="center"/>
            <w:hideMark/>
          </w:tcPr>
          <w:p w14:paraId="6FEA1589" w14:textId="77777777"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p>
        </w:tc>
        <w:tc>
          <w:tcPr>
            <w:tcW w:w="567" w:type="pct"/>
            <w:tcBorders>
              <w:top w:val="nil"/>
              <w:left w:val="nil"/>
              <w:bottom w:val="nil"/>
              <w:right w:val="nil"/>
            </w:tcBorders>
            <w:shd w:val="clear" w:color="auto" w:fill="auto"/>
            <w:noWrap/>
            <w:vAlign w:val="center"/>
            <w:hideMark/>
          </w:tcPr>
          <w:p w14:paraId="0249247B" w14:textId="77777777"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(0.000)</w:t>
            </w:r>
          </w:p>
        </w:tc>
        <w:tc>
          <w:tcPr>
            <w:tcW w:w="566" w:type="pct"/>
            <w:tcBorders>
              <w:top w:val="nil"/>
              <w:left w:val="nil"/>
              <w:bottom w:val="nil"/>
              <w:right w:val="nil"/>
            </w:tcBorders>
            <w:shd w:val="clear" w:color="auto" w:fill="auto"/>
            <w:noWrap/>
            <w:vAlign w:val="center"/>
            <w:hideMark/>
          </w:tcPr>
          <w:p w14:paraId="4B0931F7" w14:textId="77777777" w:rsidR="002733F0" w:rsidRPr="00DD1225" w:rsidRDefault="002733F0" w:rsidP="00C57EC3">
            <w:pPr>
              <w:spacing w:after="0" w:line="240" w:lineRule="auto"/>
              <w:jc w:val="right"/>
              <w:rPr>
                <w:rFonts w:ascii="CMU Serif" w:eastAsia="Times New Roman" w:hAnsi="CMU Serif" w:cs="CMU Serif"/>
                <w:i/>
                <w:iCs/>
                <w:color w:val="000000"/>
                <w:sz w:val="18"/>
                <w:szCs w:val="18"/>
                <w:lang w:val="en-US"/>
              </w:rPr>
            </w:pPr>
          </w:p>
        </w:tc>
      </w:tr>
      <w:tr w:rsidR="002733F0" w:rsidRPr="00DD1225" w14:paraId="5C1022DC"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1485E4F1" w14:textId="77777777" w:rsidR="002733F0" w:rsidRPr="00DD1225" w:rsidRDefault="002733F0" w:rsidP="00E97AC1">
            <w:pPr>
              <w:spacing w:after="0" w:line="240" w:lineRule="auto"/>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CTNT</w:t>
            </w:r>
          </w:p>
        </w:tc>
        <w:tc>
          <w:tcPr>
            <w:tcW w:w="533" w:type="pct"/>
            <w:tcBorders>
              <w:top w:val="nil"/>
              <w:left w:val="nil"/>
              <w:bottom w:val="nil"/>
              <w:right w:val="nil"/>
            </w:tcBorders>
            <w:shd w:val="clear" w:color="auto" w:fill="auto"/>
            <w:noWrap/>
            <w:vAlign w:val="bottom"/>
            <w:hideMark/>
          </w:tcPr>
          <w:p w14:paraId="6FACC073" w14:textId="77777777" w:rsidR="002733F0" w:rsidRPr="00DD1225" w:rsidRDefault="002733F0" w:rsidP="00E97AC1">
            <w:pPr>
              <w:spacing w:after="0" w:line="240" w:lineRule="auto"/>
              <w:rPr>
                <w:rFonts w:ascii="CMU Serif" w:eastAsia="Times New Roman" w:hAnsi="CMU Serif" w:cs="CMU Serif"/>
                <w:color w:val="000000"/>
                <w:sz w:val="18"/>
                <w:szCs w:val="18"/>
                <w:lang w:val="en-US"/>
              </w:rPr>
            </w:pPr>
          </w:p>
        </w:tc>
        <w:tc>
          <w:tcPr>
            <w:tcW w:w="533" w:type="pct"/>
            <w:tcBorders>
              <w:top w:val="nil"/>
              <w:left w:val="nil"/>
              <w:bottom w:val="nil"/>
              <w:right w:val="nil"/>
            </w:tcBorders>
            <w:shd w:val="clear" w:color="auto" w:fill="auto"/>
            <w:noWrap/>
            <w:vAlign w:val="center"/>
          </w:tcPr>
          <w:p w14:paraId="515FDFE1" w14:textId="426CF4D4" w:rsidR="002733F0" w:rsidRPr="00DD1225" w:rsidRDefault="002733F0" w:rsidP="00E97AC1">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661CAE5A" w14:textId="77777777" w:rsidR="002733F0" w:rsidRPr="00DD1225" w:rsidRDefault="002733F0" w:rsidP="00E97AC1">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tcPr>
          <w:p w14:paraId="755996F2" w14:textId="15B3EF37" w:rsidR="002733F0" w:rsidRPr="00DD1225" w:rsidRDefault="002733F0" w:rsidP="00E97AC1">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0900C378" w14:textId="77777777" w:rsidR="002733F0" w:rsidRPr="00DD1225" w:rsidRDefault="002733F0" w:rsidP="00E97AC1">
            <w:pPr>
              <w:spacing w:after="0" w:line="240" w:lineRule="auto"/>
              <w:jc w:val="right"/>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7D578850"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0.004</w:t>
            </w:r>
          </w:p>
        </w:tc>
        <w:tc>
          <w:tcPr>
            <w:tcW w:w="567" w:type="pct"/>
            <w:tcBorders>
              <w:top w:val="nil"/>
              <w:left w:val="nil"/>
              <w:bottom w:val="nil"/>
              <w:right w:val="nil"/>
            </w:tcBorders>
            <w:shd w:val="clear" w:color="auto" w:fill="auto"/>
            <w:noWrap/>
            <w:vAlign w:val="center"/>
            <w:hideMark/>
          </w:tcPr>
          <w:p w14:paraId="22156E55"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p>
        </w:tc>
        <w:tc>
          <w:tcPr>
            <w:tcW w:w="566" w:type="pct"/>
            <w:tcBorders>
              <w:top w:val="nil"/>
              <w:left w:val="nil"/>
              <w:bottom w:val="nil"/>
              <w:right w:val="nil"/>
            </w:tcBorders>
            <w:shd w:val="clear" w:color="auto" w:fill="auto"/>
            <w:noWrap/>
            <w:vAlign w:val="center"/>
            <w:hideMark/>
          </w:tcPr>
          <w:p w14:paraId="2B3683BA" w14:textId="21382E24"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0.004</w:t>
            </w:r>
          </w:p>
        </w:tc>
      </w:tr>
      <w:tr w:rsidR="002733F0" w:rsidRPr="00DD1225" w14:paraId="1C795531"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721644A2"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p>
        </w:tc>
        <w:tc>
          <w:tcPr>
            <w:tcW w:w="533" w:type="pct"/>
            <w:tcBorders>
              <w:top w:val="nil"/>
              <w:left w:val="nil"/>
              <w:bottom w:val="nil"/>
              <w:right w:val="nil"/>
            </w:tcBorders>
            <w:shd w:val="clear" w:color="auto" w:fill="auto"/>
            <w:noWrap/>
            <w:vAlign w:val="bottom"/>
            <w:hideMark/>
          </w:tcPr>
          <w:p w14:paraId="5B53FE93" w14:textId="77777777" w:rsidR="002733F0" w:rsidRPr="00DD1225" w:rsidRDefault="002733F0" w:rsidP="00E97AC1">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tcPr>
          <w:p w14:paraId="405A33D4" w14:textId="68F9404E" w:rsidR="002733F0" w:rsidRPr="00DD1225" w:rsidRDefault="002733F0" w:rsidP="00E97AC1">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5F833178" w14:textId="77777777" w:rsidR="002733F0" w:rsidRPr="00DD1225" w:rsidRDefault="002733F0" w:rsidP="00E97AC1">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tcPr>
          <w:p w14:paraId="470DA02F" w14:textId="32ECD325" w:rsidR="002733F0" w:rsidRPr="00DD1225" w:rsidRDefault="002733F0" w:rsidP="00E97AC1">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70C711E0" w14:textId="77777777" w:rsidR="002733F0" w:rsidRPr="00DD1225" w:rsidRDefault="002733F0" w:rsidP="00E97AC1">
            <w:pPr>
              <w:spacing w:after="0" w:line="240" w:lineRule="auto"/>
              <w:jc w:val="right"/>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2005A04F" w14:textId="77777777" w:rsidR="002733F0" w:rsidRPr="00DD1225" w:rsidRDefault="002733F0" w:rsidP="00E97AC1">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(0.000)</w:t>
            </w:r>
          </w:p>
        </w:tc>
        <w:tc>
          <w:tcPr>
            <w:tcW w:w="567" w:type="pct"/>
            <w:tcBorders>
              <w:top w:val="nil"/>
              <w:left w:val="nil"/>
              <w:bottom w:val="nil"/>
              <w:right w:val="nil"/>
            </w:tcBorders>
            <w:shd w:val="clear" w:color="auto" w:fill="auto"/>
            <w:noWrap/>
            <w:vAlign w:val="center"/>
            <w:hideMark/>
          </w:tcPr>
          <w:p w14:paraId="12E3B9C3" w14:textId="77777777" w:rsidR="002733F0" w:rsidRPr="00DD1225" w:rsidRDefault="002733F0" w:rsidP="00E97AC1">
            <w:pPr>
              <w:spacing w:after="0" w:line="240" w:lineRule="auto"/>
              <w:jc w:val="right"/>
              <w:rPr>
                <w:rFonts w:ascii="CMU Serif" w:eastAsia="Times New Roman" w:hAnsi="CMU Serif" w:cs="CMU Serif"/>
                <w:i/>
                <w:iCs/>
                <w:color w:val="000000"/>
                <w:sz w:val="18"/>
                <w:szCs w:val="18"/>
                <w:lang w:val="en-US"/>
              </w:rPr>
            </w:pPr>
          </w:p>
        </w:tc>
        <w:tc>
          <w:tcPr>
            <w:tcW w:w="566" w:type="pct"/>
            <w:tcBorders>
              <w:top w:val="nil"/>
              <w:left w:val="nil"/>
              <w:bottom w:val="nil"/>
              <w:right w:val="nil"/>
            </w:tcBorders>
            <w:shd w:val="clear" w:color="auto" w:fill="auto"/>
            <w:noWrap/>
            <w:vAlign w:val="center"/>
            <w:hideMark/>
          </w:tcPr>
          <w:p w14:paraId="455A371F" w14:textId="1B93262C" w:rsidR="002733F0" w:rsidRPr="00DD1225" w:rsidRDefault="002733F0" w:rsidP="00E97AC1">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(0.000)</w:t>
            </w:r>
          </w:p>
        </w:tc>
      </w:tr>
      <w:tr w:rsidR="002733F0" w:rsidRPr="00DD1225" w14:paraId="2E985528"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75C5E934" w14:textId="77777777" w:rsidR="002733F0" w:rsidRPr="00DD1225" w:rsidRDefault="002733F0" w:rsidP="00E97AC1">
            <w:pPr>
              <w:spacing w:after="0" w:line="240" w:lineRule="auto"/>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ECO</w:t>
            </w:r>
          </w:p>
        </w:tc>
        <w:tc>
          <w:tcPr>
            <w:tcW w:w="533" w:type="pct"/>
            <w:tcBorders>
              <w:top w:val="nil"/>
              <w:left w:val="nil"/>
              <w:bottom w:val="nil"/>
              <w:right w:val="nil"/>
            </w:tcBorders>
            <w:shd w:val="clear" w:color="auto" w:fill="auto"/>
            <w:noWrap/>
            <w:vAlign w:val="bottom"/>
            <w:hideMark/>
          </w:tcPr>
          <w:p w14:paraId="449056C4" w14:textId="77777777" w:rsidR="002733F0" w:rsidRPr="00DD1225" w:rsidRDefault="002733F0" w:rsidP="00E97AC1">
            <w:pPr>
              <w:spacing w:after="0" w:line="240" w:lineRule="auto"/>
              <w:rPr>
                <w:rFonts w:ascii="CMU Serif" w:eastAsia="Times New Roman" w:hAnsi="CMU Serif" w:cs="CMU Serif"/>
                <w:color w:val="000000"/>
                <w:sz w:val="18"/>
                <w:szCs w:val="18"/>
                <w:lang w:val="en-US"/>
              </w:rPr>
            </w:pPr>
          </w:p>
        </w:tc>
        <w:tc>
          <w:tcPr>
            <w:tcW w:w="533" w:type="pct"/>
            <w:tcBorders>
              <w:top w:val="nil"/>
              <w:left w:val="nil"/>
              <w:bottom w:val="nil"/>
              <w:right w:val="nil"/>
            </w:tcBorders>
            <w:shd w:val="clear" w:color="auto" w:fill="auto"/>
            <w:noWrap/>
            <w:vAlign w:val="bottom"/>
            <w:hideMark/>
          </w:tcPr>
          <w:p w14:paraId="705D862D" w14:textId="77777777" w:rsidR="002733F0" w:rsidRPr="00DD1225" w:rsidRDefault="002733F0" w:rsidP="00E97AC1">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bottom"/>
            <w:hideMark/>
          </w:tcPr>
          <w:p w14:paraId="4EF1588B" w14:textId="77777777" w:rsidR="002733F0" w:rsidRPr="00DD1225" w:rsidRDefault="002733F0" w:rsidP="00E97AC1">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1BDEB16D" w14:textId="77777777" w:rsidR="002733F0" w:rsidRPr="00DD1225" w:rsidRDefault="002733F0" w:rsidP="00E97AC1">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49496FC6" w14:textId="77777777" w:rsidR="002733F0" w:rsidRPr="00DD1225" w:rsidRDefault="002733F0" w:rsidP="00E97AC1">
            <w:pPr>
              <w:spacing w:after="0" w:line="240" w:lineRule="auto"/>
              <w:jc w:val="right"/>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2151DC38"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-0.001</w:t>
            </w:r>
          </w:p>
        </w:tc>
        <w:tc>
          <w:tcPr>
            <w:tcW w:w="567" w:type="pct"/>
            <w:tcBorders>
              <w:top w:val="nil"/>
              <w:left w:val="nil"/>
              <w:bottom w:val="nil"/>
              <w:right w:val="nil"/>
            </w:tcBorders>
            <w:shd w:val="clear" w:color="auto" w:fill="auto"/>
            <w:noWrap/>
            <w:vAlign w:val="center"/>
            <w:hideMark/>
          </w:tcPr>
          <w:p w14:paraId="5C7A094A"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p>
        </w:tc>
        <w:tc>
          <w:tcPr>
            <w:tcW w:w="566" w:type="pct"/>
            <w:tcBorders>
              <w:top w:val="nil"/>
              <w:left w:val="nil"/>
              <w:bottom w:val="nil"/>
              <w:right w:val="nil"/>
            </w:tcBorders>
            <w:shd w:val="clear" w:color="auto" w:fill="auto"/>
            <w:noWrap/>
            <w:vAlign w:val="center"/>
            <w:hideMark/>
          </w:tcPr>
          <w:p w14:paraId="50C33785" w14:textId="1D315D24"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-0.002*</w:t>
            </w:r>
          </w:p>
        </w:tc>
      </w:tr>
      <w:tr w:rsidR="002733F0" w:rsidRPr="00DD1225" w14:paraId="7E96C4F1"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2507AA76"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p>
        </w:tc>
        <w:tc>
          <w:tcPr>
            <w:tcW w:w="533" w:type="pct"/>
            <w:tcBorders>
              <w:top w:val="nil"/>
              <w:left w:val="nil"/>
              <w:bottom w:val="nil"/>
              <w:right w:val="nil"/>
            </w:tcBorders>
            <w:shd w:val="clear" w:color="auto" w:fill="auto"/>
            <w:noWrap/>
            <w:vAlign w:val="bottom"/>
            <w:hideMark/>
          </w:tcPr>
          <w:p w14:paraId="32233CEC" w14:textId="77777777" w:rsidR="002733F0" w:rsidRPr="00DD1225" w:rsidRDefault="002733F0" w:rsidP="00E97AC1">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bottom"/>
            <w:hideMark/>
          </w:tcPr>
          <w:p w14:paraId="0CE4EB3A" w14:textId="77777777" w:rsidR="002733F0" w:rsidRPr="00DD1225" w:rsidRDefault="002733F0" w:rsidP="00E97AC1">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bottom"/>
            <w:hideMark/>
          </w:tcPr>
          <w:p w14:paraId="4520BA1B" w14:textId="77777777" w:rsidR="002733F0" w:rsidRPr="00DD1225" w:rsidRDefault="002733F0" w:rsidP="00E97AC1">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139073D4" w14:textId="77777777" w:rsidR="002733F0" w:rsidRPr="00DD1225" w:rsidRDefault="002733F0" w:rsidP="00E97AC1">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27B85393" w14:textId="77777777" w:rsidR="002733F0" w:rsidRPr="00DD1225" w:rsidRDefault="002733F0" w:rsidP="00E97AC1">
            <w:pPr>
              <w:spacing w:after="0" w:line="240" w:lineRule="auto"/>
              <w:jc w:val="right"/>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656AF3C9" w14:textId="0413F728" w:rsidR="002733F0" w:rsidRPr="00DD1225" w:rsidRDefault="002733F0" w:rsidP="00E97AC1">
            <w:pPr>
              <w:spacing w:after="0" w:line="240" w:lineRule="auto"/>
              <w:jc w:val="right"/>
              <w:rPr>
                <w:rFonts w:ascii="CMU Serif" w:eastAsia="Times New Roman" w:hAnsi="CMU Serif" w:cs="CMU Serif"/>
                <w:i/>
                <w:sz w:val="18"/>
                <w:szCs w:val="18"/>
                <w:lang w:val="en-US"/>
              </w:rPr>
            </w:pPr>
            <w:r w:rsidRPr="00DD1225">
              <w:rPr>
                <w:rFonts w:ascii="CMU Serif" w:eastAsia="Times New Roman" w:hAnsi="CMU Serif" w:cs="CMU Serif"/>
                <w:i/>
                <w:sz w:val="18"/>
                <w:szCs w:val="18"/>
                <w:lang w:val="en-US"/>
              </w:rPr>
              <w:t>(0.001)</w:t>
            </w:r>
          </w:p>
        </w:tc>
        <w:tc>
          <w:tcPr>
            <w:tcW w:w="567" w:type="pct"/>
            <w:tcBorders>
              <w:top w:val="nil"/>
              <w:left w:val="nil"/>
              <w:bottom w:val="nil"/>
              <w:right w:val="nil"/>
            </w:tcBorders>
            <w:shd w:val="clear" w:color="auto" w:fill="auto"/>
            <w:noWrap/>
            <w:vAlign w:val="center"/>
            <w:hideMark/>
          </w:tcPr>
          <w:p w14:paraId="53174780" w14:textId="77777777" w:rsidR="002733F0" w:rsidRPr="00DD1225" w:rsidRDefault="002733F0" w:rsidP="00E97AC1">
            <w:pPr>
              <w:spacing w:after="0" w:line="240" w:lineRule="auto"/>
              <w:jc w:val="right"/>
              <w:rPr>
                <w:rFonts w:ascii="CMU Serif" w:eastAsia="Times New Roman" w:hAnsi="CMU Serif" w:cs="CMU Serif"/>
                <w:i/>
                <w:sz w:val="18"/>
                <w:szCs w:val="18"/>
                <w:lang w:val="en-US"/>
              </w:rPr>
            </w:pPr>
          </w:p>
        </w:tc>
        <w:tc>
          <w:tcPr>
            <w:tcW w:w="566" w:type="pct"/>
            <w:tcBorders>
              <w:top w:val="nil"/>
              <w:left w:val="nil"/>
              <w:bottom w:val="nil"/>
              <w:right w:val="nil"/>
            </w:tcBorders>
            <w:shd w:val="clear" w:color="auto" w:fill="auto"/>
            <w:noWrap/>
            <w:vAlign w:val="center"/>
            <w:hideMark/>
          </w:tcPr>
          <w:p w14:paraId="3F1EDF67" w14:textId="102E9786" w:rsidR="002733F0" w:rsidRPr="00DD1225" w:rsidRDefault="002733F0" w:rsidP="00E97AC1">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(0.000)</w:t>
            </w:r>
          </w:p>
        </w:tc>
      </w:tr>
      <w:tr w:rsidR="002733F0" w:rsidRPr="00DD1225" w14:paraId="56A620ED"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790E4C21" w14:textId="77777777" w:rsidR="002733F0" w:rsidRPr="00DD1225" w:rsidRDefault="002733F0" w:rsidP="00E97AC1">
            <w:pPr>
              <w:spacing w:after="0" w:line="240" w:lineRule="auto"/>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CBTA</w:t>
            </w:r>
          </w:p>
        </w:tc>
        <w:tc>
          <w:tcPr>
            <w:tcW w:w="533" w:type="pct"/>
            <w:tcBorders>
              <w:top w:val="nil"/>
              <w:left w:val="nil"/>
              <w:bottom w:val="nil"/>
              <w:right w:val="nil"/>
            </w:tcBorders>
            <w:shd w:val="clear" w:color="auto" w:fill="auto"/>
            <w:noWrap/>
            <w:vAlign w:val="bottom"/>
            <w:hideMark/>
          </w:tcPr>
          <w:p w14:paraId="348B947C" w14:textId="77777777" w:rsidR="002733F0" w:rsidRPr="00DD1225" w:rsidRDefault="002733F0" w:rsidP="00E97AC1">
            <w:pPr>
              <w:spacing w:after="0" w:line="240" w:lineRule="auto"/>
              <w:rPr>
                <w:rFonts w:ascii="CMU Serif" w:eastAsia="Times New Roman" w:hAnsi="CMU Serif" w:cs="CMU Serif"/>
                <w:color w:val="000000"/>
                <w:sz w:val="18"/>
                <w:szCs w:val="18"/>
                <w:lang w:val="en-US"/>
              </w:rPr>
            </w:pPr>
          </w:p>
        </w:tc>
        <w:tc>
          <w:tcPr>
            <w:tcW w:w="533" w:type="pct"/>
            <w:tcBorders>
              <w:top w:val="nil"/>
              <w:left w:val="nil"/>
              <w:bottom w:val="nil"/>
              <w:right w:val="nil"/>
            </w:tcBorders>
            <w:shd w:val="clear" w:color="auto" w:fill="auto"/>
            <w:noWrap/>
            <w:vAlign w:val="bottom"/>
            <w:hideMark/>
          </w:tcPr>
          <w:p w14:paraId="69CC34AF" w14:textId="77777777" w:rsidR="002733F0" w:rsidRPr="00DD1225" w:rsidRDefault="002733F0" w:rsidP="00E97AC1">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bottom"/>
            <w:hideMark/>
          </w:tcPr>
          <w:p w14:paraId="5A0DFD08" w14:textId="77777777" w:rsidR="002733F0" w:rsidRPr="00DD1225" w:rsidRDefault="002733F0" w:rsidP="00E97AC1">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65B1057A" w14:textId="77777777" w:rsidR="002733F0" w:rsidRPr="00DD1225" w:rsidRDefault="002733F0" w:rsidP="00E97AC1">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532C16E6" w14:textId="77777777" w:rsidR="002733F0" w:rsidRPr="00DD1225" w:rsidRDefault="002733F0" w:rsidP="00E97AC1">
            <w:pPr>
              <w:spacing w:after="0" w:line="240" w:lineRule="auto"/>
              <w:jc w:val="right"/>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5D775FE0" w14:textId="77777777" w:rsidR="002733F0" w:rsidRPr="00DD1225" w:rsidRDefault="002733F0" w:rsidP="00E97AC1">
            <w:pPr>
              <w:spacing w:after="0" w:line="240" w:lineRule="auto"/>
              <w:jc w:val="right"/>
              <w:rPr>
                <w:rFonts w:ascii="CMU Serif" w:eastAsia="Times New Roman" w:hAnsi="CMU Serif" w:cs="CMU Serif"/>
                <w:sz w:val="18"/>
                <w:szCs w:val="18"/>
                <w:lang w:val="en-US"/>
              </w:rPr>
            </w:pPr>
          </w:p>
        </w:tc>
        <w:tc>
          <w:tcPr>
            <w:tcW w:w="567" w:type="pct"/>
            <w:tcBorders>
              <w:top w:val="nil"/>
              <w:left w:val="nil"/>
              <w:bottom w:val="nil"/>
              <w:right w:val="nil"/>
            </w:tcBorders>
            <w:shd w:val="clear" w:color="auto" w:fill="auto"/>
            <w:noWrap/>
            <w:vAlign w:val="center"/>
            <w:hideMark/>
          </w:tcPr>
          <w:p w14:paraId="47A60AE9"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-13.710**</w:t>
            </w:r>
          </w:p>
        </w:tc>
        <w:tc>
          <w:tcPr>
            <w:tcW w:w="566" w:type="pct"/>
            <w:tcBorders>
              <w:top w:val="nil"/>
              <w:left w:val="nil"/>
              <w:bottom w:val="nil"/>
              <w:right w:val="nil"/>
            </w:tcBorders>
            <w:shd w:val="clear" w:color="auto" w:fill="auto"/>
            <w:noWrap/>
            <w:vAlign w:val="center"/>
            <w:hideMark/>
          </w:tcPr>
          <w:p w14:paraId="47FD741F"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-13.070**</w:t>
            </w:r>
          </w:p>
        </w:tc>
      </w:tr>
      <w:tr w:rsidR="002733F0" w:rsidRPr="00DD1225" w14:paraId="77E431EE"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3E49FB17" w14:textId="77777777" w:rsidR="002733F0" w:rsidRPr="00DD1225" w:rsidRDefault="002733F0" w:rsidP="00E97AC1">
            <w:pPr>
              <w:spacing w:after="0" w:line="240" w:lineRule="auto"/>
              <w:jc w:val="right"/>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bottom"/>
            <w:hideMark/>
          </w:tcPr>
          <w:p w14:paraId="373276C6" w14:textId="77777777" w:rsidR="002733F0" w:rsidRPr="00DD1225" w:rsidRDefault="002733F0" w:rsidP="00E97AC1">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bottom"/>
            <w:hideMark/>
          </w:tcPr>
          <w:p w14:paraId="26036678" w14:textId="77777777" w:rsidR="002733F0" w:rsidRPr="00DD1225" w:rsidRDefault="002733F0" w:rsidP="00E97AC1">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bottom"/>
            <w:hideMark/>
          </w:tcPr>
          <w:p w14:paraId="6B7EC995" w14:textId="77777777" w:rsidR="002733F0" w:rsidRPr="00DD1225" w:rsidRDefault="002733F0" w:rsidP="00E97AC1">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7A08379C" w14:textId="77777777" w:rsidR="002733F0" w:rsidRPr="00DD1225" w:rsidRDefault="002733F0" w:rsidP="00E97AC1">
            <w:pPr>
              <w:spacing w:after="0" w:line="240" w:lineRule="auto"/>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284A5DD3" w14:textId="77777777" w:rsidR="002733F0" w:rsidRPr="00DD1225" w:rsidRDefault="002733F0" w:rsidP="00E97AC1">
            <w:pPr>
              <w:spacing w:after="0" w:line="240" w:lineRule="auto"/>
              <w:jc w:val="right"/>
              <w:rPr>
                <w:rFonts w:ascii="CMU Serif" w:eastAsia="Times New Roman" w:hAnsi="CMU Serif" w:cs="CMU Serif"/>
                <w:sz w:val="18"/>
                <w:szCs w:val="18"/>
                <w:lang w:val="en-US"/>
              </w:rPr>
            </w:pPr>
          </w:p>
        </w:tc>
        <w:tc>
          <w:tcPr>
            <w:tcW w:w="533" w:type="pct"/>
            <w:tcBorders>
              <w:top w:val="nil"/>
              <w:left w:val="nil"/>
              <w:bottom w:val="nil"/>
              <w:right w:val="nil"/>
            </w:tcBorders>
            <w:shd w:val="clear" w:color="auto" w:fill="auto"/>
            <w:noWrap/>
            <w:vAlign w:val="center"/>
            <w:hideMark/>
          </w:tcPr>
          <w:p w14:paraId="47FE2EC2" w14:textId="77777777" w:rsidR="002733F0" w:rsidRPr="00DD1225" w:rsidRDefault="002733F0" w:rsidP="00E97AC1">
            <w:pPr>
              <w:spacing w:after="0" w:line="240" w:lineRule="auto"/>
              <w:jc w:val="right"/>
              <w:rPr>
                <w:rFonts w:ascii="CMU Serif" w:eastAsia="Times New Roman" w:hAnsi="CMU Serif" w:cs="CMU Serif"/>
                <w:sz w:val="18"/>
                <w:szCs w:val="18"/>
                <w:lang w:val="en-US"/>
              </w:rPr>
            </w:pPr>
          </w:p>
        </w:tc>
        <w:tc>
          <w:tcPr>
            <w:tcW w:w="567" w:type="pct"/>
            <w:tcBorders>
              <w:top w:val="nil"/>
              <w:left w:val="nil"/>
              <w:bottom w:val="nil"/>
              <w:right w:val="nil"/>
            </w:tcBorders>
            <w:shd w:val="clear" w:color="auto" w:fill="auto"/>
            <w:noWrap/>
            <w:vAlign w:val="center"/>
            <w:hideMark/>
          </w:tcPr>
          <w:p w14:paraId="7D54B0C6" w14:textId="77777777" w:rsidR="002733F0" w:rsidRPr="00DD1225" w:rsidRDefault="002733F0" w:rsidP="00E97AC1">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(0.000)</w:t>
            </w:r>
          </w:p>
        </w:tc>
        <w:tc>
          <w:tcPr>
            <w:tcW w:w="566" w:type="pct"/>
            <w:tcBorders>
              <w:top w:val="nil"/>
              <w:left w:val="nil"/>
              <w:bottom w:val="nil"/>
              <w:right w:val="nil"/>
            </w:tcBorders>
            <w:shd w:val="clear" w:color="auto" w:fill="auto"/>
            <w:noWrap/>
            <w:vAlign w:val="center"/>
            <w:hideMark/>
          </w:tcPr>
          <w:p w14:paraId="350E9624" w14:textId="579368EB" w:rsidR="002733F0" w:rsidRPr="00DD1225" w:rsidRDefault="002733F0" w:rsidP="00E97AC1">
            <w:pPr>
              <w:spacing w:after="0" w:line="240" w:lineRule="auto"/>
              <w:jc w:val="right"/>
              <w:rPr>
                <w:rFonts w:ascii="CMU Serif" w:eastAsia="Times New Roman" w:hAnsi="CMU Serif" w:cs="CMU Serif"/>
                <w:i/>
                <w:iCs/>
                <w:color w:val="000000"/>
                <w:sz w:val="18"/>
                <w:szCs w:val="18"/>
                <w:lang w:val="en-US"/>
              </w:rPr>
            </w:pPr>
            <w:r w:rsidRPr="00DD1225">
              <w:rPr>
                <w:rFonts w:ascii="CMU Serif" w:eastAsia="Times New Roman" w:hAnsi="CMU Serif" w:cs="CMU Serif"/>
                <w:i/>
                <w:iCs/>
                <w:color w:val="000000"/>
                <w:sz w:val="18"/>
                <w:szCs w:val="18"/>
                <w:lang w:val="en-US"/>
              </w:rPr>
              <w:t>(5.819)</w:t>
            </w:r>
          </w:p>
        </w:tc>
      </w:tr>
      <w:tr w:rsidR="002733F0" w:rsidRPr="00DD1225" w14:paraId="20D8CE31" w14:textId="77777777" w:rsidTr="002733F0">
        <w:trPr>
          <w:trHeight w:val="227"/>
          <w:jc w:val="center"/>
        </w:trPr>
        <w:tc>
          <w:tcPr>
            <w:tcW w:w="670" w:type="pct"/>
            <w:tcBorders>
              <w:top w:val="nil"/>
              <w:left w:val="nil"/>
              <w:bottom w:val="nil"/>
              <w:right w:val="nil"/>
            </w:tcBorders>
            <w:shd w:val="clear" w:color="auto" w:fill="auto"/>
            <w:vAlign w:val="center"/>
            <w:hideMark/>
          </w:tcPr>
          <w:p w14:paraId="2FAAFA08" w14:textId="77777777" w:rsidR="002733F0" w:rsidRPr="00DD1225" w:rsidRDefault="002733F0" w:rsidP="00E97AC1">
            <w:pPr>
              <w:spacing w:after="0" w:line="240" w:lineRule="auto"/>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Weekday dummies</w:t>
            </w:r>
          </w:p>
        </w:tc>
        <w:tc>
          <w:tcPr>
            <w:tcW w:w="533" w:type="pct"/>
            <w:tcBorders>
              <w:top w:val="nil"/>
              <w:left w:val="nil"/>
              <w:bottom w:val="nil"/>
              <w:right w:val="nil"/>
            </w:tcBorders>
            <w:shd w:val="clear" w:color="auto" w:fill="auto"/>
            <w:noWrap/>
            <w:vAlign w:val="center"/>
            <w:hideMark/>
          </w:tcPr>
          <w:p w14:paraId="4D46D1C8" w14:textId="77777777" w:rsidR="002733F0" w:rsidRPr="00DD1225" w:rsidRDefault="002733F0" w:rsidP="00E97AC1">
            <w:pPr>
              <w:spacing w:after="0" w:line="240" w:lineRule="auto"/>
              <w:jc w:val="center"/>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No</w:t>
            </w:r>
          </w:p>
        </w:tc>
        <w:tc>
          <w:tcPr>
            <w:tcW w:w="533" w:type="pct"/>
            <w:tcBorders>
              <w:top w:val="nil"/>
              <w:left w:val="nil"/>
              <w:bottom w:val="nil"/>
              <w:right w:val="nil"/>
            </w:tcBorders>
            <w:shd w:val="clear" w:color="auto" w:fill="auto"/>
            <w:noWrap/>
            <w:vAlign w:val="center"/>
            <w:hideMark/>
          </w:tcPr>
          <w:p w14:paraId="30EACD6F" w14:textId="77777777" w:rsidR="002733F0" w:rsidRPr="00DD1225" w:rsidRDefault="002733F0" w:rsidP="00E97AC1">
            <w:pPr>
              <w:spacing w:after="0" w:line="240" w:lineRule="auto"/>
              <w:jc w:val="center"/>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No</w:t>
            </w:r>
          </w:p>
        </w:tc>
        <w:tc>
          <w:tcPr>
            <w:tcW w:w="533" w:type="pct"/>
            <w:tcBorders>
              <w:top w:val="nil"/>
              <w:left w:val="nil"/>
              <w:bottom w:val="nil"/>
              <w:right w:val="nil"/>
            </w:tcBorders>
            <w:shd w:val="clear" w:color="auto" w:fill="auto"/>
            <w:noWrap/>
            <w:vAlign w:val="center"/>
            <w:hideMark/>
          </w:tcPr>
          <w:p w14:paraId="3AD7E4C1" w14:textId="77777777" w:rsidR="002733F0" w:rsidRPr="00DD1225" w:rsidRDefault="002733F0" w:rsidP="00E97AC1">
            <w:pPr>
              <w:spacing w:after="0" w:line="240" w:lineRule="auto"/>
              <w:jc w:val="center"/>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No</w:t>
            </w:r>
          </w:p>
        </w:tc>
        <w:tc>
          <w:tcPr>
            <w:tcW w:w="533" w:type="pct"/>
            <w:tcBorders>
              <w:top w:val="nil"/>
              <w:left w:val="nil"/>
              <w:bottom w:val="nil"/>
              <w:right w:val="nil"/>
            </w:tcBorders>
            <w:shd w:val="clear" w:color="auto" w:fill="auto"/>
            <w:noWrap/>
            <w:vAlign w:val="center"/>
            <w:hideMark/>
          </w:tcPr>
          <w:p w14:paraId="076F9A41" w14:textId="77777777" w:rsidR="002733F0" w:rsidRPr="00DD1225" w:rsidRDefault="002733F0" w:rsidP="00E97AC1">
            <w:pPr>
              <w:spacing w:after="0" w:line="240" w:lineRule="auto"/>
              <w:jc w:val="center"/>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No</w:t>
            </w:r>
          </w:p>
        </w:tc>
        <w:tc>
          <w:tcPr>
            <w:tcW w:w="533" w:type="pct"/>
            <w:tcBorders>
              <w:top w:val="nil"/>
              <w:left w:val="nil"/>
              <w:bottom w:val="nil"/>
              <w:right w:val="nil"/>
            </w:tcBorders>
            <w:shd w:val="clear" w:color="auto" w:fill="auto"/>
            <w:noWrap/>
            <w:vAlign w:val="center"/>
            <w:hideMark/>
          </w:tcPr>
          <w:p w14:paraId="5F7D76CB" w14:textId="619E2296" w:rsidR="002733F0" w:rsidRPr="00DD1225" w:rsidRDefault="002733F0" w:rsidP="00E97AC1">
            <w:pPr>
              <w:spacing w:after="0" w:line="240" w:lineRule="auto"/>
              <w:jc w:val="center"/>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Yes</w:t>
            </w:r>
          </w:p>
        </w:tc>
        <w:tc>
          <w:tcPr>
            <w:tcW w:w="533" w:type="pct"/>
            <w:tcBorders>
              <w:top w:val="nil"/>
              <w:left w:val="nil"/>
              <w:bottom w:val="nil"/>
              <w:right w:val="nil"/>
            </w:tcBorders>
            <w:shd w:val="clear" w:color="auto" w:fill="auto"/>
            <w:noWrap/>
            <w:vAlign w:val="center"/>
            <w:hideMark/>
          </w:tcPr>
          <w:p w14:paraId="6B433903" w14:textId="0BC26DCE" w:rsidR="002733F0" w:rsidRPr="00DD1225" w:rsidRDefault="002733F0" w:rsidP="00E97AC1">
            <w:pPr>
              <w:spacing w:after="0" w:line="240" w:lineRule="auto"/>
              <w:jc w:val="center"/>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No</w:t>
            </w:r>
          </w:p>
        </w:tc>
        <w:tc>
          <w:tcPr>
            <w:tcW w:w="567" w:type="pct"/>
            <w:tcBorders>
              <w:top w:val="nil"/>
              <w:left w:val="nil"/>
              <w:bottom w:val="nil"/>
              <w:right w:val="nil"/>
            </w:tcBorders>
            <w:shd w:val="clear" w:color="auto" w:fill="auto"/>
            <w:noWrap/>
            <w:vAlign w:val="center"/>
            <w:hideMark/>
          </w:tcPr>
          <w:p w14:paraId="0CEF1E2E" w14:textId="77777777" w:rsidR="002733F0" w:rsidRPr="00DD1225" w:rsidRDefault="002733F0" w:rsidP="00E97AC1">
            <w:pPr>
              <w:spacing w:after="0" w:line="240" w:lineRule="auto"/>
              <w:jc w:val="center"/>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Yes</w:t>
            </w:r>
          </w:p>
        </w:tc>
        <w:tc>
          <w:tcPr>
            <w:tcW w:w="566" w:type="pct"/>
            <w:tcBorders>
              <w:top w:val="nil"/>
              <w:left w:val="nil"/>
              <w:bottom w:val="nil"/>
              <w:right w:val="nil"/>
            </w:tcBorders>
            <w:shd w:val="clear" w:color="auto" w:fill="auto"/>
            <w:noWrap/>
            <w:vAlign w:val="center"/>
            <w:hideMark/>
          </w:tcPr>
          <w:p w14:paraId="4C658860" w14:textId="77777777" w:rsidR="002733F0" w:rsidRPr="00DD1225" w:rsidRDefault="002733F0" w:rsidP="00E97AC1">
            <w:pPr>
              <w:spacing w:after="0" w:line="240" w:lineRule="auto"/>
              <w:jc w:val="center"/>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Yes</w:t>
            </w:r>
          </w:p>
        </w:tc>
      </w:tr>
      <w:tr w:rsidR="002733F0" w:rsidRPr="00DD1225" w14:paraId="18717D4B"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386AEE04" w14:textId="77777777" w:rsidR="002733F0" w:rsidRPr="00DD1225" w:rsidRDefault="002733F0" w:rsidP="00E97AC1">
            <w:pPr>
              <w:spacing w:after="0" w:line="240" w:lineRule="auto"/>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 Obs.</w:t>
            </w:r>
          </w:p>
        </w:tc>
        <w:tc>
          <w:tcPr>
            <w:tcW w:w="533" w:type="pct"/>
            <w:tcBorders>
              <w:top w:val="nil"/>
              <w:left w:val="nil"/>
              <w:bottom w:val="nil"/>
              <w:right w:val="nil"/>
            </w:tcBorders>
            <w:shd w:val="clear" w:color="auto" w:fill="auto"/>
            <w:noWrap/>
            <w:vAlign w:val="bottom"/>
            <w:hideMark/>
          </w:tcPr>
          <w:p w14:paraId="7939DC7A"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5,490</w:t>
            </w:r>
          </w:p>
        </w:tc>
        <w:tc>
          <w:tcPr>
            <w:tcW w:w="533" w:type="pct"/>
            <w:tcBorders>
              <w:top w:val="nil"/>
              <w:left w:val="nil"/>
              <w:bottom w:val="nil"/>
              <w:right w:val="nil"/>
            </w:tcBorders>
            <w:shd w:val="clear" w:color="auto" w:fill="auto"/>
            <w:noWrap/>
            <w:vAlign w:val="bottom"/>
            <w:hideMark/>
          </w:tcPr>
          <w:p w14:paraId="3BCC2A09"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5,490</w:t>
            </w:r>
          </w:p>
        </w:tc>
        <w:tc>
          <w:tcPr>
            <w:tcW w:w="533" w:type="pct"/>
            <w:tcBorders>
              <w:top w:val="nil"/>
              <w:left w:val="nil"/>
              <w:bottom w:val="nil"/>
              <w:right w:val="nil"/>
            </w:tcBorders>
            <w:shd w:val="clear" w:color="auto" w:fill="auto"/>
            <w:noWrap/>
            <w:vAlign w:val="bottom"/>
            <w:hideMark/>
          </w:tcPr>
          <w:p w14:paraId="22755C89"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5,490</w:t>
            </w:r>
          </w:p>
        </w:tc>
        <w:tc>
          <w:tcPr>
            <w:tcW w:w="533" w:type="pct"/>
            <w:tcBorders>
              <w:top w:val="nil"/>
              <w:left w:val="nil"/>
              <w:bottom w:val="nil"/>
              <w:right w:val="nil"/>
            </w:tcBorders>
            <w:shd w:val="clear" w:color="auto" w:fill="auto"/>
            <w:noWrap/>
            <w:vAlign w:val="bottom"/>
            <w:hideMark/>
          </w:tcPr>
          <w:p w14:paraId="0B6BAF44"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5,490</w:t>
            </w:r>
          </w:p>
        </w:tc>
        <w:tc>
          <w:tcPr>
            <w:tcW w:w="533" w:type="pct"/>
            <w:tcBorders>
              <w:top w:val="nil"/>
              <w:left w:val="nil"/>
              <w:bottom w:val="nil"/>
              <w:right w:val="nil"/>
            </w:tcBorders>
            <w:shd w:val="clear" w:color="auto" w:fill="auto"/>
            <w:noWrap/>
            <w:vAlign w:val="bottom"/>
            <w:hideMark/>
          </w:tcPr>
          <w:p w14:paraId="3D2F7FB9"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5,490</w:t>
            </w:r>
          </w:p>
        </w:tc>
        <w:tc>
          <w:tcPr>
            <w:tcW w:w="533" w:type="pct"/>
            <w:tcBorders>
              <w:top w:val="nil"/>
              <w:left w:val="nil"/>
              <w:bottom w:val="nil"/>
              <w:right w:val="nil"/>
            </w:tcBorders>
            <w:shd w:val="clear" w:color="auto" w:fill="auto"/>
            <w:noWrap/>
            <w:vAlign w:val="bottom"/>
            <w:hideMark/>
          </w:tcPr>
          <w:p w14:paraId="6243A2A3"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5,490</w:t>
            </w:r>
          </w:p>
        </w:tc>
        <w:tc>
          <w:tcPr>
            <w:tcW w:w="567" w:type="pct"/>
            <w:tcBorders>
              <w:top w:val="nil"/>
              <w:left w:val="nil"/>
              <w:bottom w:val="nil"/>
              <w:right w:val="nil"/>
            </w:tcBorders>
            <w:shd w:val="clear" w:color="auto" w:fill="auto"/>
            <w:noWrap/>
            <w:vAlign w:val="bottom"/>
            <w:hideMark/>
          </w:tcPr>
          <w:p w14:paraId="57C33D87"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5,124</w:t>
            </w:r>
          </w:p>
        </w:tc>
        <w:tc>
          <w:tcPr>
            <w:tcW w:w="566" w:type="pct"/>
            <w:tcBorders>
              <w:top w:val="nil"/>
              <w:left w:val="nil"/>
              <w:bottom w:val="nil"/>
              <w:right w:val="nil"/>
            </w:tcBorders>
            <w:shd w:val="clear" w:color="auto" w:fill="auto"/>
            <w:noWrap/>
            <w:vAlign w:val="bottom"/>
            <w:hideMark/>
          </w:tcPr>
          <w:p w14:paraId="781C369C"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5,124</w:t>
            </w:r>
          </w:p>
        </w:tc>
      </w:tr>
      <w:tr w:rsidR="002733F0" w:rsidRPr="00DD1225" w14:paraId="4EA20F79" w14:textId="77777777" w:rsidTr="002733F0">
        <w:trPr>
          <w:trHeight w:val="227"/>
          <w:jc w:val="center"/>
        </w:trPr>
        <w:tc>
          <w:tcPr>
            <w:tcW w:w="670" w:type="pct"/>
            <w:tcBorders>
              <w:top w:val="nil"/>
              <w:left w:val="nil"/>
              <w:bottom w:val="nil"/>
              <w:right w:val="nil"/>
            </w:tcBorders>
            <w:shd w:val="clear" w:color="auto" w:fill="auto"/>
            <w:noWrap/>
            <w:vAlign w:val="bottom"/>
            <w:hideMark/>
          </w:tcPr>
          <w:p w14:paraId="54E0712C" w14:textId="2788584A" w:rsidR="002733F0" w:rsidRPr="00DD1225" w:rsidRDefault="002733F0" w:rsidP="00E97AC1">
            <w:pPr>
              <w:spacing w:after="0" w:line="240" w:lineRule="auto"/>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#Countries</w:t>
            </w:r>
          </w:p>
        </w:tc>
        <w:tc>
          <w:tcPr>
            <w:tcW w:w="533" w:type="pct"/>
            <w:tcBorders>
              <w:top w:val="nil"/>
              <w:left w:val="nil"/>
              <w:bottom w:val="nil"/>
              <w:right w:val="nil"/>
            </w:tcBorders>
            <w:shd w:val="clear" w:color="auto" w:fill="auto"/>
            <w:noWrap/>
            <w:vAlign w:val="bottom"/>
            <w:hideMark/>
          </w:tcPr>
          <w:p w14:paraId="41629766"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30</w:t>
            </w:r>
          </w:p>
        </w:tc>
        <w:tc>
          <w:tcPr>
            <w:tcW w:w="533" w:type="pct"/>
            <w:tcBorders>
              <w:top w:val="nil"/>
              <w:left w:val="nil"/>
              <w:bottom w:val="nil"/>
              <w:right w:val="nil"/>
            </w:tcBorders>
            <w:shd w:val="clear" w:color="auto" w:fill="auto"/>
            <w:noWrap/>
            <w:vAlign w:val="bottom"/>
            <w:hideMark/>
          </w:tcPr>
          <w:p w14:paraId="7E570BE7"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30</w:t>
            </w:r>
          </w:p>
        </w:tc>
        <w:tc>
          <w:tcPr>
            <w:tcW w:w="533" w:type="pct"/>
            <w:tcBorders>
              <w:top w:val="nil"/>
              <w:left w:val="nil"/>
              <w:bottom w:val="nil"/>
              <w:right w:val="nil"/>
            </w:tcBorders>
            <w:shd w:val="clear" w:color="auto" w:fill="auto"/>
            <w:noWrap/>
            <w:vAlign w:val="bottom"/>
            <w:hideMark/>
          </w:tcPr>
          <w:p w14:paraId="6C7093AD"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30</w:t>
            </w:r>
          </w:p>
        </w:tc>
        <w:tc>
          <w:tcPr>
            <w:tcW w:w="533" w:type="pct"/>
            <w:tcBorders>
              <w:top w:val="nil"/>
              <w:left w:val="nil"/>
              <w:bottom w:val="nil"/>
              <w:right w:val="nil"/>
            </w:tcBorders>
            <w:shd w:val="clear" w:color="auto" w:fill="auto"/>
            <w:noWrap/>
            <w:vAlign w:val="bottom"/>
            <w:hideMark/>
          </w:tcPr>
          <w:p w14:paraId="35DE504E"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30</w:t>
            </w:r>
          </w:p>
        </w:tc>
        <w:tc>
          <w:tcPr>
            <w:tcW w:w="533" w:type="pct"/>
            <w:tcBorders>
              <w:top w:val="nil"/>
              <w:left w:val="nil"/>
              <w:bottom w:val="nil"/>
              <w:right w:val="nil"/>
            </w:tcBorders>
            <w:shd w:val="clear" w:color="auto" w:fill="auto"/>
            <w:noWrap/>
            <w:vAlign w:val="bottom"/>
            <w:hideMark/>
          </w:tcPr>
          <w:p w14:paraId="2CBB8EF0"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30</w:t>
            </w:r>
          </w:p>
        </w:tc>
        <w:tc>
          <w:tcPr>
            <w:tcW w:w="533" w:type="pct"/>
            <w:tcBorders>
              <w:top w:val="nil"/>
              <w:left w:val="nil"/>
              <w:bottom w:val="nil"/>
              <w:right w:val="nil"/>
            </w:tcBorders>
            <w:shd w:val="clear" w:color="auto" w:fill="auto"/>
            <w:noWrap/>
            <w:vAlign w:val="bottom"/>
            <w:hideMark/>
          </w:tcPr>
          <w:p w14:paraId="3267556B"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30</w:t>
            </w:r>
          </w:p>
        </w:tc>
        <w:tc>
          <w:tcPr>
            <w:tcW w:w="567" w:type="pct"/>
            <w:tcBorders>
              <w:top w:val="nil"/>
              <w:left w:val="nil"/>
              <w:bottom w:val="nil"/>
              <w:right w:val="nil"/>
            </w:tcBorders>
            <w:shd w:val="clear" w:color="auto" w:fill="auto"/>
            <w:noWrap/>
            <w:vAlign w:val="bottom"/>
            <w:hideMark/>
          </w:tcPr>
          <w:p w14:paraId="4144C79B"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28</w:t>
            </w:r>
          </w:p>
        </w:tc>
        <w:tc>
          <w:tcPr>
            <w:tcW w:w="566" w:type="pct"/>
            <w:tcBorders>
              <w:top w:val="nil"/>
              <w:left w:val="nil"/>
              <w:bottom w:val="nil"/>
              <w:right w:val="nil"/>
            </w:tcBorders>
            <w:shd w:val="clear" w:color="auto" w:fill="auto"/>
            <w:noWrap/>
            <w:vAlign w:val="bottom"/>
            <w:hideMark/>
          </w:tcPr>
          <w:p w14:paraId="06AA6811"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28</w:t>
            </w:r>
          </w:p>
        </w:tc>
      </w:tr>
      <w:tr w:rsidR="002733F0" w:rsidRPr="002733F0" w14:paraId="345E7A58" w14:textId="77777777" w:rsidTr="002733F0">
        <w:trPr>
          <w:trHeight w:val="227"/>
          <w:jc w:val="center"/>
        </w:trPr>
        <w:tc>
          <w:tcPr>
            <w:tcW w:w="670" w:type="pct"/>
            <w:tcBorders>
              <w:top w:val="nil"/>
              <w:left w:val="nil"/>
              <w:bottom w:val="single" w:sz="4" w:space="0" w:color="auto"/>
              <w:right w:val="nil"/>
            </w:tcBorders>
            <w:shd w:val="clear" w:color="auto" w:fill="auto"/>
            <w:noWrap/>
            <w:vAlign w:val="bottom"/>
            <w:hideMark/>
          </w:tcPr>
          <w:p w14:paraId="3A3863A2" w14:textId="77777777" w:rsidR="002733F0" w:rsidRPr="00DD1225" w:rsidRDefault="002733F0" w:rsidP="00E97AC1">
            <w:pPr>
              <w:spacing w:after="0" w:line="240" w:lineRule="auto"/>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R</w:t>
            </w:r>
            <w:r w:rsidRPr="00DD1225">
              <w:rPr>
                <w:rFonts w:ascii="CMU Serif" w:eastAsia="Times New Roman" w:hAnsi="CMU Serif" w:cs="CMU Serif"/>
                <w:color w:val="000000"/>
                <w:sz w:val="18"/>
                <w:szCs w:val="18"/>
                <w:vertAlign w:val="superscript"/>
                <w:lang w:val="en-US"/>
              </w:rPr>
              <w:t>2</w:t>
            </w:r>
          </w:p>
        </w:tc>
        <w:tc>
          <w:tcPr>
            <w:tcW w:w="533" w:type="pct"/>
            <w:tcBorders>
              <w:top w:val="nil"/>
              <w:left w:val="nil"/>
              <w:bottom w:val="single" w:sz="4" w:space="0" w:color="auto"/>
              <w:right w:val="nil"/>
            </w:tcBorders>
            <w:shd w:val="clear" w:color="auto" w:fill="auto"/>
            <w:noWrap/>
            <w:vAlign w:val="bottom"/>
            <w:hideMark/>
          </w:tcPr>
          <w:p w14:paraId="20530D0E"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0.496</w:t>
            </w:r>
          </w:p>
        </w:tc>
        <w:tc>
          <w:tcPr>
            <w:tcW w:w="533" w:type="pct"/>
            <w:tcBorders>
              <w:top w:val="nil"/>
              <w:left w:val="nil"/>
              <w:bottom w:val="single" w:sz="4" w:space="0" w:color="auto"/>
              <w:right w:val="nil"/>
            </w:tcBorders>
            <w:shd w:val="clear" w:color="auto" w:fill="auto"/>
            <w:noWrap/>
            <w:vAlign w:val="bottom"/>
            <w:hideMark/>
          </w:tcPr>
          <w:p w14:paraId="2D288557"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0.461</w:t>
            </w:r>
          </w:p>
        </w:tc>
        <w:tc>
          <w:tcPr>
            <w:tcW w:w="533" w:type="pct"/>
            <w:tcBorders>
              <w:top w:val="nil"/>
              <w:left w:val="nil"/>
              <w:bottom w:val="single" w:sz="4" w:space="0" w:color="auto"/>
              <w:right w:val="nil"/>
            </w:tcBorders>
            <w:shd w:val="clear" w:color="auto" w:fill="auto"/>
            <w:noWrap/>
            <w:vAlign w:val="bottom"/>
            <w:hideMark/>
          </w:tcPr>
          <w:p w14:paraId="06901760"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0.523</w:t>
            </w:r>
          </w:p>
        </w:tc>
        <w:tc>
          <w:tcPr>
            <w:tcW w:w="533" w:type="pct"/>
            <w:tcBorders>
              <w:top w:val="nil"/>
              <w:left w:val="nil"/>
              <w:bottom w:val="single" w:sz="4" w:space="0" w:color="auto"/>
              <w:right w:val="nil"/>
            </w:tcBorders>
            <w:shd w:val="clear" w:color="auto" w:fill="auto"/>
            <w:noWrap/>
            <w:vAlign w:val="bottom"/>
            <w:hideMark/>
          </w:tcPr>
          <w:p w14:paraId="60DD7D43"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0.521</w:t>
            </w:r>
          </w:p>
        </w:tc>
        <w:tc>
          <w:tcPr>
            <w:tcW w:w="533" w:type="pct"/>
            <w:tcBorders>
              <w:top w:val="nil"/>
              <w:left w:val="nil"/>
              <w:bottom w:val="single" w:sz="4" w:space="0" w:color="auto"/>
              <w:right w:val="nil"/>
            </w:tcBorders>
            <w:shd w:val="clear" w:color="auto" w:fill="auto"/>
            <w:noWrap/>
            <w:vAlign w:val="bottom"/>
            <w:hideMark/>
          </w:tcPr>
          <w:p w14:paraId="2C1B66CE"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0.520</w:t>
            </w:r>
          </w:p>
        </w:tc>
        <w:tc>
          <w:tcPr>
            <w:tcW w:w="533" w:type="pct"/>
            <w:tcBorders>
              <w:top w:val="nil"/>
              <w:left w:val="nil"/>
              <w:bottom w:val="single" w:sz="4" w:space="0" w:color="auto"/>
              <w:right w:val="nil"/>
            </w:tcBorders>
            <w:shd w:val="clear" w:color="auto" w:fill="auto"/>
            <w:noWrap/>
            <w:vAlign w:val="bottom"/>
            <w:hideMark/>
          </w:tcPr>
          <w:p w14:paraId="3243C328"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0.532</w:t>
            </w:r>
          </w:p>
        </w:tc>
        <w:tc>
          <w:tcPr>
            <w:tcW w:w="567" w:type="pct"/>
            <w:tcBorders>
              <w:top w:val="nil"/>
              <w:left w:val="nil"/>
              <w:bottom w:val="single" w:sz="4" w:space="0" w:color="auto"/>
              <w:right w:val="nil"/>
            </w:tcBorders>
            <w:shd w:val="clear" w:color="auto" w:fill="auto"/>
            <w:noWrap/>
            <w:vAlign w:val="bottom"/>
            <w:hideMark/>
          </w:tcPr>
          <w:p w14:paraId="6CA29298" w14:textId="77777777" w:rsidR="002733F0" w:rsidRPr="00DD1225"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0.550</w:t>
            </w:r>
          </w:p>
        </w:tc>
        <w:tc>
          <w:tcPr>
            <w:tcW w:w="566" w:type="pct"/>
            <w:tcBorders>
              <w:top w:val="nil"/>
              <w:left w:val="nil"/>
              <w:bottom w:val="single" w:sz="4" w:space="0" w:color="auto"/>
              <w:right w:val="nil"/>
            </w:tcBorders>
            <w:shd w:val="clear" w:color="auto" w:fill="auto"/>
            <w:noWrap/>
            <w:vAlign w:val="bottom"/>
            <w:hideMark/>
          </w:tcPr>
          <w:p w14:paraId="33DED2D9" w14:textId="77777777" w:rsidR="002733F0" w:rsidRPr="00DD1D53" w:rsidRDefault="002733F0" w:rsidP="00E97AC1">
            <w:pPr>
              <w:spacing w:after="0" w:line="240" w:lineRule="auto"/>
              <w:jc w:val="right"/>
              <w:rPr>
                <w:rFonts w:ascii="CMU Serif" w:eastAsia="Times New Roman" w:hAnsi="CMU Serif" w:cs="CMU Serif"/>
                <w:color w:val="000000"/>
                <w:sz w:val="18"/>
                <w:szCs w:val="18"/>
                <w:lang w:val="en-US"/>
              </w:rPr>
            </w:pPr>
            <w:r w:rsidRPr="00DD1225">
              <w:rPr>
                <w:rFonts w:ascii="CMU Serif" w:eastAsia="Times New Roman" w:hAnsi="CMU Serif" w:cs="CMU Serif"/>
                <w:color w:val="000000"/>
                <w:sz w:val="18"/>
                <w:szCs w:val="18"/>
                <w:lang w:val="en-US"/>
              </w:rPr>
              <w:t>0.566</w:t>
            </w:r>
          </w:p>
        </w:tc>
      </w:tr>
    </w:tbl>
    <w:p w14:paraId="42F47454" w14:textId="371F98ED" w:rsidR="00C57EC3" w:rsidRDefault="00C57EC3" w:rsidP="00220320">
      <w:pPr>
        <w:jc w:val="both"/>
        <w:rPr>
          <w:rFonts w:ascii="CMU Serif" w:eastAsia="Times New Roman" w:hAnsi="CMU Serif" w:cs="CMU Serif"/>
          <w:color w:val="000000"/>
          <w:sz w:val="20"/>
          <w:szCs w:val="20"/>
          <w:lang w:val="en-ZA" w:eastAsia="pl-PL"/>
        </w:rPr>
      </w:pPr>
    </w:p>
    <w:p w14:paraId="523A90D7" w14:textId="2BD372A8" w:rsidR="00C57EC3" w:rsidRDefault="00C57EC3" w:rsidP="00220320">
      <w:pPr>
        <w:jc w:val="both"/>
        <w:rPr>
          <w:rFonts w:ascii="CMU Serif" w:eastAsia="Times New Roman" w:hAnsi="CMU Serif" w:cs="CMU Serif"/>
          <w:color w:val="000000"/>
          <w:sz w:val="20"/>
          <w:szCs w:val="20"/>
          <w:lang w:val="en-ZA" w:eastAsia="pl-PL"/>
        </w:rPr>
      </w:pPr>
    </w:p>
    <w:p w14:paraId="36B92088" w14:textId="77777777" w:rsidR="00861166" w:rsidRPr="0099234A" w:rsidRDefault="00861166">
      <w:pPr>
        <w:rPr>
          <w:rFonts w:ascii="CMU Serif" w:hAnsi="CMU Serif" w:cs="CMU Serif"/>
          <w:lang w:val="en-ZA"/>
        </w:rPr>
      </w:pPr>
    </w:p>
    <w:sectPr w:rsidR="00861166" w:rsidRPr="0099234A" w:rsidSect="00C57EC3">
      <w:pgSz w:w="11906" w:h="16838"/>
      <w:pgMar w:top="1440" w:right="1021" w:bottom="144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F8A30" w14:textId="77777777" w:rsidR="00A76B6D" w:rsidRDefault="00A76B6D">
      <w:pPr>
        <w:spacing w:after="0" w:line="240" w:lineRule="auto"/>
      </w:pPr>
      <w:r>
        <w:separator/>
      </w:r>
    </w:p>
  </w:endnote>
  <w:endnote w:type="continuationSeparator" w:id="0">
    <w:p w14:paraId="623569E1" w14:textId="77777777" w:rsidR="00A76B6D" w:rsidRDefault="00A76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MU Sans Serif">
    <w:charset w:val="EE"/>
    <w:family w:val="auto"/>
    <w:pitch w:val="variable"/>
    <w:sig w:usb0="E10002FF" w:usb1="5201E9EB" w:usb2="00020004" w:usb3="00000000" w:csb0="000001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MU Serif">
    <w:altName w:val="Calibri"/>
    <w:charset w:val="EE"/>
    <w:family w:val="auto"/>
    <w:pitch w:val="variable"/>
    <w:sig w:usb0="E10002FF" w:usb1="5201E9EB" w:usb2="02020004"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MU Serif" w:hAnsi="CMU Serif" w:cs="CMU Serif"/>
      </w:rPr>
      <w:id w:val="-1421480924"/>
      <w:docPartObj>
        <w:docPartGallery w:val="Page Numbers (Bottom of Page)"/>
        <w:docPartUnique/>
      </w:docPartObj>
    </w:sdtPr>
    <w:sdtEndPr/>
    <w:sdtContent>
      <w:p w14:paraId="03A571C0" w14:textId="77777777" w:rsidR="00E832CA" w:rsidRPr="00C8448A" w:rsidRDefault="00E832CA">
        <w:pPr>
          <w:pStyle w:val="Footer"/>
          <w:jc w:val="right"/>
          <w:rPr>
            <w:rFonts w:ascii="CMU Serif" w:hAnsi="CMU Serif" w:cs="CMU Serif"/>
          </w:rPr>
        </w:pPr>
        <w:r w:rsidRPr="00C8448A">
          <w:rPr>
            <w:rFonts w:ascii="CMU Serif" w:hAnsi="CMU Serif" w:cs="CMU Serif"/>
          </w:rPr>
          <w:fldChar w:fldCharType="begin"/>
        </w:r>
        <w:r w:rsidRPr="00C8448A">
          <w:rPr>
            <w:rFonts w:ascii="CMU Serif" w:hAnsi="CMU Serif" w:cs="CMU Serif"/>
          </w:rPr>
          <w:instrText>PAGE   \* MERGEFORMAT</w:instrText>
        </w:r>
        <w:r w:rsidRPr="00C8448A">
          <w:rPr>
            <w:rFonts w:ascii="CMU Serif" w:hAnsi="CMU Serif" w:cs="CMU Serif"/>
          </w:rPr>
          <w:fldChar w:fldCharType="separate"/>
        </w:r>
        <w:r w:rsidR="004C042F">
          <w:rPr>
            <w:rFonts w:ascii="CMU Serif" w:hAnsi="CMU Serif" w:cs="CMU Serif"/>
            <w:noProof/>
          </w:rPr>
          <w:t>1</w:t>
        </w:r>
        <w:r w:rsidRPr="00C8448A">
          <w:rPr>
            <w:rFonts w:ascii="CMU Serif" w:hAnsi="CMU Serif" w:cs="CMU Serif"/>
          </w:rPr>
          <w:fldChar w:fldCharType="end"/>
        </w:r>
      </w:p>
    </w:sdtContent>
  </w:sdt>
  <w:p w14:paraId="7D097896" w14:textId="77777777" w:rsidR="00E832CA" w:rsidRPr="00C8448A" w:rsidRDefault="00E832CA">
    <w:pPr>
      <w:pStyle w:val="Footer"/>
      <w:rPr>
        <w:rFonts w:ascii="CMU Serif" w:hAnsi="CMU Serif" w:cs="CMU Seri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MU Serif" w:hAnsi="CMU Serif" w:cs="CMU Serif"/>
      </w:rPr>
      <w:id w:val="1373423768"/>
      <w:docPartObj>
        <w:docPartGallery w:val="Page Numbers (Bottom of Page)"/>
        <w:docPartUnique/>
      </w:docPartObj>
    </w:sdtPr>
    <w:sdtEndPr/>
    <w:sdtContent>
      <w:p w14:paraId="6B9E7A4F" w14:textId="77777777" w:rsidR="00E832CA" w:rsidRPr="009158E8" w:rsidRDefault="00E832CA">
        <w:pPr>
          <w:pStyle w:val="Footer"/>
          <w:jc w:val="right"/>
          <w:rPr>
            <w:rFonts w:ascii="CMU Serif" w:hAnsi="CMU Serif" w:cs="CMU Serif"/>
          </w:rPr>
        </w:pPr>
        <w:r w:rsidRPr="009158E8">
          <w:rPr>
            <w:rFonts w:ascii="CMU Serif" w:hAnsi="CMU Serif" w:cs="CMU Serif"/>
          </w:rPr>
          <w:fldChar w:fldCharType="begin"/>
        </w:r>
        <w:r w:rsidRPr="009158E8">
          <w:rPr>
            <w:rFonts w:ascii="CMU Serif" w:hAnsi="CMU Serif" w:cs="CMU Serif"/>
          </w:rPr>
          <w:instrText>PAGE   \* MERGEFORMAT</w:instrText>
        </w:r>
        <w:r w:rsidRPr="009158E8">
          <w:rPr>
            <w:rFonts w:ascii="CMU Serif" w:hAnsi="CMU Serif" w:cs="CMU Serif"/>
          </w:rPr>
          <w:fldChar w:fldCharType="separate"/>
        </w:r>
        <w:r w:rsidR="004C042F">
          <w:rPr>
            <w:rFonts w:ascii="CMU Serif" w:hAnsi="CMU Serif" w:cs="CMU Serif"/>
            <w:noProof/>
          </w:rPr>
          <w:t>8</w:t>
        </w:r>
        <w:r w:rsidRPr="009158E8">
          <w:rPr>
            <w:rFonts w:ascii="CMU Serif" w:hAnsi="CMU Serif" w:cs="CMU Serif"/>
          </w:rPr>
          <w:fldChar w:fldCharType="end"/>
        </w:r>
      </w:p>
    </w:sdtContent>
  </w:sdt>
  <w:p w14:paraId="39C725E8" w14:textId="77777777" w:rsidR="00E832CA" w:rsidRDefault="00E83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24326" w14:textId="77777777" w:rsidR="00A76B6D" w:rsidRDefault="00A76B6D">
      <w:pPr>
        <w:spacing w:after="0" w:line="240" w:lineRule="auto"/>
      </w:pPr>
      <w:r>
        <w:separator/>
      </w:r>
    </w:p>
  </w:footnote>
  <w:footnote w:type="continuationSeparator" w:id="0">
    <w:p w14:paraId="09DCFB7D" w14:textId="77777777" w:rsidR="00A76B6D" w:rsidRDefault="00A76B6D">
      <w:pPr>
        <w:spacing w:after="0" w:line="240" w:lineRule="auto"/>
      </w:pPr>
      <w:r>
        <w:continuationSeparator/>
      </w:r>
    </w:p>
  </w:footnote>
  <w:footnote w:id="1">
    <w:p w14:paraId="08FCF5CF" w14:textId="28B93295" w:rsidR="00E832CA" w:rsidRPr="00B83787" w:rsidRDefault="00E832CA">
      <w:pPr>
        <w:pStyle w:val="FootnoteText"/>
        <w:rPr>
          <w:rFonts w:ascii="CMU Serif" w:hAnsi="CMU Serif" w:cs="CMU Serif"/>
          <w:lang w:val="en-ZA"/>
        </w:rPr>
      </w:pPr>
      <w:r w:rsidRPr="00B83787">
        <w:rPr>
          <w:rStyle w:val="FootnoteReference"/>
          <w:rFonts w:ascii="CMU Serif" w:hAnsi="CMU Serif" w:cs="CMU Serif"/>
        </w:rPr>
        <w:footnoteRef/>
      </w:r>
      <w:r w:rsidRPr="00B83787">
        <w:rPr>
          <w:rFonts w:ascii="CMU Serif" w:hAnsi="CMU Serif" w:cs="CMU Serif"/>
          <w:lang w:val="en-ZA"/>
        </w:rPr>
        <w:t xml:space="preserve"> Https://fred.stlouisfed.org/.</w:t>
      </w:r>
    </w:p>
  </w:footnote>
  <w:footnote w:id="2">
    <w:p w14:paraId="20A76A03" w14:textId="198D86D2" w:rsidR="00E832CA" w:rsidRPr="00B83787" w:rsidRDefault="00E832CA">
      <w:pPr>
        <w:pStyle w:val="FootnoteText"/>
        <w:rPr>
          <w:rFonts w:ascii="CMU Serif" w:hAnsi="CMU Serif" w:cs="CMU Serif"/>
          <w:lang w:val="en-ZA"/>
        </w:rPr>
      </w:pPr>
      <w:r w:rsidRPr="00B83787">
        <w:rPr>
          <w:rStyle w:val="FootnoteReference"/>
          <w:rFonts w:ascii="CMU Serif" w:hAnsi="CMU Serif" w:cs="CMU Serif"/>
        </w:rPr>
        <w:footnoteRef/>
      </w:r>
      <w:r w:rsidRPr="00B83787">
        <w:rPr>
          <w:rFonts w:ascii="CMU Serif" w:hAnsi="CMU Serif" w:cs="CMU Serif"/>
          <w:lang w:val="en-ZA"/>
        </w:rPr>
        <w:t xml:space="preserve"> Https://www.bsg.ox.ac.uk/research/research-projects/coronavirus-government-response-tracker.</w:t>
      </w:r>
    </w:p>
  </w:footnote>
  <w:footnote w:id="3">
    <w:p w14:paraId="6154DB68" w14:textId="6A97BF15" w:rsidR="00E832CA" w:rsidRPr="00B83787" w:rsidRDefault="00E832CA" w:rsidP="009359BF">
      <w:pPr>
        <w:pStyle w:val="FootnoteText"/>
        <w:ind w:left="142" w:hanging="142"/>
        <w:jc w:val="both"/>
        <w:rPr>
          <w:rFonts w:ascii="CMU Serif" w:hAnsi="CMU Serif" w:cs="CMU Serif"/>
          <w:lang w:val="en-ZA"/>
        </w:rPr>
      </w:pPr>
      <w:r w:rsidRPr="00B83787">
        <w:rPr>
          <w:rStyle w:val="FootnoteReference"/>
          <w:rFonts w:ascii="CMU Serif" w:hAnsi="CMU Serif" w:cs="CMU Serif"/>
        </w:rPr>
        <w:footnoteRef/>
      </w:r>
      <w:r w:rsidRPr="00B83787">
        <w:rPr>
          <w:rFonts w:ascii="CMU Serif" w:hAnsi="CMU Serif" w:cs="CMU Serif"/>
          <w:lang w:val="en-ZA"/>
        </w:rPr>
        <w:t xml:space="preserve"> We also control for changes (rather than levels) in the policy response indices; this modification has no visible effect on our conclusions.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1B1F26"/>
    <w:multiLevelType w:val="hybridMultilevel"/>
    <w:tmpl w:val="034E12CC"/>
    <w:lvl w:ilvl="0" w:tplc="3512697A">
      <w:start w:val="1"/>
      <w:numFmt w:val="decimal"/>
      <w:lvlText w:val="%1."/>
      <w:lvlJc w:val="left"/>
      <w:pPr>
        <w:ind w:left="720" w:hanging="360"/>
      </w:pPr>
      <w:rPr>
        <w:rFonts w:hint="default"/>
      </w:rPr>
    </w:lvl>
    <w:lvl w:ilvl="1" w:tplc="002CE49C" w:tentative="1">
      <w:start w:val="1"/>
      <w:numFmt w:val="lowerLetter"/>
      <w:lvlText w:val="%2."/>
      <w:lvlJc w:val="left"/>
      <w:pPr>
        <w:ind w:left="1440" w:hanging="360"/>
      </w:pPr>
    </w:lvl>
    <w:lvl w:ilvl="2" w:tplc="BE5EB6F6" w:tentative="1">
      <w:start w:val="1"/>
      <w:numFmt w:val="lowerRoman"/>
      <w:lvlText w:val="%3."/>
      <w:lvlJc w:val="right"/>
      <w:pPr>
        <w:ind w:left="2160" w:hanging="180"/>
      </w:pPr>
    </w:lvl>
    <w:lvl w:ilvl="3" w:tplc="7E420C8E" w:tentative="1">
      <w:start w:val="1"/>
      <w:numFmt w:val="decimal"/>
      <w:lvlText w:val="%4."/>
      <w:lvlJc w:val="left"/>
      <w:pPr>
        <w:ind w:left="2880" w:hanging="360"/>
      </w:pPr>
    </w:lvl>
    <w:lvl w:ilvl="4" w:tplc="20FCA682" w:tentative="1">
      <w:start w:val="1"/>
      <w:numFmt w:val="lowerLetter"/>
      <w:lvlText w:val="%5."/>
      <w:lvlJc w:val="left"/>
      <w:pPr>
        <w:ind w:left="3600" w:hanging="360"/>
      </w:pPr>
    </w:lvl>
    <w:lvl w:ilvl="5" w:tplc="3A0ADF08" w:tentative="1">
      <w:start w:val="1"/>
      <w:numFmt w:val="lowerRoman"/>
      <w:lvlText w:val="%6."/>
      <w:lvlJc w:val="right"/>
      <w:pPr>
        <w:ind w:left="4320" w:hanging="180"/>
      </w:pPr>
    </w:lvl>
    <w:lvl w:ilvl="6" w:tplc="FA9CC7A8" w:tentative="1">
      <w:start w:val="1"/>
      <w:numFmt w:val="decimal"/>
      <w:lvlText w:val="%7."/>
      <w:lvlJc w:val="left"/>
      <w:pPr>
        <w:ind w:left="5040" w:hanging="360"/>
      </w:pPr>
    </w:lvl>
    <w:lvl w:ilvl="7" w:tplc="0EDC7B92" w:tentative="1">
      <w:start w:val="1"/>
      <w:numFmt w:val="lowerLetter"/>
      <w:lvlText w:val="%8."/>
      <w:lvlJc w:val="left"/>
      <w:pPr>
        <w:ind w:left="5760" w:hanging="360"/>
      </w:pPr>
    </w:lvl>
    <w:lvl w:ilvl="8" w:tplc="04AE0A5A" w:tentative="1">
      <w:start w:val="1"/>
      <w:numFmt w:val="lowerRoman"/>
      <w:lvlText w:val="%9."/>
      <w:lvlJc w:val="right"/>
      <w:pPr>
        <w:ind w:left="6480" w:hanging="180"/>
      </w:pPr>
    </w:lvl>
  </w:abstractNum>
  <w:abstractNum w:abstractNumId="1" w15:restartNumberingAfterBreak="0">
    <w:nsid w:val="56FB3396"/>
    <w:multiLevelType w:val="hybridMultilevel"/>
    <w:tmpl w:val="A424A01C"/>
    <w:lvl w:ilvl="0" w:tplc="7F5A290A">
      <w:start w:val="1"/>
      <w:numFmt w:val="bullet"/>
      <w:lvlText w:val="–"/>
      <w:lvlJc w:val="left"/>
      <w:pPr>
        <w:ind w:left="720" w:hanging="360"/>
      </w:pPr>
      <w:rPr>
        <w:rFonts w:ascii="CMU Sans Serif" w:hAnsi="CMU Sans Serif" w:hint="default"/>
      </w:rPr>
    </w:lvl>
    <w:lvl w:ilvl="1" w:tplc="DE96D1D2" w:tentative="1">
      <w:start w:val="1"/>
      <w:numFmt w:val="bullet"/>
      <w:lvlText w:val="o"/>
      <w:lvlJc w:val="left"/>
      <w:pPr>
        <w:ind w:left="1440" w:hanging="360"/>
      </w:pPr>
      <w:rPr>
        <w:rFonts w:ascii="Courier New" w:hAnsi="Courier New" w:cs="Courier New" w:hint="default"/>
      </w:rPr>
    </w:lvl>
    <w:lvl w:ilvl="2" w:tplc="F72CE32A" w:tentative="1">
      <w:start w:val="1"/>
      <w:numFmt w:val="bullet"/>
      <w:lvlText w:val=""/>
      <w:lvlJc w:val="left"/>
      <w:pPr>
        <w:ind w:left="2160" w:hanging="360"/>
      </w:pPr>
      <w:rPr>
        <w:rFonts w:ascii="Wingdings" w:hAnsi="Wingdings" w:hint="default"/>
      </w:rPr>
    </w:lvl>
    <w:lvl w:ilvl="3" w:tplc="85C8AC48" w:tentative="1">
      <w:start w:val="1"/>
      <w:numFmt w:val="bullet"/>
      <w:lvlText w:val=""/>
      <w:lvlJc w:val="left"/>
      <w:pPr>
        <w:ind w:left="2880" w:hanging="360"/>
      </w:pPr>
      <w:rPr>
        <w:rFonts w:ascii="Symbol" w:hAnsi="Symbol" w:hint="default"/>
      </w:rPr>
    </w:lvl>
    <w:lvl w:ilvl="4" w:tplc="FA6490AA" w:tentative="1">
      <w:start w:val="1"/>
      <w:numFmt w:val="bullet"/>
      <w:lvlText w:val="o"/>
      <w:lvlJc w:val="left"/>
      <w:pPr>
        <w:ind w:left="3600" w:hanging="360"/>
      </w:pPr>
      <w:rPr>
        <w:rFonts w:ascii="Courier New" w:hAnsi="Courier New" w:cs="Courier New" w:hint="default"/>
      </w:rPr>
    </w:lvl>
    <w:lvl w:ilvl="5" w:tplc="6A664268" w:tentative="1">
      <w:start w:val="1"/>
      <w:numFmt w:val="bullet"/>
      <w:lvlText w:val=""/>
      <w:lvlJc w:val="left"/>
      <w:pPr>
        <w:ind w:left="4320" w:hanging="360"/>
      </w:pPr>
      <w:rPr>
        <w:rFonts w:ascii="Wingdings" w:hAnsi="Wingdings" w:hint="default"/>
      </w:rPr>
    </w:lvl>
    <w:lvl w:ilvl="6" w:tplc="EBFE2178" w:tentative="1">
      <w:start w:val="1"/>
      <w:numFmt w:val="bullet"/>
      <w:lvlText w:val=""/>
      <w:lvlJc w:val="left"/>
      <w:pPr>
        <w:ind w:left="5040" w:hanging="360"/>
      </w:pPr>
      <w:rPr>
        <w:rFonts w:ascii="Symbol" w:hAnsi="Symbol" w:hint="default"/>
      </w:rPr>
    </w:lvl>
    <w:lvl w:ilvl="7" w:tplc="74F8F344" w:tentative="1">
      <w:start w:val="1"/>
      <w:numFmt w:val="bullet"/>
      <w:lvlText w:val="o"/>
      <w:lvlJc w:val="left"/>
      <w:pPr>
        <w:ind w:left="5760" w:hanging="360"/>
      </w:pPr>
      <w:rPr>
        <w:rFonts w:ascii="Courier New" w:hAnsi="Courier New" w:cs="Courier New" w:hint="default"/>
      </w:rPr>
    </w:lvl>
    <w:lvl w:ilvl="8" w:tplc="36D866B6"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zMrM0NjM0srAwNTZT0lEKTi0uzszPAykwqQUAq3jf4CwAAAA="/>
  </w:docVars>
  <w:rsids>
    <w:rsidRoot w:val="00A87F08"/>
    <w:rsid w:val="00003162"/>
    <w:rsid w:val="0001173B"/>
    <w:rsid w:val="00011F56"/>
    <w:rsid w:val="00022CBC"/>
    <w:rsid w:val="00027D88"/>
    <w:rsid w:val="00031B29"/>
    <w:rsid w:val="000363E3"/>
    <w:rsid w:val="00051C56"/>
    <w:rsid w:val="00053821"/>
    <w:rsid w:val="00053D91"/>
    <w:rsid w:val="00056843"/>
    <w:rsid w:val="00074182"/>
    <w:rsid w:val="000815A8"/>
    <w:rsid w:val="00085DBF"/>
    <w:rsid w:val="0009365E"/>
    <w:rsid w:val="000A1095"/>
    <w:rsid w:val="000A16ED"/>
    <w:rsid w:val="000A1A86"/>
    <w:rsid w:val="000B1901"/>
    <w:rsid w:val="000B6160"/>
    <w:rsid w:val="000B62F7"/>
    <w:rsid w:val="000D1BD0"/>
    <w:rsid w:val="000E4D66"/>
    <w:rsid w:val="000E6AB3"/>
    <w:rsid w:val="0012105B"/>
    <w:rsid w:val="0012682D"/>
    <w:rsid w:val="00130CB2"/>
    <w:rsid w:val="00131BBE"/>
    <w:rsid w:val="00144F42"/>
    <w:rsid w:val="00146051"/>
    <w:rsid w:val="00146D69"/>
    <w:rsid w:val="00154F06"/>
    <w:rsid w:val="00161AC4"/>
    <w:rsid w:val="0017110D"/>
    <w:rsid w:val="00182969"/>
    <w:rsid w:val="001847B5"/>
    <w:rsid w:val="001871FE"/>
    <w:rsid w:val="0019184F"/>
    <w:rsid w:val="001A42AD"/>
    <w:rsid w:val="001B6093"/>
    <w:rsid w:val="001B6995"/>
    <w:rsid w:val="001C0E21"/>
    <w:rsid w:val="001C1E4E"/>
    <w:rsid w:val="001D5C63"/>
    <w:rsid w:val="001E29F8"/>
    <w:rsid w:val="001E55C5"/>
    <w:rsid w:val="001F05EE"/>
    <w:rsid w:val="001F3BF5"/>
    <w:rsid w:val="001F79F0"/>
    <w:rsid w:val="00217DFC"/>
    <w:rsid w:val="00220320"/>
    <w:rsid w:val="00224579"/>
    <w:rsid w:val="00224C75"/>
    <w:rsid w:val="00235146"/>
    <w:rsid w:val="00243D7E"/>
    <w:rsid w:val="00244B90"/>
    <w:rsid w:val="00245FFB"/>
    <w:rsid w:val="002543F0"/>
    <w:rsid w:val="002627E4"/>
    <w:rsid w:val="00263E22"/>
    <w:rsid w:val="00264208"/>
    <w:rsid w:val="00264584"/>
    <w:rsid w:val="002733F0"/>
    <w:rsid w:val="00273820"/>
    <w:rsid w:val="00284F8C"/>
    <w:rsid w:val="002923F5"/>
    <w:rsid w:val="002A7092"/>
    <w:rsid w:val="002B4797"/>
    <w:rsid w:val="002B745F"/>
    <w:rsid w:val="002C301F"/>
    <w:rsid w:val="002C7EAB"/>
    <w:rsid w:val="002D6A5F"/>
    <w:rsid w:val="002E13F2"/>
    <w:rsid w:val="002E2808"/>
    <w:rsid w:val="002E69B6"/>
    <w:rsid w:val="00304888"/>
    <w:rsid w:val="00304D09"/>
    <w:rsid w:val="00315FF0"/>
    <w:rsid w:val="00323252"/>
    <w:rsid w:val="0032511F"/>
    <w:rsid w:val="00335B07"/>
    <w:rsid w:val="00342998"/>
    <w:rsid w:val="003645B9"/>
    <w:rsid w:val="00377C16"/>
    <w:rsid w:val="003907F9"/>
    <w:rsid w:val="003B4C39"/>
    <w:rsid w:val="003B770B"/>
    <w:rsid w:val="003B788E"/>
    <w:rsid w:val="003C50DA"/>
    <w:rsid w:val="003C5B03"/>
    <w:rsid w:val="003D2C2C"/>
    <w:rsid w:val="003E202C"/>
    <w:rsid w:val="00400E43"/>
    <w:rsid w:val="0040165A"/>
    <w:rsid w:val="0040671C"/>
    <w:rsid w:val="00411AFC"/>
    <w:rsid w:val="0041329A"/>
    <w:rsid w:val="00422B76"/>
    <w:rsid w:val="00460BC2"/>
    <w:rsid w:val="00462D12"/>
    <w:rsid w:val="004637C6"/>
    <w:rsid w:val="00474C00"/>
    <w:rsid w:val="00477548"/>
    <w:rsid w:val="00480266"/>
    <w:rsid w:val="00483E3D"/>
    <w:rsid w:val="0048529D"/>
    <w:rsid w:val="004A1FBD"/>
    <w:rsid w:val="004A2F33"/>
    <w:rsid w:val="004A37E4"/>
    <w:rsid w:val="004B606F"/>
    <w:rsid w:val="004C042F"/>
    <w:rsid w:val="004C43C8"/>
    <w:rsid w:val="004D0A5C"/>
    <w:rsid w:val="004D3B1D"/>
    <w:rsid w:val="004D54A8"/>
    <w:rsid w:val="004F0E9F"/>
    <w:rsid w:val="00501F01"/>
    <w:rsid w:val="005028C2"/>
    <w:rsid w:val="00502F39"/>
    <w:rsid w:val="00505D2C"/>
    <w:rsid w:val="00510D7F"/>
    <w:rsid w:val="005130FC"/>
    <w:rsid w:val="00527E68"/>
    <w:rsid w:val="00531E63"/>
    <w:rsid w:val="0054083B"/>
    <w:rsid w:val="005477F8"/>
    <w:rsid w:val="00573D96"/>
    <w:rsid w:val="00577779"/>
    <w:rsid w:val="005952B9"/>
    <w:rsid w:val="005A0F9C"/>
    <w:rsid w:val="005A4C43"/>
    <w:rsid w:val="005A4CE5"/>
    <w:rsid w:val="005C5D5A"/>
    <w:rsid w:val="005E24ED"/>
    <w:rsid w:val="005F21E5"/>
    <w:rsid w:val="005F564A"/>
    <w:rsid w:val="006062DD"/>
    <w:rsid w:val="00617F5C"/>
    <w:rsid w:val="00625D6F"/>
    <w:rsid w:val="00632C86"/>
    <w:rsid w:val="0063474F"/>
    <w:rsid w:val="00645C81"/>
    <w:rsid w:val="006530EA"/>
    <w:rsid w:val="0067325F"/>
    <w:rsid w:val="0067792A"/>
    <w:rsid w:val="006863C5"/>
    <w:rsid w:val="00687F27"/>
    <w:rsid w:val="00694FCB"/>
    <w:rsid w:val="00697F75"/>
    <w:rsid w:val="006B0EBF"/>
    <w:rsid w:val="006B3D56"/>
    <w:rsid w:val="006C0555"/>
    <w:rsid w:val="006C5B83"/>
    <w:rsid w:val="006D19BB"/>
    <w:rsid w:val="006D3C9B"/>
    <w:rsid w:val="006E4C71"/>
    <w:rsid w:val="006F4B6E"/>
    <w:rsid w:val="00701375"/>
    <w:rsid w:val="00704CD3"/>
    <w:rsid w:val="00710747"/>
    <w:rsid w:val="0072192C"/>
    <w:rsid w:val="007274EF"/>
    <w:rsid w:val="00733924"/>
    <w:rsid w:val="0073444F"/>
    <w:rsid w:val="00756AC0"/>
    <w:rsid w:val="00757944"/>
    <w:rsid w:val="00764F65"/>
    <w:rsid w:val="00766A6C"/>
    <w:rsid w:val="007679EC"/>
    <w:rsid w:val="007717DF"/>
    <w:rsid w:val="00776354"/>
    <w:rsid w:val="007B35D4"/>
    <w:rsid w:val="007B7011"/>
    <w:rsid w:val="007F0E94"/>
    <w:rsid w:val="007F2E0B"/>
    <w:rsid w:val="007F4662"/>
    <w:rsid w:val="00802A1E"/>
    <w:rsid w:val="00813654"/>
    <w:rsid w:val="00825483"/>
    <w:rsid w:val="008330B6"/>
    <w:rsid w:val="00845A63"/>
    <w:rsid w:val="00850A21"/>
    <w:rsid w:val="008556DB"/>
    <w:rsid w:val="00861166"/>
    <w:rsid w:val="00864A20"/>
    <w:rsid w:val="00870330"/>
    <w:rsid w:val="00871C34"/>
    <w:rsid w:val="00885BB1"/>
    <w:rsid w:val="008912F8"/>
    <w:rsid w:val="0089606E"/>
    <w:rsid w:val="0089635A"/>
    <w:rsid w:val="008A15A6"/>
    <w:rsid w:val="008A41D6"/>
    <w:rsid w:val="008B6799"/>
    <w:rsid w:val="008C1291"/>
    <w:rsid w:val="008C1450"/>
    <w:rsid w:val="008D13BF"/>
    <w:rsid w:val="008D7B01"/>
    <w:rsid w:val="008E0A97"/>
    <w:rsid w:val="00901D4B"/>
    <w:rsid w:val="009158E8"/>
    <w:rsid w:val="00924779"/>
    <w:rsid w:val="00924F41"/>
    <w:rsid w:val="00933B10"/>
    <w:rsid w:val="009359BF"/>
    <w:rsid w:val="0094227E"/>
    <w:rsid w:val="00957814"/>
    <w:rsid w:val="009635B9"/>
    <w:rsid w:val="0097126B"/>
    <w:rsid w:val="00975D7B"/>
    <w:rsid w:val="009854D0"/>
    <w:rsid w:val="0099234A"/>
    <w:rsid w:val="00994AB8"/>
    <w:rsid w:val="009A0C45"/>
    <w:rsid w:val="009C7A1A"/>
    <w:rsid w:val="009C7E41"/>
    <w:rsid w:val="009D611D"/>
    <w:rsid w:val="009E2E86"/>
    <w:rsid w:val="009F3485"/>
    <w:rsid w:val="009F3B12"/>
    <w:rsid w:val="00A04896"/>
    <w:rsid w:val="00A05B05"/>
    <w:rsid w:val="00A1410B"/>
    <w:rsid w:val="00A14B1A"/>
    <w:rsid w:val="00A25BF7"/>
    <w:rsid w:val="00A27F6C"/>
    <w:rsid w:val="00A32E14"/>
    <w:rsid w:val="00A34445"/>
    <w:rsid w:val="00A40E2E"/>
    <w:rsid w:val="00A47239"/>
    <w:rsid w:val="00A50122"/>
    <w:rsid w:val="00A50603"/>
    <w:rsid w:val="00A541B6"/>
    <w:rsid w:val="00A600B4"/>
    <w:rsid w:val="00A6281C"/>
    <w:rsid w:val="00A644A7"/>
    <w:rsid w:val="00A73DC2"/>
    <w:rsid w:val="00A76B6D"/>
    <w:rsid w:val="00A76EAE"/>
    <w:rsid w:val="00A83B81"/>
    <w:rsid w:val="00A87398"/>
    <w:rsid w:val="00A87F08"/>
    <w:rsid w:val="00A910DE"/>
    <w:rsid w:val="00AA057A"/>
    <w:rsid w:val="00AA24D6"/>
    <w:rsid w:val="00AB0652"/>
    <w:rsid w:val="00AC0E00"/>
    <w:rsid w:val="00AE209A"/>
    <w:rsid w:val="00AF238C"/>
    <w:rsid w:val="00AF5445"/>
    <w:rsid w:val="00AF7BD6"/>
    <w:rsid w:val="00B0037B"/>
    <w:rsid w:val="00B05E95"/>
    <w:rsid w:val="00B10680"/>
    <w:rsid w:val="00B22BB1"/>
    <w:rsid w:val="00B36009"/>
    <w:rsid w:val="00B56FEE"/>
    <w:rsid w:val="00B71361"/>
    <w:rsid w:val="00B7661A"/>
    <w:rsid w:val="00B83787"/>
    <w:rsid w:val="00BA2035"/>
    <w:rsid w:val="00BC3FD3"/>
    <w:rsid w:val="00BF1601"/>
    <w:rsid w:val="00C11A10"/>
    <w:rsid w:val="00C147A7"/>
    <w:rsid w:val="00C31E6D"/>
    <w:rsid w:val="00C369AC"/>
    <w:rsid w:val="00C41B97"/>
    <w:rsid w:val="00C45DD4"/>
    <w:rsid w:val="00C5354D"/>
    <w:rsid w:val="00C57EC3"/>
    <w:rsid w:val="00C657F3"/>
    <w:rsid w:val="00C8448A"/>
    <w:rsid w:val="00C93249"/>
    <w:rsid w:val="00C97438"/>
    <w:rsid w:val="00CA033A"/>
    <w:rsid w:val="00CA1EDF"/>
    <w:rsid w:val="00CB3F65"/>
    <w:rsid w:val="00CB48D5"/>
    <w:rsid w:val="00CD2097"/>
    <w:rsid w:val="00CD6AFA"/>
    <w:rsid w:val="00CF34D9"/>
    <w:rsid w:val="00CF39A2"/>
    <w:rsid w:val="00CF3AE4"/>
    <w:rsid w:val="00D107E7"/>
    <w:rsid w:val="00D155BA"/>
    <w:rsid w:val="00D272D9"/>
    <w:rsid w:val="00D27608"/>
    <w:rsid w:val="00D55304"/>
    <w:rsid w:val="00D63BC1"/>
    <w:rsid w:val="00D71A91"/>
    <w:rsid w:val="00D8200D"/>
    <w:rsid w:val="00D97B43"/>
    <w:rsid w:val="00DC4908"/>
    <w:rsid w:val="00DD02CD"/>
    <w:rsid w:val="00DD1225"/>
    <w:rsid w:val="00DD1D53"/>
    <w:rsid w:val="00DD6EBE"/>
    <w:rsid w:val="00DE2920"/>
    <w:rsid w:val="00E07297"/>
    <w:rsid w:val="00E0763B"/>
    <w:rsid w:val="00E134DF"/>
    <w:rsid w:val="00E14B8E"/>
    <w:rsid w:val="00E156AD"/>
    <w:rsid w:val="00E32E2B"/>
    <w:rsid w:val="00E40C96"/>
    <w:rsid w:val="00E4621B"/>
    <w:rsid w:val="00E47E80"/>
    <w:rsid w:val="00E5005C"/>
    <w:rsid w:val="00E542CE"/>
    <w:rsid w:val="00E61803"/>
    <w:rsid w:val="00E66905"/>
    <w:rsid w:val="00E70B26"/>
    <w:rsid w:val="00E7160A"/>
    <w:rsid w:val="00E71F23"/>
    <w:rsid w:val="00E723F0"/>
    <w:rsid w:val="00E73C41"/>
    <w:rsid w:val="00E832CA"/>
    <w:rsid w:val="00E9184B"/>
    <w:rsid w:val="00E97AC1"/>
    <w:rsid w:val="00EA0235"/>
    <w:rsid w:val="00EA2903"/>
    <w:rsid w:val="00EF4E49"/>
    <w:rsid w:val="00F01AC5"/>
    <w:rsid w:val="00F05F65"/>
    <w:rsid w:val="00F158F4"/>
    <w:rsid w:val="00F263F1"/>
    <w:rsid w:val="00F31DEE"/>
    <w:rsid w:val="00F3401C"/>
    <w:rsid w:val="00F419DA"/>
    <w:rsid w:val="00F43CD3"/>
    <w:rsid w:val="00F45AA5"/>
    <w:rsid w:val="00F45B66"/>
    <w:rsid w:val="00F51CB9"/>
    <w:rsid w:val="00F55540"/>
    <w:rsid w:val="00F63319"/>
    <w:rsid w:val="00F65B90"/>
    <w:rsid w:val="00F7116D"/>
    <w:rsid w:val="00F71460"/>
    <w:rsid w:val="00F71C16"/>
    <w:rsid w:val="00F73709"/>
    <w:rsid w:val="00F73FBB"/>
    <w:rsid w:val="00F760AF"/>
    <w:rsid w:val="00F831C7"/>
    <w:rsid w:val="00F902B2"/>
    <w:rsid w:val="00F92AB6"/>
    <w:rsid w:val="00F93831"/>
    <w:rsid w:val="00F93A44"/>
    <w:rsid w:val="00FB2563"/>
    <w:rsid w:val="00FB551A"/>
    <w:rsid w:val="00FB6FFA"/>
    <w:rsid w:val="00FF6069"/>
    <w:rsid w:val="00FF7CBA"/>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546B"/>
  <w15:chartTrackingRefBased/>
  <w15:docId w15:val="{E224131F-A0E4-4A41-A09E-67C09F33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438"/>
    <w:rPr>
      <w:color w:val="0563C1" w:themeColor="hyperlink"/>
      <w:u w:val="single"/>
    </w:rPr>
  </w:style>
  <w:style w:type="paragraph" w:styleId="ListParagraph">
    <w:name w:val="List Paragraph"/>
    <w:basedOn w:val="Normal"/>
    <w:uiPriority w:val="34"/>
    <w:qFormat/>
    <w:rsid w:val="000E6AB3"/>
    <w:pPr>
      <w:ind w:left="720"/>
      <w:contextualSpacing/>
    </w:pPr>
  </w:style>
  <w:style w:type="paragraph" w:customStyle="1" w:styleId="Default">
    <w:name w:val="Default"/>
    <w:rsid w:val="00C8448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C844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448A"/>
  </w:style>
  <w:style w:type="paragraph" w:styleId="Footer">
    <w:name w:val="footer"/>
    <w:basedOn w:val="Normal"/>
    <w:link w:val="FooterChar"/>
    <w:uiPriority w:val="99"/>
    <w:unhideWhenUsed/>
    <w:rsid w:val="00C844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448A"/>
  </w:style>
  <w:style w:type="character" w:styleId="CommentReference">
    <w:name w:val="annotation reference"/>
    <w:basedOn w:val="DefaultParagraphFont"/>
    <w:uiPriority w:val="99"/>
    <w:semiHidden/>
    <w:unhideWhenUsed/>
    <w:rsid w:val="005A4CE5"/>
    <w:rPr>
      <w:sz w:val="16"/>
      <w:szCs w:val="16"/>
    </w:rPr>
  </w:style>
  <w:style w:type="paragraph" w:styleId="CommentText">
    <w:name w:val="annotation text"/>
    <w:basedOn w:val="Normal"/>
    <w:link w:val="CommentTextChar"/>
    <w:uiPriority w:val="99"/>
    <w:semiHidden/>
    <w:unhideWhenUsed/>
    <w:rsid w:val="005A4CE5"/>
    <w:pPr>
      <w:spacing w:line="240" w:lineRule="auto"/>
    </w:pPr>
    <w:rPr>
      <w:sz w:val="20"/>
      <w:szCs w:val="20"/>
    </w:rPr>
  </w:style>
  <w:style w:type="character" w:customStyle="1" w:styleId="CommentTextChar">
    <w:name w:val="Comment Text Char"/>
    <w:basedOn w:val="DefaultParagraphFont"/>
    <w:link w:val="CommentText"/>
    <w:uiPriority w:val="99"/>
    <w:semiHidden/>
    <w:rsid w:val="005A4CE5"/>
    <w:rPr>
      <w:sz w:val="20"/>
      <w:szCs w:val="20"/>
    </w:rPr>
  </w:style>
  <w:style w:type="paragraph" w:styleId="CommentSubject">
    <w:name w:val="annotation subject"/>
    <w:basedOn w:val="CommentText"/>
    <w:next w:val="CommentText"/>
    <w:link w:val="CommentSubjectChar"/>
    <w:uiPriority w:val="99"/>
    <w:semiHidden/>
    <w:unhideWhenUsed/>
    <w:rsid w:val="005A4CE5"/>
    <w:rPr>
      <w:b/>
      <w:bCs/>
    </w:rPr>
  </w:style>
  <w:style w:type="character" w:customStyle="1" w:styleId="CommentSubjectChar">
    <w:name w:val="Comment Subject Char"/>
    <w:basedOn w:val="CommentTextChar"/>
    <w:link w:val="CommentSubject"/>
    <w:uiPriority w:val="99"/>
    <w:semiHidden/>
    <w:rsid w:val="005A4CE5"/>
    <w:rPr>
      <w:b/>
      <w:bCs/>
      <w:sz w:val="20"/>
      <w:szCs w:val="20"/>
    </w:rPr>
  </w:style>
  <w:style w:type="paragraph" w:styleId="BalloonText">
    <w:name w:val="Balloon Text"/>
    <w:basedOn w:val="Normal"/>
    <w:link w:val="BalloonTextChar"/>
    <w:uiPriority w:val="99"/>
    <w:semiHidden/>
    <w:unhideWhenUsed/>
    <w:rsid w:val="005A4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CE5"/>
    <w:rPr>
      <w:rFonts w:ascii="Segoe UI" w:hAnsi="Segoe UI" w:cs="Segoe UI"/>
      <w:sz w:val="18"/>
      <w:szCs w:val="18"/>
    </w:rPr>
  </w:style>
  <w:style w:type="character" w:customStyle="1" w:styleId="Nierozpoznanawzmianka1">
    <w:name w:val="Nierozpoznana wzmianka1"/>
    <w:basedOn w:val="DefaultParagraphFont"/>
    <w:uiPriority w:val="99"/>
    <w:rsid w:val="00E134DF"/>
    <w:rPr>
      <w:color w:val="605E5C"/>
      <w:shd w:val="clear" w:color="auto" w:fill="E1DFDD"/>
    </w:rPr>
  </w:style>
  <w:style w:type="character" w:customStyle="1" w:styleId="Nierozpoznanawzmianka2">
    <w:name w:val="Nierozpoznana wzmianka2"/>
    <w:basedOn w:val="DefaultParagraphFont"/>
    <w:uiPriority w:val="99"/>
    <w:semiHidden/>
    <w:unhideWhenUsed/>
    <w:rsid w:val="002A7092"/>
    <w:rPr>
      <w:color w:val="605E5C"/>
      <w:shd w:val="clear" w:color="auto" w:fill="E1DFDD"/>
    </w:rPr>
  </w:style>
  <w:style w:type="paragraph" w:styleId="FootnoteText">
    <w:name w:val="footnote text"/>
    <w:basedOn w:val="Normal"/>
    <w:link w:val="FootnoteTextChar"/>
    <w:uiPriority w:val="99"/>
    <w:semiHidden/>
    <w:unhideWhenUsed/>
    <w:rsid w:val="009923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234A"/>
    <w:rPr>
      <w:sz w:val="20"/>
      <w:szCs w:val="20"/>
    </w:rPr>
  </w:style>
  <w:style w:type="character" w:styleId="FootnoteReference">
    <w:name w:val="footnote reference"/>
    <w:basedOn w:val="DefaultParagraphFont"/>
    <w:uiPriority w:val="99"/>
    <w:semiHidden/>
    <w:unhideWhenUsed/>
    <w:rsid w:val="0099234A"/>
    <w:rPr>
      <w:vertAlign w:val="superscript"/>
    </w:rPr>
  </w:style>
  <w:style w:type="character" w:customStyle="1" w:styleId="UnresolvedMention1">
    <w:name w:val="Unresolved Mention1"/>
    <w:basedOn w:val="DefaultParagraphFont"/>
    <w:uiPriority w:val="99"/>
    <w:semiHidden/>
    <w:unhideWhenUsed/>
    <w:rsid w:val="0099234A"/>
    <w:rPr>
      <w:color w:val="605E5C"/>
      <w:shd w:val="clear" w:color="auto" w:fill="E1DFDD"/>
    </w:rPr>
  </w:style>
  <w:style w:type="character" w:styleId="FollowedHyperlink">
    <w:name w:val="FollowedHyperlink"/>
    <w:basedOn w:val="DefaultParagraphFont"/>
    <w:uiPriority w:val="99"/>
    <w:semiHidden/>
    <w:unhideWhenUsed/>
    <w:rsid w:val="003B770B"/>
    <w:rPr>
      <w:color w:val="954F72" w:themeColor="followedHyperlink"/>
      <w:u w:val="single"/>
    </w:rPr>
  </w:style>
  <w:style w:type="character" w:styleId="LineNumber">
    <w:name w:val="line number"/>
    <w:basedOn w:val="DefaultParagraphFont"/>
    <w:uiPriority w:val="99"/>
    <w:semiHidden/>
    <w:unhideWhenUsed/>
    <w:rsid w:val="009E2E86"/>
  </w:style>
  <w:style w:type="paragraph" w:styleId="Revision">
    <w:name w:val="Revision"/>
    <w:hidden/>
    <w:uiPriority w:val="99"/>
    <w:semiHidden/>
    <w:rsid w:val="00E4621B"/>
    <w:pPr>
      <w:spacing w:after="0" w:line="240" w:lineRule="auto"/>
    </w:pPr>
  </w:style>
  <w:style w:type="character" w:styleId="UnresolvedMention">
    <w:name w:val="Unresolved Mention"/>
    <w:basedOn w:val="DefaultParagraphFont"/>
    <w:uiPriority w:val="99"/>
    <w:semiHidden/>
    <w:unhideWhenUsed/>
    <w:rsid w:val="00975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ghum.umar@gmail.com" TargetMode="External"/><Relationship Id="rId13" Type="http://schemas.openxmlformats.org/officeDocument/2006/relationships/hyperlink" Target="https://ssrn.com/abstract=37165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2139/ssrn.340099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sg.ox.ac.uk/sites/default/files/2020-09/BSG-WP-2020-032-v7.0.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2139/ssrn.33257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87364-1AD9-45F3-AD87-84F570A3E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4060</Words>
  <Characters>23145</Characters>
  <Application>Microsoft Office Word</Application>
  <DocSecurity>0</DocSecurity>
  <Lines>192</Lines>
  <Paragraphs>54</Paragraphs>
  <ScaleCrop>false</ScaleCrop>
  <HeadingPairs>
    <vt:vector size="6" baseType="variant">
      <vt:variant>
        <vt:lpstr>Title</vt:lpstr>
      </vt:variant>
      <vt:variant>
        <vt:i4>1</vt:i4>
      </vt:variant>
      <vt:variant>
        <vt:lpstr>שם</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27151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Zaremba</dc:creator>
  <cp:lastModifiedBy>Linda Edwards</cp:lastModifiedBy>
  <cp:revision>2</cp:revision>
  <cp:lastPrinted>2021-03-08T14:11:00Z</cp:lastPrinted>
  <dcterms:created xsi:type="dcterms:W3CDTF">2021-04-12T12:59:00Z</dcterms:created>
  <dcterms:modified xsi:type="dcterms:W3CDTF">2021-04-12T12:59:00Z</dcterms:modified>
</cp:coreProperties>
</file>