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7881B" w14:textId="77777777" w:rsidR="005B3FB4" w:rsidRPr="00F24E4D" w:rsidRDefault="005B3FB4" w:rsidP="005B3FB4">
      <w:pPr>
        <w:spacing w:line="480" w:lineRule="auto"/>
        <w:rPr>
          <w:rFonts w:ascii="Times New Roman" w:hAnsi="Times New Roman" w:cs="Times New Roman"/>
          <w:b/>
          <w:sz w:val="24"/>
          <w:szCs w:val="24"/>
        </w:rPr>
      </w:pPr>
      <w:bookmarkStart w:id="0" w:name="_Hlk56451212"/>
      <w:r>
        <w:rPr>
          <w:rFonts w:ascii="Times New Roman" w:eastAsia="Times New Roman" w:hAnsi="Times New Roman" w:cs="Times New Roman"/>
          <w:b/>
          <w:sz w:val="24"/>
          <w:szCs w:val="24"/>
        </w:rPr>
        <w:t>Food Supply Chains and the Antimicrobial Resistance Challenge: On the Framing, Accomplishments, and Limitations of Corporate Responsibility</w:t>
      </w:r>
    </w:p>
    <w:p w14:paraId="5EAD3392" w14:textId="77777777" w:rsidR="005B3FB4" w:rsidRPr="00F24E4D" w:rsidRDefault="005B3FB4" w:rsidP="005B3FB4">
      <w:pPr>
        <w:spacing w:line="480" w:lineRule="auto"/>
        <w:rPr>
          <w:rFonts w:ascii="Times New Roman" w:hAnsi="Times New Roman" w:cs="Times New Roman"/>
          <w:b/>
          <w:sz w:val="24"/>
          <w:szCs w:val="24"/>
        </w:rPr>
      </w:pPr>
    </w:p>
    <w:p w14:paraId="35A057FC" w14:textId="77777777" w:rsidR="005B3FB4" w:rsidRPr="00F24E4D" w:rsidRDefault="005B3FB4" w:rsidP="005B3FB4">
      <w:pPr>
        <w:rPr>
          <w:rFonts w:ascii="Times New Roman" w:hAnsi="Times New Roman" w:cs="Times New Roman"/>
          <w:b/>
          <w:sz w:val="24"/>
          <w:szCs w:val="24"/>
        </w:rPr>
      </w:pPr>
    </w:p>
    <w:p w14:paraId="635C2042" w14:textId="77777777" w:rsidR="005B3FB4" w:rsidRPr="00F24E4D" w:rsidRDefault="005B3FB4" w:rsidP="005B3FB4">
      <w:pPr>
        <w:rPr>
          <w:rFonts w:ascii="Times New Roman" w:hAnsi="Times New Roman" w:cs="Times New Roman"/>
          <w:b/>
          <w:sz w:val="24"/>
          <w:szCs w:val="24"/>
        </w:rPr>
      </w:pPr>
    </w:p>
    <w:p w14:paraId="604E6947" w14:textId="77777777" w:rsidR="005B3FB4" w:rsidRPr="00F24E4D" w:rsidRDefault="005B3FB4" w:rsidP="005B3FB4">
      <w:pPr>
        <w:rPr>
          <w:rFonts w:ascii="Times New Roman" w:hAnsi="Times New Roman" w:cs="Times New Roman"/>
          <w:b/>
          <w:sz w:val="24"/>
          <w:szCs w:val="24"/>
        </w:rPr>
      </w:pPr>
    </w:p>
    <w:p w14:paraId="3B29B8D0" w14:textId="77777777" w:rsidR="005B3FB4" w:rsidRPr="00F24E4D" w:rsidRDefault="005B3FB4" w:rsidP="005B3FB4">
      <w:pPr>
        <w:rPr>
          <w:rFonts w:ascii="Times New Roman" w:hAnsi="Times New Roman" w:cs="Times New Roman"/>
          <w:sz w:val="24"/>
          <w:szCs w:val="24"/>
        </w:rPr>
      </w:pPr>
      <w:r w:rsidRPr="00F24E4D">
        <w:rPr>
          <w:rFonts w:ascii="Times New Roman" w:hAnsi="Times New Roman" w:cs="Times New Roman"/>
          <w:sz w:val="24"/>
          <w:szCs w:val="24"/>
        </w:rPr>
        <w:t>Alex Hughes*, Emma Roe** and Suzanne Hocknell*</w:t>
      </w:r>
    </w:p>
    <w:p w14:paraId="4AA3CC3E" w14:textId="77777777" w:rsidR="005B3FB4" w:rsidRPr="00F24E4D" w:rsidRDefault="005B3FB4" w:rsidP="005B3FB4">
      <w:pPr>
        <w:rPr>
          <w:rFonts w:ascii="Times New Roman" w:hAnsi="Times New Roman" w:cs="Times New Roman"/>
          <w:sz w:val="24"/>
          <w:szCs w:val="24"/>
        </w:rPr>
      </w:pPr>
    </w:p>
    <w:p w14:paraId="08DF47B6" w14:textId="77777777" w:rsidR="005B3FB4" w:rsidRPr="00F24E4D" w:rsidRDefault="005B3FB4" w:rsidP="005B3FB4">
      <w:pPr>
        <w:rPr>
          <w:rFonts w:ascii="Times New Roman" w:hAnsi="Times New Roman" w:cs="Times New Roman"/>
          <w:sz w:val="24"/>
          <w:szCs w:val="24"/>
        </w:rPr>
      </w:pPr>
    </w:p>
    <w:p w14:paraId="78CEB4C8" w14:textId="77777777" w:rsidR="005B3FB4" w:rsidRPr="00F24E4D" w:rsidRDefault="005B3FB4" w:rsidP="005B3FB4">
      <w:pPr>
        <w:rPr>
          <w:rFonts w:ascii="Times New Roman" w:hAnsi="Times New Roman" w:cs="Times New Roman"/>
          <w:sz w:val="24"/>
          <w:szCs w:val="24"/>
        </w:rPr>
      </w:pPr>
    </w:p>
    <w:p w14:paraId="2CFA482E" w14:textId="77777777" w:rsidR="005B3FB4" w:rsidRPr="00F24E4D" w:rsidRDefault="005B3FB4" w:rsidP="005B3FB4">
      <w:pPr>
        <w:rPr>
          <w:rFonts w:ascii="Times New Roman" w:hAnsi="Times New Roman" w:cs="Times New Roman"/>
          <w:sz w:val="24"/>
          <w:szCs w:val="24"/>
        </w:rPr>
      </w:pPr>
    </w:p>
    <w:p w14:paraId="18AFD95E" w14:textId="77777777" w:rsidR="005B3FB4" w:rsidRPr="00F24E4D" w:rsidRDefault="005B3FB4" w:rsidP="005B3FB4">
      <w:pPr>
        <w:rPr>
          <w:rFonts w:ascii="Times New Roman" w:hAnsi="Times New Roman" w:cs="Times New Roman"/>
          <w:sz w:val="24"/>
          <w:szCs w:val="24"/>
        </w:rPr>
      </w:pPr>
    </w:p>
    <w:p w14:paraId="2D3297A8" w14:textId="77777777" w:rsidR="005B3FB4" w:rsidRPr="00F24E4D" w:rsidRDefault="005B3FB4" w:rsidP="005B3FB4">
      <w:pPr>
        <w:rPr>
          <w:rFonts w:ascii="Times New Roman" w:hAnsi="Times New Roman" w:cs="Times New Roman"/>
          <w:sz w:val="24"/>
          <w:szCs w:val="24"/>
        </w:rPr>
      </w:pPr>
    </w:p>
    <w:p w14:paraId="08F0DDD4" w14:textId="77777777" w:rsidR="005B3FB4" w:rsidRPr="00F24E4D" w:rsidRDefault="005B3FB4" w:rsidP="005B3FB4">
      <w:pPr>
        <w:rPr>
          <w:rFonts w:ascii="Times New Roman" w:hAnsi="Times New Roman" w:cs="Times New Roman"/>
          <w:sz w:val="24"/>
          <w:szCs w:val="24"/>
        </w:rPr>
      </w:pPr>
    </w:p>
    <w:p w14:paraId="1B7AC0AB" w14:textId="77777777" w:rsidR="005B3FB4" w:rsidRPr="00F24E4D" w:rsidRDefault="005B3FB4" w:rsidP="005B3FB4">
      <w:pPr>
        <w:rPr>
          <w:rFonts w:ascii="Times New Roman" w:hAnsi="Times New Roman" w:cs="Times New Roman"/>
          <w:sz w:val="24"/>
          <w:szCs w:val="24"/>
        </w:rPr>
      </w:pPr>
      <w:r w:rsidRPr="00F24E4D">
        <w:rPr>
          <w:rFonts w:ascii="Times New Roman" w:hAnsi="Times New Roman" w:cs="Times New Roman"/>
          <w:sz w:val="24"/>
          <w:szCs w:val="24"/>
        </w:rPr>
        <w:t xml:space="preserve">* School of Geography, Politics and Sociology, Newcastle University, Claremont Road, Newcastle upon Tyne, NE1 7RU. </w:t>
      </w:r>
      <w:hyperlink r:id="rId8" w:history="1">
        <w:r w:rsidRPr="00F24E4D">
          <w:rPr>
            <w:rStyle w:val="Hyperlink"/>
            <w:rFonts w:ascii="Times New Roman" w:hAnsi="Times New Roman" w:cs="Times New Roman"/>
            <w:sz w:val="24"/>
            <w:szCs w:val="24"/>
          </w:rPr>
          <w:t>Alex.Hughes@ncl.ac.uk</w:t>
        </w:r>
      </w:hyperlink>
    </w:p>
    <w:p w14:paraId="4F3E31DE" w14:textId="77777777" w:rsidR="005B3FB4" w:rsidRPr="00F24E4D" w:rsidRDefault="005B3FB4" w:rsidP="005B3FB4">
      <w:pPr>
        <w:rPr>
          <w:rFonts w:ascii="Times New Roman" w:hAnsi="Times New Roman" w:cs="Times New Roman"/>
          <w:sz w:val="24"/>
          <w:szCs w:val="24"/>
        </w:rPr>
      </w:pPr>
      <w:r w:rsidRPr="00F24E4D">
        <w:rPr>
          <w:rFonts w:ascii="Times New Roman" w:hAnsi="Times New Roman" w:cs="Times New Roman"/>
          <w:sz w:val="24"/>
          <w:szCs w:val="24"/>
        </w:rPr>
        <w:t xml:space="preserve">** </w:t>
      </w:r>
      <w:r>
        <w:rPr>
          <w:rFonts w:ascii="Times New Roman" w:hAnsi="Times New Roman" w:cs="Times New Roman"/>
          <w:sz w:val="24"/>
          <w:szCs w:val="24"/>
        </w:rPr>
        <w:t xml:space="preserve">School of </w:t>
      </w:r>
      <w:r w:rsidRPr="00F24E4D">
        <w:rPr>
          <w:rFonts w:ascii="Times New Roman" w:hAnsi="Times New Roman" w:cs="Times New Roman"/>
          <w:sz w:val="24"/>
          <w:szCs w:val="24"/>
        </w:rPr>
        <w:t>Geography and Environmental Science, University of Southampton, Avenue Campus, Highfield Road, Southampton, SO17 1BJ.</w:t>
      </w:r>
    </w:p>
    <w:p w14:paraId="200BF202" w14:textId="77777777" w:rsidR="005B3FB4" w:rsidRPr="00F24E4D" w:rsidRDefault="005B3FB4" w:rsidP="005B3FB4">
      <w:pPr>
        <w:rPr>
          <w:rFonts w:ascii="Times New Roman" w:hAnsi="Times New Roman" w:cs="Times New Roman"/>
          <w:sz w:val="24"/>
          <w:szCs w:val="24"/>
        </w:rPr>
      </w:pPr>
    </w:p>
    <w:p w14:paraId="055000D6" w14:textId="77777777" w:rsidR="005B3FB4" w:rsidRPr="00F24E4D" w:rsidRDefault="005B3FB4" w:rsidP="005B3FB4">
      <w:pPr>
        <w:rPr>
          <w:rFonts w:ascii="Times New Roman" w:hAnsi="Times New Roman" w:cs="Times New Roman"/>
          <w:sz w:val="24"/>
          <w:szCs w:val="24"/>
        </w:rPr>
      </w:pPr>
    </w:p>
    <w:p w14:paraId="693CB781" w14:textId="77777777" w:rsidR="005B3FB4" w:rsidRPr="00F24E4D" w:rsidRDefault="005B3FB4" w:rsidP="005B3FB4">
      <w:pPr>
        <w:rPr>
          <w:rFonts w:ascii="Times New Roman" w:hAnsi="Times New Roman" w:cs="Times New Roman"/>
          <w:sz w:val="24"/>
          <w:szCs w:val="24"/>
        </w:rPr>
      </w:pPr>
    </w:p>
    <w:p w14:paraId="5958BEAE" w14:textId="77777777" w:rsidR="005B3FB4" w:rsidRPr="00654EA9" w:rsidRDefault="005B3FB4" w:rsidP="005B3FB4">
      <w:pPr>
        <w:rPr>
          <w:rFonts w:ascii="Times New Roman" w:hAnsi="Times New Roman" w:cs="Times New Roman"/>
          <w:sz w:val="24"/>
          <w:szCs w:val="24"/>
        </w:rPr>
      </w:pPr>
    </w:p>
    <w:p w14:paraId="6FFB9B08" w14:textId="68D6F60B" w:rsidR="005B3FB4" w:rsidRDefault="005B3F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36B5A9B" w14:textId="5E2FEF49" w:rsidR="00FF0F1B" w:rsidRDefault="00982B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Food </w:t>
      </w:r>
      <w:r w:rsidR="002B3A14">
        <w:rPr>
          <w:rFonts w:ascii="Times New Roman" w:eastAsia="Times New Roman" w:hAnsi="Times New Roman" w:cs="Times New Roman"/>
          <w:b/>
          <w:sz w:val="24"/>
          <w:szCs w:val="24"/>
        </w:rPr>
        <w:t>Supply</w:t>
      </w:r>
      <w:r w:rsidR="007139CD">
        <w:rPr>
          <w:rFonts w:ascii="Times New Roman" w:eastAsia="Times New Roman" w:hAnsi="Times New Roman" w:cs="Times New Roman"/>
          <w:b/>
          <w:sz w:val="24"/>
          <w:szCs w:val="24"/>
        </w:rPr>
        <w:t xml:space="preserve"> C</w:t>
      </w:r>
      <w:r w:rsidR="002B3A14">
        <w:rPr>
          <w:rFonts w:ascii="Times New Roman" w:eastAsia="Times New Roman" w:hAnsi="Times New Roman" w:cs="Times New Roman"/>
          <w:b/>
          <w:sz w:val="24"/>
          <w:szCs w:val="24"/>
        </w:rPr>
        <w:t>hain</w:t>
      </w:r>
      <w:r>
        <w:rPr>
          <w:rFonts w:ascii="Times New Roman" w:eastAsia="Times New Roman" w:hAnsi="Times New Roman" w:cs="Times New Roman"/>
          <w:b/>
          <w:sz w:val="24"/>
          <w:szCs w:val="24"/>
        </w:rPr>
        <w:t>s and the Antimicrobial Resistance Challenge: On the Framing</w:t>
      </w:r>
      <w:r w:rsidR="00771517">
        <w:rPr>
          <w:rFonts w:ascii="Times New Roman" w:eastAsia="Times New Roman" w:hAnsi="Times New Roman" w:cs="Times New Roman"/>
          <w:b/>
          <w:sz w:val="24"/>
          <w:szCs w:val="24"/>
        </w:rPr>
        <w:t>, Accomplishments, and Limitations of Corporate Responsibility</w:t>
      </w:r>
      <w:bookmarkEnd w:id="0"/>
    </w:p>
    <w:p w14:paraId="487F8DF4" w14:textId="77777777" w:rsidR="00FF0F1B" w:rsidRDefault="00FF0F1B">
      <w:pPr>
        <w:spacing w:line="480" w:lineRule="auto"/>
        <w:rPr>
          <w:rFonts w:ascii="Times New Roman" w:eastAsia="Times New Roman" w:hAnsi="Times New Roman" w:cs="Times New Roman"/>
          <w:b/>
          <w:sz w:val="24"/>
          <w:szCs w:val="24"/>
        </w:rPr>
      </w:pPr>
    </w:p>
    <w:p w14:paraId="60759278" w14:textId="77777777" w:rsidR="00FF0F1B" w:rsidRDefault="00982B7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980F4B7" w14:textId="2D518D0E" w:rsidR="00FF0F1B" w:rsidRDefault="00982B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presents a critique of </w:t>
      </w:r>
      <w:r w:rsidR="002B3A14">
        <w:rPr>
          <w:rFonts w:ascii="Times New Roman" w:eastAsia="Times New Roman" w:hAnsi="Times New Roman" w:cs="Times New Roman"/>
          <w:sz w:val="24"/>
          <w:szCs w:val="24"/>
        </w:rPr>
        <w:t>supply</w:t>
      </w:r>
      <w:r w:rsidR="007139CD">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 responses to a pa</w:t>
      </w:r>
      <w:r w:rsidR="00D25431">
        <w:rPr>
          <w:rFonts w:ascii="Times New Roman" w:eastAsia="Times New Roman" w:hAnsi="Times New Roman" w:cs="Times New Roman"/>
          <w:sz w:val="24"/>
          <w:szCs w:val="24"/>
        </w:rPr>
        <w:t xml:space="preserve">rticular global </w:t>
      </w:r>
      <w:r w:rsidR="004B3045">
        <w:rPr>
          <w:rFonts w:ascii="Times New Roman" w:eastAsia="Times New Roman" w:hAnsi="Times New Roman" w:cs="Times New Roman"/>
          <w:sz w:val="24"/>
          <w:szCs w:val="24"/>
        </w:rPr>
        <w:t>wicked problem</w:t>
      </w:r>
      <w:r w:rsidR="00D2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antimicrobial resistance (AMR). It evaluates the understanding of AMR (and drug-resistant infections) as a food system challenge and </w:t>
      </w:r>
      <w:r w:rsidR="00A95756">
        <w:rPr>
          <w:rFonts w:ascii="Times New Roman" w:eastAsia="Times New Roman" w:hAnsi="Times New Roman" w:cs="Times New Roman"/>
          <w:sz w:val="24"/>
          <w:szCs w:val="24"/>
        </w:rPr>
        <w:t xml:space="preserve">critically </w:t>
      </w:r>
      <w:r>
        <w:rPr>
          <w:rFonts w:ascii="Times New Roman" w:eastAsia="Times New Roman" w:hAnsi="Times New Roman" w:cs="Times New Roman"/>
          <w:sz w:val="24"/>
          <w:szCs w:val="24"/>
        </w:rPr>
        <w:t xml:space="preserve">explores how responsibility for addressing it is framed and </w:t>
      </w:r>
      <w:r w:rsidR="00A95756">
        <w:rPr>
          <w:rFonts w:ascii="Times New Roman" w:eastAsia="Times New Roman" w:hAnsi="Times New Roman" w:cs="Times New Roman"/>
          <w:sz w:val="24"/>
          <w:szCs w:val="24"/>
        </w:rPr>
        <w:t>implemented</w:t>
      </w:r>
      <w:r>
        <w:rPr>
          <w:rFonts w:ascii="Times New Roman" w:eastAsia="Times New Roman" w:hAnsi="Times New Roman" w:cs="Times New Roman"/>
          <w:sz w:val="24"/>
          <w:szCs w:val="24"/>
        </w:rPr>
        <w:t xml:space="preserve">. We place the spotlight on the AMR strategies </w:t>
      </w:r>
      <w:r w:rsidR="00A95756">
        <w:rPr>
          <w:rFonts w:ascii="Times New Roman" w:eastAsia="Times New Roman" w:hAnsi="Times New Roman" w:cs="Times New Roman"/>
          <w:sz w:val="24"/>
          <w:szCs w:val="24"/>
        </w:rPr>
        <w:t xml:space="preserve">applied </w:t>
      </w:r>
      <w:r>
        <w:rPr>
          <w:rFonts w:ascii="Times New Roman" w:eastAsia="Times New Roman" w:hAnsi="Times New Roman" w:cs="Times New Roman"/>
          <w:sz w:val="24"/>
          <w:szCs w:val="24"/>
        </w:rPr>
        <w:t xml:space="preserve">in UK retailers’ domestic poultry and pork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s. This provides a timely analysis of corporate engagement with AMR in light of the 2016 O’Neill report on </w:t>
      </w:r>
      <w:r>
        <w:rPr>
          <w:rFonts w:ascii="Times New Roman" w:eastAsia="Times New Roman" w:hAnsi="Times New Roman" w:cs="Times New Roman"/>
          <w:i/>
          <w:sz w:val="24"/>
          <w:szCs w:val="24"/>
        </w:rPr>
        <w:t>Tackling Drug Resistant Infections Globally</w:t>
      </w:r>
      <w:r>
        <w:rPr>
          <w:rFonts w:ascii="Times New Roman" w:eastAsia="Times New Roman" w:hAnsi="Times New Roman" w:cs="Times New Roman"/>
          <w:sz w:val="24"/>
          <w:szCs w:val="24"/>
        </w:rPr>
        <w:t>, which positioned supermarket chains, processors</w:t>
      </w:r>
      <w:r w:rsidR="008366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regulators as holding key responsibilities. Research included interviews with retailers, industry bodies, policy makers, farmers, processors, consultants, and campaigners. We evaluate how strategy for tackling AMR</w:t>
      </w:r>
      <w:r w:rsidR="00E536EE">
        <w:rPr>
          <w:rFonts w:ascii="Times New Roman" w:eastAsia="Times New Roman" w:hAnsi="Times New Roman" w:cs="Times New Roman"/>
          <w:sz w:val="24"/>
          <w:szCs w:val="24"/>
        </w:rPr>
        <w:t xml:space="preserve"> in the food system</w:t>
      </w:r>
      <w:r>
        <w:rPr>
          <w:rFonts w:ascii="Times New Roman" w:eastAsia="Times New Roman" w:hAnsi="Times New Roman" w:cs="Times New Roman"/>
          <w:sz w:val="24"/>
          <w:szCs w:val="24"/>
        </w:rPr>
        <w:t xml:space="preserve"> is focused on antimicrobial stewardship, particularly targets for reducing </w:t>
      </w:r>
      <w:r w:rsidR="004F098D">
        <w:rPr>
          <w:rFonts w:ascii="Times New Roman" w:eastAsia="Times New Roman" w:hAnsi="Times New Roman" w:cs="Times New Roman"/>
          <w:sz w:val="24"/>
          <w:szCs w:val="24"/>
        </w:rPr>
        <w:t>antibiotic</w:t>
      </w:r>
      <w:r w:rsidR="008F5417">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use</w:t>
      </w:r>
      <w:r w:rsidR="008C5E17">
        <w:rPr>
          <w:rFonts w:ascii="Times New Roman" w:eastAsia="Times New Roman" w:hAnsi="Times New Roman" w:cs="Times New Roman"/>
          <w:sz w:val="24"/>
          <w:szCs w:val="24"/>
        </w:rPr>
        <w:t xml:space="preserve"> in domestic food production</w:t>
      </w:r>
      <w:r w:rsidR="00274C2F">
        <w:rPr>
          <w:rFonts w:ascii="Times New Roman" w:eastAsia="Times New Roman" w:hAnsi="Times New Roman" w:cs="Times New Roman"/>
          <w:sz w:val="24"/>
          <w:szCs w:val="24"/>
        </w:rPr>
        <w:t xml:space="preserve">. </w:t>
      </w:r>
      <w:r w:rsidR="00274C2F" w:rsidRPr="00190F8C">
        <w:rPr>
          <w:rFonts w:ascii="Times New Roman" w:eastAsia="Times New Roman" w:hAnsi="Times New Roman" w:cs="Times New Roman"/>
          <w:sz w:val="24"/>
          <w:szCs w:val="24"/>
        </w:rPr>
        <w:t xml:space="preserve">The Global Value Chain </w:t>
      </w:r>
      <w:r w:rsidR="00271BCF" w:rsidRPr="00190F8C">
        <w:rPr>
          <w:rFonts w:ascii="Times New Roman" w:eastAsia="Times New Roman" w:hAnsi="Times New Roman" w:cs="Times New Roman"/>
          <w:sz w:val="24"/>
          <w:szCs w:val="24"/>
        </w:rPr>
        <w:t xml:space="preserve">notion of multipolar governance, where influence derives from </w:t>
      </w:r>
      <w:r w:rsidR="008C5E17" w:rsidRPr="00190F8C">
        <w:rPr>
          <w:rFonts w:ascii="Times New Roman" w:eastAsia="Times New Roman" w:hAnsi="Times New Roman" w:cs="Times New Roman"/>
          <w:sz w:val="24"/>
          <w:szCs w:val="24"/>
        </w:rPr>
        <w:t xml:space="preserve">multiple </w:t>
      </w:r>
      <w:r w:rsidR="00271BCF" w:rsidRPr="00190F8C">
        <w:rPr>
          <w:rFonts w:ascii="Times New Roman" w:eastAsia="Times New Roman" w:hAnsi="Times New Roman" w:cs="Times New Roman"/>
          <w:sz w:val="24"/>
          <w:szCs w:val="24"/>
        </w:rPr>
        <w:t xml:space="preserve">nodes both inside and outside the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271BCF" w:rsidRPr="00190F8C">
        <w:rPr>
          <w:rFonts w:ascii="Times New Roman" w:eastAsia="Times New Roman" w:hAnsi="Times New Roman" w:cs="Times New Roman"/>
          <w:sz w:val="24"/>
          <w:szCs w:val="24"/>
        </w:rPr>
        <w:t xml:space="preserve">, is blended with more-than-human </w:t>
      </w:r>
      <w:r w:rsidR="00585ED7" w:rsidRPr="00190F8C">
        <w:rPr>
          <w:rFonts w:ascii="Times New Roman" w:eastAsia="Times New Roman" w:hAnsi="Times New Roman" w:cs="Times New Roman"/>
          <w:sz w:val="24"/>
          <w:szCs w:val="24"/>
        </w:rPr>
        <w:t xml:space="preserve">assemblage </w:t>
      </w:r>
      <w:r w:rsidR="00271BCF" w:rsidRPr="00190F8C">
        <w:rPr>
          <w:rFonts w:ascii="Times New Roman" w:eastAsia="Times New Roman" w:hAnsi="Times New Roman" w:cs="Times New Roman"/>
          <w:sz w:val="24"/>
          <w:szCs w:val="24"/>
        </w:rPr>
        <w:t>perspectives</w:t>
      </w:r>
      <w:r w:rsidR="003A6837" w:rsidRPr="00190F8C">
        <w:rPr>
          <w:rFonts w:ascii="Times New Roman" w:eastAsia="Times New Roman" w:hAnsi="Times New Roman" w:cs="Times New Roman"/>
          <w:sz w:val="24"/>
          <w:szCs w:val="24"/>
        </w:rPr>
        <w:t xml:space="preserve"> to capture the implementation of targets</w:t>
      </w:r>
      <w:r w:rsidR="00E536EE" w:rsidRPr="00190F8C">
        <w:rPr>
          <w:rFonts w:ascii="Times New Roman" w:eastAsia="Times New Roman" w:hAnsi="Times New Roman" w:cs="Times New Roman"/>
          <w:sz w:val="24"/>
          <w:szCs w:val="24"/>
        </w:rPr>
        <w:t>.</w:t>
      </w:r>
      <w:r w:rsidR="00E536EE">
        <w:rPr>
          <w:rFonts w:ascii="Times New Roman" w:eastAsia="Times New Roman" w:hAnsi="Times New Roman" w:cs="Times New Roman"/>
          <w:sz w:val="24"/>
          <w:szCs w:val="24"/>
        </w:rPr>
        <w:t xml:space="preserve"> This</w:t>
      </w:r>
      <w:r w:rsidR="00271BCF">
        <w:rPr>
          <w:rFonts w:ascii="Times New Roman" w:eastAsia="Times New Roman" w:hAnsi="Times New Roman" w:cs="Times New Roman"/>
          <w:sz w:val="24"/>
          <w:szCs w:val="24"/>
        </w:rPr>
        <w:t xml:space="preserve"> </w:t>
      </w:r>
      <w:r w:rsidR="00E536EE">
        <w:rPr>
          <w:rFonts w:ascii="Times New Roman" w:eastAsia="Times New Roman" w:hAnsi="Times New Roman" w:cs="Times New Roman"/>
          <w:sz w:val="24"/>
          <w:szCs w:val="24"/>
        </w:rPr>
        <w:t xml:space="preserve">conceptual fusion </w:t>
      </w:r>
      <w:r w:rsidR="00271BCF">
        <w:rPr>
          <w:rFonts w:ascii="Times New Roman" w:eastAsia="Times New Roman" w:hAnsi="Times New Roman" w:cs="Times New Roman"/>
          <w:sz w:val="24"/>
          <w:szCs w:val="24"/>
        </w:rPr>
        <w:t>grasp</w:t>
      </w:r>
      <w:r w:rsidR="00E536EE">
        <w:rPr>
          <w:rFonts w:ascii="Times New Roman" w:eastAsia="Times New Roman" w:hAnsi="Times New Roman" w:cs="Times New Roman"/>
          <w:sz w:val="24"/>
          <w:szCs w:val="24"/>
        </w:rPr>
        <w:t>s</w:t>
      </w:r>
      <w:r w:rsidR="00271BCF">
        <w:rPr>
          <w:rFonts w:ascii="Times New Roman" w:eastAsia="Times New Roman" w:hAnsi="Times New Roman" w:cs="Times New Roman"/>
          <w:sz w:val="24"/>
          <w:szCs w:val="24"/>
        </w:rPr>
        <w:t xml:space="preserve"> </w:t>
      </w:r>
      <w:r w:rsidR="00E536EE">
        <w:rPr>
          <w:rFonts w:ascii="Times New Roman" w:eastAsia="Times New Roman" w:hAnsi="Times New Roman" w:cs="Times New Roman"/>
          <w:sz w:val="24"/>
          <w:szCs w:val="24"/>
        </w:rPr>
        <w:t xml:space="preserve">how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8C5E17">
        <w:rPr>
          <w:rFonts w:ascii="Times New Roman" w:eastAsia="Times New Roman" w:hAnsi="Times New Roman" w:cs="Times New Roman"/>
          <w:sz w:val="24"/>
          <w:szCs w:val="24"/>
        </w:rPr>
        <w:t xml:space="preserve"> </w:t>
      </w:r>
      <w:r w:rsidR="00271BCF">
        <w:rPr>
          <w:rFonts w:ascii="Times New Roman" w:eastAsia="Times New Roman" w:hAnsi="Times New Roman" w:cs="Times New Roman"/>
          <w:sz w:val="24"/>
          <w:szCs w:val="24"/>
        </w:rPr>
        <w:t>responsibility</w:t>
      </w:r>
      <w:r w:rsidR="00582693">
        <w:rPr>
          <w:rFonts w:ascii="Times New Roman" w:eastAsia="Times New Roman" w:hAnsi="Times New Roman" w:cs="Times New Roman"/>
          <w:sz w:val="24"/>
          <w:szCs w:val="24"/>
        </w:rPr>
        <w:t xml:space="preserve"> and influence</w:t>
      </w:r>
      <w:r w:rsidR="00271BCF">
        <w:rPr>
          <w:rFonts w:ascii="Times New Roman" w:eastAsia="Times New Roman" w:hAnsi="Times New Roman" w:cs="Times New Roman"/>
          <w:sz w:val="24"/>
          <w:szCs w:val="24"/>
        </w:rPr>
        <w:t xml:space="preserve"> work</w:t>
      </w:r>
      <w:r w:rsidR="00144AEA">
        <w:rPr>
          <w:rFonts w:ascii="Times New Roman" w:eastAsia="Times New Roman" w:hAnsi="Times New Roman" w:cs="Times New Roman"/>
          <w:sz w:val="24"/>
          <w:szCs w:val="24"/>
        </w:rPr>
        <w:t>s</w:t>
      </w:r>
      <w:r w:rsidR="00271BCF">
        <w:rPr>
          <w:rFonts w:ascii="Times New Roman" w:eastAsia="Times New Roman" w:hAnsi="Times New Roman" w:cs="Times New Roman"/>
          <w:sz w:val="24"/>
          <w:szCs w:val="24"/>
        </w:rPr>
        <w:t xml:space="preserve"> through</w:t>
      </w:r>
      <w:r w:rsidR="00E536EE">
        <w:rPr>
          <w:rFonts w:ascii="Times New Roman" w:eastAsia="Times New Roman" w:hAnsi="Times New Roman" w:cs="Times New Roman"/>
          <w:sz w:val="24"/>
          <w:szCs w:val="24"/>
        </w:rPr>
        <w:t xml:space="preserve"> both a distributed group of stakeholders and</w:t>
      </w:r>
      <w:r w:rsidR="00271BCF">
        <w:rPr>
          <w:rFonts w:ascii="Times New Roman" w:eastAsia="Times New Roman" w:hAnsi="Times New Roman" w:cs="Times New Roman"/>
          <w:sz w:val="24"/>
          <w:szCs w:val="24"/>
        </w:rPr>
        <w:t xml:space="preserve"> the ecological complexity of the AMR challenge. </w:t>
      </w:r>
      <w:r w:rsidR="007C3328">
        <w:rPr>
          <w:rFonts w:ascii="Times New Roman" w:eastAsia="Times New Roman" w:hAnsi="Times New Roman" w:cs="Times New Roman"/>
          <w:sz w:val="24"/>
          <w:szCs w:val="24"/>
        </w:rPr>
        <w:t>T</w:t>
      </w:r>
      <w:r w:rsidR="00E536EE">
        <w:rPr>
          <w:rFonts w:ascii="Times New Roman" w:eastAsia="Times New Roman" w:hAnsi="Times New Roman" w:cs="Times New Roman"/>
          <w:sz w:val="24"/>
          <w:szCs w:val="24"/>
        </w:rPr>
        <w:t>he</w:t>
      </w:r>
      <w:r w:rsidR="00271BCF">
        <w:rPr>
          <w:rFonts w:ascii="Times New Roman" w:eastAsia="Times New Roman" w:hAnsi="Times New Roman" w:cs="Times New Roman"/>
          <w:sz w:val="24"/>
          <w:szCs w:val="24"/>
        </w:rPr>
        <w:t xml:space="preserve"> paper </w:t>
      </w:r>
      <w:r w:rsidR="00E536EE">
        <w:rPr>
          <w:rFonts w:ascii="Times New Roman" w:eastAsia="Times New Roman" w:hAnsi="Times New Roman" w:cs="Times New Roman"/>
          <w:sz w:val="24"/>
          <w:szCs w:val="24"/>
        </w:rPr>
        <w:t>demonstrates</w:t>
      </w:r>
      <w:r w:rsidR="007C3328">
        <w:rPr>
          <w:rFonts w:ascii="Times New Roman" w:eastAsia="Times New Roman" w:hAnsi="Times New Roman" w:cs="Times New Roman"/>
          <w:sz w:val="24"/>
          <w:szCs w:val="24"/>
        </w:rPr>
        <w:t xml:space="preserve"> in turn</w:t>
      </w:r>
      <w:r w:rsidR="00271BCF">
        <w:rPr>
          <w:rFonts w:ascii="Times New Roman" w:eastAsia="Times New Roman" w:hAnsi="Times New Roman" w:cs="Times New Roman"/>
          <w:sz w:val="24"/>
          <w:szCs w:val="24"/>
        </w:rPr>
        <w:t xml:space="preserve">: </w:t>
      </w:r>
      <w:r w:rsidR="00E536EE">
        <w:rPr>
          <w:rFonts w:ascii="Times New Roman" w:eastAsia="Times New Roman" w:hAnsi="Times New Roman" w:cs="Times New Roman"/>
          <w:sz w:val="24"/>
          <w:szCs w:val="24"/>
        </w:rPr>
        <w:t xml:space="preserve">how </w:t>
      </w:r>
      <w:r w:rsidR="00271BCF">
        <w:rPr>
          <w:rFonts w:ascii="Times New Roman" w:eastAsia="Times New Roman" w:hAnsi="Times New Roman" w:cs="Times New Roman"/>
          <w:sz w:val="24"/>
          <w:szCs w:val="24"/>
        </w:rPr>
        <w:t xml:space="preserve">the targets for reducing </w:t>
      </w:r>
      <w:r w:rsidR="004F098D">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use</w:t>
      </w:r>
      <w:r w:rsidR="00271BCF">
        <w:rPr>
          <w:rFonts w:ascii="Times New Roman" w:eastAsia="Times New Roman" w:hAnsi="Times New Roman" w:cs="Times New Roman"/>
          <w:sz w:val="24"/>
          <w:szCs w:val="24"/>
        </w:rPr>
        <w:t xml:space="preserve"> in domestic meat production</w:t>
      </w:r>
      <w:r w:rsidR="00E536EE">
        <w:rPr>
          <w:rFonts w:ascii="Times New Roman" w:eastAsia="Times New Roman" w:hAnsi="Times New Roman" w:cs="Times New Roman"/>
          <w:sz w:val="24"/>
          <w:szCs w:val="24"/>
        </w:rPr>
        <w:t xml:space="preserve"> represent a particular and narrowly-defined strategic focus</w:t>
      </w:r>
      <w:r w:rsidR="007C3328">
        <w:rPr>
          <w:rFonts w:ascii="Times New Roman" w:eastAsia="Times New Roman" w:hAnsi="Times New Roman" w:cs="Times New Roman"/>
          <w:sz w:val="24"/>
          <w:szCs w:val="24"/>
        </w:rPr>
        <w:t xml:space="preserve">; </w:t>
      </w:r>
      <w:r w:rsidR="00826404">
        <w:rPr>
          <w:rFonts w:ascii="Times New Roman" w:eastAsia="Times New Roman" w:hAnsi="Times New Roman" w:cs="Times New Roman"/>
          <w:sz w:val="24"/>
          <w:szCs w:val="24"/>
        </w:rPr>
        <w:t>how those</w:t>
      </w:r>
      <w:r w:rsidR="007C3328">
        <w:rPr>
          <w:rFonts w:ascii="Times New Roman" w:eastAsia="Times New Roman" w:hAnsi="Times New Roman" w:cs="Times New Roman"/>
          <w:sz w:val="24"/>
          <w:szCs w:val="24"/>
        </w:rPr>
        <w:t xml:space="preserve"> targets</w:t>
      </w:r>
      <w:r w:rsidR="00E536EE">
        <w:rPr>
          <w:rFonts w:ascii="Times New Roman" w:eastAsia="Times New Roman" w:hAnsi="Times New Roman" w:cs="Times New Roman"/>
          <w:sz w:val="24"/>
          <w:szCs w:val="24"/>
        </w:rPr>
        <w:t xml:space="preserve"> </w:t>
      </w:r>
      <w:r w:rsidR="00826404">
        <w:rPr>
          <w:rFonts w:ascii="Times New Roman" w:eastAsia="Times New Roman" w:hAnsi="Times New Roman" w:cs="Times New Roman"/>
          <w:sz w:val="24"/>
          <w:szCs w:val="24"/>
        </w:rPr>
        <w:t xml:space="preserve">have been met </w:t>
      </w:r>
      <w:r w:rsidR="00E536EE">
        <w:rPr>
          <w:rFonts w:ascii="Times New Roman" w:eastAsia="Times New Roman" w:hAnsi="Times New Roman" w:cs="Times New Roman"/>
          <w:sz w:val="24"/>
          <w:szCs w:val="24"/>
        </w:rPr>
        <w:t xml:space="preserve">through </w:t>
      </w:r>
      <w:r w:rsidR="00826404">
        <w:rPr>
          <w:rFonts w:ascii="Times New Roman" w:eastAsia="Times New Roman" w:hAnsi="Times New Roman" w:cs="Times New Roman"/>
          <w:sz w:val="24"/>
          <w:szCs w:val="24"/>
        </w:rPr>
        <w:t>distributed agency in the</w:t>
      </w:r>
      <w:r w:rsidR="009401A7">
        <w:rPr>
          <w:rFonts w:ascii="Times New Roman" w:eastAsia="Times New Roman" w:hAnsi="Times New Roman" w:cs="Times New Roman"/>
          <w:sz w:val="24"/>
          <w:szCs w:val="24"/>
        </w:rPr>
        <w:t xml:space="preserve"> UK</w:t>
      </w:r>
      <w:r w:rsidR="0082640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7C3328">
        <w:rPr>
          <w:rFonts w:ascii="Times New Roman" w:eastAsia="Times New Roman" w:hAnsi="Times New Roman" w:cs="Times New Roman"/>
          <w:sz w:val="24"/>
          <w:szCs w:val="24"/>
        </w:rPr>
        <w:t>; and t</w:t>
      </w:r>
      <w:r w:rsidR="00A95756">
        <w:rPr>
          <w:rFonts w:ascii="Times New Roman" w:eastAsia="Times New Roman" w:hAnsi="Times New Roman" w:cs="Times New Roman"/>
          <w:sz w:val="24"/>
          <w:szCs w:val="24"/>
        </w:rPr>
        <w:t xml:space="preserve">he </w:t>
      </w:r>
      <w:r w:rsidR="00DA7B34">
        <w:rPr>
          <w:rFonts w:ascii="Times New Roman" w:eastAsia="Times New Roman" w:hAnsi="Times New Roman" w:cs="Times New Roman"/>
          <w:sz w:val="24"/>
          <w:szCs w:val="24"/>
        </w:rPr>
        <w:t xml:space="preserve">geographical and biological </w:t>
      </w:r>
      <w:r w:rsidR="00A95756">
        <w:rPr>
          <w:rFonts w:ascii="Times New Roman" w:eastAsia="Times New Roman" w:hAnsi="Times New Roman" w:cs="Times New Roman"/>
          <w:sz w:val="24"/>
          <w:szCs w:val="24"/>
        </w:rPr>
        <w:t>limit</w:t>
      </w:r>
      <w:r w:rsidR="009401A7">
        <w:rPr>
          <w:rFonts w:ascii="Times New Roman" w:eastAsia="Times New Roman" w:hAnsi="Times New Roman" w:cs="Times New Roman"/>
          <w:sz w:val="24"/>
          <w:szCs w:val="24"/>
        </w:rPr>
        <w:t>ations of</w:t>
      </w:r>
      <w:r w:rsidR="00A95756">
        <w:rPr>
          <w:rFonts w:ascii="Times New Roman" w:eastAsia="Times New Roman" w:hAnsi="Times New Roman" w:cs="Times New Roman"/>
          <w:sz w:val="24"/>
          <w:szCs w:val="24"/>
        </w:rPr>
        <w:t xml:space="preserve"> </w:t>
      </w:r>
      <w:r w:rsidR="00E536EE">
        <w:rPr>
          <w:rFonts w:ascii="Times New Roman" w:eastAsia="Times New Roman" w:hAnsi="Times New Roman" w:cs="Times New Roman"/>
          <w:sz w:val="24"/>
          <w:szCs w:val="24"/>
        </w:rPr>
        <w:t>the</w:t>
      </w:r>
      <w:r w:rsidR="00A95756">
        <w:rPr>
          <w:rFonts w:ascii="Times New Roman" w:eastAsia="Times New Roman" w:hAnsi="Times New Roman" w:cs="Times New Roman"/>
          <w:sz w:val="24"/>
          <w:szCs w:val="24"/>
        </w:rPr>
        <w:t xml:space="preserve"> targets in tackling AMR as a wicked problem.</w:t>
      </w:r>
    </w:p>
    <w:p w14:paraId="0338D246" w14:textId="363102E2" w:rsidR="00FF0F1B" w:rsidRDefault="00982B78">
      <w:pPr>
        <w:spacing w:line="480" w:lineRule="auto"/>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 xml:space="preserve">Food </w:t>
      </w:r>
      <w:r w:rsidR="002B3A14">
        <w:rPr>
          <w:rFonts w:ascii="Times New Roman" w:eastAsia="Times New Roman" w:hAnsi="Times New Roman" w:cs="Times New Roman"/>
          <w:b/>
          <w:sz w:val="24"/>
          <w:szCs w:val="24"/>
        </w:rPr>
        <w:t>Supply</w:t>
      </w:r>
      <w:r w:rsidR="00B11ED4">
        <w:rPr>
          <w:rFonts w:ascii="Times New Roman" w:eastAsia="Times New Roman" w:hAnsi="Times New Roman" w:cs="Times New Roman"/>
          <w:b/>
          <w:sz w:val="24"/>
          <w:szCs w:val="24"/>
        </w:rPr>
        <w:t xml:space="preserve"> C</w:t>
      </w:r>
      <w:r w:rsidR="002B3A14">
        <w:rPr>
          <w:rFonts w:ascii="Times New Roman" w:eastAsia="Times New Roman" w:hAnsi="Times New Roman" w:cs="Times New Roman"/>
          <w:b/>
          <w:sz w:val="24"/>
          <w:szCs w:val="24"/>
        </w:rPr>
        <w:t>hain</w:t>
      </w:r>
      <w:r>
        <w:rPr>
          <w:rFonts w:ascii="Times New Roman" w:eastAsia="Times New Roman" w:hAnsi="Times New Roman" w:cs="Times New Roman"/>
          <w:b/>
          <w:sz w:val="24"/>
          <w:szCs w:val="24"/>
        </w:rPr>
        <w:t>s and the Antimicrobial Resistance Challenge: On the Framing</w:t>
      </w:r>
      <w:r w:rsidR="00C92FF3">
        <w:rPr>
          <w:rFonts w:ascii="Times New Roman" w:eastAsia="Times New Roman" w:hAnsi="Times New Roman" w:cs="Times New Roman"/>
          <w:b/>
          <w:sz w:val="24"/>
          <w:szCs w:val="24"/>
        </w:rPr>
        <w:t>, Acc</w:t>
      </w:r>
      <w:r w:rsidR="00CC0319">
        <w:rPr>
          <w:rFonts w:ascii="Times New Roman" w:eastAsia="Times New Roman" w:hAnsi="Times New Roman" w:cs="Times New Roman"/>
          <w:b/>
          <w:sz w:val="24"/>
          <w:szCs w:val="24"/>
        </w:rPr>
        <w:t>omplishments</w:t>
      </w:r>
      <w:r w:rsidR="00C92FF3">
        <w:rPr>
          <w:rFonts w:ascii="Times New Roman" w:eastAsia="Times New Roman" w:hAnsi="Times New Roman" w:cs="Times New Roman"/>
          <w:b/>
          <w:sz w:val="24"/>
          <w:szCs w:val="24"/>
        </w:rPr>
        <w:t>, and Limitations</w:t>
      </w:r>
      <w:r>
        <w:rPr>
          <w:rFonts w:ascii="Times New Roman" w:eastAsia="Times New Roman" w:hAnsi="Times New Roman" w:cs="Times New Roman"/>
          <w:b/>
          <w:sz w:val="24"/>
          <w:szCs w:val="24"/>
        </w:rPr>
        <w:t xml:space="preserve"> of</w:t>
      </w:r>
      <w:r w:rsidR="00A95756">
        <w:rPr>
          <w:rFonts w:ascii="Times New Roman" w:eastAsia="Times New Roman" w:hAnsi="Times New Roman" w:cs="Times New Roman"/>
          <w:b/>
          <w:sz w:val="24"/>
          <w:szCs w:val="24"/>
        </w:rPr>
        <w:t xml:space="preserve"> </w:t>
      </w:r>
      <w:r w:rsidR="00771517">
        <w:rPr>
          <w:rFonts w:ascii="Times New Roman" w:eastAsia="Times New Roman" w:hAnsi="Times New Roman" w:cs="Times New Roman"/>
          <w:b/>
          <w:sz w:val="24"/>
          <w:szCs w:val="24"/>
        </w:rPr>
        <w:t>Corporate</w:t>
      </w:r>
      <w:r w:rsidR="004A41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Responsibility</w:t>
      </w:r>
    </w:p>
    <w:p w14:paraId="35E766FA" w14:textId="77777777" w:rsidR="00FF0F1B" w:rsidRDefault="00FF0F1B">
      <w:pPr>
        <w:spacing w:line="480" w:lineRule="auto"/>
        <w:rPr>
          <w:rFonts w:ascii="Times New Roman" w:eastAsia="Times New Roman" w:hAnsi="Times New Roman" w:cs="Times New Roman"/>
          <w:b/>
          <w:sz w:val="24"/>
          <w:szCs w:val="24"/>
        </w:rPr>
      </w:pPr>
    </w:p>
    <w:p w14:paraId="09664A5C" w14:textId="0F0A54AD" w:rsidR="00FF0F1B" w:rsidRPr="002D1EC9" w:rsidRDefault="00982B78" w:rsidP="0047207C">
      <w:pPr>
        <w:spacing w:line="480" w:lineRule="auto"/>
        <w:rPr>
          <w:rFonts w:ascii="Times New Roman" w:eastAsia="Times New Roman" w:hAnsi="Times New Roman" w:cs="Times New Roman"/>
          <w:b/>
          <w:sz w:val="24"/>
          <w:szCs w:val="24"/>
        </w:rPr>
      </w:pPr>
      <w:bookmarkStart w:id="1" w:name="_gjdgxs" w:colFirst="0" w:colLast="0"/>
      <w:bookmarkEnd w:id="1"/>
      <w:r w:rsidRPr="002D1EC9">
        <w:rPr>
          <w:rFonts w:ascii="Times New Roman" w:eastAsia="Times New Roman" w:hAnsi="Times New Roman" w:cs="Times New Roman"/>
          <w:b/>
          <w:sz w:val="24"/>
          <w:szCs w:val="24"/>
        </w:rPr>
        <w:t>Introduction</w:t>
      </w:r>
    </w:p>
    <w:p w14:paraId="343F651E" w14:textId="41162CC5" w:rsidR="00FF0F1B" w:rsidRDefault="00982B78" w:rsidP="00F47CD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67"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“This [antimicrobial resistance] is not a linear food safety risk, but a broader public health issue, the linkages of which are not very well understood” (</w:t>
      </w:r>
      <w:r w:rsidR="00056D4C">
        <w:rPr>
          <w:rFonts w:ascii="Times New Roman" w:eastAsia="Times New Roman" w:hAnsi="Times New Roman" w:cs="Times New Roman"/>
          <w:sz w:val="24"/>
          <w:szCs w:val="24"/>
        </w:rPr>
        <w:t xml:space="preserve">UK Corporate Food Retailer, </w:t>
      </w:r>
      <w:r>
        <w:rPr>
          <w:rFonts w:ascii="Times New Roman" w:eastAsia="Times New Roman" w:hAnsi="Times New Roman" w:cs="Times New Roman"/>
          <w:sz w:val="24"/>
          <w:szCs w:val="24"/>
        </w:rPr>
        <w:t>R6a).</w:t>
      </w:r>
    </w:p>
    <w:p w14:paraId="7F17047D" w14:textId="77777777" w:rsidR="00FF0F1B" w:rsidRDefault="00FF0F1B">
      <w:pPr>
        <w:spacing w:line="480" w:lineRule="auto"/>
        <w:jc w:val="right"/>
        <w:rPr>
          <w:rFonts w:ascii="Times New Roman" w:eastAsia="Times New Roman" w:hAnsi="Times New Roman" w:cs="Times New Roman"/>
          <w:b/>
          <w:sz w:val="24"/>
          <w:szCs w:val="24"/>
        </w:rPr>
      </w:pPr>
    </w:p>
    <w:p w14:paraId="2B1F49A6" w14:textId="11486E59" w:rsidR="00CB65A8" w:rsidRDefault="00982B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presents a critique of </w:t>
      </w:r>
      <w:r w:rsidR="00D56271">
        <w:rPr>
          <w:rFonts w:ascii="Times New Roman" w:eastAsia="Times New Roman" w:hAnsi="Times New Roman" w:cs="Times New Roman"/>
          <w:sz w:val="24"/>
          <w:szCs w:val="24"/>
        </w:rPr>
        <w:t>agr</w:t>
      </w:r>
      <w:r w:rsidR="00056D4C">
        <w:rPr>
          <w:rFonts w:ascii="Times New Roman" w:eastAsia="Times New Roman" w:hAnsi="Times New Roman" w:cs="Times New Roman"/>
          <w:sz w:val="24"/>
          <w:szCs w:val="24"/>
        </w:rPr>
        <w:t>i</w:t>
      </w:r>
      <w:r w:rsidR="00D56271">
        <w:rPr>
          <w:rFonts w:ascii="Times New Roman" w:eastAsia="Times New Roman" w:hAnsi="Times New Roman" w:cs="Times New Roman"/>
          <w:sz w:val="24"/>
          <w:szCs w:val="24"/>
        </w:rPr>
        <w:t xml:space="preserve">-food system </w:t>
      </w:r>
      <w:r>
        <w:rPr>
          <w:rFonts w:ascii="Times New Roman" w:eastAsia="Times New Roman" w:hAnsi="Times New Roman" w:cs="Times New Roman"/>
          <w:sz w:val="24"/>
          <w:szCs w:val="24"/>
        </w:rPr>
        <w:t xml:space="preserve">responses to a particular global </w:t>
      </w:r>
      <w:r w:rsidR="00C25598">
        <w:rPr>
          <w:rFonts w:ascii="Times New Roman" w:eastAsia="Times New Roman" w:hAnsi="Times New Roman" w:cs="Times New Roman"/>
          <w:sz w:val="24"/>
          <w:szCs w:val="24"/>
        </w:rPr>
        <w:t>‘wicked problem’</w:t>
      </w:r>
      <w:r>
        <w:rPr>
          <w:rFonts w:ascii="Times New Roman" w:eastAsia="Times New Roman" w:hAnsi="Times New Roman" w:cs="Times New Roman"/>
          <w:sz w:val="24"/>
          <w:szCs w:val="24"/>
        </w:rPr>
        <w:t xml:space="preserve">, focusing on the case of antimicrobial resistance (AMR). In terms of defining AMR for the purposes of our analysis, the United Nations Environment Programme (UNEP) (2017: page 13) explains that, “Antimicrobial resistance occurs when a microorganism evolves to resist the effects of an antimicrobial agent and multiply in its presence”. Yet </w:t>
      </w:r>
      <w:r>
        <w:rPr>
          <w:rFonts w:ascii="Times New Roman" w:eastAsia="Times New Roman" w:hAnsi="Times New Roman" w:cs="Times New Roman"/>
          <w:i/>
          <w:sz w:val="24"/>
          <w:szCs w:val="24"/>
        </w:rPr>
        <w:t xml:space="preserve">when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where </w:t>
      </w:r>
      <w:r>
        <w:rPr>
          <w:rFonts w:ascii="Times New Roman" w:eastAsia="Times New Roman" w:hAnsi="Times New Roman" w:cs="Times New Roman"/>
          <w:sz w:val="24"/>
          <w:szCs w:val="24"/>
        </w:rPr>
        <w:t>AMR occurs is uncertain</w:t>
      </w:r>
      <w:r w:rsidR="005E1A6A">
        <w:rPr>
          <w:rFonts w:ascii="Times New Roman" w:eastAsia="Times New Roman" w:hAnsi="Times New Roman" w:cs="Times New Roman"/>
          <w:sz w:val="24"/>
          <w:szCs w:val="24"/>
        </w:rPr>
        <w:t xml:space="preserve">, implying that the </w:t>
      </w:r>
      <w:r w:rsidR="00056D4C">
        <w:rPr>
          <w:rFonts w:ascii="Times New Roman" w:eastAsia="Times New Roman" w:hAnsi="Times New Roman" w:cs="Times New Roman"/>
          <w:sz w:val="24"/>
          <w:szCs w:val="24"/>
        </w:rPr>
        <w:t>agri-food</w:t>
      </w:r>
      <w:r w:rsidR="005E1A6A">
        <w:rPr>
          <w:rFonts w:ascii="Times New Roman" w:eastAsia="Times New Roman" w:hAnsi="Times New Roman" w:cs="Times New Roman"/>
          <w:sz w:val="24"/>
          <w:szCs w:val="24"/>
        </w:rPr>
        <w:t xml:space="preserve"> system grapple</w:t>
      </w:r>
      <w:r w:rsidR="0047207C">
        <w:rPr>
          <w:rFonts w:ascii="Times New Roman" w:eastAsia="Times New Roman" w:hAnsi="Times New Roman" w:cs="Times New Roman"/>
          <w:sz w:val="24"/>
          <w:szCs w:val="24"/>
        </w:rPr>
        <w:t>s</w:t>
      </w:r>
      <w:r w:rsidR="005E1A6A">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uncertain pathological geographies and temporalities from evolving microbial ecologies.</w:t>
      </w:r>
    </w:p>
    <w:p w14:paraId="62C9013D" w14:textId="091893FB" w:rsidR="00202E02" w:rsidRDefault="00202E02">
      <w:pPr>
        <w:spacing w:line="480" w:lineRule="auto"/>
        <w:rPr>
          <w:rFonts w:ascii="Times New Roman" w:eastAsia="Times New Roman" w:hAnsi="Times New Roman" w:cs="Times New Roman"/>
          <w:sz w:val="24"/>
          <w:szCs w:val="24"/>
        </w:rPr>
      </w:pPr>
    </w:p>
    <w:p w14:paraId="6E3E225A" w14:textId="5ABABB46" w:rsidR="00CB65A8" w:rsidRDefault="00202E02" w:rsidP="008A7D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56271">
        <w:rPr>
          <w:rFonts w:ascii="Times New Roman" w:eastAsia="Times New Roman" w:hAnsi="Times New Roman" w:cs="Times New Roman"/>
          <w:sz w:val="24"/>
          <w:szCs w:val="24"/>
        </w:rPr>
        <w:t xml:space="preserve">here is developing evidence that bacteria containing resistance genes, including pathogens resistant to treatment with antibiotics, can be transmitted from animals to humans through the domesticated food animal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D56271">
        <w:rPr>
          <w:rFonts w:ascii="Times New Roman" w:eastAsia="Times New Roman" w:hAnsi="Times New Roman" w:cs="Times New Roman"/>
          <w:sz w:val="24"/>
          <w:szCs w:val="24"/>
        </w:rPr>
        <w:t xml:space="preserve"> (Food Standards Agency, 2016; Graham et al</w:t>
      </w:r>
      <w:r w:rsidR="00144AEA">
        <w:rPr>
          <w:rFonts w:ascii="Times New Roman" w:eastAsia="Times New Roman" w:hAnsi="Times New Roman" w:cs="Times New Roman"/>
          <w:sz w:val="24"/>
          <w:szCs w:val="24"/>
        </w:rPr>
        <w:t>.,</w:t>
      </w:r>
      <w:r w:rsidR="00D56271">
        <w:rPr>
          <w:rFonts w:ascii="Times New Roman" w:eastAsia="Times New Roman" w:hAnsi="Times New Roman" w:cs="Times New Roman"/>
          <w:sz w:val="24"/>
          <w:szCs w:val="24"/>
        </w:rPr>
        <w:t xml:space="preserve"> 2019)</w:t>
      </w:r>
      <w:r w:rsidR="00235B36">
        <w:rPr>
          <w:rFonts w:ascii="Times New Roman" w:eastAsia="Times New Roman" w:hAnsi="Times New Roman" w:cs="Times New Roman"/>
          <w:sz w:val="24"/>
          <w:szCs w:val="24"/>
        </w:rPr>
        <w:t>.</w:t>
      </w:r>
      <w:r w:rsidR="00D56271">
        <w:rPr>
          <w:rFonts w:ascii="Times New Roman" w:eastAsia="Times New Roman" w:hAnsi="Times New Roman" w:cs="Times New Roman"/>
          <w:sz w:val="24"/>
          <w:szCs w:val="24"/>
        </w:rPr>
        <w:t xml:space="preserve"> </w:t>
      </w:r>
      <w:r w:rsidR="00235B36">
        <w:rPr>
          <w:rFonts w:ascii="Times New Roman" w:eastAsia="Times New Roman" w:hAnsi="Times New Roman" w:cs="Times New Roman"/>
          <w:sz w:val="24"/>
          <w:szCs w:val="24"/>
        </w:rPr>
        <w:t>As Cheng et al</w:t>
      </w:r>
      <w:r w:rsidR="00790DD5">
        <w:rPr>
          <w:rFonts w:ascii="Times New Roman" w:eastAsia="Times New Roman" w:hAnsi="Times New Roman" w:cs="Times New Roman"/>
          <w:sz w:val="24"/>
          <w:szCs w:val="24"/>
        </w:rPr>
        <w:t>.</w:t>
      </w:r>
      <w:r w:rsidR="00235B36">
        <w:rPr>
          <w:rFonts w:ascii="Times New Roman" w:eastAsia="Times New Roman" w:hAnsi="Times New Roman" w:cs="Times New Roman"/>
          <w:sz w:val="24"/>
          <w:szCs w:val="24"/>
        </w:rPr>
        <w:t xml:space="preserve"> write</w:t>
      </w:r>
      <w:r w:rsidR="00144AEA">
        <w:rPr>
          <w:rFonts w:ascii="Times New Roman" w:eastAsia="Times New Roman" w:hAnsi="Times New Roman" w:cs="Times New Roman"/>
          <w:sz w:val="24"/>
          <w:szCs w:val="24"/>
        </w:rPr>
        <w:t>,</w:t>
      </w:r>
      <w:r w:rsidR="00235B36">
        <w:rPr>
          <w:rFonts w:ascii="Times New Roman" w:eastAsia="Times New Roman" w:hAnsi="Times New Roman" w:cs="Times New Roman"/>
          <w:sz w:val="24"/>
          <w:szCs w:val="24"/>
        </w:rPr>
        <w:t xml:space="preserve"> </w:t>
      </w:r>
      <w:r w:rsidR="00790DD5">
        <w:rPr>
          <w:rFonts w:ascii="Times New Roman" w:eastAsia="Times New Roman" w:hAnsi="Times New Roman" w:cs="Times New Roman"/>
          <w:sz w:val="24"/>
          <w:szCs w:val="24"/>
        </w:rPr>
        <w:t>“</w:t>
      </w:r>
      <w:r w:rsidR="00235B36">
        <w:rPr>
          <w:rFonts w:ascii="Times New Roman" w:eastAsia="Times New Roman" w:hAnsi="Times New Roman" w:cs="Times New Roman"/>
          <w:sz w:val="24"/>
          <w:szCs w:val="24"/>
        </w:rPr>
        <w:t>The impact of animal reservoirs on human health remains debatable and unclear; nonetheless, there are some examples of direct links that have been identified</w:t>
      </w:r>
      <w:r w:rsidR="00144AEA">
        <w:rPr>
          <w:rFonts w:ascii="Times New Roman" w:eastAsia="Times New Roman" w:hAnsi="Times New Roman" w:cs="Times New Roman"/>
          <w:sz w:val="24"/>
          <w:szCs w:val="24"/>
        </w:rPr>
        <w:t>”</w:t>
      </w:r>
      <w:r w:rsidR="00235B36">
        <w:rPr>
          <w:rFonts w:ascii="Times New Roman" w:eastAsia="Times New Roman" w:hAnsi="Times New Roman" w:cs="Times New Roman"/>
          <w:sz w:val="24"/>
          <w:szCs w:val="24"/>
        </w:rPr>
        <w:t xml:space="preserve"> (2019:</w:t>
      </w:r>
      <w:r w:rsidR="00144AEA">
        <w:rPr>
          <w:rFonts w:ascii="Times New Roman" w:eastAsia="Times New Roman" w:hAnsi="Times New Roman" w:cs="Times New Roman"/>
          <w:sz w:val="24"/>
          <w:szCs w:val="24"/>
        </w:rPr>
        <w:t xml:space="preserve"> page </w:t>
      </w:r>
      <w:r w:rsidR="00235B36">
        <w:rPr>
          <w:rFonts w:ascii="Times New Roman" w:eastAsia="Times New Roman" w:hAnsi="Times New Roman" w:cs="Times New Roman"/>
          <w:sz w:val="24"/>
          <w:szCs w:val="24"/>
        </w:rPr>
        <w:t xml:space="preserve">9). </w:t>
      </w:r>
      <w:r w:rsidR="00056D4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role</w:t>
      </w:r>
      <w:r w:rsidR="00056D4C">
        <w:rPr>
          <w:rFonts w:ascii="Times New Roman" w:eastAsia="Times New Roman" w:hAnsi="Times New Roman" w:cs="Times New Roman"/>
          <w:sz w:val="24"/>
          <w:szCs w:val="24"/>
        </w:rPr>
        <w:t xml:space="preserve"> of farm animal production and the food system</w:t>
      </w:r>
      <w:r>
        <w:rPr>
          <w:rFonts w:ascii="Times New Roman" w:eastAsia="Times New Roman" w:hAnsi="Times New Roman" w:cs="Times New Roman"/>
          <w:sz w:val="24"/>
          <w:szCs w:val="24"/>
        </w:rPr>
        <w:t xml:space="preserve"> in the rise and spread of AMR is</w:t>
      </w:r>
      <w:r w:rsidR="00056D4C">
        <w:rPr>
          <w:rFonts w:ascii="Times New Roman" w:eastAsia="Times New Roman" w:hAnsi="Times New Roman" w:cs="Times New Roman"/>
          <w:sz w:val="24"/>
          <w:szCs w:val="24"/>
        </w:rPr>
        <w:t xml:space="preserve"> therefore</w:t>
      </w:r>
      <w:r>
        <w:rPr>
          <w:rFonts w:ascii="Times New Roman" w:eastAsia="Times New Roman" w:hAnsi="Times New Roman" w:cs="Times New Roman"/>
          <w:sz w:val="24"/>
          <w:szCs w:val="24"/>
        </w:rPr>
        <w:t xml:space="preserve"> taken seriously</w:t>
      </w:r>
      <w:r w:rsidR="009A7BF3">
        <w:rPr>
          <w:rFonts w:ascii="Times New Roman" w:eastAsia="Times New Roman" w:hAnsi="Times New Roman" w:cs="Times New Roman"/>
          <w:sz w:val="24"/>
          <w:szCs w:val="24"/>
        </w:rPr>
        <w:t xml:space="preserve">. AMR </w:t>
      </w:r>
      <w:r w:rsidR="003A6837">
        <w:rPr>
          <w:rFonts w:ascii="Times New Roman" w:eastAsia="Times New Roman" w:hAnsi="Times New Roman" w:cs="Times New Roman"/>
          <w:sz w:val="24"/>
          <w:szCs w:val="24"/>
        </w:rPr>
        <w:t>is</w:t>
      </w:r>
      <w:r w:rsidR="0088234E">
        <w:rPr>
          <w:rFonts w:ascii="Times New Roman" w:eastAsia="Times New Roman" w:hAnsi="Times New Roman" w:cs="Times New Roman"/>
          <w:sz w:val="24"/>
          <w:szCs w:val="24"/>
        </w:rPr>
        <w:t xml:space="preserve"> identified as</w:t>
      </w:r>
      <w:r>
        <w:rPr>
          <w:rFonts w:ascii="Times New Roman" w:eastAsia="Times New Roman" w:hAnsi="Times New Roman" w:cs="Times New Roman"/>
          <w:sz w:val="24"/>
          <w:szCs w:val="24"/>
        </w:rPr>
        <w:t xml:space="preserve"> one of the top five public health priorities for the World Health Organisation (WHO).</w:t>
      </w:r>
      <w:r w:rsidR="008823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Antibiotic resistance is rising to dangerously high levels in all parts of the world. New resistance mechanisms are emerging and spreading globally, threatening </w:t>
      </w:r>
      <w:r>
        <w:rPr>
          <w:rFonts w:ascii="Times New Roman" w:eastAsia="Times New Roman" w:hAnsi="Times New Roman" w:cs="Times New Roman"/>
          <w:sz w:val="24"/>
          <w:szCs w:val="24"/>
        </w:rPr>
        <w:lastRenderedPageBreak/>
        <w:t>our ability to treat common infectious diseases</w:t>
      </w:r>
      <w:r w:rsidR="008823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2020, unpaginated)</w:t>
      </w:r>
      <w:r w:rsidR="00220F79">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Such resistance is difficult to contain, as resistance genes are mobile and can be shared with bacteria of different species, when selection pressures occur (Food Standards Agency, 2016). </w:t>
      </w:r>
      <w:r w:rsidR="0047207C">
        <w:rPr>
          <w:rFonts w:ascii="Times New Roman" w:eastAsia="Times New Roman" w:hAnsi="Times New Roman" w:cs="Times New Roman"/>
          <w:sz w:val="24"/>
          <w:szCs w:val="24"/>
        </w:rPr>
        <w:t>Our paper</w:t>
      </w:r>
      <w:r w:rsidR="00982B78">
        <w:rPr>
          <w:rFonts w:ascii="Times New Roman" w:eastAsia="Times New Roman" w:hAnsi="Times New Roman" w:cs="Times New Roman"/>
          <w:sz w:val="24"/>
          <w:szCs w:val="24"/>
        </w:rPr>
        <w:t xml:space="preserve"> evaluate</w:t>
      </w:r>
      <w:r w:rsidR="0047207C">
        <w:rPr>
          <w:rFonts w:ascii="Times New Roman" w:eastAsia="Times New Roman" w:hAnsi="Times New Roman" w:cs="Times New Roman"/>
          <w:sz w:val="24"/>
          <w:szCs w:val="24"/>
        </w:rPr>
        <w:t>s</w:t>
      </w:r>
      <w:r w:rsidR="00982B78">
        <w:rPr>
          <w:rFonts w:ascii="Times New Roman" w:eastAsia="Times New Roman" w:hAnsi="Times New Roman" w:cs="Times New Roman"/>
          <w:sz w:val="24"/>
          <w:szCs w:val="24"/>
        </w:rPr>
        <w:t xml:space="preserve"> the </w:t>
      </w:r>
      <w:r w:rsidR="00143C0A">
        <w:rPr>
          <w:rFonts w:ascii="Times New Roman" w:eastAsia="Times New Roman" w:hAnsi="Times New Roman" w:cs="Times New Roman"/>
          <w:sz w:val="24"/>
          <w:szCs w:val="24"/>
        </w:rPr>
        <w:t xml:space="preserve">social and economic response to </w:t>
      </w:r>
      <w:r w:rsidR="00982B78">
        <w:rPr>
          <w:rFonts w:ascii="Times New Roman" w:eastAsia="Times New Roman" w:hAnsi="Times New Roman" w:cs="Times New Roman"/>
          <w:sz w:val="24"/>
          <w:szCs w:val="24"/>
        </w:rPr>
        <w:t xml:space="preserve">AMR </w:t>
      </w:r>
      <w:r w:rsidR="009A7BF3">
        <w:rPr>
          <w:rFonts w:ascii="Times New Roman" w:eastAsia="Times New Roman" w:hAnsi="Times New Roman" w:cs="Times New Roman"/>
          <w:sz w:val="24"/>
          <w:szCs w:val="24"/>
        </w:rPr>
        <w:t xml:space="preserve">– </w:t>
      </w:r>
      <w:r w:rsidR="00982B78">
        <w:rPr>
          <w:rFonts w:ascii="Times New Roman" w:eastAsia="Times New Roman" w:hAnsi="Times New Roman" w:cs="Times New Roman"/>
          <w:sz w:val="24"/>
          <w:szCs w:val="24"/>
        </w:rPr>
        <w:t xml:space="preserve">and </w:t>
      </w:r>
      <w:r w:rsidR="00957227">
        <w:rPr>
          <w:rFonts w:ascii="Times New Roman" w:eastAsia="Times New Roman" w:hAnsi="Times New Roman" w:cs="Times New Roman"/>
          <w:sz w:val="24"/>
          <w:szCs w:val="24"/>
        </w:rPr>
        <w:t>to</w:t>
      </w:r>
      <w:r w:rsidR="00982B78">
        <w:rPr>
          <w:rFonts w:ascii="Times New Roman" w:eastAsia="Times New Roman" w:hAnsi="Times New Roman" w:cs="Times New Roman"/>
          <w:sz w:val="24"/>
          <w:szCs w:val="24"/>
        </w:rPr>
        <w:t xml:space="preserve"> drug-resistant infections </w:t>
      </w:r>
      <w:r w:rsidR="0047207C">
        <w:rPr>
          <w:rFonts w:ascii="Times New Roman" w:eastAsia="Times New Roman" w:hAnsi="Times New Roman" w:cs="Times New Roman"/>
          <w:sz w:val="24"/>
          <w:szCs w:val="24"/>
        </w:rPr>
        <w:t>–</w:t>
      </w:r>
      <w:r w:rsidR="00982B78">
        <w:rPr>
          <w:rFonts w:ascii="Times New Roman" w:eastAsia="Times New Roman" w:hAnsi="Times New Roman" w:cs="Times New Roman"/>
          <w:sz w:val="24"/>
          <w:szCs w:val="24"/>
        </w:rPr>
        <w:t xml:space="preserve"> as a</w:t>
      </w:r>
      <w:r w:rsidR="00AF503B">
        <w:rPr>
          <w:rFonts w:ascii="Times New Roman" w:eastAsia="Times New Roman" w:hAnsi="Times New Roman" w:cs="Times New Roman"/>
          <w:sz w:val="24"/>
          <w:szCs w:val="24"/>
        </w:rPr>
        <w:t xml:space="preserve"> </w:t>
      </w:r>
      <w:r w:rsidR="00982B78">
        <w:rPr>
          <w:rFonts w:ascii="Times New Roman" w:eastAsia="Times New Roman" w:hAnsi="Times New Roman" w:cs="Times New Roman"/>
          <w:sz w:val="24"/>
          <w:szCs w:val="24"/>
        </w:rPr>
        <w:t>challenge in the food system</w:t>
      </w:r>
      <w:r w:rsidR="00804CE4">
        <w:rPr>
          <w:rFonts w:ascii="Times New Roman" w:eastAsia="Times New Roman" w:hAnsi="Times New Roman" w:cs="Times New Roman"/>
          <w:sz w:val="24"/>
          <w:szCs w:val="24"/>
        </w:rPr>
        <w:t xml:space="preserve">, </w:t>
      </w:r>
      <w:r w:rsidR="00790DD5">
        <w:rPr>
          <w:rFonts w:ascii="Times New Roman" w:eastAsia="Times New Roman" w:hAnsi="Times New Roman" w:cs="Times New Roman"/>
          <w:sz w:val="24"/>
          <w:szCs w:val="24"/>
        </w:rPr>
        <w:t>which</w:t>
      </w:r>
      <w:r w:rsidR="00965BB3">
        <w:rPr>
          <w:rFonts w:ascii="Times New Roman" w:eastAsia="Times New Roman" w:hAnsi="Times New Roman" w:cs="Times New Roman"/>
          <w:sz w:val="24"/>
          <w:szCs w:val="24"/>
        </w:rPr>
        <w:t xml:space="preserve"> performs</w:t>
      </w:r>
      <w:r w:rsidR="00804CE4">
        <w:rPr>
          <w:rFonts w:ascii="Times New Roman" w:eastAsia="Times New Roman" w:hAnsi="Times New Roman" w:cs="Times New Roman"/>
          <w:sz w:val="24"/>
          <w:szCs w:val="24"/>
        </w:rPr>
        <w:t xml:space="preserve"> with much uncertainty</w:t>
      </w:r>
      <w:r w:rsidR="00AF503B">
        <w:rPr>
          <w:rFonts w:ascii="Times New Roman" w:eastAsia="Times New Roman" w:hAnsi="Times New Roman" w:cs="Times New Roman"/>
          <w:sz w:val="24"/>
          <w:szCs w:val="24"/>
        </w:rPr>
        <w:t>. W</w:t>
      </w:r>
      <w:r w:rsidR="00982B78">
        <w:rPr>
          <w:rFonts w:ascii="Times New Roman" w:eastAsia="Times New Roman" w:hAnsi="Times New Roman" w:cs="Times New Roman"/>
          <w:sz w:val="24"/>
          <w:szCs w:val="24"/>
        </w:rPr>
        <w:t xml:space="preserve">e assess how responsibility for addressing AMR is framed and practised in UK grocery retailers’ pork and chicken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982B78">
        <w:rPr>
          <w:rFonts w:ascii="Times New Roman" w:eastAsia="Times New Roman" w:hAnsi="Times New Roman" w:cs="Times New Roman"/>
          <w:sz w:val="24"/>
          <w:szCs w:val="24"/>
        </w:rPr>
        <w:t>s</w:t>
      </w:r>
      <w:r w:rsidR="0088234E">
        <w:rPr>
          <w:rFonts w:ascii="Times New Roman" w:eastAsia="Times New Roman" w:hAnsi="Times New Roman" w:cs="Times New Roman"/>
          <w:sz w:val="24"/>
          <w:szCs w:val="24"/>
        </w:rPr>
        <w:t xml:space="preserve"> and acknowledge the limits to that responsibility in the face of uncertainty</w:t>
      </w:r>
      <w:r w:rsidR="00982B78">
        <w:rPr>
          <w:rFonts w:ascii="Times New Roman" w:eastAsia="Times New Roman" w:hAnsi="Times New Roman" w:cs="Times New Roman"/>
          <w:sz w:val="24"/>
          <w:szCs w:val="24"/>
        </w:rPr>
        <w:t>.</w:t>
      </w:r>
    </w:p>
    <w:p w14:paraId="6D1FB27B" w14:textId="36BE3269" w:rsidR="00C351DB" w:rsidRDefault="00C351DB" w:rsidP="008A7D71">
      <w:pPr>
        <w:spacing w:line="480" w:lineRule="auto"/>
        <w:rPr>
          <w:rFonts w:ascii="Times New Roman" w:eastAsia="Times New Roman" w:hAnsi="Times New Roman" w:cs="Times New Roman"/>
          <w:sz w:val="24"/>
          <w:szCs w:val="24"/>
        </w:rPr>
      </w:pPr>
    </w:p>
    <w:p w14:paraId="6EDDC6EB" w14:textId="48AF5A33" w:rsidR="00FF0F1B" w:rsidRDefault="00C351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step-change in the UK’s policy endeavours to confront AMR came midway through the first Five Year </w:t>
      </w:r>
      <w:r w:rsidR="0088234E">
        <w:rPr>
          <w:rFonts w:ascii="Times New Roman" w:eastAsia="Times New Roman" w:hAnsi="Times New Roman" w:cs="Times New Roman"/>
          <w:sz w:val="24"/>
          <w:szCs w:val="24"/>
        </w:rPr>
        <w:t xml:space="preserve">UK </w:t>
      </w:r>
      <w:r>
        <w:rPr>
          <w:rFonts w:ascii="Times New Roman" w:eastAsia="Times New Roman" w:hAnsi="Times New Roman" w:cs="Times New Roman"/>
          <w:sz w:val="24"/>
          <w:szCs w:val="24"/>
        </w:rPr>
        <w:t xml:space="preserve">AMR Strategy in 2014 when the economist, Lord Jim O’Neill, was commissioned by the government to produce a report </w:t>
      </w:r>
      <w:r w:rsidR="00965BB3">
        <w:rPr>
          <w:rFonts w:ascii="Times New Roman" w:eastAsia="Times New Roman" w:hAnsi="Times New Roman" w:cs="Times New Roman"/>
          <w:sz w:val="24"/>
          <w:szCs w:val="24"/>
        </w:rPr>
        <w:t xml:space="preserve">to tackle </w:t>
      </w:r>
      <w:r>
        <w:rPr>
          <w:rFonts w:ascii="Times New Roman" w:eastAsia="Times New Roman" w:hAnsi="Times New Roman" w:cs="Times New Roman"/>
          <w:sz w:val="24"/>
          <w:szCs w:val="24"/>
        </w:rPr>
        <w:t xml:space="preserve">AMR as a global challenge. The high-profile report was published in May 2016 entitled, </w:t>
      </w:r>
      <w:r>
        <w:rPr>
          <w:rFonts w:ascii="Times New Roman" w:eastAsia="Times New Roman" w:hAnsi="Times New Roman" w:cs="Times New Roman"/>
          <w:i/>
          <w:sz w:val="24"/>
          <w:szCs w:val="24"/>
        </w:rPr>
        <w:t>Tackling Drug-Resistant Infections Globally: Final Report and Recommendations—The Review of Antimicrobial Resistance</w:t>
      </w:r>
      <w:r w:rsidR="0047207C">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t>positioned</w:t>
      </w:r>
      <w:r w:rsidR="004720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supermarket chains, processors, and regulators as a set of influential actors beyond the healthcare setting</w:t>
      </w:r>
      <w:r w:rsidR="004720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responsibilities for attending to AMR in the food system. This </w:t>
      </w:r>
      <w:r w:rsidR="0047207C">
        <w:rPr>
          <w:rFonts w:ascii="Times New Roman" w:eastAsia="Times New Roman" w:hAnsi="Times New Roman" w:cs="Times New Roman"/>
          <w:sz w:val="24"/>
          <w:szCs w:val="24"/>
        </w:rPr>
        <w:t>positioning</w:t>
      </w:r>
      <w:r>
        <w:rPr>
          <w:rFonts w:ascii="Times New Roman" w:eastAsia="Times New Roman" w:hAnsi="Times New Roman" w:cs="Times New Roman"/>
          <w:sz w:val="24"/>
          <w:szCs w:val="24"/>
        </w:rPr>
        <w:t xml:space="preserve"> </w:t>
      </w:r>
      <w:r w:rsidR="0047207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in keeping with the </w:t>
      </w:r>
      <w:r w:rsidR="0047207C">
        <w:rPr>
          <w:rFonts w:ascii="Times New Roman" w:eastAsia="Times New Roman" w:hAnsi="Times New Roman" w:cs="Times New Roman"/>
          <w:sz w:val="24"/>
          <w:szCs w:val="24"/>
        </w:rPr>
        <w:t xml:space="preserve">mode of UK food system </w:t>
      </w:r>
      <w:r>
        <w:rPr>
          <w:rFonts w:ascii="Times New Roman" w:eastAsia="Times New Roman" w:hAnsi="Times New Roman" w:cs="Times New Roman"/>
          <w:sz w:val="24"/>
          <w:szCs w:val="24"/>
        </w:rPr>
        <w:t>regulation enshrined in the 1990 Food Safety Act (Marsden et al</w:t>
      </w:r>
      <w:r w:rsidR="004542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w:t>
      </w:r>
      <w:r w:rsidR="00454227">
        <w:rPr>
          <w:rFonts w:ascii="Times New Roman" w:eastAsia="Times New Roman" w:hAnsi="Times New Roman" w:cs="Times New Roman"/>
          <w:sz w:val="24"/>
          <w:szCs w:val="24"/>
        </w:rPr>
        <w:t>09</w:t>
      </w:r>
      <w:r>
        <w:rPr>
          <w:rFonts w:ascii="Times New Roman" w:eastAsia="Times New Roman" w:hAnsi="Times New Roman" w:cs="Times New Roman"/>
          <w:sz w:val="24"/>
          <w:szCs w:val="24"/>
        </w:rPr>
        <w:t xml:space="preserve">). Yet addressing </w:t>
      </w:r>
      <w:r w:rsidR="0047207C">
        <w:rPr>
          <w:rFonts w:ascii="Times New Roman" w:eastAsia="Times New Roman" w:hAnsi="Times New Roman" w:cs="Times New Roman"/>
          <w:sz w:val="24"/>
          <w:szCs w:val="24"/>
        </w:rPr>
        <w:t xml:space="preserve">the public health challenge of AMR </w:t>
      </w:r>
      <w:r>
        <w:rPr>
          <w:rFonts w:ascii="Times New Roman" w:eastAsia="Times New Roman" w:hAnsi="Times New Roman" w:cs="Times New Roman"/>
          <w:sz w:val="24"/>
          <w:szCs w:val="24"/>
        </w:rPr>
        <w:t>within f</w:t>
      </w:r>
      <w:r w:rsidR="0047207C">
        <w:rPr>
          <w:rFonts w:ascii="Times New Roman" w:eastAsia="Times New Roman" w:hAnsi="Times New Roman" w:cs="Times New Roman"/>
          <w:sz w:val="24"/>
          <w:szCs w:val="24"/>
        </w:rPr>
        <w:t>ood systems, which presents through</w:t>
      </w:r>
      <w:r>
        <w:rPr>
          <w:rFonts w:ascii="Times New Roman" w:eastAsia="Times New Roman" w:hAnsi="Times New Roman" w:cs="Times New Roman"/>
          <w:sz w:val="24"/>
          <w:szCs w:val="24"/>
        </w:rPr>
        <w:t xml:space="preserve"> non-linear</w:t>
      </w:r>
      <w:r w:rsidR="004720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uncertain pathogenic pathways and within a “highly capitalised” </w:t>
      </w:r>
      <w:r w:rsidR="009C71DA">
        <w:rPr>
          <w:rFonts w:ascii="Times New Roman" w:eastAsia="Times New Roman" w:hAnsi="Times New Roman" w:cs="Times New Roman"/>
          <w:sz w:val="24"/>
          <w:szCs w:val="24"/>
        </w:rPr>
        <w:t xml:space="preserve">landscape </w:t>
      </w:r>
      <w:r>
        <w:rPr>
          <w:rFonts w:ascii="Times New Roman" w:eastAsia="Times New Roman" w:hAnsi="Times New Roman" w:cs="Times New Roman"/>
          <w:sz w:val="24"/>
          <w:szCs w:val="24"/>
        </w:rPr>
        <w:t>(Hinchliffe et al., 2017: page 22</w:t>
      </w:r>
      <w:r w:rsidR="009C71D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B17E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 its challenges, which we</w:t>
      </w:r>
      <w:r w:rsidR="0005222F">
        <w:rPr>
          <w:rFonts w:ascii="Times New Roman" w:eastAsia="Times New Roman" w:hAnsi="Times New Roman" w:cs="Times New Roman"/>
          <w:sz w:val="24"/>
          <w:szCs w:val="24"/>
        </w:rPr>
        <w:t xml:space="preserve"> address in the paper</w:t>
      </w:r>
      <w:r>
        <w:rPr>
          <w:rFonts w:ascii="Times New Roman" w:eastAsia="Times New Roman" w:hAnsi="Times New Roman" w:cs="Times New Roman"/>
          <w:sz w:val="24"/>
          <w:szCs w:val="24"/>
        </w:rPr>
        <w:t>.</w:t>
      </w:r>
    </w:p>
    <w:p w14:paraId="5098211D" w14:textId="77777777" w:rsidR="005716CA" w:rsidRDefault="005716CA">
      <w:pPr>
        <w:spacing w:line="480" w:lineRule="auto"/>
        <w:rPr>
          <w:rFonts w:ascii="Times New Roman" w:eastAsia="Times New Roman" w:hAnsi="Times New Roman" w:cs="Times New Roman"/>
          <w:sz w:val="24"/>
          <w:szCs w:val="24"/>
        </w:rPr>
      </w:pPr>
    </w:p>
    <w:p w14:paraId="4D252619" w14:textId="277F00F9" w:rsidR="00FF0F1B" w:rsidRDefault="00982B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implications of Brexit unfolding and the possible arrival of US produced</w:t>
      </w:r>
      <w:r w:rsidR="000522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chlorine washed chicken carcasses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in the UK, critical engagement with the oft-cited power of corporate food retailers and processors is timely on a topic that unites public health, animal welfare, food safety</w:t>
      </w:r>
      <w:r w:rsidR="007E35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and food security concerns. Food retailers, in particular, are frequently positioned as a key set of actors choreographing the food system (Lang et al., 2009), and we have witnessed that belief shaping the UK Government response to AMR (HM Government, 2016). The highly consolidated UK grocery retailing sector has for several decades been marked by significant corporate buying power and influence. And yet, how corporations, including but not limited to retailers, are meeting the challenge of AMR as a food safety and animal welfare concern, as well as a broader public health issue, ha</w:t>
      </w:r>
      <w:r w:rsidR="008F790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been under-researched compared with those of government, agricultural producers, and veterinary practitioners. We argue that there is a need for a focus on corporate response and how it operates through the </w:t>
      </w:r>
      <w:r w:rsidR="00056D4C">
        <w:rPr>
          <w:rFonts w:ascii="Times New Roman" w:eastAsia="Times New Roman" w:hAnsi="Times New Roman" w:cs="Times New Roman"/>
          <w:sz w:val="24"/>
          <w:szCs w:val="24"/>
        </w:rPr>
        <w:t>agri-food</w:t>
      </w:r>
      <w:r w:rsidR="00B17EAF">
        <w:rPr>
          <w:rFonts w:ascii="Times New Roman" w:eastAsia="Times New Roman" w:hAnsi="Times New Roman" w:cs="Times New Roman"/>
          <w:sz w:val="24"/>
          <w:szCs w:val="24"/>
        </w:rPr>
        <w:t xml:space="preserve"> system.</w:t>
      </w:r>
    </w:p>
    <w:p w14:paraId="2D0DD4AC" w14:textId="77777777" w:rsidR="00FF0F1B" w:rsidRDefault="00FF0F1B">
      <w:pPr>
        <w:spacing w:line="480" w:lineRule="auto"/>
        <w:rPr>
          <w:rFonts w:ascii="Times New Roman" w:eastAsia="Times New Roman" w:hAnsi="Times New Roman" w:cs="Times New Roman"/>
          <w:sz w:val="24"/>
          <w:szCs w:val="24"/>
        </w:rPr>
      </w:pPr>
    </w:p>
    <w:p w14:paraId="0006F7F5" w14:textId="7FA02B9C" w:rsidR="00804CE4" w:rsidRDefault="00C351DB" w:rsidP="00804C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influence of the global ‘One Health’ approach, which drives the interdisciplinary and tripartite collaboration between the WHO, the United Nations (UN) Food and Agricultural Organisation (FAO), and the World Organisation for Animal Health (OIE) (Hinchliffe, 2015) is clear in the UK response to AMR. </w:t>
      </w:r>
      <w:r w:rsidR="007363F3">
        <w:rPr>
          <w:rFonts w:ascii="Times New Roman" w:eastAsia="Times New Roman" w:hAnsi="Times New Roman" w:cs="Times New Roman"/>
          <w:sz w:val="24"/>
          <w:szCs w:val="24"/>
        </w:rPr>
        <w:t>UK government responsibility for implementing</w:t>
      </w:r>
      <w:r w:rsidR="00610033">
        <w:rPr>
          <w:rFonts w:ascii="Times New Roman" w:eastAsia="Times New Roman" w:hAnsi="Times New Roman" w:cs="Times New Roman"/>
          <w:sz w:val="24"/>
          <w:szCs w:val="24"/>
        </w:rPr>
        <w:t xml:space="preserve"> </w:t>
      </w:r>
      <w:r w:rsidR="007363F3">
        <w:rPr>
          <w:rFonts w:ascii="Times New Roman" w:eastAsia="Times New Roman" w:hAnsi="Times New Roman" w:cs="Times New Roman"/>
          <w:sz w:val="24"/>
          <w:szCs w:val="24"/>
        </w:rPr>
        <w:t xml:space="preserve">the UK’s </w:t>
      </w:r>
      <w:r w:rsidR="007363F3">
        <w:rPr>
          <w:rFonts w:ascii="Times New Roman" w:eastAsia="Times New Roman" w:hAnsi="Times New Roman" w:cs="Times New Roman"/>
          <w:i/>
          <w:sz w:val="24"/>
          <w:szCs w:val="24"/>
        </w:rPr>
        <w:t xml:space="preserve">2013-18 </w:t>
      </w:r>
      <w:r w:rsidR="007363F3">
        <w:rPr>
          <w:rFonts w:ascii="Times New Roman" w:eastAsia="Times New Roman" w:hAnsi="Times New Roman" w:cs="Times New Roman"/>
          <w:sz w:val="24"/>
          <w:szCs w:val="24"/>
        </w:rPr>
        <w:t xml:space="preserve">and </w:t>
      </w:r>
      <w:r w:rsidR="007363F3">
        <w:rPr>
          <w:rFonts w:ascii="Times New Roman" w:eastAsia="Times New Roman" w:hAnsi="Times New Roman" w:cs="Times New Roman"/>
          <w:i/>
          <w:sz w:val="24"/>
          <w:szCs w:val="24"/>
        </w:rPr>
        <w:t>2019-2024 Five Year Antimicrobial Resistance Strategy</w:t>
      </w:r>
      <w:r w:rsidR="00FA3F17">
        <w:rPr>
          <w:rFonts w:ascii="Times New Roman" w:eastAsia="Times New Roman" w:hAnsi="Times New Roman" w:cs="Times New Roman"/>
          <w:iCs/>
          <w:sz w:val="24"/>
          <w:szCs w:val="24"/>
        </w:rPr>
        <w:t>, accompanied by a 20-year vision,</w:t>
      </w:r>
      <w:r w:rsidR="007363F3">
        <w:rPr>
          <w:rFonts w:ascii="Times New Roman" w:eastAsia="Times New Roman" w:hAnsi="Times New Roman" w:cs="Times New Roman"/>
          <w:sz w:val="24"/>
          <w:szCs w:val="24"/>
        </w:rPr>
        <w:t xml:space="preserve"> in agriculture and the food system spreads across multiple Whitehall departments, including the Department f</w:t>
      </w:r>
      <w:r w:rsidR="009A7BF3">
        <w:rPr>
          <w:rFonts w:ascii="Times New Roman" w:eastAsia="Times New Roman" w:hAnsi="Times New Roman" w:cs="Times New Roman"/>
          <w:sz w:val="24"/>
          <w:szCs w:val="24"/>
        </w:rPr>
        <w:t>or Environment, Food and Rural A</w:t>
      </w:r>
      <w:r w:rsidR="007363F3">
        <w:rPr>
          <w:rFonts w:ascii="Times New Roman" w:eastAsia="Times New Roman" w:hAnsi="Times New Roman" w:cs="Times New Roman"/>
          <w:sz w:val="24"/>
          <w:szCs w:val="24"/>
        </w:rPr>
        <w:t>ffairs (Defra) and the Veterinary Medicines Directorate (VMD), as well as the Food Standards Agency (FSA) as a non-ministerial department</w:t>
      </w:r>
      <w:r>
        <w:rPr>
          <w:rFonts w:ascii="Times New Roman" w:eastAsia="Times New Roman" w:hAnsi="Times New Roman" w:cs="Times New Roman"/>
          <w:sz w:val="24"/>
          <w:szCs w:val="24"/>
        </w:rPr>
        <w:t>.</w:t>
      </w:r>
      <w:r w:rsidR="007363F3">
        <w:rPr>
          <w:rFonts w:ascii="Times New Roman" w:eastAsia="Times New Roman" w:hAnsi="Times New Roman" w:cs="Times New Roman"/>
          <w:sz w:val="24"/>
          <w:szCs w:val="24"/>
        </w:rPr>
        <w:t xml:space="preserve"> </w:t>
      </w:r>
      <w:r w:rsidR="00C137B7">
        <w:rPr>
          <w:rFonts w:ascii="Times New Roman" w:eastAsia="Times New Roman" w:hAnsi="Times New Roman" w:cs="Times New Roman"/>
          <w:sz w:val="24"/>
          <w:szCs w:val="24"/>
        </w:rPr>
        <w:t>G</w:t>
      </w:r>
      <w:r w:rsidR="00AC3080">
        <w:rPr>
          <w:rFonts w:ascii="Times New Roman" w:eastAsia="Times New Roman" w:hAnsi="Times New Roman" w:cs="Times New Roman"/>
          <w:sz w:val="24"/>
          <w:szCs w:val="24"/>
        </w:rPr>
        <w:t>lobal AMR policy informs the UK approach</w:t>
      </w:r>
      <w:r w:rsidR="005716CA">
        <w:rPr>
          <w:rFonts w:ascii="Times New Roman" w:eastAsia="Times New Roman" w:hAnsi="Times New Roman" w:cs="Times New Roman"/>
          <w:sz w:val="24"/>
          <w:szCs w:val="24"/>
        </w:rPr>
        <w:t xml:space="preserve"> through its </w:t>
      </w:r>
      <w:r w:rsidR="00DA1E62">
        <w:rPr>
          <w:rFonts w:ascii="Times New Roman" w:eastAsia="Times New Roman" w:hAnsi="Times New Roman" w:cs="Times New Roman"/>
          <w:sz w:val="24"/>
          <w:szCs w:val="24"/>
        </w:rPr>
        <w:t>focus on</w:t>
      </w:r>
      <w:r w:rsidR="00AC3080">
        <w:rPr>
          <w:rFonts w:ascii="Times New Roman" w:eastAsia="Times New Roman" w:hAnsi="Times New Roman" w:cs="Times New Roman"/>
          <w:sz w:val="24"/>
          <w:szCs w:val="24"/>
        </w:rPr>
        <w:t xml:space="preserve">: (i) reduction and rationalisation of </w:t>
      </w:r>
      <w:r w:rsidR="004F098D">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use</w:t>
      </w:r>
      <w:r w:rsidR="00AC3080">
        <w:rPr>
          <w:rFonts w:ascii="Times New Roman" w:eastAsia="Times New Roman" w:hAnsi="Times New Roman" w:cs="Times New Roman"/>
          <w:sz w:val="24"/>
          <w:szCs w:val="24"/>
        </w:rPr>
        <w:t>; (ii) biosecurity and attempts to contain infectious disease and AMR; and (iii) innovation in diagnosis, vaccination</w:t>
      </w:r>
      <w:r w:rsidR="002A6D9B">
        <w:rPr>
          <w:rFonts w:ascii="Times New Roman" w:eastAsia="Times New Roman" w:hAnsi="Times New Roman" w:cs="Times New Roman"/>
          <w:sz w:val="24"/>
          <w:szCs w:val="24"/>
        </w:rPr>
        <w:t>,</w:t>
      </w:r>
      <w:r w:rsidR="00AC3080">
        <w:rPr>
          <w:rFonts w:ascii="Times New Roman" w:eastAsia="Times New Roman" w:hAnsi="Times New Roman" w:cs="Times New Roman"/>
          <w:sz w:val="24"/>
          <w:szCs w:val="24"/>
        </w:rPr>
        <w:t xml:space="preserve"> and treatment (Hinchliffe et al, 2017). </w:t>
      </w:r>
      <w:r w:rsidR="005716CA">
        <w:rPr>
          <w:rFonts w:ascii="Times New Roman" w:eastAsia="Times New Roman" w:hAnsi="Times New Roman" w:cs="Times New Roman"/>
          <w:sz w:val="24"/>
          <w:szCs w:val="24"/>
        </w:rPr>
        <w:t>Whilst t</w:t>
      </w:r>
      <w:r w:rsidR="00AC3080">
        <w:rPr>
          <w:rFonts w:ascii="Times New Roman" w:eastAsia="Times New Roman" w:hAnsi="Times New Roman" w:cs="Times New Roman"/>
          <w:sz w:val="24"/>
          <w:szCs w:val="24"/>
        </w:rPr>
        <w:t>ackling the problem of AMR in the UK food system beg</w:t>
      </w:r>
      <w:r>
        <w:rPr>
          <w:rFonts w:ascii="Times New Roman" w:eastAsia="Times New Roman" w:hAnsi="Times New Roman" w:cs="Times New Roman"/>
          <w:sz w:val="24"/>
          <w:szCs w:val="24"/>
        </w:rPr>
        <w:t>an</w:t>
      </w:r>
      <w:r w:rsidR="00AC3080">
        <w:rPr>
          <w:rFonts w:ascii="Times New Roman" w:eastAsia="Times New Roman" w:hAnsi="Times New Roman" w:cs="Times New Roman"/>
          <w:sz w:val="24"/>
          <w:szCs w:val="24"/>
        </w:rPr>
        <w:t xml:space="preserve"> with broad</w:t>
      </w:r>
      <w:r w:rsidR="007E35F3">
        <w:rPr>
          <w:rFonts w:ascii="Times New Roman" w:eastAsia="Times New Roman" w:hAnsi="Times New Roman" w:cs="Times New Roman"/>
          <w:sz w:val="24"/>
          <w:szCs w:val="24"/>
        </w:rPr>
        <w:t>,</w:t>
      </w:r>
      <w:r w:rsidR="00AC3080">
        <w:rPr>
          <w:rFonts w:ascii="Times New Roman" w:eastAsia="Times New Roman" w:hAnsi="Times New Roman" w:cs="Times New Roman"/>
          <w:sz w:val="24"/>
          <w:szCs w:val="24"/>
        </w:rPr>
        <w:t xml:space="preserve"> multi-faceted aims (Prestinaci et al</w:t>
      </w:r>
      <w:r w:rsidR="002A6D9B">
        <w:rPr>
          <w:rFonts w:ascii="Times New Roman" w:eastAsia="Times New Roman" w:hAnsi="Times New Roman" w:cs="Times New Roman"/>
          <w:sz w:val="24"/>
          <w:szCs w:val="24"/>
        </w:rPr>
        <w:t>.</w:t>
      </w:r>
      <w:r w:rsidR="00AC3080">
        <w:rPr>
          <w:rFonts w:ascii="Times New Roman" w:eastAsia="Times New Roman" w:hAnsi="Times New Roman" w:cs="Times New Roman"/>
          <w:sz w:val="24"/>
          <w:szCs w:val="24"/>
        </w:rPr>
        <w:t>, 2015)</w:t>
      </w:r>
      <w:r w:rsidR="005716CA">
        <w:rPr>
          <w:rFonts w:ascii="Times New Roman" w:eastAsia="Times New Roman" w:hAnsi="Times New Roman" w:cs="Times New Roman"/>
          <w:sz w:val="24"/>
          <w:szCs w:val="24"/>
        </w:rPr>
        <w:t>,</w:t>
      </w:r>
      <w:r w:rsidR="00AC3080">
        <w:rPr>
          <w:rFonts w:ascii="Times New Roman" w:eastAsia="Times New Roman" w:hAnsi="Times New Roman" w:cs="Times New Roman"/>
          <w:sz w:val="24"/>
          <w:szCs w:val="24"/>
        </w:rPr>
        <w:t xml:space="preserve"> our study provides insight into how policy </w:t>
      </w:r>
      <w:r w:rsidR="005716CA">
        <w:rPr>
          <w:rFonts w:ascii="Times New Roman" w:eastAsia="Times New Roman" w:hAnsi="Times New Roman" w:cs="Times New Roman"/>
          <w:sz w:val="24"/>
          <w:szCs w:val="24"/>
        </w:rPr>
        <w:t>became sharply</w:t>
      </w:r>
      <w:r w:rsidR="00AC3080">
        <w:rPr>
          <w:rFonts w:ascii="Times New Roman" w:eastAsia="Times New Roman" w:hAnsi="Times New Roman" w:cs="Times New Roman"/>
          <w:sz w:val="24"/>
          <w:szCs w:val="24"/>
        </w:rPr>
        <w:t xml:space="preserve"> focus</w:t>
      </w:r>
      <w:r w:rsidR="005716CA">
        <w:rPr>
          <w:rFonts w:ascii="Times New Roman" w:eastAsia="Times New Roman" w:hAnsi="Times New Roman" w:cs="Times New Roman"/>
          <w:sz w:val="24"/>
          <w:szCs w:val="24"/>
        </w:rPr>
        <w:t>ed</w:t>
      </w:r>
      <w:r w:rsidR="00AC3080">
        <w:rPr>
          <w:rFonts w:ascii="Times New Roman" w:eastAsia="Times New Roman" w:hAnsi="Times New Roman" w:cs="Times New Roman"/>
          <w:sz w:val="24"/>
          <w:szCs w:val="24"/>
        </w:rPr>
        <w:t xml:space="preserve"> on the first (i) of these</w:t>
      </w:r>
      <w:r w:rsidR="005716CA">
        <w:rPr>
          <w:rFonts w:ascii="Times New Roman" w:eastAsia="Times New Roman" w:hAnsi="Times New Roman" w:cs="Times New Roman"/>
          <w:sz w:val="24"/>
          <w:szCs w:val="24"/>
        </w:rPr>
        <w:t xml:space="preserve"> – reduction and rationalisation of </w:t>
      </w:r>
      <w:r w:rsidR="004F098D">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use</w:t>
      </w:r>
      <w:r w:rsidR="005716CA">
        <w:rPr>
          <w:rFonts w:ascii="Times New Roman" w:eastAsia="Times New Roman" w:hAnsi="Times New Roman" w:cs="Times New Roman"/>
          <w:sz w:val="24"/>
          <w:szCs w:val="24"/>
        </w:rPr>
        <w:t xml:space="preserve"> -</w:t>
      </w:r>
      <w:r w:rsidR="00AC3080">
        <w:rPr>
          <w:rFonts w:ascii="Times New Roman" w:eastAsia="Times New Roman" w:hAnsi="Times New Roman" w:cs="Times New Roman"/>
          <w:sz w:val="24"/>
          <w:szCs w:val="24"/>
        </w:rPr>
        <w:t xml:space="preserve"> when applied to </w:t>
      </w:r>
      <w:r w:rsidR="005716CA">
        <w:rPr>
          <w:rFonts w:ascii="Times New Roman" w:eastAsia="Times New Roman" w:hAnsi="Times New Roman" w:cs="Times New Roman"/>
          <w:sz w:val="24"/>
          <w:szCs w:val="24"/>
        </w:rPr>
        <w:t xml:space="preserve">the </w:t>
      </w:r>
      <w:r w:rsidR="00056D4C">
        <w:rPr>
          <w:rFonts w:ascii="Times New Roman" w:eastAsia="Times New Roman" w:hAnsi="Times New Roman" w:cs="Times New Roman"/>
          <w:sz w:val="24"/>
          <w:szCs w:val="24"/>
        </w:rPr>
        <w:t>agri-food</w:t>
      </w:r>
      <w:r w:rsidR="00AC3080">
        <w:rPr>
          <w:rFonts w:ascii="Times New Roman" w:eastAsia="Times New Roman" w:hAnsi="Times New Roman" w:cs="Times New Roman"/>
          <w:sz w:val="24"/>
          <w:szCs w:val="24"/>
        </w:rPr>
        <w:t xml:space="preserve"> system. </w:t>
      </w:r>
      <w:r w:rsidR="00461CBD">
        <w:rPr>
          <w:rFonts w:ascii="Times New Roman" w:eastAsia="Times New Roman" w:hAnsi="Times New Roman" w:cs="Times New Roman"/>
          <w:sz w:val="24"/>
          <w:szCs w:val="24"/>
        </w:rPr>
        <w:t xml:space="preserve">Whilst antimicrobial agents can also include antivirals and antifungals to kill or restrict the growth of a wide range of organisms, much of the attention in AMR research and debate </w:t>
      </w:r>
      <w:r w:rsidR="007363F3">
        <w:rPr>
          <w:rFonts w:ascii="Times New Roman" w:eastAsia="Times New Roman" w:hAnsi="Times New Roman" w:cs="Times New Roman"/>
          <w:sz w:val="24"/>
          <w:szCs w:val="24"/>
        </w:rPr>
        <w:t xml:space="preserve">has </w:t>
      </w:r>
      <w:r w:rsidR="00461CBD">
        <w:rPr>
          <w:rFonts w:ascii="Times New Roman" w:eastAsia="Times New Roman" w:hAnsi="Times New Roman" w:cs="Times New Roman"/>
          <w:sz w:val="24"/>
          <w:szCs w:val="24"/>
        </w:rPr>
        <w:t>focused on the protection</w:t>
      </w:r>
      <w:r w:rsidR="004D71C7">
        <w:rPr>
          <w:rFonts w:ascii="Times New Roman" w:eastAsia="Times New Roman" w:hAnsi="Times New Roman" w:cs="Times New Roman"/>
          <w:sz w:val="24"/>
          <w:szCs w:val="24"/>
        </w:rPr>
        <w:t xml:space="preserve">, by </w:t>
      </w:r>
      <w:r w:rsidR="004D71C7">
        <w:rPr>
          <w:rFonts w:ascii="Times New Roman" w:eastAsia="Times New Roman" w:hAnsi="Times New Roman" w:cs="Times New Roman"/>
          <w:sz w:val="24"/>
          <w:szCs w:val="24"/>
        </w:rPr>
        <w:lastRenderedPageBreak/>
        <w:t xml:space="preserve">reducing their usage, </w:t>
      </w:r>
      <w:r w:rsidR="00461CBD">
        <w:rPr>
          <w:rFonts w:ascii="Times New Roman" w:eastAsia="Times New Roman" w:hAnsi="Times New Roman" w:cs="Times New Roman"/>
          <w:sz w:val="24"/>
          <w:szCs w:val="24"/>
        </w:rPr>
        <w:t>of antibiotics used to target and kill pathogenic bacteria (and by consequence often also the non-pathogenic) in clinical settings (Ventola</w:t>
      </w:r>
      <w:r w:rsidR="007E35F3">
        <w:rPr>
          <w:rFonts w:ascii="Times New Roman" w:eastAsia="Times New Roman" w:hAnsi="Times New Roman" w:cs="Times New Roman"/>
          <w:sz w:val="24"/>
          <w:szCs w:val="24"/>
        </w:rPr>
        <w:t>,</w:t>
      </w:r>
      <w:r w:rsidR="00461CBD">
        <w:rPr>
          <w:rFonts w:ascii="Times New Roman" w:eastAsia="Times New Roman" w:hAnsi="Times New Roman" w:cs="Times New Roman"/>
          <w:sz w:val="24"/>
          <w:szCs w:val="24"/>
        </w:rPr>
        <w:t xml:space="preserve"> 2015).</w:t>
      </w:r>
    </w:p>
    <w:p w14:paraId="4D43C047" w14:textId="446833F2" w:rsidR="00461CBD" w:rsidRDefault="00461CBD" w:rsidP="00AC3080">
      <w:pPr>
        <w:spacing w:line="480" w:lineRule="auto"/>
        <w:rPr>
          <w:rFonts w:ascii="Times New Roman" w:eastAsia="Times New Roman" w:hAnsi="Times New Roman" w:cs="Times New Roman"/>
          <w:sz w:val="24"/>
          <w:szCs w:val="24"/>
        </w:rPr>
      </w:pPr>
    </w:p>
    <w:p w14:paraId="4C620746" w14:textId="3D0BB2E7" w:rsidR="00804CE4" w:rsidRDefault="00D56271" w:rsidP="00804C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AMR in the global </w:t>
      </w:r>
      <w:r w:rsidR="00610033">
        <w:rPr>
          <w:rFonts w:ascii="Times New Roman" w:eastAsia="Times New Roman" w:hAnsi="Times New Roman" w:cs="Times New Roman"/>
          <w:sz w:val="24"/>
          <w:szCs w:val="24"/>
        </w:rPr>
        <w:t>agri-</w:t>
      </w:r>
      <w:r>
        <w:rPr>
          <w:rFonts w:ascii="Times New Roman" w:eastAsia="Times New Roman" w:hAnsi="Times New Roman" w:cs="Times New Roman"/>
          <w:sz w:val="24"/>
          <w:szCs w:val="24"/>
        </w:rPr>
        <w:t xml:space="preserve">food system remains methodologically hard to map and measure, </w:t>
      </w:r>
      <w:r w:rsidR="00CB65A8">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the potential risks to the health of farm animals, ecosystems, farm labourers, and wider publics (Graham et al</w:t>
      </w:r>
      <w:r w:rsidR="007E35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 demands attention and action. </w:t>
      </w:r>
      <w:r w:rsidR="00804CE4">
        <w:rPr>
          <w:rFonts w:ascii="Times New Roman" w:eastAsia="Times New Roman" w:hAnsi="Times New Roman" w:cs="Times New Roman"/>
          <w:sz w:val="24"/>
          <w:szCs w:val="24"/>
        </w:rPr>
        <w:t xml:space="preserve">Antibiotic practices on-farm are already associated with growing resistance amongst </w:t>
      </w:r>
      <w:r w:rsidR="00804CE4">
        <w:rPr>
          <w:rFonts w:ascii="Times New Roman" w:eastAsia="Times New Roman" w:hAnsi="Times New Roman" w:cs="Times New Roman"/>
          <w:i/>
          <w:sz w:val="24"/>
          <w:szCs w:val="24"/>
        </w:rPr>
        <w:t>Salmonella, Campylobacter</w:t>
      </w:r>
      <w:r w:rsidR="002A6D9B">
        <w:rPr>
          <w:rFonts w:ascii="Times New Roman" w:eastAsia="Times New Roman" w:hAnsi="Times New Roman" w:cs="Times New Roman"/>
          <w:iCs/>
          <w:sz w:val="24"/>
          <w:szCs w:val="24"/>
        </w:rPr>
        <w:t>,</w:t>
      </w:r>
      <w:r w:rsidR="00804CE4">
        <w:rPr>
          <w:rFonts w:ascii="Times New Roman" w:eastAsia="Times New Roman" w:hAnsi="Times New Roman" w:cs="Times New Roman"/>
          <w:i/>
          <w:sz w:val="24"/>
          <w:szCs w:val="24"/>
        </w:rPr>
        <w:t xml:space="preserve"> </w:t>
      </w:r>
      <w:r w:rsidR="00804CE4">
        <w:rPr>
          <w:rFonts w:ascii="Times New Roman" w:eastAsia="Times New Roman" w:hAnsi="Times New Roman" w:cs="Times New Roman"/>
          <w:sz w:val="24"/>
          <w:szCs w:val="24"/>
        </w:rPr>
        <w:t>and</w:t>
      </w:r>
      <w:r w:rsidR="00804CE4">
        <w:rPr>
          <w:rFonts w:ascii="Times New Roman" w:eastAsia="Times New Roman" w:hAnsi="Times New Roman" w:cs="Times New Roman"/>
          <w:i/>
          <w:sz w:val="24"/>
          <w:szCs w:val="24"/>
        </w:rPr>
        <w:t xml:space="preserve"> E-coli </w:t>
      </w:r>
      <w:r w:rsidR="00804CE4" w:rsidRPr="009A7BF3">
        <w:rPr>
          <w:rFonts w:ascii="Times New Roman" w:eastAsia="Times New Roman" w:hAnsi="Times New Roman" w:cs="Times New Roman"/>
          <w:sz w:val="24"/>
          <w:szCs w:val="24"/>
        </w:rPr>
        <w:t>bacteria</w:t>
      </w:r>
      <w:r w:rsidR="00804CE4">
        <w:rPr>
          <w:rFonts w:ascii="Times New Roman" w:eastAsia="Times New Roman" w:hAnsi="Times New Roman" w:cs="Times New Roman"/>
          <w:i/>
          <w:sz w:val="24"/>
          <w:szCs w:val="24"/>
        </w:rPr>
        <w:t xml:space="preserve"> </w:t>
      </w:r>
      <w:r w:rsidR="00804CE4">
        <w:rPr>
          <w:rFonts w:ascii="Times New Roman" w:eastAsia="Times New Roman" w:hAnsi="Times New Roman" w:cs="Times New Roman"/>
          <w:sz w:val="24"/>
          <w:szCs w:val="24"/>
        </w:rPr>
        <w:t>(European Food Safety Authority, 2015; Hinchliffe et al., 2017). Moreover, against a backdrop of decades of farming involving the use of antibiotics, it has become clear that while antibiotics are an important tool to support the health, welfare</w:t>
      </w:r>
      <w:r w:rsidR="005519FA">
        <w:rPr>
          <w:rFonts w:ascii="Times New Roman" w:eastAsia="Times New Roman" w:hAnsi="Times New Roman" w:cs="Times New Roman"/>
          <w:sz w:val="24"/>
          <w:szCs w:val="24"/>
        </w:rPr>
        <w:t>,</w:t>
      </w:r>
      <w:r w:rsidR="00804CE4">
        <w:rPr>
          <w:rFonts w:ascii="Times New Roman" w:eastAsia="Times New Roman" w:hAnsi="Times New Roman" w:cs="Times New Roman"/>
          <w:sz w:val="24"/>
          <w:szCs w:val="24"/>
        </w:rPr>
        <w:t xml:space="preserve"> and productivity of animals, a key issue is their inappropriate and disproportionate use on farm (Buller et al</w:t>
      </w:r>
      <w:r w:rsidR="002A6D9B">
        <w:rPr>
          <w:rFonts w:ascii="Times New Roman" w:eastAsia="Times New Roman" w:hAnsi="Times New Roman" w:cs="Times New Roman"/>
          <w:sz w:val="24"/>
          <w:szCs w:val="24"/>
        </w:rPr>
        <w:t>.,</w:t>
      </w:r>
      <w:r w:rsidR="00804CE4">
        <w:rPr>
          <w:rFonts w:ascii="Times New Roman" w:eastAsia="Times New Roman" w:hAnsi="Times New Roman" w:cs="Times New Roman"/>
          <w:sz w:val="24"/>
          <w:szCs w:val="24"/>
        </w:rPr>
        <w:t xml:space="preserve"> 2015). This has the ripple effect of reduced efficacy of antibiotics, including Critically Important Antibiotics (CIAs), in human healthcare as resistant ‘superbug’ populations increase (O’Neill, 2016). Similarly, drug resistant pathogens are a health challenge for future farm animal populations with implications for food security.</w:t>
      </w:r>
    </w:p>
    <w:p w14:paraId="5818EAED" w14:textId="77777777" w:rsidR="00CB65A8" w:rsidRDefault="00CB65A8" w:rsidP="00804CE4">
      <w:pPr>
        <w:spacing w:line="480" w:lineRule="auto"/>
        <w:rPr>
          <w:rFonts w:ascii="Times New Roman" w:eastAsia="Times New Roman" w:hAnsi="Times New Roman" w:cs="Times New Roman"/>
          <w:sz w:val="24"/>
          <w:szCs w:val="24"/>
        </w:rPr>
      </w:pPr>
    </w:p>
    <w:p w14:paraId="06A4A4B4" w14:textId="0A243457" w:rsidR="00FF0F1B" w:rsidRDefault="00D562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Retailers have an identifiable regulatory responsibility for food safety (Marsden et al</w:t>
      </w:r>
      <w:r w:rsidR="002A6D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w:t>
      </w:r>
      <w:r w:rsidR="009543EC">
        <w:rPr>
          <w:rFonts w:ascii="Times New Roman" w:eastAsia="Times New Roman" w:hAnsi="Times New Roman" w:cs="Times New Roman"/>
          <w:sz w:val="24"/>
          <w:szCs w:val="24"/>
        </w:rPr>
        <w:t>09</w:t>
      </w:r>
      <w:r>
        <w:rPr>
          <w:rFonts w:ascii="Times New Roman" w:eastAsia="Times New Roman" w:hAnsi="Times New Roman" w:cs="Times New Roman"/>
          <w:sz w:val="24"/>
          <w:szCs w:val="24"/>
        </w:rPr>
        <w:t>) along transmission routes; for example</w:t>
      </w:r>
      <w:r w:rsidR="007E35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was found that one in four chickens on the shelves of UK supermarkets, including Tesco, Sainsbury, Asda, Aldi, Waitrose, the Co-op, and Morrisons, has been shown to contain antibiotic-resistant </w:t>
      </w:r>
      <w:r>
        <w:rPr>
          <w:rFonts w:ascii="Times New Roman" w:eastAsia="Times New Roman" w:hAnsi="Times New Roman" w:cs="Times New Roman"/>
          <w:i/>
          <w:sz w:val="24"/>
          <w:szCs w:val="24"/>
        </w:rPr>
        <w:t>E coli</w:t>
      </w:r>
      <w:r>
        <w:rPr>
          <w:rFonts w:ascii="Times New Roman" w:eastAsia="Times New Roman" w:hAnsi="Times New Roman" w:cs="Times New Roman"/>
          <w:sz w:val="24"/>
          <w:szCs w:val="24"/>
        </w:rPr>
        <w:t xml:space="preserve"> (Khomami, 2016). This goes some way to explain why the food sector is under pressure to respond</w:t>
      </w:r>
      <w:r w:rsidR="00610033">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developing and implementing standards </w:t>
      </w:r>
      <w:r w:rsidR="00DA1E62">
        <w:rPr>
          <w:rFonts w:ascii="Times New Roman" w:eastAsia="Times New Roman" w:hAnsi="Times New Roman" w:cs="Times New Roman"/>
          <w:sz w:val="24"/>
          <w:szCs w:val="24"/>
        </w:rPr>
        <w:t xml:space="preserve">that can </w:t>
      </w:r>
      <w:r w:rsidR="00E42BC0">
        <w:rPr>
          <w:rFonts w:ascii="Times New Roman" w:eastAsia="Times New Roman" w:hAnsi="Times New Roman" w:cs="Times New Roman"/>
          <w:sz w:val="24"/>
          <w:szCs w:val="24"/>
        </w:rPr>
        <w:t>addre</w:t>
      </w:r>
      <w:r w:rsidR="005519FA">
        <w:rPr>
          <w:rFonts w:ascii="Times New Roman" w:eastAsia="Times New Roman" w:hAnsi="Times New Roman" w:cs="Times New Roman"/>
          <w:sz w:val="24"/>
          <w:szCs w:val="24"/>
        </w:rPr>
        <w:t xml:space="preserve">ss </w:t>
      </w:r>
      <w:r w:rsidR="00190F8C">
        <w:rPr>
          <w:rFonts w:ascii="Times New Roman" w:eastAsia="Times New Roman" w:hAnsi="Times New Roman" w:cs="Times New Roman"/>
          <w:sz w:val="24"/>
          <w:szCs w:val="24"/>
        </w:rPr>
        <w:t xml:space="preserve">the selection for and transmission of </w:t>
      </w:r>
      <w:r w:rsidR="005519FA">
        <w:rPr>
          <w:rFonts w:ascii="Times New Roman" w:eastAsia="Times New Roman" w:hAnsi="Times New Roman" w:cs="Times New Roman"/>
          <w:sz w:val="24"/>
          <w:szCs w:val="24"/>
        </w:rPr>
        <w:t>AMR. In the paper</w:t>
      </w:r>
      <w:r w:rsidR="002A6D9B">
        <w:rPr>
          <w:rFonts w:ascii="Times New Roman" w:eastAsia="Times New Roman" w:hAnsi="Times New Roman" w:cs="Times New Roman"/>
          <w:sz w:val="24"/>
          <w:szCs w:val="24"/>
        </w:rPr>
        <w:t>,</w:t>
      </w:r>
      <w:r w:rsidR="00E42BC0">
        <w:rPr>
          <w:rFonts w:ascii="Times New Roman" w:eastAsia="Times New Roman" w:hAnsi="Times New Roman" w:cs="Times New Roman"/>
          <w:sz w:val="24"/>
          <w:szCs w:val="24"/>
        </w:rPr>
        <w:t xml:space="preserve"> we discuss why </w:t>
      </w:r>
      <w:r>
        <w:rPr>
          <w:rFonts w:ascii="Times New Roman" w:eastAsia="Times New Roman" w:hAnsi="Times New Roman" w:cs="Times New Roman"/>
          <w:sz w:val="24"/>
          <w:szCs w:val="24"/>
        </w:rPr>
        <w:t xml:space="preserve">prudent </w:t>
      </w:r>
      <w:r w:rsidR="004F098D">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use</w:t>
      </w:r>
      <w:r>
        <w:rPr>
          <w:rFonts w:ascii="Times New Roman" w:eastAsia="Times New Roman" w:hAnsi="Times New Roman" w:cs="Times New Roman"/>
          <w:sz w:val="24"/>
          <w:szCs w:val="24"/>
        </w:rPr>
        <w:t xml:space="preserve"> (O’Neill, 2016)</w:t>
      </w:r>
      <w:r w:rsidR="00610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literally </w:t>
      </w:r>
      <w:r w:rsidR="0061003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reduce the weaponry of antibiotics driving </w:t>
      </w:r>
      <w:r w:rsidR="00190F8C">
        <w:rPr>
          <w:rFonts w:ascii="Times New Roman" w:eastAsia="Times New Roman" w:hAnsi="Times New Roman" w:cs="Times New Roman"/>
          <w:sz w:val="24"/>
          <w:szCs w:val="24"/>
        </w:rPr>
        <w:t xml:space="preserve">selection for </w:t>
      </w:r>
      <w:r>
        <w:rPr>
          <w:rFonts w:ascii="Times New Roman" w:eastAsia="Times New Roman" w:hAnsi="Times New Roman" w:cs="Times New Roman"/>
          <w:sz w:val="24"/>
          <w:szCs w:val="24"/>
        </w:rPr>
        <w:t>gene resistance</w:t>
      </w:r>
      <w:r w:rsidR="00E42BC0">
        <w:rPr>
          <w:rFonts w:ascii="Times New Roman" w:eastAsia="Times New Roman" w:hAnsi="Times New Roman" w:cs="Times New Roman"/>
          <w:sz w:val="24"/>
          <w:szCs w:val="24"/>
        </w:rPr>
        <w:t xml:space="preserve">, has been the central strategy across the </w:t>
      </w:r>
      <w:r w:rsidR="00056D4C">
        <w:rPr>
          <w:rFonts w:ascii="Times New Roman" w:eastAsia="Times New Roman" w:hAnsi="Times New Roman" w:cs="Times New Roman"/>
          <w:sz w:val="24"/>
          <w:szCs w:val="24"/>
        </w:rPr>
        <w:t>agri-food</w:t>
      </w:r>
      <w:r w:rsidR="00E42BC0">
        <w:rPr>
          <w:rFonts w:ascii="Times New Roman" w:eastAsia="Times New Roman" w:hAnsi="Times New Roman" w:cs="Times New Roman"/>
          <w:sz w:val="24"/>
          <w:szCs w:val="24"/>
        </w:rPr>
        <w:t xml:space="preserve"> system.</w:t>
      </w:r>
      <w:r w:rsidR="00231F24">
        <w:rPr>
          <w:rFonts w:ascii="Times New Roman" w:eastAsia="Times New Roman" w:hAnsi="Times New Roman" w:cs="Times New Roman"/>
          <w:sz w:val="24"/>
          <w:szCs w:val="24"/>
        </w:rPr>
        <w:t xml:space="preserve"> </w:t>
      </w:r>
      <w:r w:rsidR="00982B78">
        <w:rPr>
          <w:rFonts w:ascii="Times New Roman" w:eastAsia="Times New Roman" w:hAnsi="Times New Roman" w:cs="Times New Roman"/>
          <w:sz w:val="24"/>
          <w:szCs w:val="24"/>
        </w:rPr>
        <w:t xml:space="preserve">Our paper </w:t>
      </w:r>
      <w:r w:rsidR="00597B30">
        <w:rPr>
          <w:rFonts w:ascii="Times New Roman" w:eastAsia="Times New Roman" w:hAnsi="Times New Roman" w:cs="Times New Roman"/>
          <w:sz w:val="24"/>
          <w:szCs w:val="24"/>
        </w:rPr>
        <w:t>critically engages with</w:t>
      </w:r>
      <w:r w:rsidR="00982B78">
        <w:rPr>
          <w:rFonts w:ascii="Times New Roman" w:eastAsia="Times New Roman" w:hAnsi="Times New Roman" w:cs="Times New Roman"/>
          <w:sz w:val="24"/>
          <w:szCs w:val="24"/>
        </w:rPr>
        <w:t xml:space="preserve"> the framing of AMR and the manner of its management through targets and standards, </w:t>
      </w:r>
      <w:r w:rsidR="00982B78">
        <w:rPr>
          <w:rFonts w:ascii="Times New Roman" w:eastAsia="Times New Roman" w:hAnsi="Times New Roman" w:cs="Times New Roman"/>
          <w:sz w:val="24"/>
          <w:szCs w:val="24"/>
        </w:rPr>
        <w:lastRenderedPageBreak/>
        <w:t>in particular the narrow focus on targets for the stewardship of antibiotics used in livestock farming</w:t>
      </w:r>
      <w:r w:rsidR="00CB65A8">
        <w:rPr>
          <w:rFonts w:ascii="Times New Roman" w:eastAsia="Times New Roman" w:hAnsi="Times New Roman" w:cs="Times New Roman"/>
          <w:sz w:val="24"/>
          <w:szCs w:val="24"/>
        </w:rPr>
        <w:t>. Targets and standards are set</w:t>
      </w:r>
      <w:r w:rsidR="00597B30">
        <w:rPr>
          <w:rFonts w:ascii="Times New Roman" w:eastAsia="Times New Roman" w:hAnsi="Times New Roman" w:cs="Times New Roman"/>
          <w:sz w:val="24"/>
          <w:szCs w:val="24"/>
        </w:rPr>
        <w:t xml:space="preserve"> against a backdrop of ongoing scientific uncertainty about when and where resistance may manifest and create health problems</w:t>
      </w:r>
      <w:r w:rsidR="00982B78">
        <w:rPr>
          <w:rFonts w:ascii="Times New Roman" w:eastAsia="Times New Roman" w:hAnsi="Times New Roman" w:cs="Times New Roman"/>
          <w:sz w:val="24"/>
          <w:szCs w:val="24"/>
        </w:rPr>
        <w:t>. In so doing, we demonstrate how governance, economy</w:t>
      </w:r>
      <w:r w:rsidR="007E35F3">
        <w:rPr>
          <w:rFonts w:ascii="Times New Roman" w:eastAsia="Times New Roman" w:hAnsi="Times New Roman" w:cs="Times New Roman"/>
          <w:sz w:val="24"/>
          <w:szCs w:val="24"/>
        </w:rPr>
        <w:t>,</w:t>
      </w:r>
      <w:r w:rsidR="00982B78">
        <w:rPr>
          <w:rFonts w:ascii="Times New Roman" w:eastAsia="Times New Roman" w:hAnsi="Times New Roman" w:cs="Times New Roman"/>
          <w:sz w:val="24"/>
          <w:szCs w:val="24"/>
        </w:rPr>
        <w:t xml:space="preserve"> and </w:t>
      </w:r>
      <w:r w:rsidR="004B3045">
        <w:rPr>
          <w:rFonts w:ascii="Times New Roman" w:eastAsia="Times New Roman" w:hAnsi="Times New Roman" w:cs="Times New Roman"/>
          <w:sz w:val="24"/>
          <w:szCs w:val="24"/>
        </w:rPr>
        <w:t xml:space="preserve">environment through to </w:t>
      </w:r>
      <w:r w:rsidR="00982B78">
        <w:rPr>
          <w:rFonts w:ascii="Times New Roman" w:eastAsia="Times New Roman" w:hAnsi="Times New Roman" w:cs="Times New Roman"/>
          <w:sz w:val="24"/>
          <w:szCs w:val="24"/>
        </w:rPr>
        <w:t>the microbial world co-constitute both the challenge of AMR in the food system and the prevailing strategies mobilised to address it.</w:t>
      </w:r>
      <w:r w:rsidR="009E299A">
        <w:rPr>
          <w:rFonts w:ascii="Times New Roman" w:eastAsia="Times New Roman" w:hAnsi="Times New Roman" w:cs="Times New Roman"/>
          <w:sz w:val="24"/>
          <w:szCs w:val="24"/>
        </w:rPr>
        <w:t xml:space="preserve"> </w:t>
      </w:r>
    </w:p>
    <w:p w14:paraId="014DAEB5" w14:textId="77777777" w:rsidR="008274C6" w:rsidRDefault="008274C6">
      <w:pPr>
        <w:spacing w:line="480" w:lineRule="auto"/>
        <w:rPr>
          <w:rFonts w:ascii="Times New Roman" w:eastAsia="Times New Roman" w:hAnsi="Times New Roman" w:cs="Times New Roman"/>
          <w:sz w:val="24"/>
          <w:szCs w:val="24"/>
        </w:rPr>
      </w:pPr>
    </w:p>
    <w:p w14:paraId="69A845A4" w14:textId="29F8B0F8" w:rsidR="009E299A" w:rsidRDefault="009E299A" w:rsidP="009E299A">
      <w:pPr>
        <w:pBdr>
          <w:top w:val="nil"/>
          <w:left w:val="nil"/>
          <w:bottom w:val="nil"/>
          <w:right w:val="nil"/>
          <w:between w:val="nil"/>
        </w:pBdr>
        <w:shd w:val="clear" w:color="auto" w:fill="FFFFFF"/>
        <w:spacing w:after="0" w:line="480" w:lineRule="auto"/>
        <w:rPr>
          <w:rFonts w:ascii="Times New Roman" w:eastAsia="Times New Roman" w:hAnsi="Times New Roman" w:cs="Times New Roman"/>
          <w:color w:val="000000"/>
          <w:sz w:val="24"/>
          <w:szCs w:val="24"/>
        </w:rPr>
      </w:pPr>
      <w:r w:rsidRPr="00554B7D">
        <w:rPr>
          <w:rFonts w:ascii="Times New Roman" w:eastAsia="Times New Roman" w:hAnsi="Times New Roman" w:cs="Times New Roman"/>
          <w:color w:val="000000"/>
          <w:sz w:val="24"/>
          <w:szCs w:val="24"/>
        </w:rPr>
        <w:t>Research underpinning our paper explored the evolving framing of responsibilities for tackling AMR in</w:t>
      </w:r>
      <w:r>
        <w:rPr>
          <w:rFonts w:ascii="Times New Roman" w:eastAsia="Times New Roman" w:hAnsi="Times New Roman" w:cs="Times New Roman"/>
          <w:color w:val="000000"/>
          <w:sz w:val="24"/>
          <w:szCs w:val="24"/>
        </w:rPr>
        <w:t xml:space="preserve"> UK grocery retailers’ pork and poultry </w:t>
      </w:r>
      <w:r w:rsidR="002B3A14">
        <w:rPr>
          <w:rFonts w:ascii="Times New Roman" w:eastAsia="Times New Roman" w:hAnsi="Times New Roman" w:cs="Times New Roman"/>
          <w:color w:val="000000"/>
          <w:sz w:val="24"/>
          <w:szCs w:val="24"/>
        </w:rPr>
        <w:t>supply</w:t>
      </w:r>
      <w:r w:rsidR="00B11ED4">
        <w:rPr>
          <w:rFonts w:ascii="Times New Roman" w:eastAsia="Times New Roman" w:hAnsi="Times New Roman" w:cs="Times New Roman"/>
          <w:color w:val="000000"/>
          <w:sz w:val="24"/>
          <w:szCs w:val="24"/>
        </w:rPr>
        <w:t xml:space="preserve"> </w:t>
      </w:r>
      <w:r w:rsidR="002B3A14">
        <w:rPr>
          <w:rFonts w:ascii="Times New Roman" w:eastAsia="Times New Roman" w:hAnsi="Times New Roman" w:cs="Times New Roman"/>
          <w:color w:val="000000"/>
          <w:sz w:val="24"/>
          <w:szCs w:val="24"/>
        </w:rPr>
        <w:t>chain</w:t>
      </w:r>
      <w:r>
        <w:rPr>
          <w:rFonts w:ascii="Times New Roman" w:eastAsia="Times New Roman" w:hAnsi="Times New Roman" w:cs="Times New Roman"/>
          <w:color w:val="000000"/>
          <w:sz w:val="24"/>
          <w:szCs w:val="24"/>
        </w:rPr>
        <w:t xml:space="preserve">s in the period following the O’Neill </w:t>
      </w:r>
      <w:r w:rsidR="008017D0">
        <w:rPr>
          <w:rFonts w:ascii="Times New Roman" w:eastAsia="Times New Roman" w:hAnsi="Times New Roman" w:cs="Times New Roman"/>
          <w:color w:val="000000"/>
          <w:sz w:val="24"/>
          <w:szCs w:val="24"/>
        </w:rPr>
        <w:t xml:space="preserve">(2016) </w:t>
      </w:r>
      <w:r>
        <w:rPr>
          <w:rFonts w:ascii="Times New Roman" w:eastAsia="Times New Roman" w:hAnsi="Times New Roman" w:cs="Times New Roman"/>
          <w:color w:val="000000"/>
          <w:sz w:val="24"/>
          <w:szCs w:val="24"/>
        </w:rPr>
        <w:t xml:space="preserve">report. Pork and poultry, specifically chicken, were selected as case studies because they are sectors where AMR strategy has been evident through contrasting corporate structures and in the context of different disease profiles and attendant levels of </w:t>
      </w:r>
      <w:r w:rsidR="002B3A14">
        <w:rPr>
          <w:rFonts w:ascii="Times New Roman" w:eastAsia="Times New Roman" w:hAnsi="Times New Roman" w:cs="Times New Roman"/>
          <w:color w:val="000000"/>
          <w:sz w:val="24"/>
          <w:szCs w:val="24"/>
        </w:rPr>
        <w:t>antibiotic</w:t>
      </w:r>
      <w:r w:rsidR="008F5417">
        <w:rPr>
          <w:rFonts w:ascii="Times New Roman" w:eastAsia="Times New Roman" w:hAnsi="Times New Roman" w:cs="Times New Roman"/>
          <w:color w:val="000000"/>
          <w:sz w:val="24"/>
          <w:szCs w:val="24"/>
        </w:rPr>
        <w:t xml:space="preserve"> </w:t>
      </w:r>
      <w:r w:rsidR="002B3A14">
        <w:rPr>
          <w:rFonts w:ascii="Times New Roman" w:eastAsia="Times New Roman" w:hAnsi="Times New Roman" w:cs="Times New Roman"/>
          <w:color w:val="000000"/>
          <w:sz w:val="24"/>
          <w:szCs w:val="24"/>
        </w:rPr>
        <w:t>usage</w:t>
      </w:r>
      <w:r w:rsidR="004B30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outlined later</w:t>
      </w:r>
      <w:r w:rsidR="004B30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The study sought to evaluate evolving antibiotic stewardship strategies and standards in the UK and to appraise their implementation. The fieldwork ran from 2017 to 2018 across two phases, which involved 41 interviews covering 38 organisations (see Table 1). The first phase involved interviews with: nine of the UK’s top ten supermarket chains by market share, including seventeen people working as agricultural managers, technical directors, microbiologists, product safety and quality assurance managers, and corporate responsibility managers; eleven people from eight trade associations including those tasked with developing, communicating</w:t>
      </w:r>
      <w:r w:rsidR="00A705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monitoring AMR</w:t>
      </w:r>
      <w:r w:rsidR="004B30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related policies; and seven staff from two policy-making bodies connected with government departments. In the second phase, research extended up the </w:t>
      </w:r>
      <w:r w:rsidR="002B3A14">
        <w:rPr>
          <w:rFonts w:ascii="Times New Roman" w:eastAsia="Times New Roman" w:hAnsi="Times New Roman" w:cs="Times New Roman"/>
          <w:color w:val="000000"/>
          <w:sz w:val="24"/>
          <w:szCs w:val="24"/>
        </w:rPr>
        <w:t>supply</w:t>
      </w:r>
      <w:r w:rsidR="00B11ED4">
        <w:rPr>
          <w:rFonts w:ascii="Times New Roman" w:eastAsia="Times New Roman" w:hAnsi="Times New Roman" w:cs="Times New Roman"/>
          <w:color w:val="000000"/>
          <w:sz w:val="24"/>
          <w:szCs w:val="24"/>
        </w:rPr>
        <w:t xml:space="preserve"> </w:t>
      </w:r>
      <w:r w:rsidR="002B3A14">
        <w:rPr>
          <w:rFonts w:ascii="Times New Roman" w:eastAsia="Times New Roman" w:hAnsi="Times New Roman" w:cs="Times New Roman"/>
          <w:color w:val="000000"/>
          <w:sz w:val="24"/>
          <w:szCs w:val="24"/>
        </w:rPr>
        <w:t>chain</w:t>
      </w:r>
      <w:r>
        <w:rPr>
          <w:rFonts w:ascii="Times New Roman" w:eastAsia="Times New Roman" w:hAnsi="Times New Roman" w:cs="Times New Roman"/>
          <w:color w:val="000000"/>
          <w:sz w:val="24"/>
          <w:szCs w:val="24"/>
        </w:rPr>
        <w:t xml:space="preserve"> to include interviews with: thirteen pig and chicken farmers in the North of England</w:t>
      </w:r>
      <w:r w:rsidR="00A705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three meat processing companies including </w:t>
      </w:r>
      <w:r w:rsidR="008808C2">
        <w:rPr>
          <w:rFonts w:ascii="Times New Roman" w:eastAsia="Times New Roman" w:hAnsi="Times New Roman" w:cs="Times New Roman"/>
          <w:color w:val="000000"/>
          <w:sz w:val="24"/>
          <w:szCs w:val="24"/>
        </w:rPr>
        <w:t>five</w:t>
      </w:r>
      <w:r>
        <w:rPr>
          <w:rFonts w:ascii="Times New Roman" w:eastAsia="Times New Roman" w:hAnsi="Times New Roman" w:cs="Times New Roman"/>
          <w:color w:val="000000"/>
          <w:sz w:val="24"/>
          <w:szCs w:val="24"/>
        </w:rPr>
        <w:t xml:space="preserve"> representatives working across production and health and welfare; a standard-setting body; two representatives of a consultancy firm; and one campaigning organisation. The research team also </w:t>
      </w:r>
      <w:r>
        <w:rPr>
          <w:rFonts w:ascii="Times New Roman" w:eastAsia="Times New Roman" w:hAnsi="Times New Roman" w:cs="Times New Roman"/>
          <w:color w:val="000000"/>
          <w:sz w:val="24"/>
          <w:szCs w:val="24"/>
        </w:rPr>
        <w:lastRenderedPageBreak/>
        <w:t>attended five industry and policy-orientated conferences on AMR. Table 1 sets out the interview sources referenced in the paper.</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The interview data was analysed using NVivo, with coding initially involving nodes linked directly to our research questions on AMR strategies and finally refined to the themes of: collaboration on responsible antimicrobial stewardship and reduction; complexities and understandings of the emergence, mobilities</w:t>
      </w:r>
      <w:r w:rsidR="00A705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persistence of AMR; materiality, food systems</w:t>
      </w:r>
      <w:r w:rsidR="003E25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AMR; and power, responsibility</w:t>
      </w:r>
      <w:r w:rsidR="00A705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risk in food systems.</w:t>
      </w:r>
    </w:p>
    <w:p w14:paraId="4BF025D1" w14:textId="77777777" w:rsidR="00FF0F1B" w:rsidRDefault="00FF0F1B">
      <w:pPr>
        <w:spacing w:line="480" w:lineRule="auto"/>
        <w:rPr>
          <w:rFonts w:ascii="Times New Roman" w:eastAsia="Times New Roman" w:hAnsi="Times New Roman" w:cs="Times New Roman"/>
          <w:color w:val="000000"/>
          <w:sz w:val="24"/>
          <w:szCs w:val="24"/>
        </w:rPr>
      </w:pPr>
    </w:p>
    <w:p w14:paraId="56E79E1D" w14:textId="77777777" w:rsidR="00FF0F1B" w:rsidRDefault="00982B78">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1 about here]</w:t>
      </w:r>
    </w:p>
    <w:p w14:paraId="0EA99A8D" w14:textId="77777777" w:rsidR="00FF0F1B" w:rsidRDefault="00FF0F1B">
      <w:pPr>
        <w:spacing w:line="480" w:lineRule="auto"/>
        <w:rPr>
          <w:rFonts w:ascii="Times New Roman" w:eastAsia="Times New Roman" w:hAnsi="Times New Roman" w:cs="Times New Roman"/>
          <w:color w:val="000000"/>
          <w:sz w:val="24"/>
          <w:szCs w:val="24"/>
        </w:rPr>
      </w:pPr>
    </w:p>
    <w:p w14:paraId="1B9AC8CD" w14:textId="44A9D8E2" w:rsidR="00FF0F1B" w:rsidRDefault="00982B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 proceeds by outlining our conceptualisation of the AMR challenge in the food system and the distributed responsibility for addressing it. This conceptualisation combines political-economic insight into food system governance with perspectives of more-than-human assemblages to grasp the material constitution of corporate and governmental responses to AMR as a socio-ecological challenge. We then advance that conceptualisation to evaluate, first, the ways in which the complex uncertain, socio-ecological challenge of AMR in the food system has been </w:t>
      </w:r>
      <w:r w:rsidR="0069374E">
        <w:rPr>
          <w:rFonts w:ascii="Times New Roman" w:eastAsia="Times New Roman" w:hAnsi="Times New Roman" w:cs="Times New Roman"/>
          <w:sz w:val="24"/>
          <w:szCs w:val="24"/>
        </w:rPr>
        <w:t>reduced to a</w:t>
      </w:r>
      <w:r>
        <w:rPr>
          <w:rFonts w:ascii="Times New Roman" w:eastAsia="Times New Roman" w:hAnsi="Times New Roman" w:cs="Times New Roman"/>
          <w:sz w:val="24"/>
          <w:szCs w:val="24"/>
        </w:rPr>
        <w:t xml:space="preserve"> focus on prudent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Pr>
          <w:rFonts w:ascii="Times New Roman" w:eastAsia="Times New Roman" w:hAnsi="Times New Roman" w:cs="Times New Roman"/>
          <w:sz w:val="24"/>
          <w:szCs w:val="24"/>
        </w:rPr>
        <w:t xml:space="preserve">, with target-setting, both for refining the classes of antibiotics used and reducing total antibiotic doses by weight of animal on domestic farms. </w:t>
      </w:r>
      <w:r w:rsidR="0069374E">
        <w:rPr>
          <w:rFonts w:ascii="Times New Roman" w:eastAsia="Times New Roman" w:hAnsi="Times New Roman" w:cs="Times New Roman"/>
          <w:sz w:val="24"/>
          <w:szCs w:val="24"/>
        </w:rPr>
        <w:t>W</w:t>
      </w:r>
      <w:r>
        <w:rPr>
          <w:rFonts w:ascii="Times New Roman" w:eastAsia="Times New Roman" w:hAnsi="Times New Roman" w:cs="Times New Roman"/>
          <w:sz w:val="24"/>
          <w:szCs w:val="24"/>
        </w:rPr>
        <w:t>e explore how actors across the UK corporate food system, from government departments, trade associations and corp</w:t>
      </w:r>
      <w:r w:rsidR="00231F24">
        <w:rPr>
          <w:rFonts w:ascii="Times New Roman" w:eastAsia="Times New Roman" w:hAnsi="Times New Roman" w:cs="Times New Roman"/>
          <w:sz w:val="24"/>
          <w:szCs w:val="24"/>
        </w:rPr>
        <w:t xml:space="preserve">orations, through to </w:t>
      </w:r>
      <w:r>
        <w:rPr>
          <w:rFonts w:ascii="Times New Roman" w:eastAsia="Times New Roman" w:hAnsi="Times New Roman" w:cs="Times New Roman"/>
          <w:sz w:val="24"/>
          <w:szCs w:val="24"/>
        </w:rPr>
        <w:t>farmers, vets, and accreditation bodies, have situated capabilities for setting</w:t>
      </w:r>
      <w:r w:rsidR="0069374E">
        <w:rPr>
          <w:rFonts w:ascii="Times New Roman" w:eastAsia="Times New Roman" w:hAnsi="Times New Roman" w:cs="Times New Roman"/>
          <w:sz w:val="24"/>
          <w:szCs w:val="24"/>
        </w:rPr>
        <w:t xml:space="preserve"> these targets. Second, </w:t>
      </w:r>
      <w:r w:rsidR="00B76D28">
        <w:rPr>
          <w:rFonts w:ascii="Times New Roman" w:eastAsia="Times New Roman" w:hAnsi="Times New Roman" w:cs="Times New Roman"/>
          <w:sz w:val="24"/>
          <w:szCs w:val="24"/>
        </w:rPr>
        <w:t xml:space="preserve">combining critical perspectives on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B76D28">
        <w:rPr>
          <w:rFonts w:ascii="Times New Roman" w:eastAsia="Times New Roman" w:hAnsi="Times New Roman" w:cs="Times New Roman"/>
          <w:sz w:val="24"/>
          <w:szCs w:val="24"/>
        </w:rPr>
        <w:t xml:space="preserve"> governance with those apprehending the material liveliness of more-than-human microbial assemblages, </w:t>
      </w:r>
      <w:r w:rsidR="0069374E">
        <w:rPr>
          <w:rFonts w:ascii="Times New Roman" w:eastAsia="Times New Roman" w:hAnsi="Times New Roman" w:cs="Times New Roman"/>
          <w:sz w:val="24"/>
          <w:szCs w:val="24"/>
        </w:rPr>
        <w:t>we show how the targets have been met and monitored, as t</w:t>
      </w:r>
      <w:r w:rsidR="008017D0">
        <w:rPr>
          <w:rFonts w:ascii="Times New Roman" w:eastAsia="Times New Roman" w:hAnsi="Times New Roman" w:cs="Times New Roman"/>
          <w:sz w:val="24"/>
          <w:szCs w:val="24"/>
        </w:rPr>
        <w:t xml:space="preserve">hose capabilities are applied through distributed agency in the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69374E">
        <w:rPr>
          <w:rFonts w:ascii="Times New Roman" w:eastAsia="Times New Roman" w:hAnsi="Times New Roman" w:cs="Times New Roman"/>
          <w:sz w:val="24"/>
          <w:szCs w:val="24"/>
        </w:rPr>
        <w:t xml:space="preserve"> and its</w:t>
      </w:r>
      <w:r w:rsidR="008017D0">
        <w:rPr>
          <w:rFonts w:ascii="Times New Roman" w:eastAsia="Times New Roman" w:hAnsi="Times New Roman" w:cs="Times New Roman"/>
          <w:sz w:val="24"/>
          <w:szCs w:val="24"/>
        </w:rPr>
        <w:t xml:space="preserve"> materialities.</w:t>
      </w:r>
      <w:r w:rsidR="00D01196">
        <w:rPr>
          <w:rFonts w:ascii="Times New Roman" w:eastAsia="Times New Roman" w:hAnsi="Times New Roman" w:cs="Times New Roman"/>
          <w:sz w:val="24"/>
          <w:szCs w:val="24"/>
        </w:rPr>
        <w:t xml:space="preserve"> </w:t>
      </w:r>
      <w:r w:rsidR="008017D0">
        <w:rPr>
          <w:rFonts w:ascii="Times New Roman" w:eastAsia="Times New Roman" w:hAnsi="Times New Roman" w:cs="Times New Roman"/>
          <w:sz w:val="24"/>
          <w:szCs w:val="24"/>
        </w:rPr>
        <w:t>And third,</w:t>
      </w:r>
      <w:r>
        <w:rPr>
          <w:rFonts w:ascii="Times New Roman" w:eastAsia="Times New Roman" w:hAnsi="Times New Roman" w:cs="Times New Roman"/>
          <w:sz w:val="24"/>
          <w:szCs w:val="24"/>
        </w:rPr>
        <w:t xml:space="preserve"> we </w:t>
      </w:r>
      <w:r w:rsidR="00554B7D">
        <w:rPr>
          <w:rFonts w:ascii="Times New Roman" w:eastAsia="Times New Roman" w:hAnsi="Times New Roman" w:cs="Times New Roman"/>
          <w:sz w:val="24"/>
          <w:szCs w:val="24"/>
        </w:rPr>
        <w:t>critically</w:t>
      </w:r>
      <w:r w:rsidR="008808C2">
        <w:rPr>
          <w:rFonts w:ascii="Times New Roman" w:eastAsia="Times New Roman" w:hAnsi="Times New Roman" w:cs="Times New Roman"/>
          <w:sz w:val="24"/>
          <w:szCs w:val="24"/>
        </w:rPr>
        <w:t xml:space="preserve"> </w:t>
      </w:r>
      <w:r w:rsidR="00554B7D">
        <w:rPr>
          <w:rFonts w:ascii="Times New Roman" w:eastAsia="Times New Roman" w:hAnsi="Times New Roman" w:cs="Times New Roman"/>
          <w:sz w:val="24"/>
          <w:szCs w:val="24"/>
        </w:rPr>
        <w:t xml:space="preserve">reflect on </w:t>
      </w:r>
      <w:r w:rsidR="008017D0">
        <w:rPr>
          <w:rFonts w:ascii="Times New Roman" w:eastAsia="Times New Roman" w:hAnsi="Times New Roman" w:cs="Times New Roman"/>
          <w:sz w:val="24"/>
          <w:szCs w:val="24"/>
        </w:rPr>
        <w:t xml:space="preserve">the geographical and </w:t>
      </w:r>
      <w:r w:rsidR="008017D0">
        <w:rPr>
          <w:rFonts w:ascii="Times New Roman" w:eastAsia="Times New Roman" w:hAnsi="Times New Roman" w:cs="Times New Roman"/>
          <w:sz w:val="24"/>
          <w:szCs w:val="24"/>
        </w:rPr>
        <w:lastRenderedPageBreak/>
        <w:t>biological limits to the targets in tackling the nonlinearity and unpredictability of AMR as a wicked problem</w:t>
      </w:r>
      <w:r>
        <w:rPr>
          <w:rFonts w:ascii="Times New Roman" w:eastAsia="Times New Roman" w:hAnsi="Times New Roman" w:cs="Times New Roman"/>
          <w:sz w:val="24"/>
          <w:szCs w:val="24"/>
        </w:rPr>
        <w:t>.</w:t>
      </w:r>
    </w:p>
    <w:p w14:paraId="1C160F15" w14:textId="77777777" w:rsidR="00FF0F1B" w:rsidRDefault="00FF0F1B">
      <w:pPr>
        <w:spacing w:line="480" w:lineRule="auto"/>
        <w:rPr>
          <w:rFonts w:ascii="Times New Roman" w:eastAsia="Times New Roman" w:hAnsi="Times New Roman" w:cs="Times New Roman"/>
          <w:sz w:val="24"/>
          <w:szCs w:val="24"/>
        </w:rPr>
      </w:pPr>
    </w:p>
    <w:p w14:paraId="154D4B5C" w14:textId="0699B5B1" w:rsidR="00FF0F1B" w:rsidRPr="00F9796B" w:rsidRDefault="00982B78" w:rsidP="00CB65A8">
      <w:pPr>
        <w:spacing w:line="480" w:lineRule="auto"/>
        <w:rPr>
          <w:rFonts w:ascii="Times New Roman" w:eastAsia="Times New Roman" w:hAnsi="Times New Roman" w:cs="Times New Roman"/>
          <w:sz w:val="24"/>
          <w:szCs w:val="24"/>
        </w:rPr>
      </w:pPr>
      <w:r w:rsidRPr="00554B7D">
        <w:rPr>
          <w:rFonts w:ascii="Times New Roman" w:eastAsia="Times New Roman" w:hAnsi="Times New Roman" w:cs="Times New Roman"/>
          <w:b/>
          <w:sz w:val="24"/>
          <w:szCs w:val="24"/>
        </w:rPr>
        <w:t>Conceptualising AMR risk and responsibility in the food system</w:t>
      </w:r>
    </w:p>
    <w:p w14:paraId="5150BAC6" w14:textId="739808F1" w:rsidR="00FF0F1B" w:rsidRDefault="008274C6" w:rsidP="00554B7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Conceptual frameworks for understanding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 governance are brought together in this paper with more-than-human approaches in order to evaluate both the acco</w:t>
      </w:r>
      <w:r w:rsidR="00231F24">
        <w:rPr>
          <w:rFonts w:ascii="Times New Roman" w:eastAsia="Times New Roman" w:hAnsi="Times New Roman" w:cs="Times New Roman"/>
          <w:sz w:val="24"/>
          <w:szCs w:val="24"/>
        </w:rPr>
        <w:t xml:space="preserve">mplishments and the </w:t>
      </w:r>
      <w:r>
        <w:rPr>
          <w:rFonts w:ascii="Times New Roman" w:eastAsia="Times New Roman" w:hAnsi="Times New Roman" w:cs="Times New Roman"/>
          <w:sz w:val="24"/>
          <w:szCs w:val="24"/>
        </w:rPr>
        <w:t>limitations associated with the ways in which the industry has framed, shared</w:t>
      </w:r>
      <w:r w:rsidR="000E37BD">
        <w:rPr>
          <w:rFonts w:ascii="Times New Roman" w:eastAsia="Times New Roman" w:hAnsi="Times New Roman" w:cs="Times New Roman"/>
          <w:sz w:val="24"/>
          <w:szCs w:val="24"/>
        </w:rPr>
        <w:t>,</w:t>
      </w:r>
      <w:r w:rsidR="00231F24">
        <w:rPr>
          <w:rFonts w:ascii="Times New Roman" w:eastAsia="Times New Roman" w:hAnsi="Times New Roman" w:cs="Times New Roman"/>
          <w:sz w:val="24"/>
          <w:szCs w:val="24"/>
        </w:rPr>
        <w:t xml:space="preserve"> and practis</w:t>
      </w:r>
      <w:r>
        <w:rPr>
          <w:rFonts w:ascii="Times New Roman" w:eastAsia="Times New Roman" w:hAnsi="Times New Roman" w:cs="Times New Roman"/>
          <w:sz w:val="24"/>
          <w:szCs w:val="24"/>
        </w:rPr>
        <w:t xml:space="preserve">ed the responsibilities </w:t>
      </w:r>
      <w:r w:rsidR="00A97A2D">
        <w:rPr>
          <w:rFonts w:ascii="Times New Roman" w:eastAsia="Times New Roman" w:hAnsi="Times New Roman" w:cs="Times New Roman"/>
          <w:sz w:val="24"/>
          <w:szCs w:val="24"/>
        </w:rPr>
        <w:t>for tackling</w:t>
      </w:r>
      <w:r>
        <w:rPr>
          <w:rFonts w:ascii="Times New Roman" w:eastAsia="Times New Roman" w:hAnsi="Times New Roman" w:cs="Times New Roman"/>
          <w:sz w:val="24"/>
          <w:szCs w:val="24"/>
        </w:rPr>
        <w:t xml:space="preserve"> the AMR challenge. </w:t>
      </w:r>
      <w:r w:rsidR="00982B78">
        <w:rPr>
          <w:rFonts w:ascii="Times New Roman" w:eastAsia="Times New Roman" w:hAnsi="Times New Roman" w:cs="Times New Roman"/>
          <w:sz w:val="24"/>
          <w:szCs w:val="24"/>
        </w:rPr>
        <w:t>Hinchliffe et al</w:t>
      </w:r>
      <w:r w:rsidR="007F07E3">
        <w:rPr>
          <w:rFonts w:ascii="Times New Roman" w:eastAsia="Times New Roman" w:hAnsi="Times New Roman" w:cs="Times New Roman"/>
          <w:sz w:val="24"/>
          <w:szCs w:val="24"/>
        </w:rPr>
        <w:t>.</w:t>
      </w:r>
      <w:r w:rsidR="00982B78">
        <w:rPr>
          <w:rFonts w:ascii="Times New Roman" w:eastAsia="Times New Roman" w:hAnsi="Times New Roman" w:cs="Times New Roman"/>
          <w:sz w:val="24"/>
          <w:szCs w:val="24"/>
        </w:rPr>
        <w:t xml:space="preserve">’s (2017) </w:t>
      </w:r>
      <w:r>
        <w:rPr>
          <w:rFonts w:ascii="Times New Roman" w:eastAsia="Times New Roman" w:hAnsi="Times New Roman" w:cs="Times New Roman"/>
          <w:sz w:val="24"/>
          <w:szCs w:val="24"/>
        </w:rPr>
        <w:t xml:space="preserve">‘disease-diagramming’ </w:t>
      </w:r>
      <w:r w:rsidR="00982B78">
        <w:rPr>
          <w:rFonts w:ascii="Times New Roman" w:eastAsia="Times New Roman" w:hAnsi="Times New Roman" w:cs="Times New Roman"/>
          <w:sz w:val="24"/>
          <w:szCs w:val="24"/>
        </w:rPr>
        <w:t>of AMR in relational terms provides a compelling understanding of the agency of combined microbial, social, economic</w:t>
      </w:r>
      <w:r w:rsidR="00A97A2D">
        <w:rPr>
          <w:rFonts w:ascii="Times New Roman" w:eastAsia="Times New Roman" w:hAnsi="Times New Roman" w:cs="Times New Roman"/>
          <w:sz w:val="24"/>
          <w:szCs w:val="24"/>
        </w:rPr>
        <w:t>,</w:t>
      </w:r>
      <w:r w:rsidR="00982B78">
        <w:rPr>
          <w:rFonts w:ascii="Times New Roman" w:eastAsia="Times New Roman" w:hAnsi="Times New Roman" w:cs="Times New Roman"/>
          <w:sz w:val="24"/>
          <w:szCs w:val="24"/>
        </w:rPr>
        <w:t xml:space="preserve"> and regulatory worlds as they interweave to render AMR a </w:t>
      </w:r>
      <w:r w:rsidR="00A97A2D">
        <w:rPr>
          <w:rFonts w:ascii="Times New Roman" w:eastAsia="Times New Roman" w:hAnsi="Times New Roman" w:cs="Times New Roman"/>
          <w:sz w:val="24"/>
          <w:szCs w:val="24"/>
        </w:rPr>
        <w:t>problem to be addressed</w:t>
      </w:r>
      <w:r w:rsidR="00982B78">
        <w:rPr>
          <w:rFonts w:ascii="Times New Roman" w:eastAsia="Times New Roman" w:hAnsi="Times New Roman" w:cs="Times New Roman"/>
          <w:sz w:val="24"/>
          <w:szCs w:val="24"/>
        </w:rPr>
        <w:t xml:space="preserve">. </w:t>
      </w:r>
      <w:r w:rsidR="007F07E3">
        <w:rPr>
          <w:rFonts w:ascii="Times New Roman" w:eastAsia="Times New Roman" w:hAnsi="Times New Roman" w:cs="Times New Roman"/>
          <w:sz w:val="24"/>
          <w:szCs w:val="24"/>
        </w:rPr>
        <w:t xml:space="preserve">For Hinchliffe et al. (2017), ‘disease diagramming’ refers “to the ways </w:t>
      </w:r>
      <w:r w:rsidR="00266122">
        <w:rPr>
          <w:rFonts w:ascii="Times New Roman" w:eastAsia="Times New Roman" w:hAnsi="Times New Roman" w:cs="Times New Roman"/>
          <w:sz w:val="24"/>
          <w:szCs w:val="24"/>
        </w:rPr>
        <w:t>in which</w:t>
      </w:r>
      <w:r w:rsidR="007F07E3">
        <w:rPr>
          <w:rFonts w:ascii="Times New Roman" w:eastAsia="Times New Roman" w:hAnsi="Times New Roman" w:cs="Times New Roman"/>
          <w:sz w:val="24"/>
          <w:szCs w:val="24"/>
        </w:rPr>
        <w:t xml:space="preserve"> diseases are understood and acted upon” (</w:t>
      </w:r>
      <w:r w:rsidR="00454227">
        <w:rPr>
          <w:rFonts w:ascii="Times New Roman" w:eastAsia="Times New Roman" w:hAnsi="Times New Roman" w:cs="Times New Roman"/>
          <w:sz w:val="24"/>
          <w:szCs w:val="24"/>
        </w:rPr>
        <w:t xml:space="preserve">page </w:t>
      </w:r>
      <w:r w:rsidR="007F07E3">
        <w:rPr>
          <w:rFonts w:ascii="Times New Roman" w:eastAsia="Times New Roman" w:hAnsi="Times New Roman" w:cs="Times New Roman"/>
          <w:sz w:val="24"/>
          <w:szCs w:val="24"/>
        </w:rPr>
        <w:t>xiv) and to “the ways that disease is grasped and governed” (</w:t>
      </w:r>
      <w:r w:rsidR="00454227">
        <w:rPr>
          <w:rFonts w:ascii="Times New Roman" w:eastAsia="Times New Roman" w:hAnsi="Times New Roman" w:cs="Times New Roman"/>
          <w:sz w:val="24"/>
          <w:szCs w:val="24"/>
        </w:rPr>
        <w:t xml:space="preserve">page </w:t>
      </w:r>
      <w:r w:rsidR="007F07E3">
        <w:rPr>
          <w:rFonts w:ascii="Times New Roman" w:eastAsia="Times New Roman" w:hAnsi="Times New Roman" w:cs="Times New Roman"/>
          <w:sz w:val="24"/>
          <w:szCs w:val="24"/>
        </w:rPr>
        <w:t xml:space="preserve">7). </w:t>
      </w:r>
      <w:r w:rsidR="00982B78">
        <w:rPr>
          <w:rFonts w:ascii="Times New Roman" w:eastAsia="Times New Roman" w:hAnsi="Times New Roman" w:cs="Times New Roman"/>
          <w:sz w:val="24"/>
          <w:szCs w:val="24"/>
        </w:rPr>
        <w:t>First, we position that conceptualisation in wider literature on governance in the food system.</w:t>
      </w:r>
    </w:p>
    <w:p w14:paraId="211A1A2B" w14:textId="77777777" w:rsidR="00FF0F1B" w:rsidRDefault="00FF0F1B">
      <w:pPr>
        <w:spacing w:line="480" w:lineRule="auto"/>
        <w:rPr>
          <w:rFonts w:ascii="Times New Roman" w:eastAsia="Times New Roman" w:hAnsi="Times New Roman" w:cs="Times New Roman"/>
          <w:sz w:val="24"/>
          <w:szCs w:val="24"/>
        </w:rPr>
      </w:pPr>
    </w:p>
    <w:p w14:paraId="016AAE1B" w14:textId="538D17C5"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Commodity chain, network</w:t>
      </w:r>
      <w:r w:rsidR="003E25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systems literatures comprehending the geographies of food production and distribution through which AMR can </w:t>
      </w:r>
      <w:r w:rsidR="00424486">
        <w:rPr>
          <w:rFonts w:ascii="Times New Roman" w:eastAsia="Times New Roman" w:hAnsi="Times New Roman" w:cs="Times New Roman"/>
          <w:sz w:val="24"/>
          <w:szCs w:val="24"/>
        </w:rPr>
        <w:t>transmit</w:t>
      </w:r>
      <w:r>
        <w:rPr>
          <w:rFonts w:ascii="Times New Roman" w:eastAsia="Times New Roman" w:hAnsi="Times New Roman" w:cs="Times New Roman"/>
          <w:sz w:val="24"/>
          <w:szCs w:val="24"/>
        </w:rPr>
        <w:t xml:space="preserve"> are now vast and variegated. They span and derive from political economy associated with the legacy of Karl Kautsky’s </w:t>
      </w:r>
      <w:r>
        <w:rPr>
          <w:rFonts w:ascii="Times New Roman" w:eastAsia="Times New Roman" w:hAnsi="Times New Roman" w:cs="Times New Roman"/>
          <w:i/>
          <w:sz w:val="24"/>
          <w:szCs w:val="24"/>
        </w:rPr>
        <w:t>Agrarian Question</w:t>
      </w:r>
      <w:r>
        <w:rPr>
          <w:rFonts w:ascii="Times New Roman" w:eastAsia="Times New Roman" w:hAnsi="Times New Roman" w:cs="Times New Roman"/>
          <w:sz w:val="24"/>
          <w:szCs w:val="24"/>
        </w:rPr>
        <w:t xml:space="preserve"> (Watts and Goodman, 1997), food regimes perspectives (Friedmann, 1993), Global Value Chain (GVC) and Global Production Network (GPN) frameworks (Gereffi et al., 2005; Coe et al, 2004), and assemblage thinking on the heterogeneous associations between human and non-human elements of production networks (Freidberg, 2017; Lewis et al</w:t>
      </w:r>
      <w:r w:rsidR="003E25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2013; Ouma, 2015). </w:t>
      </w:r>
      <w:r w:rsidR="006E4867">
        <w:rPr>
          <w:rFonts w:ascii="Times New Roman" w:eastAsia="Times New Roman" w:hAnsi="Times New Roman" w:cs="Times New Roman"/>
          <w:sz w:val="24"/>
          <w:szCs w:val="24"/>
        </w:rPr>
        <w:t>For the purposes of this paper</w:t>
      </w:r>
      <w:r>
        <w:rPr>
          <w:rFonts w:ascii="Times New Roman" w:eastAsia="Times New Roman" w:hAnsi="Times New Roman" w:cs="Times New Roman"/>
          <w:sz w:val="24"/>
          <w:szCs w:val="24"/>
        </w:rPr>
        <w:t xml:space="preserve">, we suggest the merits of combining GVC notions of multipolar governance with the concept of </w:t>
      </w:r>
      <w:r w:rsidR="00F76EF3">
        <w:rPr>
          <w:rFonts w:ascii="Times New Roman" w:eastAsia="Times New Roman" w:hAnsi="Times New Roman" w:cs="Times New Roman"/>
          <w:sz w:val="24"/>
          <w:szCs w:val="24"/>
        </w:rPr>
        <w:t xml:space="preserve">more-than-human </w:t>
      </w:r>
      <w:r>
        <w:rPr>
          <w:rFonts w:ascii="Times New Roman" w:eastAsia="Times New Roman" w:hAnsi="Times New Roman" w:cs="Times New Roman"/>
          <w:sz w:val="24"/>
          <w:szCs w:val="24"/>
        </w:rPr>
        <w:t>assemblage in order to capture the distributed agency in the UK food system through which AMR is addressed.</w:t>
      </w:r>
    </w:p>
    <w:p w14:paraId="74A5E40C" w14:textId="77777777" w:rsidR="00FF0F1B" w:rsidRDefault="00FF0F1B">
      <w:pPr>
        <w:spacing w:after="0" w:line="480" w:lineRule="auto"/>
        <w:rPr>
          <w:rFonts w:ascii="Times New Roman" w:eastAsia="Times New Roman" w:hAnsi="Times New Roman" w:cs="Times New Roman"/>
          <w:sz w:val="24"/>
          <w:szCs w:val="24"/>
        </w:rPr>
      </w:pPr>
    </w:p>
    <w:p w14:paraId="4D6CF0E0" w14:textId="732F9FFD"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GCC, GVC</w:t>
      </w:r>
      <w:r w:rsidR="004244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GPN frameworks </w:t>
      </w:r>
      <w:r w:rsidR="00194A64">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the increasing influence of corporations and buying power at a time of global economic liberalisation, structural adjustment, deregulation, and export-oriented industrialisation since the late 1980s. Although oriented towards different objectives, they trace the contours of corporate influence characterising Friedmann’s (1993) regime of ‘private global regulation’ through which transnational corporations rather than states in this era became the new and most powerful architects of global trade. Recent work in these traditions, however, has also sought to illuminate state influence (Horner, 2017).</w:t>
      </w:r>
    </w:p>
    <w:p w14:paraId="0519997C" w14:textId="77777777" w:rsidR="001A278D" w:rsidRDefault="001A278D">
      <w:pPr>
        <w:spacing w:after="0" w:line="480" w:lineRule="auto"/>
        <w:rPr>
          <w:rFonts w:ascii="Times New Roman" w:eastAsia="Times New Roman" w:hAnsi="Times New Roman" w:cs="Times New Roman"/>
          <w:sz w:val="24"/>
          <w:szCs w:val="24"/>
        </w:rPr>
      </w:pPr>
    </w:p>
    <w:p w14:paraId="6BC7C854" w14:textId="2A560828" w:rsidR="00FF0F1B" w:rsidRDefault="0031335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82B78">
        <w:rPr>
          <w:rFonts w:ascii="Times New Roman" w:eastAsia="Times New Roman" w:hAnsi="Times New Roman" w:cs="Times New Roman"/>
          <w:sz w:val="24"/>
          <w:szCs w:val="24"/>
        </w:rPr>
        <w:t>he GVC framework</w:t>
      </w:r>
      <w:r w:rsidR="006E4867">
        <w:rPr>
          <w:rFonts w:ascii="Times New Roman" w:eastAsia="Times New Roman" w:hAnsi="Times New Roman" w:cs="Times New Roman"/>
          <w:sz w:val="24"/>
          <w:szCs w:val="24"/>
        </w:rPr>
        <w:t>, with</w:t>
      </w:r>
      <w:r>
        <w:rPr>
          <w:rFonts w:ascii="Times New Roman" w:eastAsia="Times New Roman" w:hAnsi="Times New Roman" w:cs="Times New Roman"/>
          <w:sz w:val="24"/>
          <w:szCs w:val="24"/>
        </w:rPr>
        <w:t xml:space="preserve"> </w:t>
      </w:r>
      <w:r w:rsidR="006E4867">
        <w:rPr>
          <w:rFonts w:ascii="Times New Roman" w:eastAsia="Times New Roman" w:hAnsi="Times New Roman" w:cs="Times New Roman"/>
          <w:sz w:val="24"/>
          <w:szCs w:val="24"/>
        </w:rPr>
        <w:t>its</w:t>
      </w:r>
      <w:r w:rsidR="00982B78">
        <w:rPr>
          <w:rFonts w:ascii="Times New Roman" w:eastAsia="Times New Roman" w:hAnsi="Times New Roman" w:cs="Times New Roman"/>
          <w:sz w:val="24"/>
          <w:szCs w:val="24"/>
        </w:rPr>
        <w:t xml:space="preserve"> focus on governance</w:t>
      </w:r>
      <w:r w:rsidR="006E4867">
        <w:rPr>
          <w:rFonts w:ascii="Times New Roman" w:eastAsia="Times New Roman" w:hAnsi="Times New Roman" w:cs="Times New Roman"/>
          <w:sz w:val="24"/>
          <w:szCs w:val="24"/>
        </w:rPr>
        <w:t xml:space="preserve">, </w:t>
      </w:r>
      <w:r w:rsidR="00194A64">
        <w:rPr>
          <w:rFonts w:ascii="Times New Roman" w:eastAsia="Times New Roman" w:hAnsi="Times New Roman" w:cs="Times New Roman"/>
          <w:sz w:val="24"/>
          <w:szCs w:val="24"/>
        </w:rPr>
        <w:t>is concerned with</w:t>
      </w:r>
      <w:r w:rsidR="00982B78">
        <w:rPr>
          <w:rFonts w:ascii="Times New Roman" w:eastAsia="Times New Roman" w:hAnsi="Times New Roman" w:cs="Times New Roman"/>
          <w:sz w:val="24"/>
          <w:szCs w:val="24"/>
        </w:rPr>
        <w:t xml:space="preserve"> the organisational forms, inter-firm linkages</w:t>
      </w:r>
      <w:r>
        <w:rPr>
          <w:rFonts w:ascii="Times New Roman" w:eastAsia="Times New Roman" w:hAnsi="Times New Roman" w:cs="Times New Roman"/>
          <w:sz w:val="24"/>
          <w:szCs w:val="24"/>
        </w:rPr>
        <w:t>,</w:t>
      </w:r>
      <w:r w:rsidR="00982B78">
        <w:rPr>
          <w:rFonts w:ascii="Times New Roman" w:eastAsia="Times New Roman" w:hAnsi="Times New Roman" w:cs="Times New Roman"/>
          <w:sz w:val="24"/>
          <w:szCs w:val="24"/>
        </w:rPr>
        <w:t xml:space="preserve"> and modes of coordination through which power and influence operate in the </w:t>
      </w:r>
      <w:r w:rsidR="002B3A14">
        <w:rPr>
          <w:rFonts w:ascii="Times New Roman" w:eastAsia="Times New Roman" w:hAnsi="Times New Roman" w:cs="Times New Roman"/>
          <w:sz w:val="24"/>
          <w:szCs w:val="24"/>
        </w:rPr>
        <w:t>supply</w:t>
      </w:r>
      <w:r w:rsidR="008F5417">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982B78">
        <w:rPr>
          <w:rFonts w:ascii="Times New Roman" w:eastAsia="Times New Roman" w:hAnsi="Times New Roman" w:cs="Times New Roman"/>
          <w:sz w:val="24"/>
          <w:szCs w:val="24"/>
        </w:rPr>
        <w:t xml:space="preserve"> (Gereffi et al., 2005). </w:t>
      </w:r>
      <w:r w:rsidR="006E4867">
        <w:rPr>
          <w:rFonts w:ascii="Times New Roman" w:eastAsia="Times New Roman" w:hAnsi="Times New Roman" w:cs="Times New Roman"/>
          <w:sz w:val="24"/>
          <w:szCs w:val="24"/>
        </w:rPr>
        <w:t>S</w:t>
      </w:r>
      <w:r w:rsidR="00982B78">
        <w:rPr>
          <w:rFonts w:ascii="Times New Roman" w:eastAsia="Times New Roman" w:hAnsi="Times New Roman" w:cs="Times New Roman"/>
          <w:sz w:val="24"/>
          <w:szCs w:val="24"/>
        </w:rPr>
        <w:t>tandards governing production, ranging from product quality and technical specifications to labour and environmental codes (Nadvi, 2008)</w:t>
      </w:r>
      <w:r w:rsidR="006E4867">
        <w:rPr>
          <w:rFonts w:ascii="Times New Roman" w:eastAsia="Times New Roman" w:hAnsi="Times New Roman" w:cs="Times New Roman"/>
          <w:sz w:val="24"/>
          <w:szCs w:val="24"/>
        </w:rPr>
        <w:t xml:space="preserve">, </w:t>
      </w:r>
      <w:r w:rsidR="00982B78">
        <w:rPr>
          <w:rFonts w:ascii="Times New Roman" w:eastAsia="Times New Roman" w:hAnsi="Times New Roman" w:cs="Times New Roman"/>
          <w:sz w:val="24"/>
          <w:szCs w:val="24"/>
        </w:rPr>
        <w:t xml:space="preserve">are </w:t>
      </w:r>
      <w:r w:rsidR="006E4867">
        <w:rPr>
          <w:rFonts w:ascii="Times New Roman" w:eastAsia="Times New Roman" w:hAnsi="Times New Roman" w:cs="Times New Roman"/>
          <w:sz w:val="24"/>
          <w:szCs w:val="24"/>
        </w:rPr>
        <w:t xml:space="preserve">seen to </w:t>
      </w:r>
      <w:r w:rsidR="00982B78">
        <w:rPr>
          <w:rFonts w:ascii="Times New Roman" w:eastAsia="Times New Roman" w:hAnsi="Times New Roman" w:cs="Times New Roman"/>
          <w:sz w:val="24"/>
          <w:szCs w:val="24"/>
        </w:rPr>
        <w:t xml:space="preserve">transmit through the </w:t>
      </w:r>
      <w:r w:rsidR="006E4867">
        <w:rPr>
          <w:rFonts w:ascii="Times New Roman" w:eastAsia="Times New Roman" w:hAnsi="Times New Roman" w:cs="Times New Roman"/>
          <w:sz w:val="24"/>
          <w:szCs w:val="24"/>
        </w:rPr>
        <w:t xml:space="preserve">value </w:t>
      </w:r>
      <w:r w:rsidR="00982B78">
        <w:rPr>
          <w:rFonts w:ascii="Times New Roman" w:eastAsia="Times New Roman" w:hAnsi="Times New Roman" w:cs="Times New Roman"/>
          <w:sz w:val="24"/>
          <w:szCs w:val="24"/>
        </w:rPr>
        <w:t>chain, typically with mechanisms of monitoring and traceability integral to their verification (Bailey et al.</w:t>
      </w:r>
      <w:r w:rsidR="00424486">
        <w:rPr>
          <w:rFonts w:ascii="Times New Roman" w:eastAsia="Times New Roman" w:hAnsi="Times New Roman" w:cs="Times New Roman"/>
          <w:sz w:val="24"/>
          <w:szCs w:val="24"/>
        </w:rPr>
        <w:t>,</w:t>
      </w:r>
      <w:r w:rsidR="00982B78">
        <w:rPr>
          <w:rFonts w:ascii="Times New Roman" w:eastAsia="Times New Roman" w:hAnsi="Times New Roman" w:cs="Times New Roman"/>
          <w:sz w:val="24"/>
          <w:szCs w:val="24"/>
        </w:rPr>
        <w:t xml:space="preserve"> 2016).</w:t>
      </w:r>
      <w:r w:rsidR="000B1BE7">
        <w:rPr>
          <w:rFonts w:ascii="Times New Roman" w:eastAsia="Times New Roman" w:hAnsi="Times New Roman" w:cs="Times New Roman"/>
          <w:sz w:val="24"/>
          <w:szCs w:val="24"/>
        </w:rPr>
        <w:t xml:space="preserve"> </w:t>
      </w:r>
      <w:r w:rsidR="00982B78">
        <w:rPr>
          <w:rFonts w:ascii="Times New Roman" w:eastAsia="Times New Roman" w:hAnsi="Times New Roman" w:cs="Times New Roman"/>
          <w:sz w:val="24"/>
          <w:szCs w:val="24"/>
        </w:rPr>
        <w:t xml:space="preserve">For the study of </w:t>
      </w:r>
      <w:r w:rsidR="002B3A14">
        <w:rPr>
          <w:rFonts w:ascii="Times New Roman" w:eastAsia="Times New Roman" w:hAnsi="Times New Roman" w:cs="Times New Roman"/>
          <w:sz w:val="24"/>
          <w:szCs w:val="24"/>
        </w:rPr>
        <w:t>supply</w:t>
      </w:r>
      <w:r w:rsidR="008808C2">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982B78">
        <w:rPr>
          <w:rFonts w:ascii="Times New Roman" w:eastAsia="Times New Roman" w:hAnsi="Times New Roman" w:cs="Times New Roman"/>
          <w:sz w:val="24"/>
          <w:szCs w:val="24"/>
        </w:rPr>
        <w:t xml:space="preserve"> responses to AMR uncertainty, GVC perspectives on governance </w:t>
      </w:r>
      <w:r w:rsidR="00424486">
        <w:rPr>
          <w:rFonts w:ascii="Times New Roman" w:eastAsia="Times New Roman" w:hAnsi="Times New Roman" w:cs="Times New Roman"/>
          <w:sz w:val="24"/>
          <w:szCs w:val="24"/>
        </w:rPr>
        <w:t xml:space="preserve">can capture </w:t>
      </w:r>
      <w:r w:rsidR="00982B78">
        <w:rPr>
          <w:rFonts w:ascii="Times New Roman" w:eastAsia="Times New Roman" w:hAnsi="Times New Roman" w:cs="Times New Roman"/>
          <w:sz w:val="24"/>
          <w:szCs w:val="24"/>
        </w:rPr>
        <w:t>the corporate structures, forms of inter-firm coordination</w:t>
      </w:r>
      <w:r w:rsidR="00424486">
        <w:rPr>
          <w:rFonts w:ascii="Times New Roman" w:eastAsia="Times New Roman" w:hAnsi="Times New Roman" w:cs="Times New Roman"/>
          <w:sz w:val="24"/>
          <w:szCs w:val="24"/>
        </w:rPr>
        <w:t>,</w:t>
      </w:r>
      <w:r w:rsidR="00982B78">
        <w:rPr>
          <w:rFonts w:ascii="Times New Roman" w:eastAsia="Times New Roman" w:hAnsi="Times New Roman" w:cs="Times New Roman"/>
          <w:sz w:val="24"/>
          <w:szCs w:val="24"/>
        </w:rPr>
        <w:t xml:space="preserve"> and </w:t>
      </w:r>
      <w:r w:rsidR="001602B0">
        <w:rPr>
          <w:rFonts w:ascii="Times New Roman" w:eastAsia="Times New Roman" w:hAnsi="Times New Roman" w:cs="Times New Roman"/>
          <w:sz w:val="24"/>
          <w:szCs w:val="24"/>
        </w:rPr>
        <w:t>standards</w:t>
      </w:r>
      <w:r w:rsidR="00982B78">
        <w:rPr>
          <w:rFonts w:ascii="Times New Roman" w:eastAsia="Times New Roman" w:hAnsi="Times New Roman" w:cs="Times New Roman"/>
          <w:sz w:val="24"/>
          <w:szCs w:val="24"/>
        </w:rPr>
        <w:t xml:space="preserve"> through which AMR uncertainty and responsibility are managed. Although our study is mainly focused on the domestic context of the UK rather than cross-bo</w:t>
      </w:r>
      <w:r w:rsidR="00FD1FCA">
        <w:rPr>
          <w:rFonts w:ascii="Times New Roman" w:eastAsia="Times New Roman" w:hAnsi="Times New Roman" w:cs="Times New Roman"/>
          <w:sz w:val="24"/>
          <w:szCs w:val="24"/>
        </w:rPr>
        <w:t xml:space="preserve">rder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FD1FCA">
        <w:rPr>
          <w:rFonts w:ascii="Times New Roman" w:eastAsia="Times New Roman" w:hAnsi="Times New Roman" w:cs="Times New Roman"/>
          <w:sz w:val="24"/>
          <w:szCs w:val="24"/>
        </w:rPr>
        <w:t xml:space="preserve">s, GVC </w:t>
      </w:r>
      <w:r w:rsidR="00982B78">
        <w:rPr>
          <w:rFonts w:ascii="Times New Roman" w:eastAsia="Times New Roman" w:hAnsi="Times New Roman" w:cs="Times New Roman"/>
          <w:sz w:val="24"/>
          <w:szCs w:val="24"/>
        </w:rPr>
        <w:t>insights can nonetheless be applied</w:t>
      </w:r>
      <w:r w:rsidR="000072AB">
        <w:rPr>
          <w:rFonts w:ascii="Times New Roman" w:eastAsia="Times New Roman" w:hAnsi="Times New Roman" w:cs="Times New Roman"/>
          <w:sz w:val="24"/>
          <w:szCs w:val="24"/>
        </w:rPr>
        <w:t>,</w:t>
      </w:r>
      <w:r w:rsidR="00982B78">
        <w:rPr>
          <w:rFonts w:ascii="Times New Roman" w:eastAsia="Times New Roman" w:hAnsi="Times New Roman" w:cs="Times New Roman"/>
          <w:sz w:val="24"/>
          <w:szCs w:val="24"/>
        </w:rPr>
        <w:t xml:space="preserve"> given th</w:t>
      </w:r>
      <w:r w:rsidR="00CA29B5">
        <w:rPr>
          <w:rFonts w:ascii="Times New Roman" w:eastAsia="Times New Roman" w:hAnsi="Times New Roman" w:cs="Times New Roman"/>
          <w:sz w:val="24"/>
          <w:szCs w:val="24"/>
        </w:rPr>
        <w:t>is</w:t>
      </w:r>
      <w:r w:rsidR="00982B78">
        <w:rPr>
          <w:rFonts w:ascii="Times New Roman" w:eastAsia="Times New Roman" w:hAnsi="Times New Roman" w:cs="Times New Roman"/>
          <w:sz w:val="24"/>
          <w:szCs w:val="24"/>
        </w:rPr>
        <w:t xml:space="preserve"> emphasis </w:t>
      </w:r>
      <w:r w:rsidR="00FD1FCA">
        <w:rPr>
          <w:rFonts w:ascii="Times New Roman" w:eastAsia="Times New Roman" w:hAnsi="Times New Roman" w:cs="Times New Roman"/>
          <w:sz w:val="24"/>
          <w:szCs w:val="24"/>
        </w:rPr>
        <w:t>on governance</w:t>
      </w:r>
      <w:r w:rsidR="00982B78">
        <w:rPr>
          <w:rFonts w:ascii="Times New Roman" w:eastAsia="Times New Roman" w:hAnsi="Times New Roman" w:cs="Times New Roman"/>
          <w:sz w:val="24"/>
          <w:szCs w:val="24"/>
        </w:rPr>
        <w:t xml:space="preserve">. </w:t>
      </w:r>
      <w:r w:rsidR="00982B78" w:rsidRPr="00687F36">
        <w:rPr>
          <w:rFonts w:ascii="Times New Roman" w:eastAsia="Times New Roman" w:hAnsi="Times New Roman" w:cs="Times New Roman"/>
          <w:sz w:val="24"/>
          <w:szCs w:val="24"/>
        </w:rPr>
        <w:t>A valuable insight of GVC theorists is that value chains can be characterised not only by unipolar governance, “where ‘lead firms’ play a dominant role in shaping the chain”, but also by multipolar governance involving a “plurality of drivers and driving mechan</w:t>
      </w:r>
      <w:r w:rsidR="00BF17CF" w:rsidRPr="00687F36">
        <w:rPr>
          <w:rFonts w:ascii="Times New Roman" w:eastAsia="Times New Roman" w:hAnsi="Times New Roman" w:cs="Times New Roman"/>
          <w:sz w:val="24"/>
          <w:szCs w:val="24"/>
        </w:rPr>
        <w:t>isms” both within and external to</w:t>
      </w:r>
      <w:r w:rsidR="00982B78" w:rsidRPr="00687F36">
        <w:rPr>
          <w:rFonts w:ascii="Times New Roman" w:eastAsia="Times New Roman" w:hAnsi="Times New Roman" w:cs="Times New Roman"/>
          <w:sz w:val="24"/>
          <w:szCs w:val="24"/>
        </w:rPr>
        <w:t xml:space="preserve"> the chain (Ponte </w:t>
      </w:r>
      <w:r w:rsidR="005E1D9D" w:rsidRPr="00687F36">
        <w:rPr>
          <w:rFonts w:ascii="Times New Roman" w:eastAsia="Times New Roman" w:hAnsi="Times New Roman" w:cs="Times New Roman"/>
          <w:sz w:val="24"/>
          <w:szCs w:val="24"/>
        </w:rPr>
        <w:t>and Sturgeon, 2014: page 215).</w:t>
      </w:r>
      <w:r w:rsidR="005E1D9D">
        <w:rPr>
          <w:rFonts w:ascii="Times New Roman" w:eastAsia="Times New Roman" w:hAnsi="Times New Roman" w:cs="Times New Roman"/>
          <w:sz w:val="24"/>
          <w:szCs w:val="24"/>
        </w:rPr>
        <w:t xml:space="preserve"> Although we are focused on a specific sphere of influence rather than whole chain governance, we</w:t>
      </w:r>
      <w:r w:rsidR="00982B78">
        <w:rPr>
          <w:rFonts w:ascii="Times New Roman" w:eastAsia="Times New Roman" w:hAnsi="Times New Roman" w:cs="Times New Roman"/>
          <w:sz w:val="24"/>
          <w:szCs w:val="24"/>
        </w:rPr>
        <w:t xml:space="preserve"> take this </w:t>
      </w:r>
      <w:r w:rsidR="00CA29B5">
        <w:rPr>
          <w:rFonts w:ascii="Times New Roman" w:eastAsia="Times New Roman" w:hAnsi="Times New Roman" w:cs="Times New Roman"/>
          <w:sz w:val="24"/>
          <w:szCs w:val="24"/>
        </w:rPr>
        <w:t xml:space="preserve">notion </w:t>
      </w:r>
      <w:r w:rsidR="00982B78">
        <w:rPr>
          <w:rFonts w:ascii="Times New Roman" w:eastAsia="Times New Roman" w:hAnsi="Times New Roman" w:cs="Times New Roman"/>
          <w:sz w:val="24"/>
          <w:szCs w:val="24"/>
        </w:rPr>
        <w:t>forward into our analysis of how responsibility for addressing AMR uncertainty in the food system is achieved by a large cast of corporate, state</w:t>
      </w:r>
      <w:r w:rsidR="003E253E">
        <w:rPr>
          <w:rFonts w:ascii="Times New Roman" w:eastAsia="Times New Roman" w:hAnsi="Times New Roman" w:cs="Times New Roman"/>
          <w:sz w:val="24"/>
          <w:szCs w:val="24"/>
        </w:rPr>
        <w:t>,</w:t>
      </w:r>
      <w:r w:rsidR="00982B78">
        <w:rPr>
          <w:rFonts w:ascii="Times New Roman" w:eastAsia="Times New Roman" w:hAnsi="Times New Roman" w:cs="Times New Roman"/>
          <w:sz w:val="24"/>
          <w:szCs w:val="24"/>
        </w:rPr>
        <w:t xml:space="preserve"> and third sector actors linked, coordinated</w:t>
      </w:r>
      <w:r w:rsidR="00424486">
        <w:rPr>
          <w:rFonts w:ascii="Times New Roman" w:eastAsia="Times New Roman" w:hAnsi="Times New Roman" w:cs="Times New Roman"/>
          <w:sz w:val="24"/>
          <w:szCs w:val="24"/>
        </w:rPr>
        <w:t>,</w:t>
      </w:r>
      <w:r w:rsidR="00982B78">
        <w:rPr>
          <w:rFonts w:ascii="Times New Roman" w:eastAsia="Times New Roman" w:hAnsi="Times New Roman" w:cs="Times New Roman"/>
          <w:sz w:val="24"/>
          <w:szCs w:val="24"/>
        </w:rPr>
        <w:t xml:space="preserve"> and </w:t>
      </w:r>
      <w:r w:rsidR="00424486">
        <w:rPr>
          <w:rFonts w:ascii="Times New Roman" w:eastAsia="Times New Roman" w:hAnsi="Times New Roman" w:cs="Times New Roman"/>
          <w:sz w:val="24"/>
          <w:szCs w:val="24"/>
        </w:rPr>
        <w:t xml:space="preserve">exercising responsibility </w:t>
      </w:r>
      <w:r w:rsidR="00982B78">
        <w:rPr>
          <w:rFonts w:ascii="Times New Roman" w:eastAsia="Times New Roman" w:hAnsi="Times New Roman" w:cs="Times New Roman"/>
          <w:sz w:val="24"/>
          <w:szCs w:val="24"/>
        </w:rPr>
        <w:t>in multiple different ways.</w:t>
      </w:r>
    </w:p>
    <w:p w14:paraId="6A5D37AC" w14:textId="77777777" w:rsidR="00FF0F1B" w:rsidRDefault="00FF0F1B">
      <w:pPr>
        <w:spacing w:after="0" w:line="480" w:lineRule="auto"/>
        <w:rPr>
          <w:rFonts w:ascii="Times New Roman" w:eastAsia="Times New Roman" w:hAnsi="Times New Roman" w:cs="Times New Roman"/>
          <w:sz w:val="24"/>
          <w:szCs w:val="24"/>
        </w:rPr>
      </w:pPr>
    </w:p>
    <w:p w14:paraId="152DB6C0" w14:textId="5AA4D59C"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GVC and cognate perspectives falter, however, in their marginalisation of ‘the material’ and its co-constitutive role in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5E1D9D">
        <w:rPr>
          <w:rFonts w:ascii="Times New Roman" w:eastAsia="Times New Roman" w:hAnsi="Times New Roman" w:cs="Times New Roman"/>
          <w:sz w:val="24"/>
          <w:szCs w:val="24"/>
        </w:rPr>
        <w:t xml:space="preserve"> dynamics</w:t>
      </w:r>
      <w:r>
        <w:rPr>
          <w:rFonts w:ascii="Times New Roman" w:eastAsia="Times New Roman" w:hAnsi="Times New Roman" w:cs="Times New Roman"/>
          <w:sz w:val="24"/>
          <w:szCs w:val="24"/>
        </w:rPr>
        <w:t>. Ouma (2015: page 7) powerfully argues that such frameworks simply do not grasp “materially entangled practices”</w:t>
      </w:r>
      <w:r w:rsidR="001C55E9">
        <w:rPr>
          <w:rFonts w:ascii="Times New Roman" w:eastAsia="Times New Roman" w:hAnsi="Times New Roman" w:cs="Times New Roman"/>
          <w:sz w:val="24"/>
          <w:szCs w:val="24"/>
        </w:rPr>
        <w:t>; these are</w:t>
      </w:r>
      <w:r>
        <w:rPr>
          <w:rFonts w:ascii="Times New Roman" w:eastAsia="Times New Roman" w:hAnsi="Times New Roman" w:cs="Times New Roman"/>
          <w:sz w:val="24"/>
          <w:szCs w:val="24"/>
        </w:rPr>
        <w:t xml:space="preserve"> pressing in the context of AMR </w:t>
      </w:r>
      <w:r w:rsidR="001C55E9">
        <w:rPr>
          <w:rFonts w:ascii="Times New Roman" w:eastAsia="Times New Roman" w:hAnsi="Times New Roman" w:cs="Times New Roman"/>
          <w:sz w:val="24"/>
          <w:szCs w:val="24"/>
        </w:rPr>
        <w:t>with its associated</w:t>
      </w:r>
      <w:r>
        <w:rPr>
          <w:rFonts w:ascii="Times New Roman" w:eastAsia="Times New Roman" w:hAnsi="Times New Roman" w:cs="Times New Roman"/>
          <w:sz w:val="24"/>
          <w:szCs w:val="24"/>
        </w:rPr>
        <w:t xml:space="preserve"> uncertain microbial geographies </w:t>
      </w:r>
      <w:r w:rsidR="001C55E9">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yet which still demand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 governance of some kind. The concept of assemblage, deriving from Deleuze and Guattari (1987) (Anderson and McFarlane, 2011), already has traction in research on global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s (see</w:t>
      </w:r>
      <w:r w:rsidR="00D27587">
        <w:rPr>
          <w:rFonts w:ascii="Times New Roman" w:eastAsia="Times New Roman" w:hAnsi="Times New Roman" w:cs="Times New Roman"/>
          <w:sz w:val="24"/>
          <w:szCs w:val="24"/>
        </w:rPr>
        <w:t xml:space="preserve"> </w:t>
      </w:r>
      <w:r w:rsidR="005E1D9D">
        <w:rPr>
          <w:rFonts w:ascii="Times New Roman" w:eastAsia="Times New Roman" w:hAnsi="Times New Roman" w:cs="Times New Roman"/>
          <w:sz w:val="24"/>
          <w:szCs w:val="24"/>
        </w:rPr>
        <w:t>Buller and Roe</w:t>
      </w:r>
      <w:r w:rsidR="003E253E">
        <w:rPr>
          <w:rFonts w:ascii="Times New Roman" w:eastAsia="Times New Roman" w:hAnsi="Times New Roman" w:cs="Times New Roman"/>
          <w:sz w:val="24"/>
          <w:szCs w:val="24"/>
        </w:rPr>
        <w:t>,</w:t>
      </w:r>
      <w:r w:rsidR="00B03709">
        <w:rPr>
          <w:rFonts w:ascii="Times New Roman" w:eastAsia="Times New Roman" w:hAnsi="Times New Roman" w:cs="Times New Roman"/>
          <w:sz w:val="24"/>
          <w:szCs w:val="24"/>
        </w:rPr>
        <w:t xml:space="preserve"> 20</w:t>
      </w:r>
      <w:r w:rsidR="004C6C54">
        <w:rPr>
          <w:rFonts w:ascii="Times New Roman" w:eastAsia="Times New Roman" w:hAnsi="Times New Roman" w:cs="Times New Roman"/>
          <w:sz w:val="24"/>
          <w:szCs w:val="24"/>
        </w:rPr>
        <w:t>18</w:t>
      </w:r>
      <w:r w:rsidR="005E1D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Freidberg, 2017; L</w:t>
      </w:r>
      <w:r w:rsidR="005E1D9D">
        <w:rPr>
          <w:rFonts w:ascii="Times New Roman" w:eastAsia="Times New Roman" w:hAnsi="Times New Roman" w:cs="Times New Roman"/>
          <w:sz w:val="24"/>
          <w:szCs w:val="24"/>
        </w:rPr>
        <w:t>ewis et al., 2013; Ouma, 2015).</w:t>
      </w:r>
    </w:p>
    <w:p w14:paraId="15C8A17E" w14:textId="77777777" w:rsidR="00FF0F1B" w:rsidRDefault="00FF0F1B">
      <w:pPr>
        <w:spacing w:after="0" w:line="480" w:lineRule="auto"/>
        <w:rPr>
          <w:rFonts w:ascii="Times New Roman" w:eastAsia="Times New Roman" w:hAnsi="Times New Roman" w:cs="Times New Roman"/>
          <w:sz w:val="24"/>
          <w:szCs w:val="24"/>
        </w:rPr>
      </w:pPr>
    </w:p>
    <w:p w14:paraId="4CE82C06" w14:textId="677DB2A9"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value of assemblage thinking for theorising </w:t>
      </w:r>
      <w:r w:rsidR="00CE37E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management of AMR uncertainty in the food system lies in its apprehension of the inter- and intra-actions between human and non-human elements/bodies in a network (Anderson et al, 2012; DeLanda, 2006). Such an approach appreciates non-human vital materiality as shaping, and shaped by, human world-making activities. Whilst acknowledging the symbolism of power as concentrated into the hands of identifiable institutions like the state and corporations, an assemblage perspective explores agency as being more distributed in practice (Allen</w:t>
      </w:r>
      <w:r w:rsidR="00CF06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 Anderson et al (2012: page 177) explain that, “… an assemblage is both the provisional holding together of a group of entities across differences and a continuous process of movement and transformation as relations and terms change”. There is therefore a sense of capturing the dynamic making of food production networks, as well as being attuned to their management of ongoing flux, alteration, and iteration. Engagement with materiality in the analysis of AMR uncertainty in food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s is therefore useful for addressing the agency of food, animal bodies, pharmaceuticals</w:t>
      </w:r>
      <w:r w:rsidR="005D3C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of microbial life in the development and sharing of genes resistant to antimicrobial drugs. Allen (2011) and Hinchliffe et al (2017) appreciate the ways in which this materiality is not simply a risk factor in economic systems, but rather material uncertainties are </w:t>
      </w:r>
      <w:r>
        <w:rPr>
          <w:rFonts w:ascii="Times New Roman" w:eastAsia="Times New Roman" w:hAnsi="Times New Roman" w:cs="Times New Roman"/>
          <w:i/>
          <w:sz w:val="24"/>
          <w:szCs w:val="24"/>
        </w:rPr>
        <w:t>constitutive</w:t>
      </w:r>
      <w:r>
        <w:rPr>
          <w:rFonts w:ascii="Times New Roman" w:eastAsia="Times New Roman" w:hAnsi="Times New Roman" w:cs="Times New Roman"/>
          <w:sz w:val="24"/>
          <w:szCs w:val="24"/>
        </w:rPr>
        <w:t xml:space="preserve"> of the economy, of markets, and all that they perform. In that sense, AMR uncertainty is not exogenous to food supply, it is integral to the material processes </w:t>
      </w:r>
      <w:r>
        <w:rPr>
          <w:rFonts w:ascii="Times New Roman" w:eastAsia="Times New Roman" w:hAnsi="Times New Roman" w:cs="Times New Roman"/>
          <w:sz w:val="24"/>
          <w:szCs w:val="24"/>
        </w:rPr>
        <w:lastRenderedPageBreak/>
        <w:t xml:space="preserve">found within it and is (un)known across the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 in different contexts and through different practices.</w:t>
      </w:r>
    </w:p>
    <w:p w14:paraId="01EDC670" w14:textId="77777777" w:rsidR="00FF0F1B" w:rsidRDefault="00FF0F1B">
      <w:pPr>
        <w:spacing w:after="0" w:line="480" w:lineRule="auto"/>
        <w:rPr>
          <w:rFonts w:ascii="Times New Roman" w:eastAsia="Times New Roman" w:hAnsi="Times New Roman" w:cs="Times New Roman"/>
          <w:sz w:val="24"/>
          <w:szCs w:val="24"/>
        </w:rPr>
      </w:pPr>
    </w:p>
    <w:p w14:paraId="19E26B84" w14:textId="79DF4581"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next sections we address, in turn, how the responsibilities for managing the uncertainties of AMR are focused on antibiotic stewardship and targets for reducing use, how these responsibilities are practised through distributed agency in UK meat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s</w:t>
      </w:r>
      <w:r w:rsidR="004A41A6">
        <w:rPr>
          <w:rFonts w:ascii="Times New Roman" w:eastAsia="Times New Roman" w:hAnsi="Times New Roman" w:cs="Times New Roman"/>
          <w:sz w:val="24"/>
          <w:szCs w:val="24"/>
        </w:rPr>
        <w:t>, and how the focus on these targets has limitations in terms of tackling the complexities and uncertainties of the problem of AMR</w:t>
      </w:r>
      <w:r>
        <w:rPr>
          <w:rFonts w:ascii="Times New Roman" w:eastAsia="Times New Roman" w:hAnsi="Times New Roman" w:cs="Times New Roman"/>
          <w:sz w:val="24"/>
          <w:szCs w:val="24"/>
        </w:rPr>
        <w:t>. We do so in a way that is sensitive to assemblage insights, but also one that retains valuable political-economic insights into corporate structures and governance.</w:t>
      </w:r>
    </w:p>
    <w:p w14:paraId="1E435C9B" w14:textId="77777777" w:rsidR="00FF0F1B" w:rsidRDefault="00FF0F1B">
      <w:pPr>
        <w:spacing w:line="480" w:lineRule="auto"/>
        <w:rPr>
          <w:rFonts w:ascii="Times New Roman" w:eastAsia="Times New Roman" w:hAnsi="Times New Roman" w:cs="Times New Roman"/>
          <w:sz w:val="24"/>
          <w:szCs w:val="24"/>
        </w:rPr>
      </w:pPr>
    </w:p>
    <w:p w14:paraId="194472E3" w14:textId="266E05EF" w:rsidR="00FF0F1B" w:rsidRPr="00554B7D" w:rsidRDefault="00982B78" w:rsidP="005E1A6A">
      <w:pPr>
        <w:spacing w:line="480" w:lineRule="auto"/>
        <w:rPr>
          <w:rFonts w:ascii="Times New Roman" w:eastAsia="Times New Roman" w:hAnsi="Times New Roman" w:cs="Times New Roman"/>
          <w:b/>
          <w:sz w:val="24"/>
          <w:szCs w:val="24"/>
        </w:rPr>
      </w:pPr>
      <w:r w:rsidRPr="00554B7D">
        <w:rPr>
          <w:rFonts w:ascii="Times New Roman" w:eastAsia="Times New Roman" w:hAnsi="Times New Roman" w:cs="Times New Roman"/>
          <w:b/>
          <w:sz w:val="24"/>
          <w:szCs w:val="24"/>
        </w:rPr>
        <w:t xml:space="preserve">Framing responsibility for tackling AMR uncertainty in the food system: the focus on targets for reducing </w:t>
      </w:r>
      <w:r w:rsidR="002B3A14">
        <w:rPr>
          <w:rFonts w:ascii="Times New Roman" w:eastAsia="Times New Roman" w:hAnsi="Times New Roman" w:cs="Times New Roman"/>
          <w:b/>
          <w:sz w:val="24"/>
          <w:szCs w:val="24"/>
        </w:rPr>
        <w:t>antibiotic</w:t>
      </w:r>
      <w:r w:rsidR="008F5417">
        <w:rPr>
          <w:rFonts w:ascii="Times New Roman" w:eastAsia="Times New Roman" w:hAnsi="Times New Roman" w:cs="Times New Roman"/>
          <w:b/>
          <w:sz w:val="24"/>
          <w:szCs w:val="24"/>
        </w:rPr>
        <w:t xml:space="preserve"> </w:t>
      </w:r>
      <w:r w:rsidR="002B3A14">
        <w:rPr>
          <w:rFonts w:ascii="Times New Roman" w:eastAsia="Times New Roman" w:hAnsi="Times New Roman" w:cs="Times New Roman"/>
          <w:b/>
          <w:sz w:val="24"/>
          <w:szCs w:val="24"/>
        </w:rPr>
        <w:t>usage</w:t>
      </w:r>
    </w:p>
    <w:p w14:paraId="08C981D4" w14:textId="65E661F6" w:rsidR="000E37BD" w:rsidRPr="00554B7D" w:rsidRDefault="00AB2646" w:rsidP="00C351DB">
      <w:pPr>
        <w:spacing w:line="480" w:lineRule="auto"/>
        <w:rPr>
          <w:rFonts w:ascii="Times New Roman" w:eastAsia="Times New Roman" w:hAnsi="Times New Roman" w:cs="Times New Roman"/>
          <w:i/>
          <w:sz w:val="24"/>
          <w:szCs w:val="24"/>
        </w:rPr>
      </w:pPr>
      <w:r w:rsidRPr="008F6D07">
        <w:rPr>
          <w:rFonts w:ascii="Times New Roman" w:eastAsia="Times New Roman" w:hAnsi="Times New Roman" w:cs="Times New Roman"/>
          <w:i/>
          <w:sz w:val="24"/>
          <w:szCs w:val="24"/>
        </w:rPr>
        <w:t>T</w:t>
      </w:r>
      <w:r w:rsidR="000E37BD" w:rsidRPr="00554B7D">
        <w:rPr>
          <w:rFonts w:ascii="Times New Roman" w:eastAsia="Times New Roman" w:hAnsi="Times New Roman" w:cs="Times New Roman"/>
          <w:i/>
          <w:sz w:val="24"/>
          <w:szCs w:val="24"/>
        </w:rPr>
        <w:t xml:space="preserve">he focus on </w:t>
      </w:r>
      <w:r w:rsidR="002B3A14">
        <w:rPr>
          <w:rFonts w:ascii="Times New Roman" w:eastAsia="Times New Roman" w:hAnsi="Times New Roman" w:cs="Times New Roman"/>
          <w:i/>
          <w:sz w:val="24"/>
          <w:szCs w:val="24"/>
        </w:rPr>
        <w:t>antibiotic</w:t>
      </w:r>
      <w:r w:rsidR="00B11ED4">
        <w:rPr>
          <w:rFonts w:ascii="Times New Roman" w:eastAsia="Times New Roman" w:hAnsi="Times New Roman" w:cs="Times New Roman"/>
          <w:i/>
          <w:sz w:val="24"/>
          <w:szCs w:val="24"/>
        </w:rPr>
        <w:t xml:space="preserve"> </w:t>
      </w:r>
      <w:r w:rsidR="002B3A14">
        <w:rPr>
          <w:rFonts w:ascii="Times New Roman" w:eastAsia="Times New Roman" w:hAnsi="Times New Roman" w:cs="Times New Roman"/>
          <w:i/>
          <w:sz w:val="24"/>
          <w:szCs w:val="24"/>
        </w:rPr>
        <w:t>usage</w:t>
      </w:r>
    </w:p>
    <w:p w14:paraId="635B4F68" w14:textId="1FEC99C7" w:rsidR="00FF0F1B" w:rsidRDefault="00982B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t>
      </w:r>
      <w:r w:rsidR="009904A2">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w:t>
      </w:r>
      <w:r w:rsidR="009904A2">
        <w:rPr>
          <w:rFonts w:ascii="Times New Roman" w:eastAsia="Times New Roman" w:hAnsi="Times New Roman" w:cs="Times New Roman"/>
          <w:sz w:val="24"/>
          <w:szCs w:val="24"/>
        </w:rPr>
        <w:t xml:space="preserve">identify </w:t>
      </w:r>
      <w:r>
        <w:rPr>
          <w:rFonts w:ascii="Times New Roman" w:eastAsia="Times New Roman" w:hAnsi="Times New Roman" w:cs="Times New Roman"/>
          <w:sz w:val="24"/>
          <w:szCs w:val="24"/>
        </w:rPr>
        <w:t>how antibiotic stewardship and reduction targets centred on domestic food production have become the key focus of strategic attention as manageable objectives. Several of our research respondents explicitly acknowledged the significance of the O’Neill report in driving change in UK antibiotic stewardship in the food system (R3, R7A, TA3, TA</w:t>
      </w:r>
      <w:r w:rsidR="00CF4EC8">
        <w:rPr>
          <w:rFonts w:ascii="Times New Roman" w:eastAsia="Times New Roman" w:hAnsi="Times New Roman" w:cs="Times New Roman"/>
          <w:sz w:val="24"/>
          <w:szCs w:val="24"/>
        </w:rPr>
        <w:t xml:space="preserve">5, GD2ab). We begin to see </w:t>
      </w:r>
      <w:r>
        <w:rPr>
          <w:rFonts w:ascii="Times New Roman" w:eastAsia="Times New Roman" w:hAnsi="Times New Roman" w:cs="Times New Roman"/>
          <w:sz w:val="24"/>
          <w:szCs w:val="24"/>
        </w:rPr>
        <w:t xml:space="preserve">in </w:t>
      </w:r>
      <w:r w:rsidR="005D3CD4">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report characteristics of the policy</w:t>
      </w:r>
      <w:r w:rsidR="00007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makers</w:t>
      </w:r>
      <w:r w:rsidR="000E37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9436C">
        <w:rPr>
          <w:rFonts w:ascii="Times New Roman" w:eastAsia="Times New Roman" w:hAnsi="Times New Roman" w:cs="Times New Roman"/>
          <w:sz w:val="24"/>
          <w:szCs w:val="24"/>
        </w:rPr>
        <w:t>‘</w:t>
      </w:r>
      <w:r>
        <w:rPr>
          <w:rFonts w:ascii="Times New Roman" w:eastAsia="Times New Roman" w:hAnsi="Times New Roman" w:cs="Times New Roman"/>
          <w:sz w:val="24"/>
          <w:szCs w:val="24"/>
        </w:rPr>
        <w:t>strategic diagramming</w:t>
      </w:r>
      <w:r w:rsidR="00CF4EC8">
        <w:rPr>
          <w:rFonts w:ascii="Times New Roman" w:eastAsia="Times New Roman" w:hAnsi="Times New Roman" w:cs="Times New Roman"/>
          <w:sz w:val="24"/>
          <w:szCs w:val="24"/>
        </w:rPr>
        <w:t>’</w:t>
      </w:r>
      <w:r w:rsidR="0089436C">
        <w:rPr>
          <w:rFonts w:ascii="Times New Roman" w:eastAsia="Times New Roman" w:hAnsi="Times New Roman" w:cs="Times New Roman"/>
          <w:sz w:val="24"/>
          <w:szCs w:val="24"/>
        </w:rPr>
        <w:t xml:space="preserve"> (Hinchliffe et al., 2017) </w:t>
      </w:r>
      <w:r>
        <w:rPr>
          <w:rFonts w:ascii="Times New Roman" w:eastAsia="Times New Roman" w:hAnsi="Times New Roman" w:cs="Times New Roman"/>
          <w:sz w:val="24"/>
          <w:szCs w:val="24"/>
        </w:rPr>
        <w:t xml:space="preserve">of AMR with the identification of </w:t>
      </w:r>
      <w:r w:rsidR="00056D4C">
        <w:rPr>
          <w:rFonts w:ascii="Times New Roman" w:eastAsia="Times New Roman" w:hAnsi="Times New Roman" w:cs="Times New Roman"/>
          <w:sz w:val="24"/>
          <w:szCs w:val="24"/>
        </w:rPr>
        <w:t>agri-food</w:t>
      </w:r>
      <w:r>
        <w:rPr>
          <w:rFonts w:ascii="Times New Roman" w:eastAsia="Times New Roman" w:hAnsi="Times New Roman" w:cs="Times New Roman"/>
          <w:sz w:val="24"/>
          <w:szCs w:val="24"/>
        </w:rPr>
        <w:t xml:space="preserve"> system actors</w:t>
      </w:r>
      <w:r w:rsidR="00AC3080">
        <w:rPr>
          <w:rFonts w:ascii="Times New Roman" w:eastAsia="Times New Roman" w:hAnsi="Times New Roman" w:cs="Times New Roman"/>
          <w:sz w:val="24"/>
          <w:szCs w:val="24"/>
        </w:rPr>
        <w:t xml:space="preserve"> – producers, retailers</w:t>
      </w:r>
      <w:r w:rsidR="003E253E">
        <w:rPr>
          <w:rFonts w:ascii="Times New Roman" w:eastAsia="Times New Roman" w:hAnsi="Times New Roman" w:cs="Times New Roman"/>
          <w:sz w:val="24"/>
          <w:szCs w:val="24"/>
        </w:rPr>
        <w:t>,</w:t>
      </w:r>
      <w:r w:rsidR="00AC3080">
        <w:rPr>
          <w:rFonts w:ascii="Times New Roman" w:eastAsia="Times New Roman" w:hAnsi="Times New Roman" w:cs="Times New Roman"/>
          <w:sz w:val="24"/>
          <w:szCs w:val="24"/>
        </w:rPr>
        <w:t xml:space="preserve"> and regulators</w:t>
      </w:r>
      <w:r w:rsidR="005D3C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tasked with responsibilities</w:t>
      </w:r>
      <w:r w:rsidR="009904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E37BD">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w:t>
      </w:r>
      <w:r w:rsidR="000E37BD">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witness the UK’s AMR policy as strongly shaped by the rendering of AMR as a novel pathogenic threat generated through food production-consumption-waste systems when (un)healthy animals receive </w:t>
      </w:r>
      <w:r w:rsidR="00C73183">
        <w:rPr>
          <w:rFonts w:ascii="Times New Roman" w:eastAsia="Times New Roman" w:hAnsi="Times New Roman" w:cs="Times New Roman"/>
          <w:sz w:val="24"/>
          <w:szCs w:val="24"/>
        </w:rPr>
        <w:t xml:space="preserve">significant quantities </w:t>
      </w:r>
      <w:r>
        <w:rPr>
          <w:rFonts w:ascii="Times New Roman" w:eastAsia="Times New Roman" w:hAnsi="Times New Roman" w:cs="Times New Roman"/>
          <w:sz w:val="24"/>
          <w:szCs w:val="24"/>
        </w:rPr>
        <w:t xml:space="preserve">of antibiotics. The </w:t>
      </w:r>
      <w:r w:rsidR="00437D01">
        <w:rPr>
          <w:rFonts w:ascii="Times New Roman" w:eastAsia="Times New Roman" w:hAnsi="Times New Roman" w:cs="Times New Roman"/>
          <w:sz w:val="24"/>
          <w:szCs w:val="24"/>
        </w:rPr>
        <w:t>requested contribution by</w:t>
      </w:r>
      <w:r>
        <w:rPr>
          <w:rFonts w:ascii="Times New Roman" w:eastAsia="Times New Roman" w:hAnsi="Times New Roman" w:cs="Times New Roman"/>
          <w:sz w:val="24"/>
          <w:szCs w:val="24"/>
        </w:rPr>
        <w:t xml:space="preserve"> the food sector</w:t>
      </w:r>
      <w:r w:rsidR="00437D01">
        <w:rPr>
          <w:rFonts w:ascii="Times New Roman" w:eastAsia="Times New Roman" w:hAnsi="Times New Roman" w:cs="Times New Roman"/>
          <w:sz w:val="24"/>
          <w:szCs w:val="24"/>
        </w:rPr>
        <w:t xml:space="preserve"> in tackling AMR</w:t>
      </w:r>
      <w:r>
        <w:rPr>
          <w:rFonts w:ascii="Times New Roman" w:eastAsia="Times New Roman" w:hAnsi="Times New Roman" w:cs="Times New Roman"/>
          <w:sz w:val="24"/>
          <w:szCs w:val="24"/>
        </w:rPr>
        <w:t xml:space="preserve"> was the reduction of “the extensive and unnecessary use of antibiotics in agriculture”</w:t>
      </w:r>
      <w:r w:rsidR="007A6BAA">
        <w:rPr>
          <w:rFonts w:ascii="Times New Roman" w:eastAsia="Times New Roman" w:hAnsi="Times New Roman" w:cs="Times New Roman"/>
          <w:sz w:val="24"/>
          <w:szCs w:val="24"/>
        </w:rPr>
        <w:t xml:space="preserve"> (O’Neill, 2</w:t>
      </w:r>
      <w:r w:rsidR="00B64D91">
        <w:rPr>
          <w:rFonts w:ascii="Times New Roman" w:eastAsia="Times New Roman" w:hAnsi="Times New Roman" w:cs="Times New Roman"/>
          <w:sz w:val="24"/>
          <w:szCs w:val="24"/>
        </w:rPr>
        <w:t>0</w:t>
      </w:r>
      <w:r w:rsidR="007A6BAA">
        <w:rPr>
          <w:rFonts w:ascii="Times New Roman" w:eastAsia="Times New Roman" w:hAnsi="Times New Roman" w:cs="Times New Roman"/>
          <w:sz w:val="24"/>
          <w:szCs w:val="24"/>
        </w:rPr>
        <w:t>16: page 2)</w:t>
      </w:r>
      <w:r>
        <w:rPr>
          <w:rFonts w:ascii="Times New Roman" w:eastAsia="Times New Roman" w:hAnsi="Times New Roman" w:cs="Times New Roman"/>
          <w:sz w:val="24"/>
          <w:szCs w:val="24"/>
        </w:rPr>
        <w:t xml:space="preserve">. This amounts to policies for reducing both total use of antibiotics and minimising the use of those deemed key to treating </w:t>
      </w:r>
      <w:r>
        <w:rPr>
          <w:rFonts w:ascii="Times New Roman" w:eastAsia="Times New Roman" w:hAnsi="Times New Roman" w:cs="Times New Roman"/>
          <w:sz w:val="24"/>
          <w:szCs w:val="24"/>
        </w:rPr>
        <w:lastRenderedPageBreak/>
        <w:t>disease in humans, the</w:t>
      </w:r>
      <w:r w:rsidR="00A117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CIAs. The language here frames antibiotics as an over-used bio-technical resource. </w:t>
      </w:r>
      <w:r w:rsidR="00F2595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desired outcome from the narrow objective of reducing and refining </w:t>
      </w:r>
      <w:r w:rsidR="004F098D">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use</w:t>
      </w:r>
      <w:r w:rsidR="00F2595C">
        <w:rPr>
          <w:rFonts w:ascii="Times New Roman" w:eastAsia="Times New Roman" w:hAnsi="Times New Roman" w:cs="Times New Roman"/>
          <w:sz w:val="24"/>
          <w:szCs w:val="24"/>
        </w:rPr>
        <w:t xml:space="preserve"> on-farm</w:t>
      </w:r>
      <w:r>
        <w:rPr>
          <w:rFonts w:ascii="Times New Roman" w:eastAsia="Times New Roman" w:hAnsi="Times New Roman" w:cs="Times New Roman"/>
          <w:sz w:val="24"/>
          <w:szCs w:val="24"/>
        </w:rPr>
        <w:t xml:space="preserve"> is arguably </w:t>
      </w:r>
      <w:r w:rsidR="000E37BD">
        <w:rPr>
          <w:rFonts w:ascii="Times New Roman" w:eastAsia="Times New Roman" w:hAnsi="Times New Roman" w:cs="Times New Roman"/>
          <w:sz w:val="24"/>
          <w:szCs w:val="24"/>
        </w:rPr>
        <w:t xml:space="preserve">derived </w:t>
      </w:r>
      <w:r>
        <w:rPr>
          <w:rFonts w:ascii="Times New Roman" w:eastAsia="Times New Roman" w:hAnsi="Times New Roman" w:cs="Times New Roman"/>
          <w:sz w:val="24"/>
          <w:szCs w:val="24"/>
        </w:rPr>
        <w:t xml:space="preserve">from identifying a straightforward relationship: </w:t>
      </w:r>
      <w:r w:rsidR="00B03709">
        <w:rPr>
          <w:rFonts w:ascii="Times New Roman" w:eastAsia="Times New Roman" w:hAnsi="Times New Roman" w:cs="Times New Roman"/>
          <w:sz w:val="24"/>
          <w:szCs w:val="24"/>
        </w:rPr>
        <w:t xml:space="preserve">reducing </w:t>
      </w:r>
      <w:r>
        <w:rPr>
          <w:rFonts w:ascii="Times New Roman" w:eastAsia="Times New Roman" w:hAnsi="Times New Roman" w:cs="Times New Roman"/>
          <w:sz w:val="24"/>
          <w:szCs w:val="24"/>
        </w:rPr>
        <w:t xml:space="preserve">the </w:t>
      </w:r>
      <w:r w:rsidR="00554B7D">
        <w:rPr>
          <w:rFonts w:ascii="Times New Roman" w:eastAsia="Times New Roman" w:hAnsi="Times New Roman" w:cs="Times New Roman"/>
          <w:sz w:val="24"/>
          <w:szCs w:val="24"/>
        </w:rPr>
        <w:t>anti</w:t>
      </w:r>
      <w:r>
        <w:rPr>
          <w:rFonts w:ascii="Times New Roman" w:eastAsia="Times New Roman" w:hAnsi="Times New Roman" w:cs="Times New Roman"/>
          <w:sz w:val="24"/>
          <w:szCs w:val="24"/>
        </w:rPr>
        <w:t>microbial weaponry would lessen the agitations of genetic resistance</w:t>
      </w:r>
      <w:r w:rsidR="00554B7D">
        <w:rPr>
          <w:rFonts w:ascii="Times New Roman" w:eastAsia="Times New Roman" w:hAnsi="Times New Roman" w:cs="Times New Roman"/>
          <w:sz w:val="24"/>
          <w:szCs w:val="24"/>
        </w:rPr>
        <w:t xml:space="preserve"> and thus </w:t>
      </w:r>
      <w:r w:rsidR="00B03709">
        <w:rPr>
          <w:rFonts w:ascii="Times New Roman" w:eastAsia="Times New Roman" w:hAnsi="Times New Roman" w:cs="Times New Roman"/>
          <w:sz w:val="24"/>
          <w:szCs w:val="24"/>
        </w:rPr>
        <w:t xml:space="preserve">reduce a source of </w:t>
      </w:r>
      <w:r w:rsidR="00554B7D">
        <w:rPr>
          <w:rFonts w:ascii="Times New Roman" w:eastAsia="Times New Roman" w:hAnsi="Times New Roman" w:cs="Times New Roman"/>
          <w:sz w:val="24"/>
          <w:szCs w:val="24"/>
        </w:rPr>
        <w:t>resistan</w:t>
      </w:r>
      <w:r w:rsidR="00B03709">
        <w:rPr>
          <w:rFonts w:ascii="Times New Roman" w:eastAsia="Times New Roman" w:hAnsi="Times New Roman" w:cs="Times New Roman"/>
          <w:sz w:val="24"/>
          <w:szCs w:val="24"/>
        </w:rPr>
        <w:t>t</w:t>
      </w:r>
      <w:r w:rsidR="00554B7D">
        <w:rPr>
          <w:rFonts w:ascii="Times New Roman" w:eastAsia="Times New Roman" w:hAnsi="Times New Roman" w:cs="Times New Roman"/>
          <w:sz w:val="24"/>
          <w:szCs w:val="24"/>
        </w:rPr>
        <w:t xml:space="preserve"> pathogens</w:t>
      </w:r>
      <w:r>
        <w:rPr>
          <w:rFonts w:ascii="Times New Roman" w:eastAsia="Times New Roman" w:hAnsi="Times New Roman" w:cs="Times New Roman"/>
          <w:sz w:val="24"/>
          <w:szCs w:val="24"/>
        </w:rPr>
        <w:t xml:space="preserve">. </w:t>
      </w:r>
    </w:p>
    <w:p w14:paraId="4E802858" w14:textId="77777777" w:rsidR="00AB2646" w:rsidRDefault="00AB2646" w:rsidP="00460A08">
      <w:pPr>
        <w:spacing w:line="480" w:lineRule="auto"/>
        <w:rPr>
          <w:rFonts w:ascii="Times New Roman" w:eastAsia="Times New Roman" w:hAnsi="Times New Roman" w:cs="Times New Roman"/>
          <w:bCs/>
          <w:i/>
          <w:sz w:val="24"/>
          <w:szCs w:val="24"/>
        </w:rPr>
      </w:pPr>
    </w:p>
    <w:p w14:paraId="68741D2F" w14:textId="3670A637" w:rsidR="00AB2646" w:rsidRDefault="00AB2646" w:rsidP="00460A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Cs/>
          <w:i/>
          <w:sz w:val="24"/>
          <w:szCs w:val="24"/>
        </w:rPr>
        <w:t>Targets as instruments for driving change</w:t>
      </w:r>
    </w:p>
    <w:p w14:paraId="5F6F2384" w14:textId="505B8F6B" w:rsidR="00460A08" w:rsidRDefault="00460A08" w:rsidP="00460A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target of reducing </w:t>
      </w:r>
      <w:r w:rsidR="004F098D">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use</w:t>
      </w:r>
      <w:r>
        <w:rPr>
          <w:rFonts w:ascii="Times New Roman" w:eastAsia="Times New Roman" w:hAnsi="Times New Roman" w:cs="Times New Roman"/>
          <w:sz w:val="24"/>
          <w:szCs w:val="24"/>
        </w:rPr>
        <w:t xml:space="preserve"> to an average of 50mg/kg</w:t>
      </w:r>
      <w:r w:rsidR="005D3CD4">
        <w:rPr>
          <w:rFonts w:ascii="Times New Roman" w:eastAsia="Times New Roman" w:hAnsi="Times New Roman" w:cs="Times New Roman"/>
          <w:sz w:val="24"/>
          <w:szCs w:val="24"/>
        </w:rPr>
        <w:t>, which was set for</w:t>
      </w:r>
      <w:r>
        <w:rPr>
          <w:rFonts w:ascii="Times New Roman" w:eastAsia="Times New Roman" w:hAnsi="Times New Roman" w:cs="Times New Roman"/>
          <w:sz w:val="24"/>
          <w:szCs w:val="24"/>
        </w:rPr>
        <w:t xml:space="preserve"> the </w:t>
      </w:r>
      <w:r w:rsidR="00861D8A">
        <w:rPr>
          <w:rFonts w:ascii="Times New Roman" w:eastAsia="Times New Roman" w:hAnsi="Times New Roman" w:cs="Times New Roman"/>
          <w:sz w:val="24"/>
          <w:szCs w:val="24"/>
        </w:rPr>
        <w:t xml:space="preserve">UK </w:t>
      </w:r>
      <w:r>
        <w:rPr>
          <w:rFonts w:ascii="Times New Roman" w:eastAsia="Times New Roman" w:hAnsi="Times New Roman" w:cs="Times New Roman"/>
          <w:sz w:val="24"/>
          <w:szCs w:val="24"/>
        </w:rPr>
        <w:t xml:space="preserve">livestock and farmed fish sectors </w:t>
      </w:r>
      <w:r w:rsidR="005D3CD4">
        <w:rPr>
          <w:rFonts w:ascii="Times New Roman" w:eastAsia="Times New Roman" w:hAnsi="Times New Roman" w:cs="Times New Roman"/>
          <w:sz w:val="24"/>
          <w:szCs w:val="24"/>
        </w:rPr>
        <w:t>following the O’Neill report,</w:t>
      </w:r>
      <w:r w:rsidR="00861D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 recognised</w:t>
      </w:r>
      <w:r w:rsidR="00AF7466">
        <w:rPr>
          <w:rFonts w:ascii="Times New Roman" w:eastAsia="Times New Roman" w:hAnsi="Times New Roman" w:cs="Times New Roman"/>
          <w:sz w:val="24"/>
          <w:szCs w:val="24"/>
        </w:rPr>
        <w:t xml:space="preserve"> in the sector</w:t>
      </w:r>
      <w:r w:rsidR="003E6C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an instrument to prompt and advance a wider antibiotic stewardship agenda (GD2a). A retail manager and a trade association director, respectively, acknowledge that the 50mg/kg target as a multi-species average was not reached with scientific certainty, but suggest that it has had capacity as a device to drive change and to encourage greater responsibility:</w:t>
      </w:r>
    </w:p>
    <w:p w14:paraId="45B2757D" w14:textId="77777777" w:rsidR="00460A08" w:rsidRDefault="00460A08" w:rsidP="00460A08">
      <w:pPr>
        <w:spacing w:line="240" w:lineRule="auto"/>
        <w:ind w:left="567" w:right="521"/>
        <w:rPr>
          <w:rFonts w:ascii="Times New Roman" w:eastAsia="Times New Roman" w:hAnsi="Times New Roman" w:cs="Times New Roman"/>
          <w:sz w:val="24"/>
          <w:szCs w:val="24"/>
        </w:rPr>
      </w:pPr>
    </w:p>
    <w:p w14:paraId="6A5223E2" w14:textId="77777777" w:rsidR="00460A08" w:rsidRDefault="00460A08" w:rsidP="00460A08">
      <w:pPr>
        <w:spacing w:line="240" w:lineRule="auto"/>
        <w:ind w:left="567"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“You can argue about the validity of that target, but if that’s the target, then I think you’ll find that a lot of the sectors will make massive changes and will have the resource to demonstrate that” (R7A).</w:t>
      </w:r>
    </w:p>
    <w:p w14:paraId="6C378F62" w14:textId="77777777" w:rsidR="00460A08" w:rsidRDefault="00460A08" w:rsidP="00460A08">
      <w:pPr>
        <w:spacing w:line="240" w:lineRule="auto"/>
        <w:ind w:left="567" w:right="521"/>
        <w:rPr>
          <w:rFonts w:ascii="Times New Roman" w:eastAsia="Times New Roman" w:hAnsi="Times New Roman" w:cs="Times New Roman"/>
          <w:sz w:val="24"/>
          <w:szCs w:val="24"/>
        </w:rPr>
      </w:pPr>
    </w:p>
    <w:p w14:paraId="2A848D3A" w14:textId="7095DE06" w:rsidR="00460A08" w:rsidRDefault="00460A08" w:rsidP="00460A08">
      <w:pPr>
        <w:spacing w:line="240" w:lineRule="auto"/>
        <w:ind w:left="567" w:right="52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“It’s very much a political issue and it’s a tool that’s used to drive a response in the industry to start thinking about responsible use, but very few people would credibly say that the 50mg/kg has a very meaningful, scientific value… You know, economists wrote the </w:t>
      </w:r>
      <w:r w:rsidR="00AF7466">
        <w:rPr>
          <w:rFonts w:ascii="Times New Roman" w:eastAsia="Times New Roman" w:hAnsi="Times New Roman" w:cs="Times New Roman"/>
          <w:color w:val="000000"/>
          <w:sz w:val="24"/>
          <w:szCs w:val="24"/>
        </w:rPr>
        <w:t xml:space="preserve">[O’Neill] </w:t>
      </w:r>
      <w:r>
        <w:rPr>
          <w:rFonts w:ascii="Times New Roman" w:eastAsia="Times New Roman" w:hAnsi="Times New Roman" w:cs="Times New Roman"/>
          <w:color w:val="000000"/>
          <w:sz w:val="24"/>
          <w:szCs w:val="24"/>
        </w:rPr>
        <w:t>report essentially, so they’re thinking about what could actually drive change… So, we’re using that as an opportunity to have that renewed conversation” (TA3a).</w:t>
      </w:r>
    </w:p>
    <w:p w14:paraId="3A2AAFD4" w14:textId="77777777" w:rsidR="00460A08" w:rsidRDefault="00460A08" w:rsidP="00460A08">
      <w:pPr>
        <w:spacing w:line="480" w:lineRule="auto"/>
        <w:rPr>
          <w:rFonts w:ascii="Times New Roman" w:eastAsia="Times New Roman" w:hAnsi="Times New Roman" w:cs="Times New Roman"/>
          <w:sz w:val="24"/>
          <w:szCs w:val="24"/>
        </w:rPr>
      </w:pPr>
    </w:p>
    <w:p w14:paraId="533820CF" w14:textId="5192C03E" w:rsidR="00460A08" w:rsidRDefault="00460A08" w:rsidP="00460A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Interestingly, it was the citation in the O’Neill report of Denmark as a leader in reducing total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Pr>
          <w:rFonts w:ascii="Times New Roman" w:eastAsia="Times New Roman" w:hAnsi="Times New Roman" w:cs="Times New Roman"/>
          <w:sz w:val="24"/>
          <w:szCs w:val="24"/>
        </w:rPr>
        <w:t xml:space="preserve"> in its pork industry to below 50mg/kg that </w:t>
      </w:r>
      <w:r w:rsidR="00AF7466">
        <w:rPr>
          <w:rFonts w:ascii="Times New Roman" w:eastAsia="Times New Roman" w:hAnsi="Times New Roman" w:cs="Times New Roman"/>
          <w:sz w:val="24"/>
          <w:szCs w:val="24"/>
        </w:rPr>
        <w:t>influenced</w:t>
      </w:r>
      <w:r>
        <w:rPr>
          <w:rFonts w:ascii="Times New Roman" w:eastAsia="Times New Roman" w:hAnsi="Times New Roman" w:cs="Times New Roman"/>
          <w:sz w:val="24"/>
          <w:szCs w:val="24"/>
        </w:rPr>
        <w:t xml:space="preserve"> that target being proposed as a multi-species average for UK farmed fish and livestock. </w:t>
      </w:r>
      <w:r w:rsidR="006A2D4A">
        <w:rPr>
          <w:rFonts w:ascii="Times New Roman" w:eastAsia="Times New Roman" w:hAnsi="Times New Roman" w:cs="Times New Roman"/>
          <w:sz w:val="24"/>
          <w:szCs w:val="24"/>
        </w:rPr>
        <w:t>When t</w:t>
      </w:r>
      <w:r>
        <w:rPr>
          <w:rFonts w:ascii="Times New Roman" w:eastAsia="Times New Roman" w:hAnsi="Times New Roman" w:cs="Times New Roman"/>
          <w:sz w:val="24"/>
          <w:szCs w:val="24"/>
        </w:rPr>
        <w:t>he UK Government respon</w:t>
      </w:r>
      <w:r w:rsidR="006A2D4A">
        <w:rPr>
          <w:rFonts w:ascii="Times New Roman" w:eastAsia="Times New Roman" w:hAnsi="Times New Roman" w:cs="Times New Roman"/>
          <w:sz w:val="24"/>
          <w:szCs w:val="24"/>
        </w:rPr>
        <w:t>ded</w:t>
      </w:r>
      <w:r>
        <w:rPr>
          <w:rFonts w:ascii="Times New Roman" w:eastAsia="Times New Roman" w:hAnsi="Times New Roman" w:cs="Times New Roman"/>
          <w:sz w:val="24"/>
          <w:szCs w:val="24"/>
        </w:rPr>
        <w:t xml:space="preserve"> to O’Neill</w:t>
      </w:r>
      <w:r w:rsidR="006A2D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September 2016, </w:t>
      </w:r>
      <w:r w:rsidR="006A2D4A">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confirmed the 50mg/kg target and the commitment of Defra to </w:t>
      </w:r>
      <w:r>
        <w:rPr>
          <w:rFonts w:ascii="Times New Roman" w:eastAsia="Times New Roman" w:hAnsi="Times New Roman" w:cs="Times New Roman"/>
          <w:sz w:val="24"/>
          <w:szCs w:val="24"/>
        </w:rPr>
        <w:lastRenderedPageBreak/>
        <w:t>achieving it by 2018 (HM Government</w:t>
      </w:r>
      <w:r w:rsidR="000072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2016). The FSA, with its focus on consumer protection and food safety, was handed a supporting role. The response also called on the food sector to agree sector</w:t>
      </w:r>
      <w:r w:rsidR="00AF7466">
        <w:rPr>
          <w:rFonts w:ascii="Times New Roman" w:eastAsia="Times New Roman" w:hAnsi="Times New Roman" w:cs="Times New Roman"/>
          <w:sz w:val="24"/>
          <w:szCs w:val="24"/>
        </w:rPr>
        <w:t xml:space="preserve"> (species)</w:t>
      </w:r>
      <w:r>
        <w:rPr>
          <w:rFonts w:ascii="Times New Roman" w:eastAsia="Times New Roman" w:hAnsi="Times New Roman" w:cs="Times New Roman"/>
          <w:sz w:val="24"/>
          <w:szCs w:val="24"/>
        </w:rPr>
        <w:t>-specific targets by 2017. And so the disease diagram for tackling AMR became more established</w:t>
      </w:r>
      <w:r w:rsidR="00AF74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different actors </w:t>
      </w:r>
      <w:r w:rsidR="00A14AF7">
        <w:rPr>
          <w:rFonts w:ascii="Times New Roman" w:eastAsia="Times New Roman" w:hAnsi="Times New Roman" w:cs="Times New Roman"/>
          <w:sz w:val="24"/>
          <w:szCs w:val="24"/>
        </w:rPr>
        <w:t>by</w:t>
      </w:r>
      <w:r w:rsidR="00554B7D">
        <w:rPr>
          <w:rFonts w:ascii="Times New Roman" w:eastAsia="Times New Roman" w:hAnsi="Times New Roman" w:cs="Times New Roman"/>
          <w:sz w:val="24"/>
          <w:szCs w:val="24"/>
        </w:rPr>
        <w:t xml:space="preserve"> their own initiative</w:t>
      </w:r>
      <w:r w:rsidR="00A14AF7">
        <w:rPr>
          <w:rFonts w:ascii="Times New Roman" w:eastAsia="Times New Roman" w:hAnsi="Times New Roman" w:cs="Times New Roman"/>
          <w:sz w:val="24"/>
          <w:szCs w:val="24"/>
        </w:rPr>
        <w:t xml:space="preserve"> coordinated to</w:t>
      </w:r>
      <w:r w:rsidR="00554B7D">
        <w:rPr>
          <w:rFonts w:ascii="Times New Roman" w:eastAsia="Times New Roman" w:hAnsi="Times New Roman" w:cs="Times New Roman"/>
          <w:sz w:val="24"/>
          <w:szCs w:val="24"/>
        </w:rPr>
        <w:t xml:space="preserve"> address </w:t>
      </w:r>
      <w:r>
        <w:rPr>
          <w:rFonts w:ascii="Times New Roman" w:eastAsia="Times New Roman" w:hAnsi="Times New Roman" w:cs="Times New Roman"/>
          <w:sz w:val="24"/>
          <w:szCs w:val="24"/>
        </w:rPr>
        <w:t xml:space="preserve">the process of the </w:t>
      </w:r>
      <w:r w:rsidR="00861D8A">
        <w:rPr>
          <w:rFonts w:ascii="Times New Roman" w:eastAsia="Times New Roman" w:hAnsi="Times New Roman" w:cs="Times New Roman"/>
          <w:sz w:val="24"/>
          <w:szCs w:val="24"/>
        </w:rPr>
        <w:t xml:space="preserve">UK </w:t>
      </w:r>
      <w:r w:rsidR="00673766">
        <w:rPr>
          <w:rFonts w:ascii="Times New Roman" w:eastAsia="Times New Roman" w:hAnsi="Times New Roman" w:cs="Times New Roman"/>
          <w:sz w:val="24"/>
          <w:szCs w:val="24"/>
        </w:rPr>
        <w:t>livestock sector</w:t>
      </w:r>
      <w:r>
        <w:rPr>
          <w:rFonts w:ascii="Times New Roman" w:eastAsia="Times New Roman" w:hAnsi="Times New Roman" w:cs="Times New Roman"/>
          <w:sz w:val="24"/>
          <w:szCs w:val="24"/>
        </w:rPr>
        <w:t xml:space="preserve"> meeting the new targets.</w:t>
      </w:r>
    </w:p>
    <w:p w14:paraId="2C9EA1FF" w14:textId="77777777" w:rsidR="00C927E7" w:rsidRDefault="00C927E7" w:rsidP="00460A08">
      <w:pPr>
        <w:spacing w:line="480" w:lineRule="auto"/>
        <w:rPr>
          <w:rFonts w:ascii="Times New Roman" w:eastAsia="Times New Roman" w:hAnsi="Times New Roman" w:cs="Times New Roman"/>
          <w:sz w:val="24"/>
          <w:szCs w:val="24"/>
        </w:rPr>
      </w:pPr>
    </w:p>
    <w:p w14:paraId="78CA71C0" w14:textId="0EA6A0C2" w:rsidR="00AB2646" w:rsidRDefault="00AB2646" w:rsidP="00C927E7">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Cs/>
          <w:i/>
          <w:sz w:val="24"/>
          <w:szCs w:val="24"/>
        </w:rPr>
        <w:t>Corporate reactions and responsibilities</w:t>
      </w:r>
    </w:p>
    <w:p w14:paraId="4745613A" w14:textId="5C9B893F" w:rsidR="00A14AF7" w:rsidRDefault="005416B7" w:rsidP="00C927E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how these targets </w:t>
      </w:r>
      <w:r w:rsidR="00861D8A">
        <w:rPr>
          <w:rFonts w:ascii="Times New Roman" w:eastAsia="Times New Roman" w:hAnsi="Times New Roman" w:cs="Times New Roman"/>
          <w:sz w:val="24"/>
          <w:szCs w:val="24"/>
        </w:rPr>
        <w:t>were then</w:t>
      </w:r>
      <w:r>
        <w:rPr>
          <w:rFonts w:ascii="Times New Roman" w:eastAsia="Times New Roman" w:hAnsi="Times New Roman" w:cs="Times New Roman"/>
          <w:sz w:val="24"/>
          <w:szCs w:val="24"/>
        </w:rPr>
        <w:t xml:space="preserve"> </w:t>
      </w:r>
      <w:r w:rsidR="003E6CF1">
        <w:rPr>
          <w:rFonts w:ascii="Times New Roman" w:eastAsia="Times New Roman" w:hAnsi="Times New Roman" w:cs="Times New Roman"/>
          <w:sz w:val="24"/>
          <w:szCs w:val="24"/>
        </w:rPr>
        <w:t>applied</w:t>
      </w:r>
      <w:r w:rsidR="0069374E">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the </w:t>
      </w:r>
      <w:r w:rsidR="0069374E">
        <w:rPr>
          <w:rFonts w:ascii="Times New Roman" w:eastAsia="Times New Roman" w:hAnsi="Times New Roman" w:cs="Times New Roman"/>
          <w:sz w:val="24"/>
          <w:szCs w:val="24"/>
        </w:rPr>
        <w:t xml:space="preserve">UK </w:t>
      </w:r>
      <w:r>
        <w:rPr>
          <w:rFonts w:ascii="Times New Roman" w:eastAsia="Times New Roman" w:hAnsi="Times New Roman" w:cs="Times New Roman"/>
          <w:sz w:val="24"/>
          <w:szCs w:val="24"/>
        </w:rPr>
        <w:t xml:space="preserve">food system, it is crucial to grasp the role played by corporate retailers and processors as pivotal firms in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s. The top five superma</w:t>
      </w:r>
      <w:r w:rsidR="008619B6">
        <w:rPr>
          <w:rFonts w:ascii="Times New Roman" w:eastAsia="Times New Roman" w:hAnsi="Times New Roman" w:cs="Times New Roman"/>
          <w:sz w:val="24"/>
          <w:szCs w:val="24"/>
        </w:rPr>
        <w:t xml:space="preserve">rket chains operating in the UK – </w:t>
      </w:r>
      <w:r>
        <w:rPr>
          <w:rFonts w:ascii="Times New Roman" w:eastAsia="Times New Roman" w:hAnsi="Times New Roman" w:cs="Times New Roman"/>
          <w:sz w:val="24"/>
          <w:szCs w:val="24"/>
        </w:rPr>
        <w:t>Tesco, Sainsbury’s, Asda</w:t>
      </w:r>
      <w:r w:rsidR="008C5A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Morrisons, and Aldi (wi</w:t>
      </w:r>
      <w:r w:rsidR="008619B6">
        <w:rPr>
          <w:rFonts w:ascii="Times New Roman" w:eastAsia="Times New Roman" w:hAnsi="Times New Roman" w:cs="Times New Roman"/>
          <w:sz w:val="24"/>
          <w:szCs w:val="24"/>
        </w:rPr>
        <w:t xml:space="preserve">th its headquarters in Germany) – </w:t>
      </w:r>
      <w:r>
        <w:rPr>
          <w:rFonts w:ascii="Times New Roman" w:eastAsia="Times New Roman" w:hAnsi="Times New Roman" w:cs="Times New Roman"/>
          <w:sz w:val="24"/>
          <w:szCs w:val="24"/>
        </w:rPr>
        <w:t>between them hold just over 75% of the UK grocery market share.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Likewise, in the case of poultry processing, only a small number of companies, some of them multinational, control around 90% of the UK market, with 2Sisters, Brazilian-owned Moy Park, and Avara Foods dominating the sector.</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Although the pork sector has historically been less consolidated, at the time of writing there are three corporations exercising significant control over slaughter and processing</w:t>
      </w:r>
      <w:r w:rsidR="008C5A8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Cranswick, Karro Food Group, and Tulip (Strak, 2017). These corporations play a powerful role in mediating food production and consumption, including through the application of a wide range of food quality, safety, environmental, technical, and social standards</w:t>
      </w:r>
      <w:r w:rsidR="003E6C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legally</w:t>
      </w:r>
      <w:r w:rsidR="003E6C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enforced</w:t>
      </w:r>
      <w:r w:rsidR="008C5A8E">
        <w:rPr>
          <w:rFonts w:ascii="Times New Roman" w:eastAsia="Times New Roman" w:hAnsi="Times New Roman" w:cs="Times New Roman"/>
          <w:sz w:val="24"/>
          <w:szCs w:val="24"/>
        </w:rPr>
        <w:t xml:space="preserve"> such as</w:t>
      </w:r>
      <w:r w:rsidR="00C927E7">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Food Safety Act (1990)</w:t>
      </w:r>
      <w:r w:rsidR="00C927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F44E1F5" w14:textId="77777777" w:rsidR="00A14AF7" w:rsidRDefault="00A14AF7" w:rsidP="00C927E7">
      <w:pPr>
        <w:spacing w:line="480" w:lineRule="auto"/>
        <w:rPr>
          <w:rFonts w:ascii="Times New Roman" w:eastAsia="Times New Roman" w:hAnsi="Times New Roman" w:cs="Times New Roman"/>
          <w:sz w:val="24"/>
          <w:szCs w:val="24"/>
        </w:rPr>
      </w:pPr>
    </w:p>
    <w:p w14:paraId="62DA9850" w14:textId="6B8BE621" w:rsidR="00C927E7" w:rsidRDefault="005416B7" w:rsidP="00861D8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927E7">
        <w:rPr>
          <w:rFonts w:ascii="Times New Roman" w:eastAsia="Times New Roman" w:hAnsi="Times New Roman" w:cs="Times New Roman"/>
          <w:sz w:val="24"/>
          <w:szCs w:val="24"/>
        </w:rPr>
        <w:t xml:space="preserve">1990 </w:t>
      </w:r>
      <w:r>
        <w:rPr>
          <w:rFonts w:ascii="Times New Roman" w:eastAsia="Times New Roman" w:hAnsi="Times New Roman" w:cs="Times New Roman"/>
          <w:sz w:val="24"/>
          <w:szCs w:val="24"/>
        </w:rPr>
        <w:t>Food Safety Act require</w:t>
      </w:r>
      <w:r w:rsidR="008C5A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retailers and processors to demonstrate ‘due diligence’ </w:t>
      </w:r>
      <w:r w:rsidR="003E6CF1">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human health ris</w:t>
      </w:r>
      <w:r w:rsidR="008619B6">
        <w:rPr>
          <w:rFonts w:ascii="Times New Roman" w:eastAsia="Times New Roman" w:hAnsi="Times New Roman" w:cs="Times New Roman"/>
          <w:sz w:val="24"/>
          <w:szCs w:val="24"/>
        </w:rPr>
        <w:t>ks from food sold</w:t>
      </w:r>
      <w:r w:rsidR="003E6C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6CF1">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goes some way to explaining why the</w:t>
      </w:r>
      <w:r w:rsidR="00861D8A">
        <w:rPr>
          <w:rFonts w:ascii="Times New Roman" w:eastAsia="Times New Roman" w:hAnsi="Times New Roman" w:cs="Times New Roman"/>
          <w:sz w:val="24"/>
          <w:szCs w:val="24"/>
        </w:rPr>
        <w:t xml:space="preserve">se </w:t>
      </w:r>
      <w:r w:rsidR="00861D8A">
        <w:rPr>
          <w:rFonts w:ascii="Times New Roman" w:eastAsia="Times New Roman" w:hAnsi="Times New Roman" w:cs="Times New Roman"/>
          <w:sz w:val="24"/>
          <w:szCs w:val="24"/>
        </w:rPr>
        <w:lastRenderedPageBreak/>
        <w:t>corporations</w:t>
      </w:r>
      <w:r>
        <w:rPr>
          <w:rFonts w:ascii="Times New Roman" w:eastAsia="Times New Roman" w:hAnsi="Times New Roman" w:cs="Times New Roman"/>
          <w:sz w:val="24"/>
          <w:szCs w:val="24"/>
        </w:rPr>
        <w:t xml:space="preserve"> were tasked by O’Neill (2016) to take significant responsibility</w:t>
      </w:r>
      <w:r w:rsidR="00C927E7">
        <w:rPr>
          <w:rFonts w:ascii="Times New Roman" w:eastAsia="Times New Roman" w:hAnsi="Times New Roman" w:cs="Times New Roman"/>
          <w:sz w:val="24"/>
          <w:szCs w:val="24"/>
        </w:rPr>
        <w:t xml:space="preserve">. Despite their dominant position in the UK food system, several corporate retailers in our study reacted with concern that they were positioned by the O’Neill report and the government as having influence over AMR in the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C927E7">
        <w:rPr>
          <w:rFonts w:ascii="Times New Roman" w:eastAsia="Times New Roman" w:hAnsi="Times New Roman" w:cs="Times New Roman"/>
          <w:sz w:val="24"/>
          <w:szCs w:val="24"/>
        </w:rPr>
        <w:t xml:space="preserve">, and seemingly more so than food service companies (R4ab, R5, R, R7A, CO1), a long-standing oversight </w:t>
      </w:r>
      <w:r w:rsidR="008C5A8E">
        <w:rPr>
          <w:rFonts w:ascii="Times New Roman" w:eastAsia="Times New Roman" w:hAnsi="Times New Roman" w:cs="Times New Roman"/>
          <w:sz w:val="24"/>
          <w:szCs w:val="24"/>
        </w:rPr>
        <w:t>regarding</w:t>
      </w:r>
      <w:r w:rsidR="00C927E7">
        <w:rPr>
          <w:rFonts w:ascii="Times New Roman" w:eastAsia="Times New Roman" w:hAnsi="Times New Roman" w:cs="Times New Roman"/>
          <w:sz w:val="24"/>
          <w:szCs w:val="24"/>
        </w:rPr>
        <w:t xml:space="preserve"> integrated </w:t>
      </w:r>
      <w:r w:rsidR="00673766">
        <w:rPr>
          <w:rFonts w:ascii="Times New Roman" w:eastAsia="Times New Roman" w:hAnsi="Times New Roman" w:cs="Times New Roman"/>
          <w:sz w:val="24"/>
          <w:szCs w:val="24"/>
        </w:rPr>
        <w:t xml:space="preserve">corporate </w:t>
      </w:r>
      <w:r w:rsidR="00C927E7">
        <w:rPr>
          <w:rFonts w:ascii="Times New Roman" w:eastAsia="Times New Roman" w:hAnsi="Times New Roman" w:cs="Times New Roman"/>
          <w:sz w:val="24"/>
          <w:szCs w:val="24"/>
        </w:rPr>
        <w:t xml:space="preserve">food service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C927E7">
        <w:rPr>
          <w:rFonts w:ascii="Times New Roman" w:eastAsia="Times New Roman" w:hAnsi="Times New Roman" w:cs="Times New Roman"/>
          <w:sz w:val="24"/>
          <w:szCs w:val="24"/>
        </w:rPr>
        <w:t xml:space="preserve">s. </w:t>
      </w:r>
      <w:r w:rsidR="003E6CF1">
        <w:rPr>
          <w:rFonts w:ascii="Times New Roman" w:eastAsia="Times New Roman" w:hAnsi="Times New Roman" w:cs="Times New Roman"/>
          <w:sz w:val="24"/>
          <w:szCs w:val="24"/>
        </w:rPr>
        <w:t>However,</w:t>
      </w:r>
      <w:r w:rsidR="00C927E7">
        <w:rPr>
          <w:rFonts w:ascii="Times New Roman" w:eastAsia="Times New Roman" w:hAnsi="Times New Roman" w:cs="Times New Roman"/>
          <w:sz w:val="24"/>
          <w:szCs w:val="24"/>
        </w:rPr>
        <w:t xml:space="preserve"> the specific focus on antibiotics resonated with what retailers and farmers felt capable </w:t>
      </w:r>
      <w:r w:rsidR="003E6CF1">
        <w:rPr>
          <w:rFonts w:ascii="Times New Roman" w:eastAsia="Times New Roman" w:hAnsi="Times New Roman" w:cs="Times New Roman"/>
          <w:sz w:val="24"/>
          <w:szCs w:val="24"/>
        </w:rPr>
        <w:t>of managing</w:t>
      </w:r>
      <w:r w:rsidR="00C927E7">
        <w:rPr>
          <w:rFonts w:ascii="Times New Roman" w:eastAsia="Times New Roman" w:hAnsi="Times New Roman" w:cs="Times New Roman"/>
          <w:sz w:val="24"/>
          <w:szCs w:val="24"/>
        </w:rPr>
        <w:t>, against the backdrop of AMR’s deeper complexity.</w:t>
      </w:r>
    </w:p>
    <w:p w14:paraId="51FD7308" w14:textId="77777777" w:rsidR="00861D8A" w:rsidRDefault="00861D8A" w:rsidP="00F9796B">
      <w:pPr>
        <w:spacing w:after="0" w:line="480" w:lineRule="auto"/>
        <w:rPr>
          <w:rFonts w:ascii="Times New Roman" w:eastAsia="Times New Roman" w:hAnsi="Times New Roman" w:cs="Times New Roman"/>
          <w:sz w:val="24"/>
          <w:szCs w:val="24"/>
        </w:rPr>
      </w:pPr>
    </w:p>
    <w:p w14:paraId="77120FCC" w14:textId="225DB8A0" w:rsidR="00C927E7" w:rsidRDefault="00C927E7" w:rsidP="00861D8A">
      <w:pPr>
        <w:spacing w:after="0" w:line="240" w:lineRule="auto"/>
        <w:ind w:left="567"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like AMR as a target because I can’t manage it … There might be a microbe evolving with antibiotic resistance in the canal as we speak. What I can be responsible for and influence is </w:t>
      </w:r>
      <w:r w:rsidR="004F098D">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use</w:t>
      </w:r>
      <w:r>
        <w:rPr>
          <w:rFonts w:ascii="Times New Roman" w:eastAsia="Times New Roman" w:hAnsi="Times New Roman" w:cs="Times New Roman"/>
          <w:sz w:val="24"/>
          <w:szCs w:val="24"/>
        </w:rPr>
        <w:t>, which may indirectly lead to antibiotic resistance. But I have no control of antibiotic resistance” (R7</w:t>
      </w:r>
      <w:r w:rsidR="000072AB">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p>
    <w:p w14:paraId="0AF5040B" w14:textId="77777777" w:rsidR="00C927E7" w:rsidRDefault="00C927E7" w:rsidP="00F9796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s="Times New Roman"/>
          <w:sz w:val="24"/>
          <w:szCs w:val="24"/>
        </w:rPr>
      </w:pPr>
    </w:p>
    <w:p w14:paraId="667011B8" w14:textId="3488D5AD" w:rsidR="00AB2646" w:rsidRDefault="00832D81" w:rsidP="00832D8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what is driving the antibiotic reduction targets</w:t>
      </w:r>
      <w:r w:rsidR="00AD2C7A">
        <w:rPr>
          <w:rFonts w:ascii="Times New Roman" w:eastAsia="Times New Roman" w:hAnsi="Times New Roman" w:cs="Times New Roman"/>
          <w:sz w:val="24"/>
          <w:szCs w:val="24"/>
        </w:rPr>
        <w:t xml:space="preserve"> and their supply chain implementation</w:t>
      </w:r>
      <w:r>
        <w:rPr>
          <w:rFonts w:ascii="Times New Roman" w:eastAsia="Times New Roman" w:hAnsi="Times New Roman" w:cs="Times New Roman"/>
          <w:sz w:val="24"/>
          <w:szCs w:val="24"/>
        </w:rPr>
        <w:t>, we therefore witness the significant influence of government and the O’Neill Report. This stands in contrast to other aspects of corporate responsibility</w:t>
      </w:r>
      <w:r w:rsidR="002B3167">
        <w:rPr>
          <w:rFonts w:ascii="Times New Roman" w:eastAsia="Times New Roman" w:hAnsi="Times New Roman" w:cs="Times New Roman"/>
          <w:sz w:val="24"/>
          <w:szCs w:val="24"/>
        </w:rPr>
        <w:t>, for example ethical trade and labour standards, which are driven less by the influence of government and far more by consumer pressure and campaigning. As we explain next, consumer pressure is not a significant influence on the development of strategy for addressing AMR.</w:t>
      </w:r>
    </w:p>
    <w:p w14:paraId="2B042918" w14:textId="77777777" w:rsidR="00861D8A" w:rsidRDefault="00861D8A" w:rsidP="00460A08">
      <w:pPr>
        <w:spacing w:after="0" w:line="480" w:lineRule="auto"/>
        <w:rPr>
          <w:rFonts w:ascii="Times New Roman" w:eastAsia="Times New Roman" w:hAnsi="Times New Roman" w:cs="Times New Roman"/>
          <w:sz w:val="24"/>
          <w:szCs w:val="24"/>
        </w:rPr>
      </w:pPr>
    </w:p>
    <w:p w14:paraId="6A7652AA" w14:textId="4B38DA1F" w:rsidR="005416B7" w:rsidRDefault="00AB2646" w:rsidP="005416B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Cs/>
          <w:i/>
          <w:sz w:val="24"/>
          <w:szCs w:val="24"/>
        </w:rPr>
        <w:t>Questions of transparency in the sphere of consumption</w:t>
      </w:r>
    </w:p>
    <w:p w14:paraId="0C2DEF58" w14:textId="4E8F2F4F" w:rsidR="005416B7" w:rsidRDefault="006A2D4A" w:rsidP="005416B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currently limited consumer grasp of </w:t>
      </w:r>
      <w:r w:rsidR="004F098D">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use</w:t>
      </w:r>
      <w:r>
        <w:rPr>
          <w:rFonts w:ascii="Times New Roman" w:eastAsia="Times New Roman" w:hAnsi="Times New Roman" w:cs="Times New Roman"/>
          <w:sz w:val="24"/>
          <w:szCs w:val="24"/>
        </w:rPr>
        <w:t xml:space="preserve"> in farm animal production and effects of antibiotic withdrawal periods. </w:t>
      </w:r>
      <w:r>
        <w:rPr>
          <w:rFonts w:ascii="Times New Roman" w:eastAsia="Times New Roman" w:hAnsi="Times New Roman" w:cs="Times New Roman"/>
          <w:color w:val="000000"/>
          <w:sz w:val="24"/>
          <w:szCs w:val="24"/>
        </w:rPr>
        <w:t xml:space="preserve">As a result, early strategic developments in tackling AMR have largely happened below the radar of consumers. A minority consumer concern, or the anticipation of it, has sparked the use of the only </w:t>
      </w:r>
      <w:r w:rsidR="002F09B4">
        <w:rPr>
          <w:rFonts w:ascii="Times New Roman" w:eastAsia="Times New Roman" w:hAnsi="Times New Roman" w:cs="Times New Roman"/>
          <w:color w:val="000000"/>
          <w:sz w:val="24"/>
          <w:szCs w:val="24"/>
        </w:rPr>
        <w:t>AMR-related</w:t>
      </w:r>
      <w:r>
        <w:rPr>
          <w:rFonts w:ascii="Times New Roman" w:eastAsia="Times New Roman" w:hAnsi="Times New Roman" w:cs="Times New Roman"/>
          <w:color w:val="000000"/>
          <w:sz w:val="24"/>
          <w:szCs w:val="24"/>
        </w:rPr>
        <w:t xml:space="preserve"> marketing slogan “Antibiotic Free”. </w:t>
      </w:r>
      <w:r w:rsidR="008C5A8E">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ore evident in North America, </w:t>
      </w:r>
      <w:r w:rsidR="00075EAD">
        <w:rPr>
          <w:rFonts w:ascii="Times New Roman" w:eastAsia="Times New Roman" w:hAnsi="Times New Roman" w:cs="Times New Roman"/>
          <w:color w:val="000000"/>
          <w:sz w:val="24"/>
          <w:szCs w:val="24"/>
        </w:rPr>
        <w:t xml:space="preserve">this niche </w:t>
      </w:r>
      <w:r>
        <w:rPr>
          <w:rFonts w:ascii="Times New Roman" w:eastAsia="Times New Roman" w:hAnsi="Times New Roman" w:cs="Times New Roman"/>
          <w:color w:val="000000"/>
          <w:sz w:val="24"/>
          <w:szCs w:val="24"/>
        </w:rPr>
        <w:t>deriv</w:t>
      </w:r>
      <w:r w:rsidR="00075EAD">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 xml:space="preserve"> in part from a greater emphasis in the USA than in Europe on the fears of antibiotic residues rather than on the more complex problem of AMR (Kirchhelle, 2020). Our respondents felt that such labelling gives out unhelpful messages, adding to </w:t>
      </w:r>
      <w:r>
        <w:rPr>
          <w:rFonts w:ascii="Times New Roman" w:eastAsia="Times New Roman" w:hAnsi="Times New Roman" w:cs="Times New Roman"/>
          <w:color w:val="000000"/>
          <w:sz w:val="24"/>
          <w:szCs w:val="24"/>
        </w:rPr>
        <w:lastRenderedPageBreak/>
        <w:t>consumer misunderstandings about antibiotic residues in meat, whilst threatening both animal welfare and pre-competitive commitments on AMR (R1a, R5b, R6a, R7A, R7B, TA1b, GD2a, P3b).</w:t>
      </w:r>
      <w:r w:rsidR="002971C0">
        <w:rPr>
          <w:rStyle w:val="FootnoteReference"/>
          <w:rFonts w:ascii="Times New Roman" w:eastAsia="Times New Roman" w:hAnsi="Times New Roman" w:cs="Times New Roman"/>
          <w:color w:val="000000"/>
          <w:sz w:val="24"/>
          <w:szCs w:val="24"/>
        </w:rPr>
        <w:footnoteReference w:id="7"/>
      </w:r>
      <w:r>
        <w:rPr>
          <w:rFonts w:ascii="Times New Roman" w:eastAsia="Times New Roman" w:hAnsi="Times New Roman" w:cs="Times New Roman"/>
          <w:color w:val="000000"/>
          <w:sz w:val="24"/>
          <w:szCs w:val="24"/>
        </w:rPr>
        <w:t xml:space="preserve"> </w:t>
      </w:r>
      <w:r w:rsidR="005416B7">
        <w:rPr>
          <w:rFonts w:ascii="Times New Roman" w:eastAsia="Times New Roman" w:hAnsi="Times New Roman" w:cs="Times New Roman"/>
          <w:sz w:val="24"/>
          <w:szCs w:val="24"/>
        </w:rPr>
        <w:t>Therefore</w:t>
      </w:r>
      <w:r w:rsidR="009D5DFC">
        <w:rPr>
          <w:rFonts w:ascii="Times New Roman" w:eastAsia="Times New Roman" w:hAnsi="Times New Roman" w:cs="Times New Roman"/>
          <w:sz w:val="24"/>
          <w:szCs w:val="24"/>
        </w:rPr>
        <w:t>,</w:t>
      </w:r>
      <w:r w:rsidR="005416B7">
        <w:rPr>
          <w:rFonts w:ascii="Times New Roman" w:eastAsia="Times New Roman" w:hAnsi="Times New Roman" w:cs="Times New Roman"/>
          <w:sz w:val="24"/>
          <w:szCs w:val="24"/>
        </w:rPr>
        <w:t xml:space="preserve"> despite O’Neill’s recommendation that retailers “improve transparency for consumers regarding the use of antibiotics in the meat that we eat, to enable better informed decision-making by customers” (2016: page 73), there are few sign</w:t>
      </w:r>
      <w:r w:rsidR="00AB2646">
        <w:rPr>
          <w:rFonts w:ascii="Times New Roman" w:eastAsia="Times New Roman" w:hAnsi="Times New Roman" w:cs="Times New Roman"/>
          <w:sz w:val="24"/>
          <w:szCs w:val="24"/>
        </w:rPr>
        <w:t>s</w:t>
      </w:r>
      <w:r w:rsidR="005416B7">
        <w:rPr>
          <w:rFonts w:ascii="Times New Roman" w:eastAsia="Times New Roman" w:hAnsi="Times New Roman" w:cs="Times New Roman"/>
          <w:sz w:val="24"/>
          <w:szCs w:val="24"/>
        </w:rPr>
        <w:t xml:space="preserve"> </w:t>
      </w:r>
      <w:r w:rsidR="00F4789D">
        <w:rPr>
          <w:rFonts w:ascii="Times New Roman" w:eastAsia="Times New Roman" w:hAnsi="Times New Roman" w:cs="Times New Roman"/>
          <w:sz w:val="24"/>
          <w:szCs w:val="24"/>
        </w:rPr>
        <w:t xml:space="preserve">that </w:t>
      </w:r>
      <w:r w:rsidR="005416B7">
        <w:rPr>
          <w:rFonts w:ascii="Times New Roman" w:eastAsia="Times New Roman" w:hAnsi="Times New Roman" w:cs="Times New Roman"/>
          <w:sz w:val="24"/>
          <w:szCs w:val="24"/>
        </w:rPr>
        <w:t>this has been a strategic priority. Retail interviewees confirmed that public knowledge and understanding of AMR is very limited and is represented neither as a significant consumer concern in customer research, nor through customer correspondence (R1a, R3, R5b, R6a, R8):</w:t>
      </w:r>
    </w:p>
    <w:p w14:paraId="5943CA00" w14:textId="77777777" w:rsidR="005416B7" w:rsidRDefault="005416B7" w:rsidP="005416B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80" w:after="0" w:line="240" w:lineRule="auto"/>
        <w:ind w:left="567"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“I am not aware we have had any direct contact on it [from consumers]. If a letter goes to our Chief Executive, it will come to the relevant person in the business to deal with and I don’t recall ever seeing a letter into [our company] about [antimicrobial] resistance” (R1a).</w:t>
      </w:r>
    </w:p>
    <w:p w14:paraId="0770C1ED" w14:textId="77777777" w:rsidR="00486A33" w:rsidRDefault="00486A33" w:rsidP="006A2D4A">
      <w:pPr>
        <w:spacing w:after="0" w:line="480" w:lineRule="auto"/>
        <w:rPr>
          <w:rFonts w:ascii="Times New Roman" w:eastAsia="Times New Roman" w:hAnsi="Times New Roman" w:cs="Times New Roman"/>
          <w:color w:val="000000"/>
          <w:sz w:val="24"/>
          <w:szCs w:val="24"/>
        </w:rPr>
      </w:pPr>
    </w:p>
    <w:p w14:paraId="4AEC95B2" w14:textId="3B7BB121" w:rsidR="00EE46F4" w:rsidRDefault="00112406" w:rsidP="00B859FD">
      <w:pPr>
        <w:spacing w:after="0" w:line="480" w:lineRule="auto"/>
        <w:rPr>
          <w:rFonts w:ascii="Times New Roman" w:eastAsia="Times New Roman" w:hAnsi="Times New Roman" w:cs="Times New Roman"/>
          <w:sz w:val="24"/>
          <w:szCs w:val="24"/>
        </w:rPr>
      </w:pPr>
      <w:r w:rsidRPr="00112406">
        <w:rPr>
          <w:rFonts w:ascii="Times New Roman" w:eastAsia="Times New Roman" w:hAnsi="Times New Roman" w:cs="Times New Roman"/>
          <w:sz w:val="24"/>
          <w:szCs w:val="24"/>
        </w:rPr>
        <w:t xml:space="preserve">Some of the implications for animal welfare and health </w:t>
      </w:r>
      <w:r w:rsidR="009F3061">
        <w:rPr>
          <w:rFonts w:ascii="Times New Roman" w:eastAsia="Times New Roman" w:hAnsi="Times New Roman" w:cs="Times New Roman"/>
          <w:sz w:val="24"/>
          <w:szCs w:val="24"/>
        </w:rPr>
        <w:t>of</w:t>
      </w:r>
      <w:r w:rsidRPr="00112406">
        <w:rPr>
          <w:rFonts w:ascii="Times New Roman" w:eastAsia="Times New Roman" w:hAnsi="Times New Roman" w:cs="Times New Roman"/>
          <w:sz w:val="24"/>
          <w:szCs w:val="24"/>
        </w:rPr>
        <w:t xml:space="preserve"> the reduction in the use of antibiotic</w:t>
      </w:r>
      <w:r w:rsidR="00F4789D">
        <w:rPr>
          <w:rFonts w:ascii="Times New Roman" w:eastAsia="Times New Roman" w:hAnsi="Times New Roman" w:cs="Times New Roman"/>
          <w:sz w:val="24"/>
          <w:szCs w:val="24"/>
        </w:rPr>
        <w:t>s</w:t>
      </w:r>
      <w:r w:rsidRPr="00112406">
        <w:rPr>
          <w:rFonts w:ascii="Times New Roman" w:eastAsia="Times New Roman" w:hAnsi="Times New Roman" w:cs="Times New Roman"/>
          <w:sz w:val="24"/>
          <w:szCs w:val="24"/>
        </w:rPr>
        <w:t xml:space="preserve"> may be linked to the challenges around consumer communication. </w:t>
      </w:r>
      <w:r w:rsidRPr="00F9796B">
        <w:rPr>
          <w:rFonts w:ascii="Times New Roman" w:hAnsi="Times New Roman" w:cs="Times New Roman"/>
          <w:sz w:val="24"/>
          <w:szCs w:val="24"/>
        </w:rPr>
        <w:t xml:space="preserve">The animal welfare lobby, for example, has concerns about poor welfare </w:t>
      </w:r>
      <w:r w:rsidR="009E6BD6">
        <w:rPr>
          <w:rFonts w:ascii="Times New Roman" w:hAnsi="Times New Roman" w:cs="Times New Roman"/>
          <w:sz w:val="24"/>
          <w:szCs w:val="24"/>
        </w:rPr>
        <w:t>associated with</w:t>
      </w:r>
      <w:r w:rsidRPr="00F9796B">
        <w:rPr>
          <w:rFonts w:ascii="Times New Roman" w:hAnsi="Times New Roman" w:cs="Times New Roman"/>
          <w:sz w:val="24"/>
          <w:szCs w:val="24"/>
        </w:rPr>
        <w:t xml:space="preserve"> antibiotic-free meat. Animal welfare is such a valued higher tier in the market, and antibiotic-free sits very uncomfortabl</w:t>
      </w:r>
      <w:r w:rsidR="00F4789D">
        <w:rPr>
          <w:rFonts w:ascii="Times New Roman" w:hAnsi="Times New Roman" w:cs="Times New Roman"/>
          <w:sz w:val="24"/>
          <w:szCs w:val="24"/>
        </w:rPr>
        <w:t>y</w:t>
      </w:r>
      <w:r w:rsidRPr="00F9796B">
        <w:rPr>
          <w:rFonts w:ascii="Times New Roman" w:hAnsi="Times New Roman" w:cs="Times New Roman"/>
          <w:sz w:val="24"/>
          <w:szCs w:val="24"/>
        </w:rPr>
        <w:t xml:space="preserve"> beside it.</w:t>
      </w:r>
      <w:r>
        <w:t xml:space="preserve"> </w:t>
      </w:r>
      <w:r w:rsidR="00B859FD" w:rsidRPr="00B859FD">
        <w:rPr>
          <w:rFonts w:ascii="Times New Roman" w:hAnsi="Times New Roman" w:cs="Times New Roman"/>
          <w:sz w:val="24"/>
          <w:szCs w:val="24"/>
        </w:rPr>
        <w:t xml:space="preserve">This is because </w:t>
      </w:r>
      <w:r w:rsidR="00B859FD" w:rsidRPr="003B6376">
        <w:rPr>
          <w:rFonts w:ascii="Times New Roman" w:hAnsi="Times New Roman" w:cs="Times New Roman"/>
          <w:color w:val="201F1E"/>
          <w:sz w:val="24"/>
          <w:szCs w:val="24"/>
          <w:shd w:val="clear" w:color="auto" w:fill="FFFFFF"/>
        </w:rPr>
        <w:t>antibiotic</w:t>
      </w:r>
      <w:r w:rsidR="00B859FD">
        <w:rPr>
          <w:rFonts w:ascii="Times New Roman" w:hAnsi="Times New Roman" w:cs="Times New Roman"/>
          <w:color w:val="201F1E"/>
          <w:sz w:val="24"/>
          <w:szCs w:val="24"/>
          <w:shd w:val="clear" w:color="auto" w:fill="FFFFFF"/>
        </w:rPr>
        <w:t>-</w:t>
      </w:r>
      <w:r w:rsidR="00B859FD" w:rsidRPr="003B6376">
        <w:rPr>
          <w:rFonts w:ascii="Times New Roman" w:hAnsi="Times New Roman" w:cs="Times New Roman"/>
          <w:color w:val="201F1E"/>
          <w:sz w:val="24"/>
          <w:szCs w:val="24"/>
          <w:shd w:val="clear" w:color="auto" w:fill="FFFFFF"/>
        </w:rPr>
        <w:t xml:space="preserve">free </w:t>
      </w:r>
      <w:r w:rsidR="00B859FD">
        <w:rPr>
          <w:rFonts w:ascii="Times New Roman" w:hAnsi="Times New Roman" w:cs="Times New Roman"/>
          <w:color w:val="201F1E"/>
          <w:sz w:val="24"/>
          <w:szCs w:val="24"/>
          <w:shd w:val="clear" w:color="auto" w:fill="FFFFFF"/>
        </w:rPr>
        <w:t xml:space="preserve">implies </w:t>
      </w:r>
      <w:r w:rsidR="00B859FD" w:rsidRPr="003B6376">
        <w:rPr>
          <w:rFonts w:ascii="Times New Roman" w:hAnsi="Times New Roman" w:cs="Times New Roman"/>
          <w:color w:val="201F1E"/>
          <w:sz w:val="24"/>
          <w:szCs w:val="24"/>
          <w:shd w:val="clear" w:color="auto" w:fill="FFFFFF"/>
        </w:rPr>
        <w:t>to the</w:t>
      </w:r>
      <w:r w:rsidR="00B859FD">
        <w:rPr>
          <w:rFonts w:ascii="Times New Roman" w:hAnsi="Times New Roman" w:cs="Times New Roman"/>
          <w:color w:val="201F1E"/>
          <w:sz w:val="24"/>
          <w:szCs w:val="24"/>
          <w:shd w:val="clear" w:color="auto" w:fill="FFFFFF"/>
        </w:rPr>
        <w:t xml:space="preserve"> welfare-aware </w:t>
      </w:r>
      <w:r w:rsidR="00B859FD" w:rsidRPr="003B6376">
        <w:rPr>
          <w:rFonts w:ascii="Times New Roman" w:hAnsi="Times New Roman" w:cs="Times New Roman"/>
          <w:color w:val="201F1E"/>
          <w:sz w:val="24"/>
          <w:szCs w:val="24"/>
          <w:shd w:val="clear" w:color="auto" w:fill="FFFFFF"/>
        </w:rPr>
        <w:t>consumer</w:t>
      </w:r>
      <w:r w:rsidR="00B859FD">
        <w:rPr>
          <w:rFonts w:ascii="Times New Roman" w:hAnsi="Times New Roman" w:cs="Times New Roman"/>
          <w:color w:val="201F1E"/>
          <w:sz w:val="24"/>
          <w:szCs w:val="24"/>
          <w:shd w:val="clear" w:color="auto" w:fill="FFFFFF"/>
        </w:rPr>
        <w:t xml:space="preserve"> </w:t>
      </w:r>
      <w:r w:rsidR="00B859FD" w:rsidRPr="003B6376">
        <w:rPr>
          <w:rFonts w:ascii="Times New Roman" w:hAnsi="Times New Roman" w:cs="Times New Roman"/>
          <w:color w:val="201F1E"/>
          <w:sz w:val="24"/>
          <w:szCs w:val="24"/>
          <w:shd w:val="clear" w:color="auto" w:fill="FFFFFF"/>
        </w:rPr>
        <w:t xml:space="preserve">that animals will not receive medical attention when sick. </w:t>
      </w:r>
      <w:r w:rsidR="00B859FD">
        <w:rPr>
          <w:rFonts w:ascii="Times New Roman" w:hAnsi="Times New Roman" w:cs="Times New Roman"/>
          <w:color w:val="201F1E"/>
          <w:sz w:val="24"/>
          <w:szCs w:val="24"/>
          <w:shd w:val="clear" w:color="auto" w:fill="FFFFFF"/>
        </w:rPr>
        <w:t>T</w:t>
      </w:r>
      <w:r w:rsidR="00B859FD" w:rsidRPr="003B6376">
        <w:rPr>
          <w:rFonts w:ascii="Times New Roman" w:hAnsi="Times New Roman" w:cs="Times New Roman"/>
          <w:color w:val="201F1E"/>
          <w:sz w:val="24"/>
          <w:szCs w:val="24"/>
          <w:shd w:val="clear" w:color="auto" w:fill="FFFFFF"/>
        </w:rPr>
        <w:t xml:space="preserve">hat message </w:t>
      </w:r>
      <w:r w:rsidR="00B859FD">
        <w:rPr>
          <w:rFonts w:ascii="Times New Roman" w:hAnsi="Times New Roman" w:cs="Times New Roman"/>
          <w:color w:val="201F1E"/>
          <w:sz w:val="24"/>
          <w:szCs w:val="24"/>
          <w:shd w:val="clear" w:color="auto" w:fill="FFFFFF"/>
        </w:rPr>
        <w:t>about</w:t>
      </w:r>
      <w:r w:rsidR="00B859FD" w:rsidRPr="003B6376">
        <w:rPr>
          <w:rFonts w:ascii="Times New Roman" w:hAnsi="Times New Roman" w:cs="Times New Roman"/>
          <w:color w:val="201F1E"/>
          <w:sz w:val="24"/>
          <w:szCs w:val="24"/>
          <w:shd w:val="clear" w:color="auto" w:fill="FFFFFF"/>
        </w:rPr>
        <w:t xml:space="preserve"> not treat</w:t>
      </w:r>
      <w:r w:rsidR="00B859FD">
        <w:rPr>
          <w:rFonts w:ascii="Times New Roman" w:hAnsi="Times New Roman" w:cs="Times New Roman"/>
          <w:color w:val="201F1E"/>
          <w:sz w:val="24"/>
          <w:szCs w:val="24"/>
          <w:shd w:val="clear" w:color="auto" w:fill="FFFFFF"/>
        </w:rPr>
        <w:t>ing</w:t>
      </w:r>
      <w:r w:rsidR="00B859FD" w:rsidRPr="003B6376">
        <w:rPr>
          <w:rFonts w:ascii="Times New Roman" w:hAnsi="Times New Roman" w:cs="Times New Roman"/>
          <w:color w:val="201F1E"/>
          <w:sz w:val="24"/>
          <w:szCs w:val="24"/>
          <w:shd w:val="clear" w:color="auto" w:fill="FFFFFF"/>
        </w:rPr>
        <w:t xml:space="preserve"> sick animals </w:t>
      </w:r>
      <w:r w:rsidR="00B859FD">
        <w:rPr>
          <w:rFonts w:ascii="Times New Roman" w:hAnsi="Times New Roman" w:cs="Times New Roman"/>
          <w:color w:val="201F1E"/>
          <w:sz w:val="24"/>
          <w:szCs w:val="24"/>
          <w:shd w:val="clear" w:color="auto" w:fill="FFFFFF"/>
        </w:rPr>
        <w:t>is in tension with</w:t>
      </w:r>
      <w:r w:rsidR="00B859FD" w:rsidRPr="003B6376">
        <w:rPr>
          <w:rFonts w:ascii="Times New Roman" w:hAnsi="Times New Roman" w:cs="Times New Roman"/>
          <w:color w:val="201F1E"/>
          <w:sz w:val="24"/>
          <w:szCs w:val="24"/>
          <w:shd w:val="clear" w:color="auto" w:fill="FFFFFF"/>
        </w:rPr>
        <w:t xml:space="preserve"> animal welfare concerns</w:t>
      </w:r>
      <w:r w:rsidR="00B859FD">
        <w:rPr>
          <w:rFonts w:ascii="Times New Roman" w:hAnsi="Times New Roman" w:cs="Times New Roman"/>
          <w:color w:val="201F1E"/>
          <w:sz w:val="24"/>
          <w:szCs w:val="24"/>
          <w:shd w:val="clear" w:color="auto" w:fill="FFFFFF"/>
        </w:rPr>
        <w:t xml:space="preserve"> (see also a review of antibiotic-free labelling by </w:t>
      </w:r>
      <w:r w:rsidR="00B859FD">
        <w:rPr>
          <w:rFonts w:ascii="Times New Roman" w:eastAsia="Times New Roman" w:hAnsi="Times New Roman" w:cs="Times New Roman"/>
          <w:sz w:val="24"/>
          <w:szCs w:val="24"/>
        </w:rPr>
        <w:t>Responsible Use of Medicines in Agriculture Alliance</w:t>
      </w:r>
      <w:r w:rsidR="00B859FD">
        <w:rPr>
          <w:rFonts w:ascii="Times New Roman" w:hAnsi="Times New Roman" w:cs="Times New Roman"/>
          <w:color w:val="201F1E"/>
          <w:sz w:val="24"/>
          <w:szCs w:val="24"/>
          <w:shd w:val="clear" w:color="auto" w:fill="FFFFFF"/>
        </w:rPr>
        <w:t xml:space="preserve"> (RUMA</w:t>
      </w:r>
      <w:r w:rsidR="00250246">
        <w:rPr>
          <w:rFonts w:ascii="Times New Roman" w:hAnsi="Times New Roman" w:cs="Times New Roman"/>
          <w:color w:val="201F1E"/>
          <w:sz w:val="24"/>
          <w:szCs w:val="24"/>
          <w:shd w:val="clear" w:color="auto" w:fill="FFFFFF"/>
        </w:rPr>
        <w:t>, 2016</w:t>
      </w:r>
      <w:r w:rsidR="00B859FD">
        <w:rPr>
          <w:rFonts w:ascii="Times New Roman" w:hAnsi="Times New Roman" w:cs="Times New Roman"/>
          <w:color w:val="201F1E"/>
          <w:sz w:val="24"/>
          <w:szCs w:val="24"/>
          <w:shd w:val="clear" w:color="auto" w:fill="FFFFFF"/>
        </w:rPr>
        <w:t>)</w:t>
      </w:r>
      <w:r w:rsidR="00C73183">
        <w:rPr>
          <w:rFonts w:ascii="Times New Roman" w:hAnsi="Times New Roman" w:cs="Times New Roman"/>
          <w:color w:val="201F1E"/>
          <w:sz w:val="24"/>
          <w:szCs w:val="24"/>
          <w:shd w:val="clear" w:color="auto" w:fill="FFFFFF"/>
        </w:rPr>
        <w:t>)</w:t>
      </w:r>
      <w:r w:rsidR="00B859FD" w:rsidRPr="003B6376">
        <w:rPr>
          <w:rFonts w:ascii="Times New Roman" w:hAnsi="Times New Roman" w:cs="Times New Roman"/>
          <w:color w:val="201F1E"/>
          <w:sz w:val="24"/>
          <w:szCs w:val="24"/>
          <w:shd w:val="clear" w:color="auto" w:fill="FFFFFF"/>
        </w:rPr>
        <w:t>.</w:t>
      </w:r>
      <w:r w:rsidR="00B859FD">
        <w:rPr>
          <w:color w:val="201F1E"/>
          <w:shd w:val="clear" w:color="auto" w:fill="FFFFFF"/>
        </w:rPr>
        <w:t> </w:t>
      </w:r>
      <w:r w:rsidR="006A2D4A">
        <w:rPr>
          <w:rFonts w:ascii="Times New Roman" w:eastAsia="Times New Roman" w:hAnsi="Times New Roman" w:cs="Times New Roman"/>
          <w:color w:val="000000"/>
          <w:sz w:val="24"/>
          <w:szCs w:val="24"/>
        </w:rPr>
        <w:t xml:space="preserve">Whether responses to AMR </w:t>
      </w:r>
      <w:r w:rsidR="006A2D4A">
        <w:rPr>
          <w:rFonts w:ascii="Times New Roman" w:eastAsia="Times New Roman" w:hAnsi="Times New Roman" w:cs="Times New Roman"/>
          <w:i/>
          <w:color w:val="000000"/>
          <w:sz w:val="24"/>
          <w:szCs w:val="24"/>
        </w:rPr>
        <w:t>per se</w:t>
      </w:r>
      <w:r w:rsidR="006A2D4A">
        <w:rPr>
          <w:rFonts w:ascii="Times New Roman" w:eastAsia="Times New Roman" w:hAnsi="Times New Roman" w:cs="Times New Roman"/>
          <w:color w:val="000000"/>
          <w:sz w:val="24"/>
          <w:szCs w:val="24"/>
        </w:rPr>
        <w:t xml:space="preserve"> (as opposed to antibiotic-free) can ever feature as a marketing quality that could translate into more retailer driven modes of antibiotic stewardship standards is </w:t>
      </w:r>
      <w:r w:rsidR="00075EAD">
        <w:rPr>
          <w:rFonts w:ascii="Times New Roman" w:eastAsia="Times New Roman" w:hAnsi="Times New Roman" w:cs="Times New Roman"/>
          <w:color w:val="000000"/>
          <w:sz w:val="24"/>
          <w:szCs w:val="24"/>
        </w:rPr>
        <w:t>unknown</w:t>
      </w:r>
      <w:r w:rsidR="006A2D4A">
        <w:rPr>
          <w:rFonts w:ascii="Times New Roman" w:eastAsia="Times New Roman" w:hAnsi="Times New Roman" w:cs="Times New Roman"/>
          <w:color w:val="000000"/>
          <w:sz w:val="24"/>
          <w:szCs w:val="24"/>
        </w:rPr>
        <w:t xml:space="preserve">. </w:t>
      </w:r>
      <w:r w:rsidR="00F4789D">
        <w:rPr>
          <w:rFonts w:ascii="Times New Roman" w:eastAsia="Times New Roman" w:hAnsi="Times New Roman" w:cs="Times New Roman"/>
          <w:color w:val="000000"/>
          <w:sz w:val="24"/>
          <w:szCs w:val="24"/>
        </w:rPr>
        <w:t xml:space="preserve">At the time of writing, several interviewees reflected that the challenge of AMR as both a public health and a food safety issue should remain pre-competitive (R1a, </w:t>
      </w:r>
      <w:r w:rsidR="00CE1173">
        <w:rPr>
          <w:rFonts w:ascii="Times New Roman" w:eastAsia="Times New Roman" w:hAnsi="Times New Roman" w:cs="Times New Roman"/>
          <w:color w:val="000000"/>
          <w:sz w:val="24"/>
          <w:szCs w:val="24"/>
        </w:rPr>
        <w:t xml:space="preserve">R3, </w:t>
      </w:r>
      <w:r w:rsidR="00F4789D">
        <w:rPr>
          <w:rFonts w:ascii="Times New Roman" w:eastAsia="Times New Roman" w:hAnsi="Times New Roman" w:cs="Times New Roman"/>
          <w:color w:val="000000"/>
          <w:sz w:val="24"/>
          <w:szCs w:val="24"/>
        </w:rPr>
        <w:t xml:space="preserve">R8, TA3a, </w:t>
      </w:r>
      <w:r w:rsidR="00CE1173">
        <w:rPr>
          <w:rFonts w:ascii="Times New Roman" w:eastAsia="Times New Roman" w:hAnsi="Times New Roman" w:cs="Times New Roman"/>
          <w:color w:val="000000"/>
          <w:sz w:val="24"/>
          <w:szCs w:val="24"/>
        </w:rPr>
        <w:t xml:space="preserve">TA4, </w:t>
      </w:r>
      <w:r w:rsidR="00F4789D">
        <w:rPr>
          <w:rFonts w:ascii="Times New Roman" w:eastAsia="Times New Roman" w:hAnsi="Times New Roman" w:cs="Times New Roman"/>
          <w:color w:val="000000"/>
          <w:sz w:val="24"/>
          <w:szCs w:val="24"/>
        </w:rPr>
        <w:t>TA6).</w:t>
      </w:r>
    </w:p>
    <w:p w14:paraId="1E2660D1" w14:textId="77777777" w:rsidR="00F4789D" w:rsidRDefault="00F4789D">
      <w:pPr>
        <w:spacing w:after="0" w:line="480" w:lineRule="auto"/>
        <w:rPr>
          <w:rFonts w:ascii="Times New Roman" w:eastAsia="Times New Roman" w:hAnsi="Times New Roman" w:cs="Times New Roman"/>
          <w:sz w:val="24"/>
          <w:szCs w:val="24"/>
        </w:rPr>
      </w:pPr>
    </w:p>
    <w:p w14:paraId="7D01804E" w14:textId="65B9F04D" w:rsidR="00EE46F4" w:rsidRDefault="00EE46F4" w:rsidP="00EE46F4">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Meeting the targets in UK meat </w:t>
      </w:r>
      <w:r w:rsidR="002B3A14">
        <w:rPr>
          <w:rFonts w:ascii="Times New Roman" w:hAnsi="Times New Roman" w:cs="Times New Roman"/>
          <w:b/>
          <w:bCs/>
          <w:sz w:val="24"/>
          <w:szCs w:val="24"/>
        </w:rPr>
        <w:t>supply</w:t>
      </w:r>
      <w:r w:rsidR="00B11ED4">
        <w:rPr>
          <w:rFonts w:ascii="Times New Roman" w:hAnsi="Times New Roman" w:cs="Times New Roman"/>
          <w:b/>
          <w:bCs/>
          <w:sz w:val="24"/>
          <w:szCs w:val="24"/>
        </w:rPr>
        <w:t xml:space="preserve"> </w:t>
      </w:r>
      <w:r w:rsidR="002B3A14">
        <w:rPr>
          <w:rFonts w:ascii="Times New Roman" w:hAnsi="Times New Roman" w:cs="Times New Roman"/>
          <w:b/>
          <w:bCs/>
          <w:sz w:val="24"/>
          <w:szCs w:val="24"/>
        </w:rPr>
        <w:t>chain</w:t>
      </w:r>
      <w:r>
        <w:rPr>
          <w:rFonts w:ascii="Times New Roman" w:hAnsi="Times New Roman" w:cs="Times New Roman"/>
          <w:b/>
          <w:bCs/>
          <w:sz w:val="24"/>
          <w:szCs w:val="24"/>
        </w:rPr>
        <w:t>s: accomplishments through multipolar governance and distributed agency</w:t>
      </w:r>
    </w:p>
    <w:p w14:paraId="3DA41B42" w14:textId="6271695E" w:rsidR="00EE46F4" w:rsidRPr="00C843EA" w:rsidRDefault="00EE46F4" w:rsidP="00EE46F4">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Meeting the 50mg/kg target ahead of schedule</w:t>
      </w:r>
    </w:p>
    <w:p w14:paraId="5BB6949B" w14:textId="13472113" w:rsidR="00EE46F4" w:rsidRDefault="00EE46F4" w:rsidP="00EE46F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story of targets that can be met with minimal inconvenience. </w:t>
      </w:r>
      <w:r w:rsidRPr="00BC11CD">
        <w:rPr>
          <w:rFonts w:ascii="Times New Roman" w:eastAsia="Times New Roman" w:hAnsi="Times New Roman" w:cs="Times New Roman"/>
          <w:sz w:val="24"/>
          <w:szCs w:val="24"/>
        </w:rPr>
        <w:t>For example</w:t>
      </w:r>
      <w:r>
        <w:rPr>
          <w:rFonts w:ascii="Times New Roman" w:eastAsia="Times New Roman" w:hAnsi="Times New Roman" w:cs="Times New Roman"/>
          <w:sz w:val="24"/>
          <w:szCs w:val="24"/>
        </w:rPr>
        <w:t>,</w:t>
      </w:r>
      <w:r w:rsidRPr="00BC11CD">
        <w:rPr>
          <w:rFonts w:ascii="Times New Roman" w:eastAsia="Times New Roman" w:hAnsi="Times New Roman" w:cs="Times New Roman"/>
          <w:sz w:val="24"/>
          <w:szCs w:val="24"/>
        </w:rPr>
        <w:t xml:space="preserve"> </w:t>
      </w:r>
      <w:r w:rsidRPr="00BC11CD">
        <w:rPr>
          <w:rFonts w:ascii="Times New Roman" w:eastAsia="Times New Roman" w:hAnsi="Times New Roman" w:cs="Times New Roman"/>
          <w:color w:val="000000"/>
          <w:sz w:val="24"/>
          <w:szCs w:val="24"/>
        </w:rPr>
        <w:t xml:space="preserve">the target </w:t>
      </w:r>
      <w:r w:rsidRPr="00BC11CD">
        <w:rPr>
          <w:rFonts w:ascii="Times New Roman" w:eastAsia="Times New Roman" w:hAnsi="Times New Roman" w:cs="Times New Roman"/>
          <w:sz w:val="24"/>
          <w:szCs w:val="24"/>
        </w:rPr>
        <w:t xml:space="preserve">to reduce average </w:t>
      </w:r>
      <w:r w:rsidR="004F098D">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use</w:t>
      </w:r>
      <w:r w:rsidRPr="00BC11CD">
        <w:rPr>
          <w:rFonts w:ascii="Times New Roman" w:eastAsia="Times New Roman" w:hAnsi="Times New Roman" w:cs="Times New Roman"/>
          <w:sz w:val="24"/>
          <w:szCs w:val="24"/>
        </w:rPr>
        <w:t xml:space="preserve"> to 50mg/kg in the UK’s domestic livestock and fish sectors by 2018 </w:t>
      </w:r>
      <w:r w:rsidRPr="00BC11CD">
        <w:rPr>
          <w:rFonts w:ascii="Times New Roman" w:eastAsia="Times New Roman" w:hAnsi="Times New Roman" w:cs="Times New Roman"/>
          <w:color w:val="000000"/>
          <w:sz w:val="24"/>
          <w:szCs w:val="24"/>
        </w:rPr>
        <w:t xml:space="preserve">was </w:t>
      </w:r>
      <w:r w:rsidRPr="00BC11CD">
        <w:rPr>
          <w:rFonts w:ascii="Times New Roman" w:eastAsia="Times New Roman" w:hAnsi="Times New Roman" w:cs="Times New Roman"/>
          <w:sz w:val="24"/>
          <w:szCs w:val="24"/>
        </w:rPr>
        <w:t>met ahead of schedule. Indeed, by 2018, reduction was down to a multi-species average of 29.5mg/kg (Veterinary Medicines Directorate, 20</w:t>
      </w:r>
      <w:r w:rsidR="00446D88">
        <w:rPr>
          <w:rFonts w:ascii="Times New Roman" w:eastAsia="Times New Roman" w:hAnsi="Times New Roman" w:cs="Times New Roman"/>
          <w:sz w:val="24"/>
          <w:szCs w:val="24"/>
        </w:rPr>
        <w:t>20</w:t>
      </w:r>
      <w:r w:rsidRPr="00BC1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t>
      </w:r>
      <w:r w:rsidRPr="008420EC">
        <w:rPr>
          <w:rFonts w:ascii="Times New Roman" w:eastAsia="Times New Roman" w:hAnsi="Times New Roman" w:cs="Times New Roman"/>
          <w:sz w:val="24"/>
          <w:szCs w:val="24"/>
        </w:rPr>
        <w:t xml:space="preserve">can therefore reflect on how the highly capitalised food system when it came to AMR as a dual food safety/public health crisis has not struggled to meet </w:t>
      </w:r>
      <w:r w:rsidR="00075EAD">
        <w:rPr>
          <w:rFonts w:ascii="Times New Roman" w:eastAsia="Times New Roman" w:hAnsi="Times New Roman" w:cs="Times New Roman"/>
          <w:sz w:val="24"/>
          <w:szCs w:val="24"/>
        </w:rPr>
        <w:t>initial targets</w:t>
      </w:r>
      <w:r>
        <w:rPr>
          <w:rFonts w:ascii="Times New Roman" w:eastAsia="Times New Roman" w:hAnsi="Times New Roman" w:cs="Times New Roman"/>
          <w:sz w:val="24"/>
          <w:szCs w:val="24"/>
        </w:rPr>
        <w:t xml:space="preserve">. </w:t>
      </w:r>
      <w:r w:rsidR="00075EAD">
        <w:rPr>
          <w:rFonts w:ascii="Times New Roman" w:eastAsia="Times New Roman" w:hAnsi="Times New Roman" w:cs="Times New Roman"/>
          <w:sz w:val="24"/>
          <w:szCs w:val="24"/>
        </w:rPr>
        <w:t>Yet importantly, AMR environmental</w:t>
      </w:r>
      <w:r>
        <w:rPr>
          <w:rFonts w:ascii="Times New Roman" w:eastAsia="Times New Roman" w:hAnsi="Times New Roman" w:cs="Times New Roman"/>
          <w:sz w:val="24"/>
          <w:szCs w:val="24"/>
        </w:rPr>
        <w:t xml:space="preserve"> </w:t>
      </w:r>
      <w:r w:rsidR="009A26BF">
        <w:rPr>
          <w:rFonts w:ascii="Times New Roman" w:eastAsia="Times New Roman" w:hAnsi="Times New Roman" w:cs="Times New Roman"/>
          <w:sz w:val="24"/>
          <w:szCs w:val="24"/>
        </w:rPr>
        <w:t>disseminat</w:t>
      </w:r>
      <w:r w:rsidR="00075EAD">
        <w:rPr>
          <w:rFonts w:ascii="Times New Roman" w:eastAsia="Times New Roman" w:hAnsi="Times New Roman" w:cs="Times New Roman"/>
          <w:sz w:val="24"/>
          <w:szCs w:val="24"/>
        </w:rPr>
        <w:t>ion</w:t>
      </w:r>
      <w:r w:rsidR="009A26BF">
        <w:rPr>
          <w:rFonts w:ascii="Times New Roman" w:eastAsia="Times New Roman" w:hAnsi="Times New Roman" w:cs="Times New Roman"/>
          <w:sz w:val="24"/>
          <w:szCs w:val="24"/>
        </w:rPr>
        <w:t xml:space="preserve"> or transmi</w:t>
      </w:r>
      <w:r w:rsidR="00075EAD">
        <w:rPr>
          <w:rFonts w:ascii="Times New Roman" w:eastAsia="Times New Roman" w:hAnsi="Times New Roman" w:cs="Times New Roman"/>
          <w:sz w:val="24"/>
          <w:szCs w:val="24"/>
        </w:rPr>
        <w:t>ssion</w:t>
      </w:r>
      <w:r w:rsidR="009A26BF">
        <w:rPr>
          <w:rFonts w:ascii="Times New Roman" w:eastAsia="Times New Roman" w:hAnsi="Times New Roman" w:cs="Times New Roman"/>
          <w:sz w:val="24"/>
          <w:szCs w:val="24"/>
        </w:rPr>
        <w:t xml:space="preserve"> across species borders</w:t>
      </w:r>
      <w:r w:rsidR="00560DE7">
        <w:rPr>
          <w:rFonts w:ascii="Times New Roman" w:eastAsia="Times New Roman" w:hAnsi="Times New Roman" w:cs="Times New Roman"/>
          <w:sz w:val="24"/>
          <w:szCs w:val="24"/>
        </w:rPr>
        <w:t>, where targets do</w:t>
      </w:r>
      <w:r w:rsidR="008C5A8E">
        <w:rPr>
          <w:rFonts w:ascii="Times New Roman" w:eastAsia="Times New Roman" w:hAnsi="Times New Roman" w:cs="Times New Roman"/>
          <w:sz w:val="24"/>
          <w:szCs w:val="24"/>
        </w:rPr>
        <w:t xml:space="preserve"> not</w:t>
      </w:r>
      <w:r w:rsidR="00560DE7">
        <w:rPr>
          <w:rFonts w:ascii="Times New Roman" w:eastAsia="Times New Roman" w:hAnsi="Times New Roman" w:cs="Times New Roman"/>
          <w:sz w:val="24"/>
          <w:szCs w:val="24"/>
        </w:rPr>
        <w:t xml:space="preserve"> exist,</w:t>
      </w:r>
      <w:r w:rsidR="009A2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largely ignored in favour of the certainty of meeting a stable target</w:t>
      </w:r>
      <w:r w:rsidR="009A26BF">
        <w:rPr>
          <w:rFonts w:ascii="Times New Roman" w:eastAsia="Times New Roman" w:hAnsi="Times New Roman" w:cs="Times New Roman"/>
          <w:sz w:val="24"/>
          <w:szCs w:val="24"/>
        </w:rPr>
        <w:t xml:space="preserve"> on </w:t>
      </w:r>
      <w:r w:rsidR="002B3A14">
        <w:rPr>
          <w:rFonts w:ascii="Times New Roman" w:eastAsia="Times New Roman" w:hAnsi="Times New Roman" w:cs="Times New Roman"/>
          <w:sz w:val="24"/>
          <w:szCs w:val="24"/>
        </w:rPr>
        <w:t>antibiotic</w:t>
      </w:r>
      <w:r w:rsidR="008F5417">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sidR="00560DE7">
        <w:rPr>
          <w:rFonts w:ascii="Times New Roman" w:eastAsia="Times New Roman" w:hAnsi="Times New Roman" w:cs="Times New Roman"/>
          <w:sz w:val="24"/>
          <w:szCs w:val="24"/>
        </w:rPr>
        <w:t xml:space="preserve"> as a</w:t>
      </w:r>
      <w:r w:rsidR="009A26BF">
        <w:rPr>
          <w:rFonts w:ascii="Times New Roman" w:eastAsia="Times New Roman" w:hAnsi="Times New Roman" w:cs="Times New Roman"/>
          <w:sz w:val="24"/>
          <w:szCs w:val="24"/>
        </w:rPr>
        <w:t xml:space="preserve"> source</w:t>
      </w:r>
      <w:r>
        <w:rPr>
          <w:rFonts w:ascii="Times New Roman" w:eastAsia="Times New Roman" w:hAnsi="Times New Roman" w:cs="Times New Roman"/>
          <w:sz w:val="24"/>
          <w:szCs w:val="24"/>
        </w:rPr>
        <w:t>.</w:t>
      </w:r>
    </w:p>
    <w:p w14:paraId="066FF227" w14:textId="77777777" w:rsidR="00EE46F4" w:rsidRDefault="00EE46F4" w:rsidP="00EE46F4">
      <w:pPr>
        <w:spacing w:line="480" w:lineRule="auto"/>
        <w:rPr>
          <w:rFonts w:ascii="Times New Roman" w:eastAsia="Times New Roman" w:hAnsi="Times New Roman" w:cs="Times New Roman"/>
          <w:sz w:val="24"/>
          <w:szCs w:val="24"/>
        </w:rPr>
      </w:pPr>
    </w:p>
    <w:p w14:paraId="0FA96E9B" w14:textId="3C7277FB" w:rsidR="00EE46F4" w:rsidRDefault="00EE46F4" w:rsidP="00EE46F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Ponte and Sturgeon’s (2014) notion of multipolar governance, where power in the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 derives from more than one operative node, is helpful in appreciating the roles of state, corporate, and third sector actors not only in setting targets for reducing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Pr>
          <w:rFonts w:ascii="Times New Roman" w:eastAsia="Times New Roman" w:hAnsi="Times New Roman" w:cs="Times New Roman"/>
          <w:sz w:val="24"/>
          <w:szCs w:val="24"/>
        </w:rPr>
        <w:t xml:space="preserve">, but also in meeting them. The current model of food safety governance in the UK is </w:t>
      </w:r>
      <w:r w:rsidR="00F4789D">
        <w:rPr>
          <w:rFonts w:ascii="Times New Roman" w:eastAsia="Times New Roman" w:hAnsi="Times New Roman" w:cs="Times New Roman"/>
          <w:sz w:val="24"/>
          <w:szCs w:val="24"/>
        </w:rPr>
        <w:t xml:space="preserve">effectively </w:t>
      </w:r>
      <w:r>
        <w:rPr>
          <w:rFonts w:ascii="Times New Roman" w:eastAsia="Times New Roman" w:hAnsi="Times New Roman" w:cs="Times New Roman"/>
          <w:sz w:val="24"/>
          <w:szCs w:val="24"/>
        </w:rPr>
        <w:t xml:space="preserve">a form of multipolar governance. With the AMR problem </w:t>
      </w:r>
      <w:r w:rsidR="00560DE7">
        <w:rPr>
          <w:rFonts w:ascii="Times New Roman" w:eastAsia="Times New Roman" w:hAnsi="Times New Roman" w:cs="Times New Roman"/>
          <w:sz w:val="24"/>
          <w:szCs w:val="24"/>
        </w:rPr>
        <w:t xml:space="preserve">widening </w:t>
      </w:r>
      <w:r>
        <w:rPr>
          <w:rFonts w:ascii="Times New Roman" w:eastAsia="Times New Roman" w:hAnsi="Times New Roman" w:cs="Times New Roman"/>
          <w:sz w:val="24"/>
          <w:szCs w:val="24"/>
        </w:rPr>
        <w:t>to incorporate not only food safety, but also public health, government’s role extends across ministerial departments beyond the FSA to include Defra and the VMD. This contemporary multipolar governance, in contrast to unipolar, lead firm control, now characterises UK food safety</w:t>
      </w:r>
      <w:r w:rsidR="00CA4C48">
        <w:rPr>
          <w:rFonts w:ascii="Times New Roman" w:eastAsia="Times New Roman" w:hAnsi="Times New Roman" w:cs="Times New Roman"/>
          <w:sz w:val="24"/>
          <w:szCs w:val="24"/>
        </w:rPr>
        <w:t xml:space="preserve"> and</w:t>
      </w:r>
      <w:r w:rsidR="00731E2C">
        <w:rPr>
          <w:rFonts w:ascii="Times New Roman" w:eastAsia="Times New Roman" w:hAnsi="Times New Roman" w:cs="Times New Roman"/>
          <w:sz w:val="24"/>
          <w:szCs w:val="24"/>
        </w:rPr>
        <w:t>,</w:t>
      </w:r>
      <w:r w:rsidR="00CA4C48">
        <w:rPr>
          <w:rFonts w:ascii="Times New Roman" w:eastAsia="Times New Roman" w:hAnsi="Times New Roman" w:cs="Times New Roman"/>
          <w:sz w:val="24"/>
          <w:szCs w:val="24"/>
        </w:rPr>
        <w:t xml:space="preserve"> by extension, AMR</w:t>
      </w:r>
      <w:r>
        <w:rPr>
          <w:rFonts w:ascii="Times New Roman" w:eastAsia="Times New Roman" w:hAnsi="Times New Roman" w:cs="Times New Roman"/>
          <w:sz w:val="24"/>
          <w:szCs w:val="24"/>
        </w:rPr>
        <w:t xml:space="preserve">. It is performed through a constellation of </w:t>
      </w:r>
      <w:r w:rsidR="00C35375">
        <w:rPr>
          <w:rFonts w:ascii="Times New Roman" w:eastAsia="Times New Roman" w:hAnsi="Times New Roman" w:cs="Times New Roman"/>
          <w:sz w:val="24"/>
          <w:szCs w:val="24"/>
        </w:rPr>
        <w:t xml:space="preserve">‘driver’ </w:t>
      </w:r>
      <w:r>
        <w:rPr>
          <w:rFonts w:ascii="Times New Roman" w:eastAsia="Times New Roman" w:hAnsi="Times New Roman" w:cs="Times New Roman"/>
          <w:sz w:val="24"/>
          <w:szCs w:val="24"/>
        </w:rPr>
        <w:t xml:space="preserve">actors and interlocking roles and as the discussion in the previous section suggests, has been strongly influential in the effective focus on domestic antibiotic stewardship. Assemblage perspectives brought into dialogue with the notion of multipolar governance grasp the distributed agency </w:t>
      </w:r>
      <w:r w:rsidR="00C35375">
        <w:rPr>
          <w:rFonts w:ascii="Times New Roman" w:eastAsia="Times New Roman" w:hAnsi="Times New Roman" w:cs="Times New Roman"/>
          <w:sz w:val="24"/>
          <w:szCs w:val="24"/>
        </w:rPr>
        <w:t xml:space="preserve">of ‘driving mechanisms’ </w:t>
      </w:r>
      <w:r>
        <w:rPr>
          <w:rFonts w:ascii="Times New Roman" w:eastAsia="Times New Roman" w:hAnsi="Times New Roman" w:cs="Times New Roman"/>
          <w:sz w:val="24"/>
          <w:szCs w:val="24"/>
        </w:rPr>
        <w:t>involved in meeting the targets</w:t>
      </w:r>
      <w:r w:rsidR="009E6BD6">
        <w:rPr>
          <w:rFonts w:ascii="Times New Roman" w:eastAsia="Times New Roman" w:hAnsi="Times New Roman" w:cs="Times New Roman"/>
          <w:sz w:val="24"/>
          <w:szCs w:val="24"/>
        </w:rPr>
        <w:t xml:space="preserve"> by attending to</w:t>
      </w:r>
      <w:r>
        <w:rPr>
          <w:rFonts w:ascii="Times New Roman" w:eastAsia="Times New Roman" w:hAnsi="Times New Roman" w:cs="Times New Roman"/>
          <w:sz w:val="24"/>
          <w:szCs w:val="24"/>
        </w:rPr>
        <w:t xml:space="preserve"> </w:t>
      </w:r>
      <w:r w:rsidR="00C35375">
        <w:rPr>
          <w:rFonts w:ascii="Times New Roman" w:eastAsia="Times New Roman" w:hAnsi="Times New Roman" w:cs="Times New Roman"/>
          <w:sz w:val="24"/>
          <w:szCs w:val="24"/>
        </w:rPr>
        <w:t xml:space="preserve">how mechanistic </w:t>
      </w:r>
      <w:r w:rsidR="00C35375">
        <w:rPr>
          <w:rFonts w:ascii="Times New Roman" w:eastAsia="Times New Roman" w:hAnsi="Times New Roman" w:cs="Times New Roman"/>
          <w:sz w:val="24"/>
          <w:szCs w:val="24"/>
        </w:rPr>
        <w:lastRenderedPageBreak/>
        <w:t>relations between</w:t>
      </w:r>
      <w:r>
        <w:rPr>
          <w:rFonts w:ascii="Times New Roman" w:eastAsia="Times New Roman" w:hAnsi="Times New Roman" w:cs="Times New Roman"/>
          <w:sz w:val="24"/>
          <w:szCs w:val="24"/>
        </w:rPr>
        <w:t xml:space="preserve"> </w:t>
      </w:r>
      <w:r w:rsidR="00C35375">
        <w:rPr>
          <w:rFonts w:ascii="Times New Roman" w:eastAsia="Times New Roman" w:hAnsi="Times New Roman" w:cs="Times New Roman"/>
          <w:sz w:val="24"/>
          <w:szCs w:val="24"/>
        </w:rPr>
        <w:t xml:space="preserve">‘driving’ </w:t>
      </w:r>
      <w:r>
        <w:rPr>
          <w:rFonts w:ascii="Times New Roman" w:eastAsia="Times New Roman" w:hAnsi="Times New Roman" w:cs="Times New Roman"/>
          <w:sz w:val="24"/>
          <w:szCs w:val="24"/>
        </w:rPr>
        <w:t>actors</w:t>
      </w:r>
      <w:r w:rsidR="00CA4C48">
        <w:rPr>
          <w:rFonts w:ascii="Times New Roman" w:eastAsia="Times New Roman" w:hAnsi="Times New Roman" w:cs="Times New Roman"/>
          <w:sz w:val="24"/>
          <w:szCs w:val="24"/>
        </w:rPr>
        <w:t xml:space="preserve"> </w:t>
      </w:r>
      <w:r w:rsidR="00C35375">
        <w:rPr>
          <w:rFonts w:ascii="Times New Roman" w:eastAsia="Times New Roman" w:hAnsi="Times New Roman" w:cs="Times New Roman"/>
          <w:sz w:val="24"/>
          <w:szCs w:val="24"/>
        </w:rPr>
        <w:t>are necessarily responding to the</w:t>
      </w:r>
      <w:r>
        <w:rPr>
          <w:rFonts w:ascii="Times New Roman" w:eastAsia="Times New Roman" w:hAnsi="Times New Roman" w:cs="Times New Roman"/>
          <w:sz w:val="24"/>
          <w:szCs w:val="24"/>
        </w:rPr>
        <w:t xml:space="preserve"> </w:t>
      </w:r>
      <w:r w:rsidR="00560DE7">
        <w:rPr>
          <w:rFonts w:ascii="Times New Roman" w:eastAsia="Times New Roman" w:hAnsi="Times New Roman" w:cs="Times New Roman"/>
          <w:sz w:val="24"/>
          <w:szCs w:val="24"/>
        </w:rPr>
        <w:t>animal bodies and other environmental materialities</w:t>
      </w:r>
      <w:r w:rsidR="00CA4C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which they enmesh. In the context of AMR uncertainty, the “plurality of drivers” (Ponte and Sturgeon, 2014</w:t>
      </w:r>
      <w:r w:rsidR="008C5A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page 215) must </w:t>
      </w:r>
      <w:r w:rsidR="00731E2C">
        <w:rPr>
          <w:rFonts w:ascii="Times New Roman" w:eastAsia="Times New Roman" w:hAnsi="Times New Roman" w:cs="Times New Roman"/>
          <w:sz w:val="24"/>
          <w:szCs w:val="24"/>
        </w:rPr>
        <w:t xml:space="preserve">therefore </w:t>
      </w:r>
      <w:r>
        <w:rPr>
          <w:rFonts w:ascii="Times New Roman" w:eastAsia="Times New Roman" w:hAnsi="Times New Roman" w:cs="Times New Roman"/>
          <w:sz w:val="24"/>
          <w:szCs w:val="24"/>
        </w:rPr>
        <w:t xml:space="preserve">be conceived in terms </w:t>
      </w:r>
      <w:r w:rsidR="00CA4C48">
        <w:rPr>
          <w:rFonts w:ascii="Times New Roman" w:eastAsia="Times New Roman" w:hAnsi="Times New Roman" w:cs="Times New Roman"/>
          <w:sz w:val="24"/>
          <w:szCs w:val="24"/>
        </w:rPr>
        <w:t>of their performance through the materiality of farm animals, meat, and microbial evolutionary processes, as well as</w:t>
      </w:r>
      <w:r>
        <w:rPr>
          <w:rFonts w:ascii="Times New Roman" w:eastAsia="Times New Roman" w:hAnsi="Times New Roman" w:cs="Times New Roman"/>
          <w:sz w:val="24"/>
          <w:szCs w:val="24"/>
        </w:rPr>
        <w:t xml:space="preserve"> how responsibilities are distributed </w:t>
      </w:r>
      <w:r w:rsidR="00731E2C">
        <w:rPr>
          <w:rFonts w:ascii="Times New Roman" w:eastAsia="Times New Roman" w:hAnsi="Times New Roman" w:cs="Times New Roman"/>
          <w:sz w:val="24"/>
          <w:szCs w:val="24"/>
        </w:rPr>
        <w:t xml:space="preserve">between institutions </w:t>
      </w:r>
      <w:r>
        <w:rPr>
          <w:rFonts w:ascii="Times New Roman" w:eastAsia="Times New Roman" w:hAnsi="Times New Roman" w:cs="Times New Roman"/>
          <w:sz w:val="24"/>
          <w:szCs w:val="24"/>
        </w:rPr>
        <w:t>and developed.</w:t>
      </w:r>
      <w:r w:rsidR="00292A04">
        <w:rPr>
          <w:rFonts w:ascii="Times New Roman" w:eastAsia="Times New Roman" w:hAnsi="Times New Roman" w:cs="Times New Roman"/>
          <w:sz w:val="24"/>
          <w:szCs w:val="24"/>
        </w:rPr>
        <w:t xml:space="preserve"> We demonstrate this below.</w:t>
      </w:r>
    </w:p>
    <w:p w14:paraId="7204D8C4" w14:textId="77777777" w:rsidR="00EE46F4" w:rsidRDefault="00EE46F4" w:rsidP="00EE46F4">
      <w:pPr>
        <w:spacing w:line="480" w:lineRule="auto"/>
        <w:rPr>
          <w:rFonts w:ascii="Times New Roman" w:eastAsia="Times New Roman" w:hAnsi="Times New Roman" w:cs="Times New Roman"/>
          <w:sz w:val="24"/>
          <w:szCs w:val="24"/>
        </w:rPr>
      </w:pPr>
    </w:p>
    <w:p w14:paraId="3EFCDAB4" w14:textId="3C9BECC6" w:rsidR="00EE46F4" w:rsidRDefault="00EE46F4" w:rsidP="00EE46F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UK case</w:t>
      </w:r>
      <w:r w:rsidR="008C5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study, antibiotic reduction and its reporting and transparency of usage in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s was achieved through the establishment and influence of </w:t>
      </w:r>
      <w:r w:rsidR="005A22F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RUMA Targets Taskforce. </w:t>
      </w:r>
      <w:r>
        <w:rPr>
          <w:rFonts w:ascii="Times New Roman" w:hAnsi="Times New Roman" w:cs="Times New Roman"/>
          <w:sz w:val="24"/>
          <w:szCs w:val="24"/>
        </w:rPr>
        <w:t>Demonstrating a multi-stakeholder approach to standard-setting indicative of Ponte and Sturgeon’s (2014) multipolar governance, t</w:t>
      </w:r>
      <w:r>
        <w:rPr>
          <w:rFonts w:ascii="Times New Roman" w:eastAsia="Times New Roman" w:hAnsi="Times New Roman" w:cs="Times New Roman"/>
          <w:sz w:val="24"/>
          <w:szCs w:val="24"/>
        </w:rPr>
        <w:t xml:space="preserve">he RUMA Targets Taskforce is illustrative of an organised collective of a variety of stakeholder bodies that sit within, influence, and monitor the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Membership of the Targets Taskforce includes producers and vets from across UK livestock and farmed fish sectors</w:t>
      </w:r>
      <w:r w:rsidR="006D5C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work is overseen by observers from government departments, accreditation bodies, and trade associations. </w:t>
      </w:r>
      <w:r w:rsidR="009A0822">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was charged in 2016 with responsibility for creating the sector-specific antibiotic reduction targets.</w:t>
      </w:r>
    </w:p>
    <w:p w14:paraId="055EFCD7" w14:textId="77777777" w:rsidR="00EE46F4" w:rsidRDefault="00EE46F4" w:rsidP="00EE46F4">
      <w:pPr>
        <w:spacing w:line="480" w:lineRule="auto"/>
        <w:rPr>
          <w:rFonts w:ascii="Times New Roman" w:eastAsia="Times New Roman" w:hAnsi="Times New Roman" w:cs="Times New Roman"/>
          <w:sz w:val="24"/>
          <w:szCs w:val="24"/>
        </w:rPr>
      </w:pPr>
    </w:p>
    <w:p w14:paraId="7663BFE8" w14:textId="1FF8750D" w:rsidR="00847DC2" w:rsidRPr="00847DC2" w:rsidRDefault="00EE46F4" w:rsidP="00EE46F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same organisations </w:t>
      </w:r>
      <w:r w:rsidR="00FC4E71">
        <w:rPr>
          <w:rFonts w:ascii="Times New Roman" w:eastAsia="Times New Roman" w:hAnsi="Times New Roman" w:cs="Times New Roman"/>
          <w:sz w:val="24"/>
          <w:szCs w:val="24"/>
        </w:rPr>
        <w:t xml:space="preserve">involved in the Targets Taskforce </w:t>
      </w:r>
      <w:r>
        <w:rPr>
          <w:rFonts w:ascii="Times New Roman" w:eastAsia="Times New Roman" w:hAnsi="Times New Roman" w:cs="Times New Roman"/>
          <w:sz w:val="24"/>
          <w:szCs w:val="24"/>
        </w:rPr>
        <w:t xml:space="preserve">support the collection of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Pr>
          <w:rFonts w:ascii="Times New Roman" w:eastAsia="Times New Roman" w:hAnsi="Times New Roman" w:cs="Times New Roman"/>
          <w:sz w:val="24"/>
          <w:szCs w:val="24"/>
        </w:rPr>
        <w:t xml:space="preserve"> data. Industry specific membership bodies including the British Poultry Council and </w:t>
      </w:r>
      <w:r w:rsidR="009A082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Agriculture </w:t>
      </w:r>
      <w:r w:rsidR="006D5C3F">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Horticulture Development Board </w:t>
      </w:r>
      <w:r w:rsidR="00555758">
        <w:rPr>
          <w:rFonts w:ascii="Times New Roman" w:eastAsia="Times New Roman" w:hAnsi="Times New Roman" w:cs="Times New Roman"/>
          <w:sz w:val="24"/>
          <w:szCs w:val="24"/>
        </w:rPr>
        <w:t xml:space="preserve">(AHDB) </w:t>
      </w:r>
      <w:r>
        <w:rPr>
          <w:rFonts w:ascii="Times New Roman" w:eastAsia="Times New Roman" w:hAnsi="Times New Roman" w:cs="Times New Roman"/>
          <w:sz w:val="24"/>
          <w:szCs w:val="24"/>
        </w:rPr>
        <w:t>collect usage data and submit it to the V</w:t>
      </w:r>
      <w:r w:rsidR="00FC4E71">
        <w:rPr>
          <w:rFonts w:ascii="Times New Roman" w:eastAsia="Times New Roman" w:hAnsi="Times New Roman" w:cs="Times New Roman"/>
          <w:sz w:val="24"/>
          <w:szCs w:val="24"/>
        </w:rPr>
        <w:t>MD</w:t>
      </w:r>
      <w:r>
        <w:rPr>
          <w:rFonts w:ascii="Times New Roman" w:eastAsia="Times New Roman" w:hAnsi="Times New Roman" w:cs="Times New Roman"/>
          <w:sz w:val="24"/>
          <w:szCs w:val="24"/>
        </w:rPr>
        <w:t xml:space="preserve">, who then </w:t>
      </w:r>
      <w:r w:rsidR="00560DE7">
        <w:rPr>
          <w:rFonts w:ascii="Times New Roman" w:eastAsia="Times New Roman" w:hAnsi="Times New Roman" w:cs="Times New Roman"/>
          <w:sz w:val="24"/>
          <w:szCs w:val="24"/>
        </w:rPr>
        <w:t xml:space="preserve">publicise </w:t>
      </w:r>
      <w:r>
        <w:rPr>
          <w:rFonts w:ascii="Times New Roman" w:eastAsia="Times New Roman" w:hAnsi="Times New Roman" w:cs="Times New Roman"/>
          <w:sz w:val="24"/>
          <w:szCs w:val="24"/>
        </w:rPr>
        <w:t xml:space="preserve">it alongside antibiotic sales data for its annual, public Veterinary Antimicrobial Resistance and Sales Surveillance </w:t>
      </w:r>
      <w:r w:rsidR="00731E2C">
        <w:rPr>
          <w:rFonts w:ascii="Times New Roman" w:eastAsia="Times New Roman" w:hAnsi="Times New Roman" w:cs="Times New Roman"/>
          <w:sz w:val="24"/>
          <w:szCs w:val="24"/>
        </w:rPr>
        <w:t xml:space="preserve">(VARSS) </w:t>
      </w:r>
      <w:r>
        <w:rPr>
          <w:rFonts w:ascii="Times New Roman" w:eastAsia="Times New Roman" w:hAnsi="Times New Roman" w:cs="Times New Roman"/>
          <w:sz w:val="24"/>
          <w:szCs w:val="24"/>
        </w:rPr>
        <w:t>reports. However, also covering antibiotic stewardship more broadly are voluntary Red Tractor standards, to which most farms, processors, and retailers are signed up. Farms requiring Red Tractor certification by processors and retailer</w:t>
      </w:r>
      <w:r w:rsidR="00AD4369">
        <w:rPr>
          <w:rFonts w:ascii="Times New Roman" w:eastAsia="Times New Roman" w:hAnsi="Times New Roman" w:cs="Times New Roman"/>
          <w:sz w:val="24"/>
          <w:szCs w:val="24"/>
        </w:rPr>
        <w:t xml:space="preserve">s have an annual </w:t>
      </w:r>
      <w:r>
        <w:rPr>
          <w:rFonts w:ascii="Times New Roman" w:eastAsia="Times New Roman" w:hAnsi="Times New Roman" w:cs="Times New Roman"/>
          <w:sz w:val="24"/>
          <w:szCs w:val="24"/>
        </w:rPr>
        <w:t xml:space="preserve">audit, </w:t>
      </w:r>
      <w:r w:rsidR="009A0822">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verification of the submitted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Pr>
          <w:rFonts w:ascii="Times New Roman" w:eastAsia="Times New Roman" w:hAnsi="Times New Roman" w:cs="Times New Roman"/>
          <w:sz w:val="24"/>
          <w:szCs w:val="24"/>
        </w:rPr>
        <w:t xml:space="preserve"> data, but also prescribing practices, </w:t>
      </w:r>
      <w:r>
        <w:rPr>
          <w:rFonts w:ascii="Times New Roman" w:eastAsia="Times New Roman" w:hAnsi="Times New Roman" w:cs="Times New Roman"/>
          <w:sz w:val="24"/>
          <w:szCs w:val="24"/>
        </w:rPr>
        <w:lastRenderedPageBreak/>
        <w:t>related animal husbandry issues, and other aspects of the standard not direct</w:t>
      </w:r>
      <w:r w:rsidR="00AD4369">
        <w:rPr>
          <w:rFonts w:ascii="Times New Roman" w:eastAsia="Times New Roman" w:hAnsi="Times New Roman" w:cs="Times New Roman"/>
          <w:sz w:val="24"/>
          <w:szCs w:val="24"/>
        </w:rPr>
        <w:t>ly involving antibiotics. As a consultant put it</w:t>
      </w:r>
      <w:r>
        <w:rPr>
          <w:rFonts w:ascii="Times New Roman" w:eastAsia="Times New Roman" w:hAnsi="Times New Roman" w:cs="Times New Roman"/>
          <w:sz w:val="24"/>
          <w:szCs w:val="24"/>
        </w:rPr>
        <w:t xml:space="preserve">, “There are two different issues involved here: </w:t>
      </w:r>
      <w:r w:rsidR="004F098D">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use</w:t>
      </w:r>
      <w:r>
        <w:rPr>
          <w:rFonts w:ascii="Times New Roman" w:eastAsia="Times New Roman" w:hAnsi="Times New Roman" w:cs="Times New Roman"/>
          <w:sz w:val="24"/>
          <w:szCs w:val="24"/>
        </w:rPr>
        <w:t xml:space="preserve">, but also the way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s work. We need granularity in the former and transparency in the latter” (C1a). </w:t>
      </w:r>
      <w:r w:rsidR="00FD438B">
        <w:rPr>
          <w:rFonts w:ascii="Times New Roman" w:eastAsia="Times New Roman" w:hAnsi="Times New Roman" w:cs="Times New Roman"/>
          <w:sz w:val="24"/>
          <w:szCs w:val="24"/>
        </w:rPr>
        <w:t>What this quote refers to is, on the one hand, the detailed nature of the antibiotic usage data collected and recorded to demonstrate the meeting of standards and targets, and on the other, a need for more traceability in the supply chain so that products and antibiotic usage can be linked to particular</w:t>
      </w:r>
      <w:r w:rsidR="00D725A3">
        <w:rPr>
          <w:rFonts w:ascii="Times New Roman" w:eastAsia="Times New Roman" w:hAnsi="Times New Roman" w:cs="Times New Roman"/>
          <w:sz w:val="24"/>
          <w:szCs w:val="24"/>
        </w:rPr>
        <w:t xml:space="preserve"> </w:t>
      </w:r>
      <w:r w:rsidR="00FD438B">
        <w:rPr>
          <w:rFonts w:ascii="Times New Roman" w:eastAsia="Times New Roman" w:hAnsi="Times New Roman" w:cs="Times New Roman"/>
          <w:sz w:val="24"/>
          <w:szCs w:val="24"/>
        </w:rPr>
        <w:t>farms and chains of corporate supply.</w:t>
      </w:r>
    </w:p>
    <w:p w14:paraId="6BC60F6E" w14:textId="77777777" w:rsidR="00847DC2" w:rsidRDefault="00847DC2" w:rsidP="00EE46F4">
      <w:pPr>
        <w:spacing w:line="480" w:lineRule="auto"/>
        <w:rPr>
          <w:rFonts w:ascii="Times New Roman" w:hAnsi="Times New Roman" w:cs="Times New Roman"/>
          <w:sz w:val="24"/>
          <w:szCs w:val="24"/>
        </w:rPr>
      </w:pPr>
    </w:p>
    <w:p w14:paraId="4F5C570B" w14:textId="04D793D9" w:rsidR="00EE46F4" w:rsidRDefault="00EE46F4" w:rsidP="00EE46F4">
      <w:pPr>
        <w:spacing w:line="480" w:lineRule="auto"/>
        <w:rPr>
          <w:rFonts w:ascii="Times New Roman" w:eastAsia="Times New Roman" w:hAnsi="Times New Roman" w:cs="Times New Roman"/>
          <w:i/>
          <w:sz w:val="24"/>
          <w:szCs w:val="24"/>
        </w:rPr>
      </w:pPr>
      <w:r w:rsidRPr="00956A61">
        <w:rPr>
          <w:rFonts w:ascii="Times New Roman" w:eastAsia="Times New Roman" w:hAnsi="Times New Roman" w:cs="Times New Roman"/>
          <w:i/>
          <w:sz w:val="24"/>
          <w:szCs w:val="24"/>
        </w:rPr>
        <w:t>Meeting the targets in the chicken and pork sectors</w:t>
      </w:r>
    </w:p>
    <w:p w14:paraId="2484178A" w14:textId="645D6099" w:rsidR="00EE46F4" w:rsidRDefault="00EE46F4" w:rsidP="00EE46F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now discuss what has been achieved in different ways and with different levels of success on pig and chicken farms.</w:t>
      </w:r>
      <w:r w:rsidRPr="002739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doing so we focus on the multiple “driving </w:t>
      </w:r>
      <w:r>
        <w:rPr>
          <w:rFonts w:ascii="Times New Roman" w:eastAsia="Times New Roman" w:hAnsi="Times New Roman" w:cs="Times New Roman"/>
          <w:i/>
          <w:sz w:val="24"/>
          <w:szCs w:val="24"/>
        </w:rPr>
        <w:t>mechanisms</w:t>
      </w:r>
      <w:r>
        <w:rPr>
          <w:rFonts w:ascii="Times New Roman" w:eastAsia="Times New Roman" w:hAnsi="Times New Roman" w:cs="Times New Roman"/>
          <w:sz w:val="24"/>
          <w:szCs w:val="24"/>
        </w:rPr>
        <w:t>” (Ponte and Sturgeon 2014: 215, emphasis added) that have informed the effective meeting of targets: capital concentration</w:t>
      </w:r>
      <w:r w:rsidR="0039395A">
        <w:rPr>
          <w:rFonts w:ascii="Times New Roman" w:eastAsia="Times New Roman" w:hAnsi="Times New Roman" w:cs="Times New Roman"/>
          <w:sz w:val="24"/>
          <w:szCs w:val="24"/>
        </w:rPr>
        <w:t xml:space="preserve"> (</w:t>
      </w:r>
      <w:r w:rsidR="00A72AE1">
        <w:rPr>
          <w:rFonts w:ascii="Times New Roman" w:eastAsia="Times New Roman" w:hAnsi="Times New Roman" w:cs="Times New Roman"/>
          <w:sz w:val="24"/>
          <w:szCs w:val="24"/>
        </w:rPr>
        <w:t>linked to</w:t>
      </w:r>
      <w:r w:rsidR="0039395A">
        <w:rPr>
          <w:rFonts w:ascii="Times New Roman" w:eastAsia="Times New Roman" w:hAnsi="Times New Roman" w:cs="Times New Roman"/>
          <w:sz w:val="24"/>
          <w:szCs w:val="24"/>
        </w:rPr>
        <w:t xml:space="preserve"> corporate coordination), farming with </w:t>
      </w:r>
      <w:r w:rsidR="00866AFB">
        <w:rPr>
          <w:rFonts w:ascii="Times New Roman" w:eastAsia="Times New Roman" w:hAnsi="Times New Roman" w:cs="Times New Roman"/>
          <w:sz w:val="24"/>
          <w:szCs w:val="24"/>
        </w:rPr>
        <w:t>particular</w:t>
      </w:r>
      <w:r>
        <w:rPr>
          <w:rFonts w:ascii="Times New Roman" w:eastAsia="Times New Roman" w:hAnsi="Times New Roman" w:cs="Times New Roman"/>
          <w:sz w:val="24"/>
          <w:szCs w:val="24"/>
        </w:rPr>
        <w:t xml:space="preserve"> animal species, </w:t>
      </w:r>
      <w:r w:rsidR="0039395A">
        <w:rPr>
          <w:rFonts w:ascii="Times New Roman" w:eastAsia="Times New Roman" w:hAnsi="Times New Roman" w:cs="Times New Roman"/>
          <w:sz w:val="24"/>
          <w:szCs w:val="24"/>
        </w:rPr>
        <w:t xml:space="preserve">managing </w:t>
      </w:r>
      <w:r>
        <w:rPr>
          <w:rFonts w:ascii="Times New Roman" w:eastAsia="Times New Roman" w:hAnsi="Times New Roman" w:cs="Times New Roman"/>
          <w:sz w:val="24"/>
          <w:szCs w:val="24"/>
        </w:rPr>
        <w:t>endemic disease levels</w:t>
      </w:r>
      <w:r w:rsidR="00480DF2">
        <w:rPr>
          <w:rFonts w:ascii="Times New Roman" w:eastAsia="Times New Roman" w:hAnsi="Times New Roman" w:cs="Times New Roman"/>
          <w:sz w:val="24"/>
          <w:szCs w:val="24"/>
        </w:rPr>
        <w:t>, and storying ‘acceptable’ levels of negative health and welfare indicators</w:t>
      </w:r>
      <w:r w:rsidR="009955D5">
        <w:rPr>
          <w:rFonts w:ascii="Times New Roman" w:eastAsia="Times New Roman" w:hAnsi="Times New Roman" w:cs="Times New Roman"/>
          <w:sz w:val="24"/>
          <w:szCs w:val="24"/>
        </w:rPr>
        <w:t>.</w:t>
      </w:r>
      <w:r w:rsidR="00DD6E94">
        <w:rPr>
          <w:rFonts w:ascii="Times New Roman" w:eastAsia="Times New Roman" w:hAnsi="Times New Roman" w:cs="Times New Roman"/>
          <w:sz w:val="24"/>
          <w:szCs w:val="24"/>
        </w:rPr>
        <w:t xml:space="preserve"> </w:t>
      </w:r>
      <w:bookmarkStart w:id="2" w:name="_Hlk68102641"/>
      <w:r w:rsidR="002F0D67">
        <w:rPr>
          <w:rFonts w:ascii="Times New Roman" w:eastAsia="Times New Roman" w:hAnsi="Times New Roman" w:cs="Times New Roman"/>
          <w:sz w:val="24"/>
          <w:szCs w:val="24"/>
        </w:rPr>
        <w:t>In so doing, w</w:t>
      </w:r>
      <w:r w:rsidR="009955D5">
        <w:rPr>
          <w:rFonts w:ascii="Times New Roman" w:eastAsia="Times New Roman" w:hAnsi="Times New Roman" w:cs="Times New Roman"/>
          <w:sz w:val="24"/>
          <w:szCs w:val="24"/>
        </w:rPr>
        <w:t>e</w:t>
      </w:r>
      <w:r w:rsidR="00DD6E94">
        <w:rPr>
          <w:rFonts w:ascii="Times New Roman" w:eastAsia="Times New Roman" w:hAnsi="Times New Roman" w:cs="Times New Roman"/>
          <w:sz w:val="24"/>
          <w:szCs w:val="24"/>
        </w:rPr>
        <w:t xml:space="preserve"> </w:t>
      </w:r>
      <w:r w:rsidR="002F0D67">
        <w:rPr>
          <w:rFonts w:ascii="Times New Roman" w:eastAsia="Times New Roman" w:hAnsi="Times New Roman" w:cs="Times New Roman"/>
          <w:sz w:val="24"/>
          <w:szCs w:val="24"/>
        </w:rPr>
        <w:t>explain</w:t>
      </w:r>
      <w:r w:rsidR="00DD6E94">
        <w:rPr>
          <w:rFonts w:ascii="Times New Roman" w:eastAsia="Times New Roman" w:hAnsi="Times New Roman" w:cs="Times New Roman"/>
          <w:sz w:val="24"/>
          <w:szCs w:val="24"/>
        </w:rPr>
        <w:t xml:space="preserve"> how </w:t>
      </w:r>
      <w:bookmarkStart w:id="3" w:name="_Hlk68086994"/>
      <w:r w:rsidR="009955D5">
        <w:rPr>
          <w:rFonts w:ascii="Times New Roman" w:eastAsia="Times New Roman" w:hAnsi="Times New Roman" w:cs="Times New Roman"/>
          <w:sz w:val="24"/>
          <w:szCs w:val="24"/>
        </w:rPr>
        <w:t>the materialit</w:t>
      </w:r>
      <w:r w:rsidR="00612B9D">
        <w:rPr>
          <w:rFonts w:ascii="Times New Roman" w:eastAsia="Times New Roman" w:hAnsi="Times New Roman" w:cs="Times New Roman"/>
          <w:sz w:val="24"/>
          <w:szCs w:val="24"/>
        </w:rPr>
        <w:t>ies</w:t>
      </w:r>
      <w:r w:rsidR="009955D5">
        <w:rPr>
          <w:rFonts w:ascii="Times New Roman" w:eastAsia="Times New Roman" w:hAnsi="Times New Roman" w:cs="Times New Roman"/>
          <w:sz w:val="24"/>
          <w:szCs w:val="24"/>
        </w:rPr>
        <w:t xml:space="preserve"> </w:t>
      </w:r>
      <w:r w:rsidR="00D213E2">
        <w:rPr>
          <w:rFonts w:ascii="Times New Roman" w:eastAsia="Times New Roman" w:hAnsi="Times New Roman" w:cs="Times New Roman"/>
          <w:sz w:val="24"/>
          <w:szCs w:val="24"/>
        </w:rPr>
        <w:t>and ecolog</w:t>
      </w:r>
      <w:r w:rsidR="00612B9D">
        <w:rPr>
          <w:rFonts w:ascii="Times New Roman" w:eastAsia="Times New Roman" w:hAnsi="Times New Roman" w:cs="Times New Roman"/>
          <w:sz w:val="24"/>
          <w:szCs w:val="24"/>
        </w:rPr>
        <w:t>ies</w:t>
      </w:r>
      <w:r w:rsidR="00D213E2">
        <w:rPr>
          <w:rFonts w:ascii="Times New Roman" w:eastAsia="Times New Roman" w:hAnsi="Times New Roman" w:cs="Times New Roman"/>
          <w:sz w:val="24"/>
          <w:szCs w:val="24"/>
        </w:rPr>
        <w:t xml:space="preserve"> </w:t>
      </w:r>
      <w:r w:rsidR="009955D5">
        <w:rPr>
          <w:rFonts w:ascii="Times New Roman" w:eastAsia="Times New Roman" w:hAnsi="Times New Roman" w:cs="Times New Roman"/>
          <w:sz w:val="24"/>
          <w:szCs w:val="24"/>
        </w:rPr>
        <w:t xml:space="preserve">of </w:t>
      </w:r>
      <w:r w:rsidR="002B3A14">
        <w:rPr>
          <w:rFonts w:ascii="Times New Roman" w:eastAsia="Times New Roman" w:hAnsi="Times New Roman" w:cs="Times New Roman"/>
          <w:sz w:val="24"/>
          <w:szCs w:val="24"/>
        </w:rPr>
        <w:t>supply</w:t>
      </w:r>
      <w:r w:rsidR="008F5417">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9955D5">
        <w:rPr>
          <w:rFonts w:ascii="Times New Roman" w:eastAsia="Times New Roman" w:hAnsi="Times New Roman" w:cs="Times New Roman"/>
          <w:sz w:val="24"/>
          <w:szCs w:val="24"/>
        </w:rPr>
        <w:t xml:space="preserve">s </w:t>
      </w:r>
      <w:r w:rsidR="00560DE7">
        <w:rPr>
          <w:rFonts w:ascii="Times New Roman" w:eastAsia="Times New Roman" w:hAnsi="Times New Roman" w:cs="Times New Roman"/>
          <w:sz w:val="24"/>
          <w:szCs w:val="24"/>
        </w:rPr>
        <w:t>assemble</w:t>
      </w:r>
      <w:r w:rsidR="009955D5">
        <w:rPr>
          <w:rFonts w:ascii="Times New Roman" w:eastAsia="Times New Roman" w:hAnsi="Times New Roman" w:cs="Times New Roman"/>
          <w:sz w:val="24"/>
          <w:szCs w:val="24"/>
        </w:rPr>
        <w:t xml:space="preserve"> these</w:t>
      </w:r>
      <w:r w:rsidR="0039395A">
        <w:rPr>
          <w:rFonts w:ascii="Times New Roman" w:eastAsia="Times New Roman" w:hAnsi="Times New Roman" w:cs="Times New Roman"/>
          <w:sz w:val="24"/>
          <w:szCs w:val="24"/>
        </w:rPr>
        <w:t xml:space="preserve"> ‘driving mechanisms’</w:t>
      </w:r>
      <w:r w:rsidR="009955D5">
        <w:rPr>
          <w:rFonts w:ascii="Times New Roman" w:eastAsia="Times New Roman" w:hAnsi="Times New Roman" w:cs="Times New Roman"/>
          <w:sz w:val="24"/>
          <w:szCs w:val="24"/>
        </w:rPr>
        <w:t>,</w:t>
      </w:r>
      <w:r w:rsidR="00DD6E94">
        <w:rPr>
          <w:rFonts w:ascii="Times New Roman" w:eastAsia="Times New Roman" w:hAnsi="Times New Roman" w:cs="Times New Roman"/>
          <w:sz w:val="24"/>
          <w:szCs w:val="24"/>
        </w:rPr>
        <w:t xml:space="preserve"> </w:t>
      </w:r>
      <w:r w:rsidR="002F0D67">
        <w:rPr>
          <w:rFonts w:ascii="Times New Roman" w:eastAsia="Times New Roman" w:hAnsi="Times New Roman" w:cs="Times New Roman"/>
          <w:sz w:val="24"/>
          <w:szCs w:val="24"/>
        </w:rPr>
        <w:t xml:space="preserve">also </w:t>
      </w:r>
      <w:r w:rsidR="00560DE7">
        <w:rPr>
          <w:rFonts w:ascii="Times New Roman" w:eastAsia="Times New Roman" w:hAnsi="Times New Roman" w:cs="Times New Roman"/>
          <w:sz w:val="24"/>
          <w:szCs w:val="24"/>
        </w:rPr>
        <w:t>indicating</w:t>
      </w:r>
      <w:r w:rsidR="00DD6E94">
        <w:rPr>
          <w:rFonts w:ascii="Times New Roman" w:eastAsia="Times New Roman" w:hAnsi="Times New Roman" w:cs="Times New Roman"/>
          <w:sz w:val="24"/>
          <w:szCs w:val="24"/>
        </w:rPr>
        <w:t xml:space="preserve"> </w:t>
      </w:r>
      <w:r w:rsidR="00560DE7">
        <w:rPr>
          <w:rFonts w:ascii="Times New Roman" w:eastAsia="Times New Roman" w:hAnsi="Times New Roman" w:cs="Times New Roman"/>
          <w:sz w:val="24"/>
          <w:szCs w:val="24"/>
        </w:rPr>
        <w:t>the need to tailor mechanisms</w:t>
      </w:r>
      <w:r w:rsidR="00DD6E94">
        <w:rPr>
          <w:rFonts w:ascii="Times New Roman" w:eastAsia="Times New Roman" w:hAnsi="Times New Roman" w:cs="Times New Roman"/>
          <w:sz w:val="24"/>
          <w:szCs w:val="24"/>
        </w:rPr>
        <w:t xml:space="preserve"> </w:t>
      </w:r>
      <w:r w:rsidR="00560DE7">
        <w:rPr>
          <w:rFonts w:ascii="Times New Roman" w:eastAsia="Times New Roman" w:hAnsi="Times New Roman" w:cs="Times New Roman"/>
          <w:sz w:val="24"/>
          <w:szCs w:val="24"/>
        </w:rPr>
        <w:t>for</w:t>
      </w:r>
      <w:r w:rsidR="00786CAF">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new</w:t>
      </w:r>
      <w:r w:rsidR="00560DE7">
        <w:rPr>
          <w:rFonts w:ascii="Times New Roman" w:eastAsia="Times New Roman" w:hAnsi="Times New Roman" w:cs="Times New Roman"/>
          <w:sz w:val="24"/>
          <w:szCs w:val="24"/>
        </w:rPr>
        <w:t xml:space="preserve"> </w:t>
      </w:r>
      <w:r w:rsidR="00786CAF">
        <w:rPr>
          <w:rFonts w:ascii="Times New Roman" w:eastAsia="Times New Roman" w:hAnsi="Times New Roman" w:cs="Times New Roman"/>
          <w:sz w:val="24"/>
          <w:szCs w:val="24"/>
        </w:rPr>
        <w:t>environmental AMR transmission pathways</w:t>
      </w:r>
      <w:r w:rsidR="0039395A">
        <w:rPr>
          <w:rFonts w:ascii="Times New Roman" w:eastAsia="Times New Roman" w:hAnsi="Times New Roman" w:cs="Times New Roman"/>
          <w:sz w:val="24"/>
          <w:szCs w:val="24"/>
        </w:rPr>
        <w:t xml:space="preserve"> (see next section)</w:t>
      </w:r>
      <w:r w:rsidR="002B3A14">
        <w:rPr>
          <w:rFonts w:ascii="Times New Roman" w:eastAsia="Times New Roman" w:hAnsi="Times New Roman" w:cs="Times New Roman"/>
          <w:sz w:val="24"/>
          <w:szCs w:val="24"/>
        </w:rPr>
        <w:t>.</w:t>
      </w:r>
      <w:bookmarkEnd w:id="2"/>
      <w:bookmarkEnd w:id="3"/>
    </w:p>
    <w:p w14:paraId="7A87DB1A" w14:textId="77777777" w:rsidR="00EE46F4" w:rsidRDefault="00EE46F4" w:rsidP="00EE46F4">
      <w:pPr>
        <w:spacing w:line="480" w:lineRule="auto"/>
        <w:rPr>
          <w:rFonts w:ascii="Times New Roman" w:eastAsia="Times New Roman" w:hAnsi="Times New Roman" w:cs="Times New Roman"/>
          <w:sz w:val="24"/>
          <w:szCs w:val="24"/>
        </w:rPr>
      </w:pPr>
    </w:p>
    <w:p w14:paraId="48ED69B5" w14:textId="68F7337D" w:rsidR="00EE46F4" w:rsidRDefault="00EE46F4" w:rsidP="00EE46F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chicken sector has found it easier than the pork sector to be at the forefront of antibiotic stewardship in the UK</w:t>
      </w:r>
      <w:r w:rsidR="00FF01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driven by initiatives of the British Poultry Council. The chicken sector achieved a species average of 12.4mg/kg</w:t>
      </w:r>
      <w:r w:rsidR="00292A04">
        <w:rPr>
          <w:rFonts w:ascii="Times New Roman" w:eastAsia="Times New Roman" w:hAnsi="Times New Roman" w:cs="Times New Roman"/>
          <w:sz w:val="24"/>
          <w:szCs w:val="24"/>
        </w:rPr>
        <w:t xml:space="preserve"> in terms of antibiotic usage</w:t>
      </w:r>
      <w:r>
        <w:rPr>
          <w:rFonts w:ascii="Times New Roman" w:eastAsia="Times New Roman" w:hAnsi="Times New Roman" w:cs="Times New Roman"/>
          <w:sz w:val="24"/>
          <w:szCs w:val="24"/>
        </w:rPr>
        <w:t xml:space="preserve"> by the end of 2018</w:t>
      </w:r>
      <w:r w:rsidR="0058094E">
        <w:rPr>
          <w:rFonts w:ascii="Times New Roman" w:eastAsia="Times New Roman" w:hAnsi="Times New Roman" w:cs="Times New Roman"/>
          <w:sz w:val="24"/>
          <w:szCs w:val="24"/>
        </w:rPr>
        <w:t xml:space="preserve">. Although this increased to 17.4mg/kg by 2019, this is still well </w:t>
      </w:r>
      <w:r w:rsidR="00C22557">
        <w:rPr>
          <w:rFonts w:ascii="Times New Roman" w:eastAsia="Times New Roman" w:hAnsi="Times New Roman" w:cs="Times New Roman"/>
          <w:sz w:val="24"/>
          <w:szCs w:val="24"/>
        </w:rPr>
        <w:t>within</w:t>
      </w:r>
      <w:r w:rsidR="0058094E">
        <w:rPr>
          <w:rFonts w:ascii="Times New Roman" w:eastAsia="Times New Roman" w:hAnsi="Times New Roman" w:cs="Times New Roman"/>
          <w:sz w:val="24"/>
          <w:szCs w:val="24"/>
        </w:rPr>
        <w:t xml:space="preserve"> its RUMA Targets Taskforce 2020 target of 25mg/kg (Veterinary Medicines Directorate, 2020: page 31)</w:t>
      </w:r>
      <w:r w:rsidR="00A72AE1">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Retail interviewees reflected on the influence of capital concentration in terms of the significant coordinating role played by the </w:t>
      </w:r>
      <w:r>
        <w:rPr>
          <w:rFonts w:ascii="Times New Roman" w:eastAsia="Times New Roman" w:hAnsi="Times New Roman" w:cs="Times New Roman"/>
          <w:sz w:val="24"/>
          <w:szCs w:val="24"/>
        </w:rPr>
        <w:lastRenderedPageBreak/>
        <w:t>three dominant poultry</w:t>
      </w:r>
      <w:r w:rsidR="002B3A14">
        <w:rPr>
          <w:rFonts w:ascii="Times New Roman" w:eastAsia="Times New Roman" w:hAnsi="Times New Roman" w:cs="Times New Roman"/>
          <w:sz w:val="24"/>
          <w:szCs w:val="24"/>
        </w:rPr>
        <w:t>-</w:t>
      </w:r>
      <w:r>
        <w:rPr>
          <w:rFonts w:ascii="Times New Roman" w:eastAsia="Times New Roman" w:hAnsi="Times New Roman" w:cs="Times New Roman"/>
          <w:sz w:val="24"/>
          <w:szCs w:val="24"/>
        </w:rPr>
        <w:t>processing corporations – 2Sisters, Moy Park, and Avara Foods – in collecting</w:t>
      </w:r>
      <w:r w:rsidR="00B466F7">
        <w:rPr>
          <w:rFonts w:ascii="Times New Roman" w:eastAsia="Times New Roman" w:hAnsi="Times New Roman" w:cs="Times New Roman"/>
          <w:sz w:val="24"/>
          <w:szCs w:val="24"/>
        </w:rPr>
        <w:t xml:space="preserve"> and handling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sidR="00B466F7">
        <w:rPr>
          <w:rFonts w:ascii="Times New Roman" w:eastAsia="Times New Roman" w:hAnsi="Times New Roman" w:cs="Times New Roman"/>
          <w:sz w:val="24"/>
          <w:szCs w:val="24"/>
        </w:rPr>
        <w:t xml:space="preserve"> data</w:t>
      </w:r>
      <w:r>
        <w:rPr>
          <w:rFonts w:ascii="Times New Roman" w:eastAsia="Times New Roman" w:hAnsi="Times New Roman" w:cs="Times New Roman"/>
          <w:sz w:val="24"/>
          <w:szCs w:val="24"/>
        </w:rPr>
        <w:t xml:space="preserve"> (R1a, R6a, R7B, R8)</w:t>
      </w:r>
      <w:r w:rsidR="00B466F7">
        <w:rPr>
          <w:rFonts w:ascii="Times New Roman" w:eastAsia="Times New Roman" w:hAnsi="Times New Roman" w:cs="Times New Roman"/>
          <w:sz w:val="24"/>
          <w:szCs w:val="24"/>
        </w:rPr>
        <w:t xml:space="preserve"> through</w:t>
      </w:r>
      <w:r>
        <w:rPr>
          <w:rFonts w:ascii="Times New Roman" w:eastAsia="Times New Roman" w:hAnsi="Times New Roman" w:cs="Times New Roman"/>
          <w:sz w:val="24"/>
          <w:szCs w:val="24"/>
        </w:rPr>
        <w:t xml:space="preserve"> consolidated as opposed to fragmented suppl</w:t>
      </w:r>
      <w:r w:rsidR="002B3A14">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chains. Retailers typically had access to aggregated farm</w:t>
      </w:r>
      <w:r w:rsidR="00A72A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data via these processors, and they also accessed specific farm</w:t>
      </w:r>
      <w:r w:rsidR="002B3A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level </w:t>
      </w:r>
      <w:r w:rsidR="00A72AE1">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in cases where they have a dedicated supply</w:t>
      </w:r>
      <w:r w:rsidR="002B3A14">
        <w:rPr>
          <w:rFonts w:ascii="Times New Roman" w:eastAsia="Times New Roman" w:hAnsi="Times New Roman" w:cs="Times New Roman"/>
          <w:sz w:val="24"/>
          <w:szCs w:val="24"/>
        </w:rPr>
        <w:t>-</w:t>
      </w:r>
      <w:r>
        <w:rPr>
          <w:rFonts w:ascii="Times New Roman" w:eastAsia="Times New Roman" w:hAnsi="Times New Roman" w:cs="Times New Roman"/>
          <w:sz w:val="24"/>
          <w:szCs w:val="24"/>
        </w:rPr>
        <w:t>base (R1a, R2, R7AB, TA2, GD2b, AB1). As one retailer explains:</w:t>
      </w:r>
    </w:p>
    <w:p w14:paraId="56FD28EF" w14:textId="77777777" w:rsidR="00EE46F4" w:rsidRDefault="00EE46F4" w:rsidP="00EE46F4">
      <w:pPr>
        <w:spacing w:line="240" w:lineRule="auto"/>
        <w:ind w:left="567" w:right="521"/>
        <w:rPr>
          <w:rFonts w:ascii="Times New Roman" w:eastAsia="Times New Roman" w:hAnsi="Times New Roman" w:cs="Times New Roman"/>
          <w:sz w:val="24"/>
          <w:szCs w:val="24"/>
        </w:rPr>
      </w:pPr>
    </w:p>
    <w:p w14:paraId="49182D0B" w14:textId="5AEAFA6F" w:rsidR="00EE46F4" w:rsidRDefault="00EE46F4" w:rsidP="00EE46F4">
      <w:pPr>
        <w:spacing w:line="240" w:lineRule="auto"/>
        <w:ind w:left="567"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With poultry it’s very easy. We have three big suppliers [processors]. We know all of their supplying sites</w:t>
      </w:r>
      <w:r w:rsidR="009E6B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in some cases we know all of the individual farms we will take from.</w:t>
      </w:r>
      <w:r w:rsidR="009E6BD6">
        <w:rPr>
          <w:rFonts w:ascii="Times New Roman" w:eastAsia="Times New Roman" w:hAnsi="Times New Roman" w:cs="Times New Roman"/>
          <w:color w:val="000000"/>
          <w:sz w:val="24"/>
          <w:szCs w:val="24"/>
        </w:rPr>
        <w:t xml:space="preserve"> Y</w:t>
      </w:r>
      <w:r>
        <w:rPr>
          <w:rFonts w:ascii="Times New Roman" w:eastAsia="Times New Roman" w:hAnsi="Times New Roman" w:cs="Times New Roman"/>
          <w:color w:val="000000"/>
          <w:sz w:val="24"/>
          <w:szCs w:val="24"/>
        </w:rPr>
        <w:t>ou are much more able to have that transparency and where appropriate have a more direct influence. If it is more fragmented, it is more difficult … You have varying levels of traceability. But it would be our processors that hold all of the information back to the farm level. We’re buying from the processor” (R1a).</w:t>
      </w:r>
    </w:p>
    <w:p w14:paraId="3F84DF21" w14:textId="77777777" w:rsidR="00EE46F4" w:rsidRDefault="00EE46F4" w:rsidP="00EE46F4">
      <w:pPr>
        <w:spacing w:after="0" w:line="480" w:lineRule="auto"/>
        <w:rPr>
          <w:rFonts w:ascii="Times New Roman" w:eastAsia="Times New Roman" w:hAnsi="Times New Roman" w:cs="Times New Roman"/>
          <w:sz w:val="24"/>
          <w:szCs w:val="24"/>
        </w:rPr>
      </w:pPr>
    </w:p>
    <w:p w14:paraId="6770D08C" w14:textId="45280B92" w:rsidR="00EE46F4" w:rsidRDefault="00EE46F4" w:rsidP="00EE46F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FF0132">
        <w:rPr>
          <w:rFonts w:ascii="Times New Roman" w:eastAsia="Times New Roman" w:hAnsi="Times New Roman" w:cs="Times New Roman"/>
          <w:sz w:val="24"/>
          <w:szCs w:val="24"/>
        </w:rPr>
        <w:t xml:space="preserve">is retailer </w:t>
      </w:r>
      <w:r>
        <w:rPr>
          <w:rFonts w:ascii="Times New Roman" w:eastAsia="Times New Roman" w:hAnsi="Times New Roman" w:cs="Times New Roman"/>
          <w:sz w:val="24"/>
          <w:szCs w:val="24"/>
        </w:rPr>
        <w:t>describes heavy reliance on the suppliers/processors playing a coordinating role in supply</w:t>
      </w:r>
      <w:r w:rsidR="00FF5B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chain transparency and antibiotic</w:t>
      </w:r>
      <w:r w:rsidR="00FF5B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usage traceability and the difficulties faced with fragmented supply</w:t>
      </w:r>
      <w:r w:rsidR="002776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chains</w:t>
      </w:r>
      <w:r w:rsidR="00FF0132">
        <w:rPr>
          <w:rFonts w:ascii="Times New Roman" w:eastAsia="Times New Roman" w:hAnsi="Times New Roman" w:cs="Times New Roman"/>
          <w:sz w:val="24"/>
          <w:szCs w:val="24"/>
        </w:rPr>
        <w:t xml:space="preserve"> that, by contrast, are characterised by weaker linkages</w:t>
      </w:r>
      <w:r>
        <w:rPr>
          <w:rFonts w:ascii="Times New Roman" w:eastAsia="Times New Roman" w:hAnsi="Times New Roman" w:cs="Times New Roman"/>
          <w:sz w:val="24"/>
          <w:szCs w:val="24"/>
        </w:rPr>
        <w:t>.</w:t>
      </w:r>
      <w:r w:rsidR="00FF0132">
        <w:rPr>
          <w:rFonts w:ascii="Times New Roman" w:eastAsia="Times New Roman" w:hAnsi="Times New Roman" w:cs="Times New Roman"/>
          <w:sz w:val="24"/>
          <w:szCs w:val="24"/>
        </w:rPr>
        <w:t xml:space="preserve"> Nevertheless, research participants still acknowledged that since the O’Neill (2016) report, retailers have been increasingly influential in driving the pressure on reduction in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sidR="00FF0132">
        <w:rPr>
          <w:rFonts w:ascii="Times New Roman" w:eastAsia="Times New Roman" w:hAnsi="Times New Roman" w:cs="Times New Roman"/>
          <w:sz w:val="24"/>
          <w:szCs w:val="24"/>
        </w:rPr>
        <w:t xml:space="preserve"> up the supply</w:t>
      </w:r>
      <w:r w:rsidR="002776F9">
        <w:rPr>
          <w:rFonts w:ascii="Times New Roman" w:eastAsia="Times New Roman" w:hAnsi="Times New Roman" w:cs="Times New Roman"/>
          <w:sz w:val="24"/>
          <w:szCs w:val="24"/>
        </w:rPr>
        <w:t xml:space="preserve"> </w:t>
      </w:r>
      <w:r w:rsidR="00FF0132">
        <w:rPr>
          <w:rFonts w:ascii="Times New Roman" w:eastAsia="Times New Roman" w:hAnsi="Times New Roman" w:cs="Times New Roman"/>
          <w:sz w:val="24"/>
          <w:szCs w:val="24"/>
        </w:rPr>
        <w:t>chain (TA7, TA8, PouF6).</w:t>
      </w:r>
    </w:p>
    <w:p w14:paraId="6DFD89B6" w14:textId="77777777" w:rsidR="00EE46F4" w:rsidRDefault="00EE46F4" w:rsidP="00EE46F4">
      <w:pPr>
        <w:spacing w:after="0" w:line="480" w:lineRule="auto"/>
        <w:rPr>
          <w:rFonts w:ascii="Times New Roman" w:eastAsia="Times New Roman" w:hAnsi="Times New Roman" w:cs="Times New Roman"/>
          <w:sz w:val="24"/>
          <w:szCs w:val="24"/>
        </w:rPr>
      </w:pPr>
    </w:p>
    <w:p w14:paraId="55EC34CD" w14:textId="129F251B" w:rsidR="009F71E8" w:rsidRDefault="00D924F8" w:rsidP="00EE46F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Interviewees noted that the less</w:t>
      </w:r>
      <w:r w:rsidR="00A125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integrated pork sector, despite recently becoming more consolidated, has not been as advanced in terms of the corporate coordination of antibiotic</w:t>
      </w:r>
      <w:r w:rsidR="00A125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usage standards. </w:t>
      </w:r>
      <w:r w:rsidR="008A3156">
        <w:rPr>
          <w:rFonts w:ascii="Times New Roman" w:eastAsia="Times New Roman" w:hAnsi="Times New Roman" w:cs="Times New Roman"/>
          <w:sz w:val="24"/>
          <w:szCs w:val="24"/>
        </w:rPr>
        <w:t xml:space="preserve">There was a step-change in the pork sector’s capability in this area when in 2017 </w:t>
      </w:r>
      <w:r w:rsidR="00480DF2">
        <w:rPr>
          <w:rFonts w:ascii="Times New Roman" w:eastAsia="Times New Roman" w:hAnsi="Times New Roman" w:cs="Times New Roman"/>
          <w:sz w:val="24"/>
          <w:szCs w:val="24"/>
        </w:rPr>
        <w:t>it</w:t>
      </w:r>
      <w:r w:rsidR="008A3156">
        <w:rPr>
          <w:rFonts w:ascii="Times New Roman" w:eastAsia="Times New Roman" w:hAnsi="Times New Roman" w:cs="Times New Roman"/>
          <w:sz w:val="24"/>
          <w:szCs w:val="24"/>
        </w:rPr>
        <w:t xml:space="preserve"> moved to an electronic medicine book for pigs (eMB-Pigs), co-developed </w:t>
      </w:r>
      <w:r w:rsidR="00D8462E">
        <w:rPr>
          <w:rFonts w:ascii="Times New Roman" w:eastAsia="Times New Roman" w:hAnsi="Times New Roman" w:cs="Times New Roman"/>
          <w:sz w:val="24"/>
          <w:szCs w:val="24"/>
        </w:rPr>
        <w:t>by the</w:t>
      </w:r>
      <w:r w:rsidR="008A3156">
        <w:rPr>
          <w:rFonts w:ascii="Times New Roman" w:eastAsia="Times New Roman" w:hAnsi="Times New Roman" w:cs="Times New Roman"/>
          <w:sz w:val="24"/>
          <w:szCs w:val="24"/>
        </w:rPr>
        <w:t xml:space="preserve"> AHDB and the VMD, as opposed to commercial players. Farmers and the vets with whom they work input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sidR="008A3156">
        <w:rPr>
          <w:rFonts w:ascii="Times New Roman" w:eastAsia="Times New Roman" w:hAnsi="Times New Roman" w:cs="Times New Roman"/>
          <w:sz w:val="24"/>
          <w:szCs w:val="24"/>
        </w:rPr>
        <w:t xml:space="preserve"> data into the eMB-Pigs on a quarterly basis (for the poultry sector it is monthly, reflecting the shorter production cycle). The eMB-Pigs is therefore making progress in creating the aggregated data that go into the annual VARSS reports</w:t>
      </w:r>
      <w:r w:rsidR="00480DF2">
        <w:rPr>
          <w:rFonts w:ascii="Times New Roman" w:eastAsia="Times New Roman" w:hAnsi="Times New Roman" w:cs="Times New Roman"/>
          <w:sz w:val="24"/>
          <w:szCs w:val="24"/>
        </w:rPr>
        <w:t>, while c</w:t>
      </w:r>
      <w:r w:rsidR="00EE46F4">
        <w:rPr>
          <w:rFonts w:ascii="Times New Roman" w:eastAsia="Times New Roman" w:hAnsi="Times New Roman" w:cs="Times New Roman"/>
          <w:sz w:val="24"/>
          <w:szCs w:val="24"/>
        </w:rPr>
        <w:t xml:space="preserve">apacity to reduce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sidR="00EE46F4">
        <w:rPr>
          <w:rFonts w:ascii="Times New Roman" w:eastAsia="Times New Roman" w:hAnsi="Times New Roman" w:cs="Times New Roman"/>
          <w:sz w:val="24"/>
          <w:szCs w:val="24"/>
        </w:rPr>
        <w:t xml:space="preserve"> is linked to the specific needs for antibiotics per animal. For the pig sector, producing animals </w:t>
      </w:r>
      <w:r w:rsidR="00EE46F4">
        <w:rPr>
          <w:rFonts w:ascii="Times New Roman" w:eastAsia="Times New Roman" w:hAnsi="Times New Roman" w:cs="Times New Roman"/>
          <w:sz w:val="24"/>
          <w:szCs w:val="24"/>
        </w:rPr>
        <w:lastRenderedPageBreak/>
        <w:t>carry</w:t>
      </w:r>
      <w:r w:rsidR="00D8462E">
        <w:rPr>
          <w:rFonts w:ascii="Times New Roman" w:eastAsia="Times New Roman" w:hAnsi="Times New Roman" w:cs="Times New Roman"/>
          <w:sz w:val="24"/>
          <w:szCs w:val="24"/>
        </w:rPr>
        <w:t>ing</w:t>
      </w:r>
      <w:r w:rsidR="00EE46F4">
        <w:rPr>
          <w:rFonts w:ascii="Times New Roman" w:eastAsia="Times New Roman" w:hAnsi="Times New Roman" w:cs="Times New Roman"/>
          <w:sz w:val="24"/>
          <w:szCs w:val="24"/>
        </w:rPr>
        <w:t xml:space="preserve"> multiple endemic diseases, a higher mean use of antibiotics is expected in contrast to the poultry sector with greater integration and a lower mean use per animal. Thus, for the pig sector the specific target is to reduce the sector average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sidR="00EE46F4">
        <w:rPr>
          <w:rFonts w:ascii="Times New Roman" w:eastAsia="Times New Roman" w:hAnsi="Times New Roman" w:cs="Times New Roman"/>
          <w:sz w:val="24"/>
          <w:szCs w:val="24"/>
        </w:rPr>
        <w:t xml:space="preserve"> to 100mg/kg pcu (population correct unit) by the end of 2020; a reduction of greater than 60% since 2015. By 2018</w:t>
      </w:r>
      <w:r w:rsidR="00413D7D">
        <w:rPr>
          <w:rFonts w:ascii="Times New Roman" w:eastAsia="Times New Roman" w:hAnsi="Times New Roman" w:cs="Times New Roman"/>
          <w:sz w:val="24"/>
          <w:szCs w:val="24"/>
        </w:rPr>
        <w:t>,</w:t>
      </w:r>
      <w:r w:rsidR="00EE46F4">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use</w:t>
      </w:r>
      <w:r w:rsidR="00EE46F4">
        <w:rPr>
          <w:rFonts w:ascii="Times New Roman" w:eastAsia="Times New Roman" w:hAnsi="Times New Roman" w:cs="Times New Roman"/>
          <w:sz w:val="24"/>
          <w:szCs w:val="24"/>
        </w:rPr>
        <w:t xml:space="preserve"> had been reduced to a species average of 110mg/kg </w:t>
      </w:r>
      <w:r w:rsidR="0058094E">
        <w:rPr>
          <w:rFonts w:ascii="Times New Roman" w:eastAsia="Times New Roman" w:hAnsi="Times New Roman" w:cs="Times New Roman"/>
          <w:sz w:val="24"/>
          <w:szCs w:val="24"/>
        </w:rPr>
        <w:t xml:space="preserve">and remained at that level by 2019 (Veterinary Medicines Directorate, 2020: page 31), </w:t>
      </w:r>
      <w:r w:rsidR="00EE46F4">
        <w:rPr>
          <w:rFonts w:ascii="Times New Roman" w:eastAsia="Times New Roman" w:hAnsi="Times New Roman" w:cs="Times New Roman"/>
          <w:sz w:val="24"/>
          <w:szCs w:val="24"/>
        </w:rPr>
        <w:t>representing significant progress towards the RUMA target of sub</w:t>
      </w:r>
      <w:r w:rsidR="00413D7D">
        <w:rPr>
          <w:rFonts w:ascii="Times New Roman" w:eastAsia="Times New Roman" w:hAnsi="Times New Roman" w:cs="Times New Roman"/>
          <w:sz w:val="24"/>
          <w:szCs w:val="24"/>
        </w:rPr>
        <w:t>-</w:t>
      </w:r>
      <w:r w:rsidR="00EE46F4">
        <w:rPr>
          <w:rFonts w:ascii="Times New Roman" w:eastAsia="Times New Roman" w:hAnsi="Times New Roman" w:cs="Times New Roman"/>
          <w:sz w:val="24"/>
          <w:szCs w:val="24"/>
        </w:rPr>
        <w:t>100mg/kg in this sector by 2020.</w:t>
      </w:r>
    </w:p>
    <w:p w14:paraId="1988292C" w14:textId="77777777" w:rsidR="009F71E8" w:rsidRDefault="009F71E8" w:rsidP="00EE46F4">
      <w:pPr>
        <w:spacing w:line="480" w:lineRule="auto"/>
        <w:rPr>
          <w:rFonts w:ascii="Times New Roman" w:eastAsia="Times New Roman" w:hAnsi="Times New Roman" w:cs="Times New Roman"/>
          <w:sz w:val="24"/>
          <w:szCs w:val="24"/>
        </w:rPr>
      </w:pPr>
    </w:p>
    <w:p w14:paraId="3298F8D0" w14:textId="5831BE51" w:rsidR="00EE46F4" w:rsidRDefault="00EE46F4" w:rsidP="003B637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moves to reduce antibiotics </w:t>
      </w:r>
      <w:r w:rsidR="009F71E8">
        <w:rPr>
          <w:rFonts w:ascii="Times New Roman" w:eastAsia="Times New Roman" w:hAnsi="Times New Roman" w:cs="Times New Roman"/>
          <w:sz w:val="24"/>
          <w:szCs w:val="24"/>
        </w:rPr>
        <w:t xml:space="preserve">therefore </w:t>
      </w:r>
      <w:r>
        <w:rPr>
          <w:rFonts w:ascii="Times New Roman" w:eastAsia="Times New Roman" w:hAnsi="Times New Roman" w:cs="Times New Roman"/>
          <w:sz w:val="24"/>
          <w:szCs w:val="24"/>
        </w:rPr>
        <w:t>need to be sensitive to what is feasible given the production of the species involved</w:t>
      </w:r>
      <w:r w:rsidR="00B466F7">
        <w:rPr>
          <w:rFonts w:ascii="Times New Roman" w:eastAsia="Times New Roman" w:hAnsi="Times New Roman" w:cs="Times New Roman"/>
          <w:sz w:val="24"/>
          <w:szCs w:val="24"/>
        </w:rPr>
        <w:t xml:space="preserve">, illustrating how agency works through the materiality of farmed animals, as well as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D924F8">
        <w:rPr>
          <w:rFonts w:ascii="Times New Roman" w:eastAsia="Times New Roman" w:hAnsi="Times New Roman" w:cs="Times New Roman"/>
          <w:sz w:val="24"/>
          <w:szCs w:val="24"/>
        </w:rPr>
        <w:t xml:space="preserve"> </w:t>
      </w:r>
      <w:r w:rsidR="008A3156">
        <w:rPr>
          <w:rFonts w:ascii="Times New Roman" w:eastAsia="Times New Roman" w:hAnsi="Times New Roman" w:cs="Times New Roman"/>
          <w:sz w:val="24"/>
          <w:szCs w:val="24"/>
        </w:rPr>
        <w:t xml:space="preserve">structure and </w:t>
      </w:r>
      <w:r w:rsidR="00D924F8">
        <w:rPr>
          <w:rFonts w:ascii="Times New Roman" w:eastAsia="Times New Roman" w:hAnsi="Times New Roman" w:cs="Times New Roman"/>
          <w:sz w:val="24"/>
          <w:szCs w:val="24"/>
        </w:rPr>
        <w:t>organisation</w:t>
      </w:r>
      <w:r>
        <w:rPr>
          <w:rFonts w:ascii="Times New Roman" w:eastAsia="Times New Roman" w:hAnsi="Times New Roman" w:cs="Times New Roman"/>
          <w:sz w:val="24"/>
          <w:szCs w:val="24"/>
        </w:rPr>
        <w:t>.</w:t>
      </w:r>
      <w:r w:rsidR="008A3156">
        <w:rPr>
          <w:rFonts w:ascii="Times New Roman" w:eastAsia="Times New Roman" w:hAnsi="Times New Roman" w:cs="Times New Roman"/>
          <w:sz w:val="24"/>
          <w:szCs w:val="24"/>
        </w:rPr>
        <w:t xml:space="preserve"> This is also </w:t>
      </w:r>
      <w:r w:rsidR="009F71E8">
        <w:rPr>
          <w:rFonts w:ascii="Times New Roman" w:eastAsia="Times New Roman" w:hAnsi="Times New Roman" w:cs="Times New Roman"/>
          <w:sz w:val="24"/>
          <w:szCs w:val="24"/>
        </w:rPr>
        <w:t xml:space="preserve">the case in terms of managing the greater risk of livestock infection, morbidity, and mortality when antibiotics are withdrawn from use. Mitigation can involve: improved diagnostics (TA4); widespread vaccination (PouF2, PouF4, PouF5, P1ab); improvements in genetics (R2, R7, R8, C1, CO1) and in hygiene and biosecurity (PouF2, R7AB, TA6); and improved housing that can support the health of animals and so reduce the need for antibiotic intervention (R2, R3, R7AB, TA5, GD2b, PgF1, PgF7, P2, AB1, PgF1, PgF7). </w:t>
      </w:r>
      <w:r w:rsidR="009F71E8" w:rsidRPr="001F5D3F">
        <w:rPr>
          <w:rFonts w:ascii="Times New Roman" w:eastAsia="Times New Roman" w:hAnsi="Times New Roman" w:cs="Times New Roman"/>
          <w:color w:val="000000"/>
          <w:sz w:val="24"/>
          <w:szCs w:val="24"/>
        </w:rPr>
        <w:t xml:space="preserve">Retailers </w:t>
      </w:r>
      <w:r w:rsidR="00413D7D">
        <w:rPr>
          <w:rFonts w:ascii="Times New Roman" w:eastAsia="Times New Roman" w:hAnsi="Times New Roman" w:cs="Times New Roman"/>
          <w:color w:val="000000"/>
          <w:sz w:val="24"/>
          <w:szCs w:val="24"/>
        </w:rPr>
        <w:t>offering</w:t>
      </w:r>
      <w:r w:rsidR="009F71E8" w:rsidRPr="001F5D3F">
        <w:rPr>
          <w:rFonts w:ascii="Times New Roman" w:eastAsia="Times New Roman" w:hAnsi="Times New Roman" w:cs="Times New Roman"/>
          <w:color w:val="000000"/>
          <w:sz w:val="24"/>
          <w:szCs w:val="24"/>
        </w:rPr>
        <w:t xml:space="preserve"> direct, cost-of-production contracts</w:t>
      </w:r>
      <w:r w:rsidR="009F71E8" w:rsidRPr="001F5D3F">
        <w:rPr>
          <w:color w:val="000000"/>
          <w:sz w:val="24"/>
          <w:szCs w:val="24"/>
        </w:rPr>
        <w:t xml:space="preserve"> </w:t>
      </w:r>
      <w:r w:rsidR="009F71E8" w:rsidRPr="000A4B52">
        <w:rPr>
          <w:rFonts w:ascii="Times New Roman" w:eastAsia="Times New Roman" w:hAnsi="Times New Roman" w:cs="Times New Roman"/>
          <w:sz w:val="24"/>
          <w:szCs w:val="24"/>
        </w:rPr>
        <w:t xml:space="preserve">were praised by interviewees </w:t>
      </w:r>
      <w:r w:rsidR="00D725A3">
        <w:rPr>
          <w:rFonts w:ascii="Times New Roman" w:eastAsia="Times New Roman" w:hAnsi="Times New Roman" w:cs="Times New Roman"/>
          <w:sz w:val="24"/>
          <w:szCs w:val="24"/>
        </w:rPr>
        <w:t>for</w:t>
      </w:r>
      <w:r w:rsidR="009F71E8" w:rsidRPr="000A4B52">
        <w:rPr>
          <w:rFonts w:ascii="Times New Roman" w:eastAsia="Times New Roman" w:hAnsi="Times New Roman" w:cs="Times New Roman"/>
          <w:sz w:val="24"/>
          <w:szCs w:val="24"/>
        </w:rPr>
        <w:t xml:space="preserve"> </w:t>
      </w:r>
      <w:r w:rsidR="00D725A3">
        <w:rPr>
          <w:rFonts w:ascii="Times New Roman" w:eastAsia="Times New Roman" w:hAnsi="Times New Roman" w:cs="Times New Roman"/>
          <w:sz w:val="24"/>
          <w:szCs w:val="24"/>
        </w:rPr>
        <w:t xml:space="preserve">presenting </w:t>
      </w:r>
      <w:r w:rsidR="009F71E8" w:rsidRPr="000A4B52">
        <w:rPr>
          <w:rFonts w:ascii="Times New Roman" w:eastAsia="Times New Roman" w:hAnsi="Times New Roman" w:cs="Times New Roman"/>
          <w:sz w:val="24"/>
          <w:szCs w:val="24"/>
        </w:rPr>
        <w:t>a means to share the disease</w:t>
      </w:r>
      <w:r w:rsidR="009F71E8">
        <w:rPr>
          <w:rFonts w:ascii="Times New Roman" w:eastAsia="Times New Roman" w:hAnsi="Times New Roman" w:cs="Times New Roman"/>
          <w:sz w:val="24"/>
          <w:szCs w:val="24"/>
        </w:rPr>
        <w:t xml:space="preserve"> risk</w:t>
      </w:r>
      <w:r w:rsidR="00FF1A7F">
        <w:rPr>
          <w:rFonts w:ascii="Times New Roman" w:eastAsia="Times New Roman" w:hAnsi="Times New Roman" w:cs="Times New Roman"/>
          <w:sz w:val="24"/>
          <w:szCs w:val="24"/>
        </w:rPr>
        <w:t xml:space="preserve"> </w:t>
      </w:r>
      <w:r w:rsidR="009F71E8">
        <w:rPr>
          <w:rFonts w:ascii="Times New Roman" w:eastAsia="Times New Roman" w:hAnsi="Times New Roman" w:cs="Times New Roman"/>
          <w:sz w:val="24"/>
          <w:szCs w:val="24"/>
        </w:rPr>
        <w:t>(TA5, TA6</w:t>
      </w:r>
      <w:r w:rsidR="009F71E8" w:rsidRPr="00E50E70">
        <w:rPr>
          <w:rFonts w:ascii="Times New Roman" w:eastAsia="Times New Roman" w:hAnsi="Times New Roman" w:cs="Times New Roman"/>
          <w:sz w:val="24"/>
          <w:szCs w:val="24"/>
        </w:rPr>
        <w:t>).</w:t>
      </w:r>
      <w:r w:rsidR="009F71E8">
        <w:rPr>
          <w:rFonts w:ascii="Times New Roman" w:eastAsia="Times New Roman" w:hAnsi="Times New Roman" w:cs="Times New Roman"/>
          <w:sz w:val="24"/>
          <w:szCs w:val="24"/>
        </w:rPr>
        <w:t xml:space="preserve"> </w:t>
      </w:r>
      <w:r w:rsidR="00FF1A7F" w:rsidRPr="00FF1A7F">
        <w:rPr>
          <w:rFonts w:ascii="Times New Roman" w:eastAsia="Times New Roman" w:hAnsi="Times New Roman" w:cs="Times New Roman"/>
          <w:sz w:val="24"/>
          <w:szCs w:val="24"/>
        </w:rPr>
        <w:t xml:space="preserve">Cost-of-production contracts </w:t>
      </w:r>
      <w:r w:rsidR="00FF1A7F">
        <w:rPr>
          <w:rFonts w:ascii="Times New Roman" w:hAnsi="Times New Roman" w:cs="Times New Roman"/>
          <w:color w:val="000000"/>
          <w:sz w:val="24"/>
          <w:szCs w:val="24"/>
          <w:shd w:val="clear" w:color="auto" w:fill="FFFFFF"/>
        </w:rPr>
        <w:t>are</w:t>
      </w:r>
      <w:r w:rsidR="00FF1A7F" w:rsidRPr="003B6376">
        <w:rPr>
          <w:rFonts w:ascii="Times New Roman" w:hAnsi="Times New Roman" w:cs="Times New Roman"/>
          <w:color w:val="000000"/>
          <w:sz w:val="24"/>
          <w:szCs w:val="24"/>
          <w:shd w:val="clear" w:color="auto" w:fill="FFFFFF"/>
        </w:rPr>
        <w:t xml:space="preserve"> contract</w:t>
      </w:r>
      <w:r w:rsidR="00FF1A7F">
        <w:rPr>
          <w:rFonts w:ascii="Times New Roman" w:hAnsi="Times New Roman" w:cs="Times New Roman"/>
          <w:color w:val="000000"/>
          <w:sz w:val="24"/>
          <w:szCs w:val="24"/>
          <w:shd w:val="clear" w:color="auto" w:fill="FFFFFF"/>
        </w:rPr>
        <w:t>s</w:t>
      </w:r>
      <w:r w:rsidR="00FF1A7F" w:rsidRPr="003B6376">
        <w:rPr>
          <w:rFonts w:ascii="Times New Roman" w:hAnsi="Times New Roman" w:cs="Times New Roman"/>
          <w:color w:val="000000"/>
          <w:sz w:val="24"/>
          <w:szCs w:val="24"/>
          <w:shd w:val="clear" w:color="auto" w:fill="FFFFFF"/>
        </w:rPr>
        <w:t xml:space="preserve"> </w:t>
      </w:r>
      <w:r w:rsidR="00FF1A7F">
        <w:rPr>
          <w:rFonts w:ascii="Times New Roman" w:hAnsi="Times New Roman" w:cs="Times New Roman"/>
          <w:color w:val="000000"/>
          <w:sz w:val="24"/>
          <w:szCs w:val="24"/>
          <w:shd w:val="clear" w:color="auto" w:fill="FFFFFF"/>
        </w:rPr>
        <w:t>that are</w:t>
      </w:r>
      <w:r w:rsidR="00FF1A7F" w:rsidRPr="003B6376">
        <w:rPr>
          <w:rFonts w:ascii="Times New Roman" w:hAnsi="Times New Roman" w:cs="Times New Roman"/>
          <w:color w:val="000000"/>
          <w:sz w:val="24"/>
          <w:szCs w:val="24"/>
          <w:shd w:val="clear" w:color="auto" w:fill="FFFFFF"/>
        </w:rPr>
        <w:t xml:space="preserve"> not only direct between retailer and farmer</w:t>
      </w:r>
      <w:r w:rsidR="00FF1A7F">
        <w:rPr>
          <w:rFonts w:ascii="Times New Roman" w:hAnsi="Times New Roman" w:cs="Times New Roman"/>
          <w:color w:val="000000"/>
          <w:sz w:val="24"/>
          <w:szCs w:val="24"/>
          <w:shd w:val="clear" w:color="auto" w:fill="FFFFFF"/>
        </w:rPr>
        <w:t>,</w:t>
      </w:r>
      <w:r w:rsidR="00FF1A7F" w:rsidRPr="003B6376">
        <w:rPr>
          <w:rFonts w:ascii="Times New Roman" w:hAnsi="Times New Roman" w:cs="Times New Roman"/>
          <w:color w:val="000000"/>
          <w:sz w:val="24"/>
          <w:szCs w:val="24"/>
          <w:shd w:val="clear" w:color="auto" w:fill="FFFFFF"/>
        </w:rPr>
        <w:t xml:space="preserve"> but </w:t>
      </w:r>
      <w:r w:rsidR="00FF1A7F">
        <w:rPr>
          <w:rFonts w:ascii="Times New Roman" w:hAnsi="Times New Roman" w:cs="Times New Roman"/>
          <w:color w:val="000000"/>
          <w:sz w:val="24"/>
          <w:szCs w:val="24"/>
          <w:shd w:val="clear" w:color="auto" w:fill="FFFFFF"/>
        </w:rPr>
        <w:t>also</w:t>
      </w:r>
      <w:r w:rsidR="00171C21">
        <w:rPr>
          <w:rFonts w:ascii="Times New Roman" w:hAnsi="Times New Roman" w:cs="Times New Roman"/>
          <w:color w:val="000000"/>
          <w:sz w:val="24"/>
          <w:szCs w:val="24"/>
          <w:shd w:val="clear" w:color="auto" w:fill="FFFFFF"/>
        </w:rPr>
        <w:t xml:space="preserve"> in</w:t>
      </w:r>
      <w:r w:rsidR="00D725A3">
        <w:rPr>
          <w:rFonts w:ascii="Times New Roman" w:hAnsi="Times New Roman" w:cs="Times New Roman"/>
          <w:color w:val="000000"/>
          <w:sz w:val="24"/>
          <w:szCs w:val="24"/>
          <w:shd w:val="clear" w:color="auto" w:fill="FFFFFF"/>
        </w:rPr>
        <w:t>clude a</w:t>
      </w:r>
      <w:r w:rsidR="00FF1A7F">
        <w:rPr>
          <w:rFonts w:ascii="Times New Roman" w:hAnsi="Times New Roman" w:cs="Times New Roman"/>
          <w:color w:val="000000"/>
          <w:sz w:val="24"/>
          <w:szCs w:val="24"/>
          <w:shd w:val="clear" w:color="auto" w:fill="FFFFFF"/>
        </w:rPr>
        <w:t xml:space="preserve"> s</w:t>
      </w:r>
      <w:r w:rsidR="00D725A3">
        <w:rPr>
          <w:rFonts w:ascii="Times New Roman" w:hAnsi="Times New Roman" w:cs="Times New Roman"/>
          <w:color w:val="000000"/>
          <w:sz w:val="24"/>
          <w:szCs w:val="24"/>
          <w:shd w:val="clear" w:color="auto" w:fill="FFFFFF"/>
        </w:rPr>
        <w:t xml:space="preserve">et </w:t>
      </w:r>
      <w:r w:rsidR="00FF1A7F" w:rsidRPr="003B6376">
        <w:rPr>
          <w:rFonts w:ascii="Times New Roman" w:hAnsi="Times New Roman" w:cs="Times New Roman"/>
          <w:color w:val="000000"/>
          <w:sz w:val="24"/>
          <w:szCs w:val="24"/>
          <w:shd w:val="clear" w:color="auto" w:fill="FFFFFF"/>
        </w:rPr>
        <w:t xml:space="preserve">price for </w:t>
      </w:r>
      <w:r w:rsidR="00FF1A7F">
        <w:rPr>
          <w:rFonts w:ascii="Times New Roman" w:hAnsi="Times New Roman" w:cs="Times New Roman"/>
          <w:color w:val="000000"/>
          <w:sz w:val="24"/>
          <w:szCs w:val="24"/>
          <w:shd w:val="clear" w:color="auto" w:fill="FFFFFF"/>
        </w:rPr>
        <w:t xml:space="preserve">their duration. </w:t>
      </w:r>
      <w:r w:rsidR="00FF1A7F" w:rsidRPr="003B6376">
        <w:rPr>
          <w:rFonts w:ascii="Times New Roman" w:hAnsi="Times New Roman" w:cs="Times New Roman"/>
          <w:color w:val="000000"/>
          <w:sz w:val="24"/>
          <w:szCs w:val="24"/>
          <w:shd w:val="clear" w:color="auto" w:fill="FFFFFF"/>
        </w:rPr>
        <w:t>The</w:t>
      </w:r>
      <w:r w:rsidR="00171C21">
        <w:rPr>
          <w:rFonts w:ascii="Times New Roman" w:hAnsi="Times New Roman" w:cs="Times New Roman"/>
          <w:color w:val="000000"/>
          <w:sz w:val="24"/>
          <w:szCs w:val="24"/>
          <w:shd w:val="clear" w:color="auto" w:fill="FFFFFF"/>
        </w:rPr>
        <w:t>y</w:t>
      </w:r>
      <w:r w:rsidR="00FF1A7F" w:rsidRPr="003B6376">
        <w:rPr>
          <w:rFonts w:ascii="Times New Roman" w:hAnsi="Times New Roman" w:cs="Times New Roman"/>
          <w:color w:val="000000"/>
          <w:sz w:val="24"/>
          <w:szCs w:val="24"/>
          <w:shd w:val="clear" w:color="auto" w:fill="FFFFFF"/>
        </w:rPr>
        <w:t xml:space="preserve"> </w:t>
      </w:r>
      <w:r w:rsidR="00FF1A7F">
        <w:rPr>
          <w:rFonts w:ascii="Times New Roman" w:hAnsi="Times New Roman" w:cs="Times New Roman"/>
          <w:color w:val="000000"/>
          <w:sz w:val="24"/>
          <w:szCs w:val="24"/>
          <w:shd w:val="clear" w:color="auto" w:fill="FFFFFF"/>
        </w:rPr>
        <w:t xml:space="preserve">therefore </w:t>
      </w:r>
      <w:r w:rsidR="00FF1A7F" w:rsidRPr="003B6376">
        <w:rPr>
          <w:rFonts w:ascii="Times New Roman" w:hAnsi="Times New Roman" w:cs="Times New Roman"/>
          <w:color w:val="000000"/>
          <w:sz w:val="24"/>
          <w:szCs w:val="24"/>
          <w:shd w:val="clear" w:color="auto" w:fill="FFFFFF"/>
        </w:rPr>
        <w:t xml:space="preserve">guarantee an income </w:t>
      </w:r>
      <w:r w:rsidR="00FF1A7F">
        <w:rPr>
          <w:rFonts w:ascii="Times New Roman" w:hAnsi="Times New Roman" w:cs="Times New Roman"/>
          <w:color w:val="000000"/>
          <w:sz w:val="24"/>
          <w:szCs w:val="24"/>
          <w:shd w:val="clear" w:color="auto" w:fill="FFFFFF"/>
        </w:rPr>
        <w:t>for</w:t>
      </w:r>
      <w:r w:rsidR="00FF1A7F" w:rsidRPr="003B6376">
        <w:rPr>
          <w:rFonts w:ascii="Times New Roman" w:hAnsi="Times New Roman" w:cs="Times New Roman"/>
          <w:color w:val="000000"/>
          <w:sz w:val="24"/>
          <w:szCs w:val="24"/>
          <w:shd w:val="clear" w:color="auto" w:fill="FFFFFF"/>
        </w:rPr>
        <w:t xml:space="preserve"> the farmer</w:t>
      </w:r>
      <w:r w:rsidR="00FF1A7F">
        <w:rPr>
          <w:rFonts w:ascii="Times New Roman" w:hAnsi="Times New Roman" w:cs="Times New Roman"/>
          <w:color w:val="000000"/>
          <w:sz w:val="24"/>
          <w:szCs w:val="24"/>
          <w:shd w:val="clear" w:color="auto" w:fill="FFFFFF"/>
        </w:rPr>
        <w:t>, provid</w:t>
      </w:r>
      <w:r w:rsidR="00171C21">
        <w:rPr>
          <w:rFonts w:ascii="Times New Roman" w:hAnsi="Times New Roman" w:cs="Times New Roman"/>
          <w:color w:val="000000"/>
          <w:sz w:val="24"/>
          <w:szCs w:val="24"/>
          <w:shd w:val="clear" w:color="auto" w:fill="FFFFFF"/>
        </w:rPr>
        <w:t>ing</w:t>
      </w:r>
      <w:r w:rsidR="00FF1A7F">
        <w:rPr>
          <w:rFonts w:ascii="Times New Roman" w:hAnsi="Times New Roman" w:cs="Times New Roman"/>
          <w:color w:val="000000"/>
          <w:sz w:val="24"/>
          <w:szCs w:val="24"/>
          <w:shd w:val="clear" w:color="auto" w:fill="FFFFFF"/>
        </w:rPr>
        <w:t xml:space="preserve"> them with confidence to invest</w:t>
      </w:r>
      <w:r w:rsidR="00FF1A7F" w:rsidRPr="003B6376">
        <w:rPr>
          <w:rFonts w:ascii="Times New Roman" w:hAnsi="Times New Roman" w:cs="Times New Roman"/>
          <w:color w:val="000000"/>
          <w:sz w:val="24"/>
          <w:szCs w:val="24"/>
          <w:shd w:val="clear" w:color="auto" w:fill="FFFFFF"/>
        </w:rPr>
        <w:t xml:space="preserve"> in infrastructure.</w:t>
      </w:r>
      <w:r w:rsidR="00FF1A7F">
        <w:rPr>
          <w:rFonts w:ascii="Times New Roman" w:hAnsi="Times New Roman" w:cs="Times New Roman"/>
          <w:color w:val="000000"/>
          <w:sz w:val="24"/>
          <w:szCs w:val="24"/>
          <w:shd w:val="clear" w:color="auto" w:fill="FFFFFF"/>
        </w:rPr>
        <w:t xml:space="preserve"> </w:t>
      </w:r>
      <w:r w:rsidR="009F71E8">
        <w:rPr>
          <w:rFonts w:ascii="Times New Roman" w:eastAsia="Times New Roman" w:hAnsi="Times New Roman" w:cs="Times New Roman"/>
          <w:sz w:val="24"/>
          <w:szCs w:val="24"/>
        </w:rPr>
        <w:t xml:space="preserve">This </w:t>
      </w:r>
      <w:r w:rsidR="009F71E8" w:rsidRPr="00362407">
        <w:rPr>
          <w:rFonts w:ascii="Times New Roman" w:eastAsia="Times New Roman" w:hAnsi="Times New Roman" w:cs="Times New Roman"/>
          <w:sz w:val="24"/>
          <w:szCs w:val="24"/>
        </w:rPr>
        <w:t>illustrate</w:t>
      </w:r>
      <w:r w:rsidR="009F71E8">
        <w:rPr>
          <w:rFonts w:ascii="Times New Roman" w:eastAsia="Times New Roman" w:hAnsi="Times New Roman" w:cs="Times New Roman"/>
          <w:sz w:val="24"/>
          <w:szCs w:val="24"/>
        </w:rPr>
        <w:t>s</w:t>
      </w:r>
      <w:r w:rsidR="009F71E8" w:rsidRPr="00362407">
        <w:rPr>
          <w:rFonts w:ascii="Times New Roman" w:eastAsia="Times New Roman" w:hAnsi="Times New Roman" w:cs="Times New Roman"/>
          <w:sz w:val="24"/>
          <w:szCs w:val="24"/>
        </w:rPr>
        <w:t xml:space="preserve"> how meeting the targets has involved </w:t>
      </w:r>
      <w:r w:rsidR="009F71E8">
        <w:rPr>
          <w:rFonts w:ascii="Times New Roman" w:eastAsia="Times New Roman" w:hAnsi="Times New Roman" w:cs="Times New Roman"/>
          <w:sz w:val="24"/>
          <w:szCs w:val="24"/>
        </w:rPr>
        <w:t>not only</w:t>
      </w:r>
      <w:r w:rsidR="009F71E8" w:rsidRPr="00362407">
        <w:rPr>
          <w:rFonts w:ascii="Times New Roman" w:eastAsia="Times New Roman" w:hAnsi="Times New Roman" w:cs="Times New Roman"/>
          <w:sz w:val="24"/>
          <w:szCs w:val="24"/>
        </w:rPr>
        <w:t xml:space="preserve"> </w:t>
      </w:r>
      <w:r w:rsidR="00FE2615">
        <w:rPr>
          <w:rFonts w:ascii="Times New Roman" w:eastAsia="Times New Roman" w:hAnsi="Times New Roman" w:cs="Times New Roman"/>
          <w:sz w:val="24"/>
          <w:szCs w:val="24"/>
        </w:rPr>
        <w:t>reducing</w:t>
      </w:r>
      <w:r w:rsidR="009F71E8" w:rsidRPr="00362407">
        <w:rPr>
          <w:rFonts w:ascii="Times New Roman" w:eastAsia="Times New Roman" w:hAnsi="Times New Roman" w:cs="Times New Roman"/>
          <w:sz w:val="24"/>
          <w:szCs w:val="24"/>
        </w:rPr>
        <w:t xml:space="preserve"> </w:t>
      </w:r>
      <w:r w:rsidR="009E6BD6">
        <w:rPr>
          <w:rFonts w:ascii="Times New Roman" w:eastAsia="Times New Roman" w:hAnsi="Times New Roman" w:cs="Times New Roman"/>
          <w:sz w:val="24"/>
          <w:szCs w:val="24"/>
        </w:rPr>
        <w:t xml:space="preserve">antibiotic </w:t>
      </w:r>
      <w:r w:rsidR="00FE2615">
        <w:rPr>
          <w:rFonts w:ascii="Times New Roman" w:eastAsia="Times New Roman" w:hAnsi="Times New Roman" w:cs="Times New Roman"/>
          <w:sz w:val="24"/>
          <w:szCs w:val="24"/>
        </w:rPr>
        <w:t>us</w:t>
      </w:r>
      <w:r w:rsidR="009F71E8" w:rsidRPr="00362407">
        <w:rPr>
          <w:rFonts w:ascii="Times New Roman" w:eastAsia="Times New Roman" w:hAnsi="Times New Roman" w:cs="Times New Roman"/>
          <w:sz w:val="24"/>
          <w:szCs w:val="24"/>
        </w:rPr>
        <w:t>age, but</w:t>
      </w:r>
      <w:r w:rsidR="00963591">
        <w:rPr>
          <w:rFonts w:ascii="Times New Roman" w:eastAsia="Times New Roman" w:hAnsi="Times New Roman" w:cs="Times New Roman"/>
          <w:sz w:val="24"/>
          <w:szCs w:val="24"/>
        </w:rPr>
        <w:t xml:space="preserve"> also</w:t>
      </w:r>
      <w:r w:rsidR="009F71E8" w:rsidRPr="00362407">
        <w:rPr>
          <w:rFonts w:ascii="Times New Roman" w:eastAsia="Times New Roman" w:hAnsi="Times New Roman" w:cs="Times New Roman"/>
          <w:sz w:val="24"/>
          <w:szCs w:val="24"/>
        </w:rPr>
        <w:t xml:space="preserve"> a range of material achievements </w:t>
      </w:r>
      <w:r w:rsidR="00FF1A7F">
        <w:rPr>
          <w:rFonts w:ascii="Times New Roman" w:eastAsia="Times New Roman" w:hAnsi="Times New Roman" w:cs="Times New Roman"/>
          <w:sz w:val="24"/>
          <w:szCs w:val="24"/>
        </w:rPr>
        <w:t xml:space="preserve">addressing ecological challenges and </w:t>
      </w:r>
      <w:r w:rsidR="009E6BD6">
        <w:rPr>
          <w:rFonts w:ascii="Times New Roman" w:eastAsia="Times New Roman" w:hAnsi="Times New Roman" w:cs="Times New Roman"/>
          <w:sz w:val="24"/>
          <w:szCs w:val="24"/>
        </w:rPr>
        <w:t>enabling</w:t>
      </w:r>
      <w:r w:rsidR="009F71E8" w:rsidRPr="00362407">
        <w:rPr>
          <w:rFonts w:ascii="Times New Roman" w:eastAsia="Times New Roman" w:hAnsi="Times New Roman" w:cs="Times New Roman"/>
          <w:sz w:val="24"/>
          <w:szCs w:val="24"/>
        </w:rPr>
        <w:t xml:space="preserve"> commercially</w:t>
      </w:r>
      <w:r w:rsidR="00526071">
        <w:rPr>
          <w:rFonts w:ascii="Times New Roman" w:eastAsia="Times New Roman" w:hAnsi="Times New Roman" w:cs="Times New Roman"/>
          <w:sz w:val="24"/>
          <w:szCs w:val="24"/>
        </w:rPr>
        <w:t xml:space="preserve"> </w:t>
      </w:r>
      <w:r w:rsidR="009F71E8" w:rsidRPr="00362407">
        <w:rPr>
          <w:rFonts w:ascii="Times New Roman" w:eastAsia="Times New Roman" w:hAnsi="Times New Roman" w:cs="Times New Roman"/>
          <w:sz w:val="24"/>
          <w:szCs w:val="24"/>
        </w:rPr>
        <w:t>feasible</w:t>
      </w:r>
      <w:r w:rsidR="002B3A14">
        <w:rPr>
          <w:rFonts w:ascii="Times New Roman" w:eastAsia="Times New Roman" w:hAnsi="Times New Roman" w:cs="Times New Roman"/>
          <w:sz w:val="24"/>
          <w:szCs w:val="24"/>
        </w:rPr>
        <w:t>,</w:t>
      </w:r>
      <w:r w:rsidR="009F71E8" w:rsidRPr="00362407">
        <w:rPr>
          <w:rFonts w:ascii="Times New Roman" w:eastAsia="Times New Roman" w:hAnsi="Times New Roman" w:cs="Times New Roman"/>
          <w:sz w:val="24"/>
          <w:szCs w:val="24"/>
        </w:rPr>
        <w:t xml:space="preserve"> </w:t>
      </w:r>
      <w:r w:rsidR="00FE2615">
        <w:rPr>
          <w:rFonts w:ascii="Times New Roman" w:eastAsia="Times New Roman" w:hAnsi="Times New Roman" w:cs="Times New Roman"/>
          <w:sz w:val="24"/>
          <w:szCs w:val="24"/>
        </w:rPr>
        <w:t>prudent antibiotic usage</w:t>
      </w:r>
      <w:r w:rsidR="00DE2DD3">
        <w:rPr>
          <w:rFonts w:ascii="Times New Roman" w:eastAsia="Times New Roman" w:hAnsi="Times New Roman" w:cs="Times New Roman"/>
          <w:sz w:val="24"/>
          <w:szCs w:val="24"/>
        </w:rPr>
        <w:t xml:space="preserve"> through, for example, disease prevention and improved biosecurity</w:t>
      </w:r>
      <w:r w:rsidR="009F71E8">
        <w:rPr>
          <w:rFonts w:ascii="Times New Roman" w:eastAsia="Times New Roman" w:hAnsi="Times New Roman" w:cs="Times New Roman"/>
          <w:sz w:val="24"/>
          <w:szCs w:val="24"/>
        </w:rPr>
        <w:t>.</w:t>
      </w:r>
    </w:p>
    <w:p w14:paraId="55934ED8" w14:textId="77777777" w:rsidR="00EE46F4" w:rsidRDefault="00EE46F4" w:rsidP="00EE46F4">
      <w:pPr>
        <w:spacing w:after="0" w:line="480" w:lineRule="auto"/>
        <w:rPr>
          <w:rFonts w:ascii="Times New Roman" w:eastAsia="Times New Roman" w:hAnsi="Times New Roman" w:cs="Times New Roman"/>
          <w:sz w:val="24"/>
          <w:szCs w:val="24"/>
        </w:rPr>
      </w:pPr>
    </w:p>
    <w:p w14:paraId="0F44870B" w14:textId="6A318F38" w:rsidR="00EE46F4" w:rsidRDefault="009E6BD6" w:rsidP="00EE46F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EE46F4">
        <w:rPr>
          <w:rFonts w:ascii="Times New Roman" w:eastAsia="Times New Roman" w:hAnsi="Times New Roman" w:cs="Times New Roman"/>
          <w:sz w:val="24"/>
          <w:szCs w:val="24"/>
        </w:rPr>
        <w:t>he coordination of antibiotic</w:t>
      </w:r>
      <w:r w:rsidR="00197538">
        <w:rPr>
          <w:rFonts w:ascii="Times New Roman" w:eastAsia="Times New Roman" w:hAnsi="Times New Roman" w:cs="Times New Roman"/>
          <w:sz w:val="24"/>
          <w:szCs w:val="24"/>
        </w:rPr>
        <w:t xml:space="preserve"> </w:t>
      </w:r>
      <w:r w:rsidR="00EE46F4">
        <w:rPr>
          <w:rFonts w:ascii="Times New Roman" w:eastAsia="Times New Roman" w:hAnsi="Times New Roman" w:cs="Times New Roman"/>
          <w:sz w:val="24"/>
          <w:szCs w:val="24"/>
        </w:rPr>
        <w:t xml:space="preserve">usage data operates in contrasting ways in the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EE46F4">
        <w:rPr>
          <w:rFonts w:ascii="Times New Roman" w:eastAsia="Times New Roman" w:hAnsi="Times New Roman" w:cs="Times New Roman"/>
          <w:sz w:val="24"/>
          <w:szCs w:val="24"/>
        </w:rPr>
        <w:t>s for chicken and pork, reflecting differences in the corporate structures</w:t>
      </w:r>
      <w:r w:rsidR="00734F09">
        <w:rPr>
          <w:rFonts w:ascii="Times New Roman" w:eastAsia="Times New Roman" w:hAnsi="Times New Roman" w:cs="Times New Roman"/>
          <w:sz w:val="24"/>
          <w:szCs w:val="24"/>
        </w:rPr>
        <w:t xml:space="preserve">, </w:t>
      </w:r>
      <w:r w:rsidR="00EE46F4">
        <w:rPr>
          <w:rFonts w:ascii="Times New Roman" w:eastAsia="Times New Roman" w:hAnsi="Times New Roman" w:cs="Times New Roman"/>
          <w:sz w:val="24"/>
          <w:szCs w:val="24"/>
        </w:rPr>
        <w:t>antibiotic prescription patterns</w:t>
      </w:r>
      <w:r w:rsidR="00734F09">
        <w:rPr>
          <w:rFonts w:ascii="Times New Roman" w:eastAsia="Times New Roman" w:hAnsi="Times New Roman" w:cs="Times New Roman"/>
          <w:sz w:val="24"/>
          <w:szCs w:val="24"/>
        </w:rPr>
        <w:t>,</w:t>
      </w:r>
      <w:r w:rsidR="00EE46F4">
        <w:rPr>
          <w:rFonts w:ascii="Times New Roman" w:eastAsia="Times New Roman" w:hAnsi="Times New Roman" w:cs="Times New Roman"/>
          <w:sz w:val="24"/>
          <w:szCs w:val="24"/>
        </w:rPr>
        <w:t xml:space="preserve"> and recording across the two sectors. Given the lack of scientific attention initially as to what the species-specific targets should be, and the widespread belief that the average was set more to shift behaviours rather than the outcome of rigorous science</w:t>
      </w:r>
      <w:r w:rsidR="008A3156">
        <w:rPr>
          <w:rFonts w:ascii="Times New Roman" w:eastAsia="Times New Roman" w:hAnsi="Times New Roman" w:cs="Times New Roman"/>
          <w:sz w:val="24"/>
          <w:szCs w:val="24"/>
        </w:rPr>
        <w:t>,</w:t>
      </w:r>
      <w:r w:rsidR="00EE46F4">
        <w:rPr>
          <w:rFonts w:ascii="Times New Roman" w:eastAsia="Times New Roman" w:hAnsi="Times New Roman" w:cs="Times New Roman"/>
          <w:sz w:val="24"/>
          <w:szCs w:val="24"/>
        </w:rPr>
        <w:t xml:space="preserve"> there are questions </w:t>
      </w:r>
      <w:r w:rsidR="008A3156">
        <w:rPr>
          <w:rFonts w:ascii="Times New Roman" w:eastAsia="Times New Roman" w:hAnsi="Times New Roman" w:cs="Times New Roman"/>
          <w:sz w:val="24"/>
          <w:szCs w:val="24"/>
        </w:rPr>
        <w:t>regarding</w:t>
      </w:r>
      <w:r w:rsidR="00EE46F4">
        <w:rPr>
          <w:rFonts w:ascii="Times New Roman" w:eastAsia="Times New Roman" w:hAnsi="Times New Roman" w:cs="Times New Roman"/>
          <w:sz w:val="24"/>
          <w:szCs w:val="24"/>
        </w:rPr>
        <w:t xml:space="preserve"> whose interests are </w:t>
      </w:r>
      <w:r w:rsidR="008A3156">
        <w:rPr>
          <w:rFonts w:ascii="Times New Roman" w:eastAsia="Times New Roman" w:hAnsi="Times New Roman" w:cs="Times New Roman"/>
          <w:sz w:val="24"/>
          <w:szCs w:val="24"/>
        </w:rPr>
        <w:t xml:space="preserve">being served by the </w:t>
      </w:r>
      <w:r w:rsidR="00EE46F4">
        <w:rPr>
          <w:rFonts w:ascii="Times New Roman" w:eastAsia="Times New Roman" w:hAnsi="Times New Roman" w:cs="Times New Roman"/>
          <w:sz w:val="24"/>
          <w:szCs w:val="24"/>
        </w:rPr>
        <w:t xml:space="preserve">standards set. Perhaps a consequence of the uncertainty that surrounds the </w:t>
      </w:r>
      <w:r w:rsidR="00EE46F4" w:rsidRPr="00956A61">
        <w:rPr>
          <w:rFonts w:ascii="Times New Roman" w:eastAsia="Times New Roman" w:hAnsi="Times New Roman" w:cs="Times New Roman"/>
          <w:i/>
          <w:iCs/>
          <w:sz w:val="24"/>
          <w:szCs w:val="24"/>
        </w:rPr>
        <w:t>wheres</w:t>
      </w:r>
      <w:r w:rsidR="00EE46F4">
        <w:rPr>
          <w:rFonts w:ascii="Times New Roman" w:eastAsia="Times New Roman" w:hAnsi="Times New Roman" w:cs="Times New Roman"/>
          <w:sz w:val="24"/>
          <w:szCs w:val="24"/>
        </w:rPr>
        <w:t xml:space="preserve"> and the </w:t>
      </w:r>
      <w:r w:rsidR="00EE46F4" w:rsidRPr="00956A61">
        <w:rPr>
          <w:rFonts w:ascii="Times New Roman" w:eastAsia="Times New Roman" w:hAnsi="Times New Roman" w:cs="Times New Roman"/>
          <w:i/>
          <w:iCs/>
          <w:sz w:val="24"/>
          <w:szCs w:val="24"/>
        </w:rPr>
        <w:t>whens</w:t>
      </w:r>
      <w:r w:rsidR="00EE46F4">
        <w:rPr>
          <w:rFonts w:ascii="Times New Roman" w:eastAsia="Times New Roman" w:hAnsi="Times New Roman" w:cs="Times New Roman"/>
          <w:sz w:val="24"/>
          <w:szCs w:val="24"/>
        </w:rPr>
        <w:t xml:space="preserve"> of AMR is that making an achievable target has been a successful way to engage the </w:t>
      </w:r>
      <w:r>
        <w:rPr>
          <w:rFonts w:ascii="Times New Roman" w:eastAsia="Times New Roman" w:hAnsi="Times New Roman" w:cs="Times New Roman"/>
          <w:sz w:val="24"/>
          <w:szCs w:val="24"/>
        </w:rPr>
        <w:t>industry</w:t>
      </w:r>
      <w:r w:rsidR="00EE46F4">
        <w:rPr>
          <w:rFonts w:ascii="Times New Roman" w:eastAsia="Times New Roman" w:hAnsi="Times New Roman" w:cs="Times New Roman"/>
          <w:sz w:val="24"/>
          <w:szCs w:val="24"/>
        </w:rPr>
        <w:t xml:space="preserve">, and it is from that position </w:t>
      </w:r>
      <w:r w:rsidR="008A3156">
        <w:rPr>
          <w:rFonts w:ascii="Times New Roman" w:eastAsia="Times New Roman" w:hAnsi="Times New Roman" w:cs="Times New Roman"/>
          <w:sz w:val="24"/>
          <w:szCs w:val="24"/>
        </w:rPr>
        <w:t xml:space="preserve">that </w:t>
      </w:r>
      <w:r w:rsidR="00EE46F4">
        <w:rPr>
          <w:rFonts w:ascii="Times New Roman" w:eastAsia="Times New Roman" w:hAnsi="Times New Roman" w:cs="Times New Roman"/>
          <w:sz w:val="24"/>
          <w:szCs w:val="24"/>
        </w:rPr>
        <w:t>further progress can be made.</w:t>
      </w:r>
    </w:p>
    <w:p w14:paraId="284ADB62" w14:textId="77777777" w:rsidR="00847DC2" w:rsidRDefault="00847DC2" w:rsidP="00EE46F4">
      <w:pPr>
        <w:spacing w:line="480" w:lineRule="auto"/>
        <w:rPr>
          <w:rFonts w:ascii="Times New Roman" w:eastAsia="Times New Roman" w:hAnsi="Times New Roman" w:cs="Times New Roman"/>
          <w:sz w:val="24"/>
          <w:szCs w:val="24"/>
        </w:rPr>
      </w:pPr>
    </w:p>
    <w:p w14:paraId="3CE6A0B1" w14:textId="17506A5D" w:rsidR="00EE46F4" w:rsidRDefault="00EE46F4" w:rsidP="00EE46F4">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Limitations of the targets in tackling </w:t>
      </w:r>
      <w:r w:rsidR="006B5CAB">
        <w:rPr>
          <w:rFonts w:ascii="Times New Roman" w:hAnsi="Times New Roman" w:cs="Times New Roman"/>
          <w:b/>
          <w:bCs/>
          <w:sz w:val="24"/>
          <w:szCs w:val="24"/>
        </w:rPr>
        <w:t>wider AMR transmission pathways</w:t>
      </w:r>
    </w:p>
    <w:p w14:paraId="011E27EE" w14:textId="57F22738" w:rsidR="000D654E" w:rsidRDefault="00FA03E7" w:rsidP="008017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w:t>
      </w:r>
      <w:r w:rsidR="00E9011A">
        <w:rPr>
          <w:rFonts w:ascii="Times New Roman" w:eastAsia="Times New Roman" w:hAnsi="Times New Roman" w:cs="Times New Roman"/>
          <w:sz w:val="24"/>
          <w:szCs w:val="24"/>
        </w:rPr>
        <w:t>develop</w:t>
      </w:r>
      <w:r w:rsidR="00DB6E2B">
        <w:rPr>
          <w:rFonts w:ascii="Times New Roman" w:eastAsia="Times New Roman" w:hAnsi="Times New Roman" w:cs="Times New Roman"/>
          <w:sz w:val="24"/>
          <w:szCs w:val="24"/>
        </w:rPr>
        <w:t xml:space="preserve"> the paper’s contribution </w:t>
      </w:r>
      <w:r w:rsidR="00734F09">
        <w:rPr>
          <w:rFonts w:ascii="Times New Roman" w:eastAsia="Times New Roman" w:hAnsi="Times New Roman" w:cs="Times New Roman"/>
          <w:sz w:val="24"/>
          <w:szCs w:val="24"/>
        </w:rPr>
        <w:t xml:space="preserve">by </w:t>
      </w:r>
      <w:r w:rsidR="00DB6E2B">
        <w:rPr>
          <w:rFonts w:ascii="Times New Roman" w:eastAsia="Times New Roman" w:hAnsi="Times New Roman" w:cs="Times New Roman"/>
          <w:sz w:val="24"/>
          <w:szCs w:val="24"/>
        </w:rPr>
        <w:t>reflect</w:t>
      </w:r>
      <w:r w:rsidR="00734F0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00E9011A">
        <w:rPr>
          <w:rFonts w:ascii="Times New Roman" w:eastAsia="Times New Roman" w:hAnsi="Times New Roman" w:cs="Times New Roman"/>
          <w:sz w:val="24"/>
          <w:szCs w:val="24"/>
        </w:rPr>
        <w:t xml:space="preserve">on </w:t>
      </w:r>
      <w:r w:rsidR="002F09B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challenges in extending </w:t>
      </w:r>
      <w:r w:rsidR="00ED262A">
        <w:rPr>
          <w:rFonts w:ascii="Times New Roman" w:eastAsia="Times New Roman" w:hAnsi="Times New Roman" w:cs="Times New Roman"/>
          <w:sz w:val="24"/>
          <w:szCs w:val="24"/>
        </w:rPr>
        <w:t xml:space="preserve">corporate </w:t>
      </w:r>
      <w:r w:rsidR="0003063C">
        <w:rPr>
          <w:rFonts w:ascii="Times New Roman" w:eastAsia="Times New Roman" w:hAnsi="Times New Roman" w:cs="Times New Roman"/>
          <w:sz w:val="24"/>
          <w:szCs w:val="24"/>
        </w:rPr>
        <w:t xml:space="preserve">agri-food </w:t>
      </w:r>
      <w:r w:rsidR="00ED262A">
        <w:rPr>
          <w:rFonts w:ascii="Times New Roman" w:eastAsia="Times New Roman" w:hAnsi="Times New Roman" w:cs="Times New Roman"/>
          <w:sz w:val="24"/>
          <w:szCs w:val="24"/>
        </w:rPr>
        <w:t>responsibility</w:t>
      </w:r>
      <w:r>
        <w:rPr>
          <w:rFonts w:ascii="Times New Roman" w:eastAsia="Times New Roman" w:hAnsi="Times New Roman" w:cs="Times New Roman"/>
          <w:sz w:val="24"/>
          <w:szCs w:val="24"/>
        </w:rPr>
        <w:t xml:space="preserve"> beyond the sphere of domestic production</w:t>
      </w:r>
      <w:r w:rsidR="00E9011A">
        <w:rPr>
          <w:rFonts w:ascii="Times New Roman" w:eastAsia="Times New Roman" w:hAnsi="Times New Roman" w:cs="Times New Roman"/>
          <w:sz w:val="24"/>
          <w:szCs w:val="24"/>
        </w:rPr>
        <w:t xml:space="preserve"> and the narrow</w:t>
      </w:r>
      <w:r w:rsidR="00A86B35">
        <w:rPr>
          <w:rFonts w:ascii="Times New Roman" w:eastAsia="Times New Roman" w:hAnsi="Times New Roman" w:cs="Times New Roman"/>
          <w:sz w:val="24"/>
          <w:szCs w:val="24"/>
        </w:rPr>
        <w:t>, albeit successful,</w:t>
      </w:r>
      <w:r w:rsidR="00E9011A">
        <w:rPr>
          <w:rFonts w:ascii="Times New Roman" w:eastAsia="Times New Roman" w:hAnsi="Times New Roman" w:cs="Times New Roman"/>
          <w:sz w:val="24"/>
          <w:szCs w:val="24"/>
        </w:rPr>
        <w:t xml:space="preserve"> focus on reducing </w:t>
      </w:r>
      <w:r w:rsidR="00A86B35">
        <w:rPr>
          <w:rFonts w:ascii="Times New Roman" w:eastAsia="Times New Roman" w:hAnsi="Times New Roman" w:cs="Times New Roman"/>
          <w:sz w:val="24"/>
          <w:szCs w:val="24"/>
        </w:rPr>
        <w:t xml:space="preserve">UK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sidR="00E9011A">
        <w:rPr>
          <w:rFonts w:ascii="Times New Roman" w:eastAsia="Times New Roman" w:hAnsi="Times New Roman" w:cs="Times New Roman"/>
          <w:sz w:val="24"/>
          <w:szCs w:val="24"/>
        </w:rPr>
        <w:t>.</w:t>
      </w:r>
      <w:r w:rsidR="000D654E">
        <w:rPr>
          <w:rFonts w:ascii="Times New Roman" w:eastAsia="Times New Roman" w:hAnsi="Times New Roman" w:cs="Times New Roman"/>
          <w:sz w:val="24"/>
          <w:szCs w:val="24"/>
        </w:rPr>
        <w:t xml:space="preserve"> </w:t>
      </w:r>
      <w:r w:rsidR="00A86B35">
        <w:rPr>
          <w:rFonts w:ascii="Times New Roman" w:eastAsia="Times New Roman" w:hAnsi="Times New Roman" w:cs="Times New Roman"/>
          <w:sz w:val="24"/>
          <w:szCs w:val="24"/>
        </w:rPr>
        <w:t>Indeed,</w:t>
      </w:r>
      <w:r w:rsidR="00E9798E">
        <w:rPr>
          <w:rFonts w:ascii="Times New Roman" w:eastAsia="Times New Roman" w:hAnsi="Times New Roman" w:cs="Times New Roman"/>
          <w:sz w:val="24"/>
          <w:szCs w:val="24"/>
        </w:rPr>
        <w:t xml:space="preserve"> the </w:t>
      </w:r>
      <w:r w:rsidR="00E9798E" w:rsidRPr="00F740FA">
        <w:rPr>
          <w:rFonts w:ascii="Times New Roman" w:eastAsia="Times New Roman" w:hAnsi="Times New Roman" w:cs="Times New Roman"/>
          <w:sz w:val="24"/>
          <w:szCs w:val="24"/>
        </w:rPr>
        <w:t>livestock sector acknowledge</w:t>
      </w:r>
      <w:r w:rsidR="00E9798E">
        <w:rPr>
          <w:rFonts w:ascii="Times New Roman" w:eastAsia="Times New Roman" w:hAnsi="Times New Roman" w:cs="Times New Roman"/>
          <w:sz w:val="24"/>
          <w:szCs w:val="24"/>
        </w:rPr>
        <w:t>s</w:t>
      </w:r>
      <w:r w:rsidR="00E9798E" w:rsidRPr="00F740FA">
        <w:rPr>
          <w:rFonts w:ascii="Times New Roman" w:eastAsia="Times New Roman" w:hAnsi="Times New Roman" w:cs="Times New Roman"/>
          <w:sz w:val="24"/>
          <w:szCs w:val="24"/>
        </w:rPr>
        <w:t xml:space="preserve"> that a narrow focus on tackling AMR through </w:t>
      </w:r>
      <w:r w:rsidR="002B3A14">
        <w:rPr>
          <w:rFonts w:ascii="Times New Roman" w:eastAsia="Times New Roman" w:hAnsi="Times New Roman" w:cs="Times New Roman"/>
          <w:sz w:val="24"/>
          <w:szCs w:val="24"/>
        </w:rPr>
        <w:t>antibiotic</w:t>
      </w:r>
      <w:r w:rsidR="008F5417">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sidR="00E9798E" w:rsidRPr="00F740FA">
        <w:rPr>
          <w:rFonts w:ascii="Times New Roman" w:eastAsia="Times New Roman" w:hAnsi="Times New Roman" w:cs="Times New Roman"/>
          <w:sz w:val="24"/>
          <w:szCs w:val="24"/>
        </w:rPr>
        <w:t xml:space="preserve"> targets can be something of a tick-box exercise (TA4</w:t>
      </w:r>
      <w:r w:rsidR="00A86B35">
        <w:rPr>
          <w:rFonts w:ascii="Times New Roman" w:eastAsia="Times New Roman" w:hAnsi="Times New Roman" w:cs="Times New Roman"/>
          <w:sz w:val="24"/>
          <w:szCs w:val="24"/>
        </w:rPr>
        <w:t>)</w:t>
      </w:r>
      <w:r w:rsidR="0092792A">
        <w:rPr>
          <w:rFonts w:ascii="Times New Roman" w:eastAsia="Times New Roman" w:hAnsi="Times New Roman" w:cs="Times New Roman"/>
          <w:sz w:val="24"/>
          <w:szCs w:val="24"/>
        </w:rPr>
        <w:t>.</w:t>
      </w:r>
      <w:r w:rsidR="00E9798E">
        <w:rPr>
          <w:rFonts w:ascii="Times New Roman" w:eastAsia="Times New Roman" w:hAnsi="Times New Roman" w:cs="Times New Roman"/>
          <w:sz w:val="24"/>
          <w:szCs w:val="24"/>
        </w:rPr>
        <w:t xml:space="preserve"> Most of the farmers in our research were aware via their vets and the trade press of the deeper problem of AMR sitting behind the pressure to reduce their use of antibiotics, particularly CIAs (PouF1, PouF2, PouF3, PouF4, PouF5, PouF6, PgF1, PgF2, PgF3, PgF4, PgF5). With this level of awareness</w:t>
      </w:r>
      <w:r w:rsidR="0058779A">
        <w:rPr>
          <w:rFonts w:ascii="Times New Roman" w:eastAsia="Times New Roman" w:hAnsi="Times New Roman" w:cs="Times New Roman"/>
          <w:sz w:val="24"/>
          <w:szCs w:val="24"/>
        </w:rPr>
        <w:t>,</w:t>
      </w:r>
      <w:r w:rsidR="00E9798E">
        <w:rPr>
          <w:rFonts w:ascii="Times New Roman" w:eastAsia="Times New Roman" w:hAnsi="Times New Roman" w:cs="Times New Roman"/>
          <w:sz w:val="24"/>
          <w:szCs w:val="24"/>
        </w:rPr>
        <w:t xml:space="preserve"> what more could the agri-food sector be doing? </w:t>
      </w:r>
      <w:r w:rsidR="0058779A">
        <w:rPr>
          <w:rFonts w:ascii="Times New Roman" w:eastAsia="Times New Roman" w:hAnsi="Times New Roman" w:cs="Times New Roman"/>
          <w:sz w:val="24"/>
          <w:szCs w:val="24"/>
        </w:rPr>
        <w:t>A</w:t>
      </w:r>
      <w:r w:rsidR="00E9798E">
        <w:rPr>
          <w:rFonts w:ascii="Times New Roman" w:eastAsia="Times New Roman" w:hAnsi="Times New Roman" w:cs="Times New Roman"/>
          <w:sz w:val="24"/>
          <w:szCs w:val="24"/>
        </w:rPr>
        <w:t>t the start of the paper, the public health as well as food safety dimensions of AMR were acknowledged</w:t>
      </w:r>
      <w:r w:rsidR="00B10073">
        <w:rPr>
          <w:rFonts w:ascii="Times New Roman" w:eastAsia="Times New Roman" w:hAnsi="Times New Roman" w:cs="Times New Roman"/>
          <w:sz w:val="24"/>
          <w:szCs w:val="24"/>
        </w:rPr>
        <w:t>. W</w:t>
      </w:r>
      <w:r w:rsidR="00E9798E">
        <w:rPr>
          <w:rFonts w:ascii="Times New Roman" w:eastAsia="Times New Roman" w:hAnsi="Times New Roman" w:cs="Times New Roman"/>
          <w:sz w:val="24"/>
          <w:szCs w:val="24"/>
        </w:rPr>
        <w:t xml:space="preserve">e </w:t>
      </w:r>
      <w:r w:rsidR="00B10073">
        <w:rPr>
          <w:rFonts w:ascii="Times New Roman" w:eastAsia="Times New Roman" w:hAnsi="Times New Roman" w:cs="Times New Roman"/>
          <w:sz w:val="24"/>
          <w:szCs w:val="24"/>
        </w:rPr>
        <w:t xml:space="preserve">therefore </w:t>
      </w:r>
      <w:r w:rsidR="00E9798E">
        <w:rPr>
          <w:rFonts w:ascii="Times New Roman" w:eastAsia="Times New Roman" w:hAnsi="Times New Roman" w:cs="Times New Roman"/>
          <w:sz w:val="24"/>
          <w:szCs w:val="24"/>
        </w:rPr>
        <w:t xml:space="preserve">consider whether the current model of multipolar governance forged from food safety regimes has limitations in its applicability both </w:t>
      </w:r>
      <w:r w:rsidR="0092792A">
        <w:rPr>
          <w:rFonts w:ascii="Times New Roman" w:eastAsia="Times New Roman" w:hAnsi="Times New Roman" w:cs="Times New Roman"/>
          <w:sz w:val="24"/>
          <w:szCs w:val="24"/>
        </w:rPr>
        <w:t>to</w:t>
      </w:r>
      <w:r w:rsidR="00E9798E">
        <w:rPr>
          <w:rFonts w:ascii="Times New Roman" w:eastAsia="Times New Roman" w:hAnsi="Times New Roman" w:cs="Times New Roman"/>
          <w:sz w:val="24"/>
          <w:szCs w:val="24"/>
        </w:rPr>
        <w:t xml:space="preserve"> </w:t>
      </w:r>
      <w:r w:rsidR="002F09B4">
        <w:rPr>
          <w:rFonts w:ascii="Times New Roman" w:eastAsia="Times New Roman" w:hAnsi="Times New Roman" w:cs="Times New Roman"/>
          <w:sz w:val="24"/>
          <w:szCs w:val="24"/>
        </w:rPr>
        <w:t>international</w:t>
      </w:r>
      <w:r w:rsidR="00E9798E">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supply</w:t>
      </w:r>
      <w:r w:rsidR="008F5417">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00E9798E">
        <w:rPr>
          <w:rFonts w:ascii="Times New Roman" w:eastAsia="Times New Roman" w:hAnsi="Times New Roman" w:cs="Times New Roman"/>
          <w:sz w:val="24"/>
          <w:szCs w:val="24"/>
        </w:rPr>
        <w:t xml:space="preserve">s and </w:t>
      </w:r>
      <w:r w:rsidR="0092792A">
        <w:rPr>
          <w:rFonts w:ascii="Times New Roman" w:eastAsia="Times New Roman" w:hAnsi="Times New Roman" w:cs="Times New Roman"/>
          <w:sz w:val="24"/>
          <w:szCs w:val="24"/>
        </w:rPr>
        <w:t>to</w:t>
      </w:r>
      <w:r w:rsidR="00E9798E">
        <w:rPr>
          <w:rFonts w:ascii="Times New Roman" w:eastAsia="Times New Roman" w:hAnsi="Times New Roman" w:cs="Times New Roman"/>
          <w:sz w:val="24"/>
          <w:szCs w:val="24"/>
        </w:rPr>
        <w:t xml:space="preserve"> the </w:t>
      </w:r>
      <w:r w:rsidR="0058779A">
        <w:rPr>
          <w:rFonts w:ascii="Times New Roman" w:eastAsia="Times New Roman" w:hAnsi="Times New Roman" w:cs="Times New Roman"/>
          <w:sz w:val="24"/>
          <w:szCs w:val="24"/>
        </w:rPr>
        <w:t xml:space="preserve">domestic </w:t>
      </w:r>
      <w:r w:rsidR="00E9798E">
        <w:rPr>
          <w:rFonts w:ascii="Times New Roman" w:eastAsia="Times New Roman" w:hAnsi="Times New Roman" w:cs="Times New Roman"/>
          <w:sz w:val="24"/>
          <w:szCs w:val="24"/>
        </w:rPr>
        <w:t xml:space="preserve">dissemination and transmission of agri-food sourced AMR out </w:t>
      </w:r>
      <w:r w:rsidR="00A86B35">
        <w:rPr>
          <w:rFonts w:ascii="Times New Roman" w:eastAsia="Times New Roman" w:hAnsi="Times New Roman" w:cs="Times New Roman"/>
          <w:sz w:val="24"/>
          <w:szCs w:val="24"/>
        </w:rPr>
        <w:t>into</w:t>
      </w:r>
      <w:r w:rsidR="00E9798E">
        <w:rPr>
          <w:rFonts w:ascii="Times New Roman" w:eastAsia="Times New Roman" w:hAnsi="Times New Roman" w:cs="Times New Roman"/>
          <w:sz w:val="24"/>
          <w:szCs w:val="24"/>
        </w:rPr>
        <w:t xml:space="preserve"> the environment (see Singer</w:t>
      </w:r>
      <w:r w:rsidR="00B10073">
        <w:rPr>
          <w:rFonts w:ascii="Times New Roman" w:eastAsia="Times New Roman" w:hAnsi="Times New Roman" w:cs="Times New Roman"/>
          <w:sz w:val="24"/>
          <w:szCs w:val="24"/>
        </w:rPr>
        <w:t xml:space="preserve"> et al.,</w:t>
      </w:r>
      <w:r w:rsidR="00E9798E">
        <w:rPr>
          <w:rFonts w:ascii="Times New Roman" w:eastAsia="Times New Roman" w:hAnsi="Times New Roman" w:cs="Times New Roman"/>
          <w:sz w:val="24"/>
          <w:szCs w:val="24"/>
        </w:rPr>
        <w:t xml:space="preserve"> 2020)</w:t>
      </w:r>
      <w:r w:rsidR="0058779A">
        <w:rPr>
          <w:rFonts w:ascii="Times New Roman" w:eastAsia="Times New Roman" w:hAnsi="Times New Roman" w:cs="Times New Roman"/>
          <w:sz w:val="24"/>
          <w:szCs w:val="24"/>
        </w:rPr>
        <w:t>.</w:t>
      </w:r>
    </w:p>
    <w:p w14:paraId="2490B51D" w14:textId="77777777" w:rsidR="001A278D" w:rsidRDefault="001A278D" w:rsidP="008017B0">
      <w:pPr>
        <w:spacing w:line="480" w:lineRule="auto"/>
        <w:rPr>
          <w:rFonts w:ascii="Times New Roman" w:eastAsia="Times New Roman" w:hAnsi="Times New Roman" w:cs="Times New Roman"/>
          <w:sz w:val="24"/>
          <w:szCs w:val="24"/>
        </w:rPr>
      </w:pPr>
    </w:p>
    <w:p w14:paraId="374EA723" w14:textId="47F7F003" w:rsidR="000D654E" w:rsidRPr="00BC11CD" w:rsidRDefault="000D654E" w:rsidP="000D654E">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The challenges of addressing AMR and </w:t>
      </w:r>
      <w:r w:rsidR="002B3A14">
        <w:rPr>
          <w:rFonts w:ascii="Times New Roman" w:eastAsia="Times New Roman" w:hAnsi="Times New Roman" w:cs="Times New Roman"/>
          <w:i/>
          <w:iCs/>
          <w:sz w:val="24"/>
          <w:szCs w:val="24"/>
        </w:rPr>
        <w:t>antibiotic</w:t>
      </w:r>
      <w:r w:rsidR="008F5417">
        <w:rPr>
          <w:rFonts w:ascii="Times New Roman" w:eastAsia="Times New Roman" w:hAnsi="Times New Roman" w:cs="Times New Roman"/>
          <w:i/>
          <w:iCs/>
          <w:sz w:val="24"/>
          <w:szCs w:val="24"/>
        </w:rPr>
        <w:t xml:space="preserve"> </w:t>
      </w:r>
      <w:r w:rsidR="002B3A14">
        <w:rPr>
          <w:rFonts w:ascii="Times New Roman" w:eastAsia="Times New Roman" w:hAnsi="Times New Roman" w:cs="Times New Roman"/>
          <w:i/>
          <w:iCs/>
          <w:sz w:val="24"/>
          <w:szCs w:val="24"/>
        </w:rPr>
        <w:t>usage</w:t>
      </w:r>
      <w:r>
        <w:rPr>
          <w:rFonts w:ascii="Times New Roman" w:eastAsia="Times New Roman" w:hAnsi="Times New Roman" w:cs="Times New Roman"/>
          <w:i/>
          <w:iCs/>
          <w:sz w:val="24"/>
          <w:szCs w:val="24"/>
        </w:rPr>
        <w:t xml:space="preserve"> in international </w:t>
      </w:r>
      <w:r w:rsidR="002B3A14">
        <w:rPr>
          <w:rFonts w:ascii="Times New Roman" w:eastAsia="Times New Roman" w:hAnsi="Times New Roman" w:cs="Times New Roman"/>
          <w:i/>
          <w:iCs/>
          <w:sz w:val="24"/>
          <w:szCs w:val="24"/>
        </w:rPr>
        <w:t>supply</w:t>
      </w:r>
      <w:r w:rsidR="00B11ED4">
        <w:rPr>
          <w:rFonts w:ascii="Times New Roman" w:eastAsia="Times New Roman" w:hAnsi="Times New Roman" w:cs="Times New Roman"/>
          <w:i/>
          <w:iCs/>
          <w:sz w:val="24"/>
          <w:szCs w:val="24"/>
        </w:rPr>
        <w:t xml:space="preserve"> </w:t>
      </w:r>
      <w:r w:rsidR="002B3A14">
        <w:rPr>
          <w:rFonts w:ascii="Times New Roman" w:eastAsia="Times New Roman" w:hAnsi="Times New Roman" w:cs="Times New Roman"/>
          <w:i/>
          <w:iCs/>
          <w:sz w:val="24"/>
          <w:szCs w:val="24"/>
        </w:rPr>
        <w:t>chain</w:t>
      </w:r>
      <w:r>
        <w:rPr>
          <w:rFonts w:ascii="Times New Roman" w:eastAsia="Times New Roman" w:hAnsi="Times New Roman" w:cs="Times New Roman"/>
          <w:i/>
          <w:iCs/>
          <w:sz w:val="24"/>
          <w:szCs w:val="24"/>
        </w:rPr>
        <w:t>s</w:t>
      </w:r>
    </w:p>
    <w:p w14:paraId="35D29AD6" w14:textId="6AF4ED58" w:rsidR="000D654E" w:rsidRPr="005E72ED" w:rsidRDefault="000D654E" w:rsidP="0052607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Retailers’ international </w:t>
      </w:r>
      <w:r w:rsidR="002B3A14">
        <w:rPr>
          <w:rFonts w:ascii="Times New Roman" w:eastAsia="Times New Roman" w:hAnsi="Times New Roman" w:cs="Times New Roman"/>
          <w:sz w:val="24"/>
          <w:szCs w:val="24"/>
        </w:rPr>
        <w:t>supply</w:t>
      </w:r>
      <w:r w:rsidR="008F5417">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s for fresh and processed meats are largely untouched by current AMR-related strategy (R6a, R7A, R7B, R9a, C1) with the sole focus being on domestic farms. Interviewees explicitly recognised and attributed this international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 conundrum both to AMR complexity and </w:t>
      </w:r>
      <w:r w:rsidR="004C5BC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the lack of traceability in terms of imported product, especially processed meats (R1b, R2, R4bc, R6a, R7b, TA4, TA7, GD1B, GD2a, P2, AB1, CO1). One retailer also remarked that</w:t>
      </w:r>
      <w:r w:rsidR="00526071">
        <w:rPr>
          <w:rFonts w:ascii="Times New Roman" w:eastAsia="Times New Roman" w:hAnsi="Times New Roman" w:cs="Times New Roman"/>
          <w:sz w:val="24"/>
          <w:szCs w:val="24"/>
        </w:rPr>
        <w:t xml:space="preserve">, </w:t>
      </w:r>
      <w:r w:rsidRPr="005E72ED">
        <w:rPr>
          <w:rFonts w:ascii="Times New Roman" w:eastAsia="Times New Roman" w:hAnsi="Times New Roman" w:cs="Times New Roman"/>
          <w:sz w:val="24"/>
          <w:szCs w:val="24"/>
        </w:rPr>
        <w:t>“</w:t>
      </w:r>
      <w:r>
        <w:rPr>
          <w:rFonts w:ascii="Times New Roman" w:hAnsi="Times New Roman" w:cs="Times New Roman"/>
          <w:sz w:val="24"/>
          <w:szCs w:val="24"/>
        </w:rPr>
        <w:t>N</w:t>
      </w:r>
      <w:r w:rsidRPr="005E72ED">
        <w:rPr>
          <w:rFonts w:ascii="Times New Roman" w:hAnsi="Times New Roman" w:cs="Times New Roman"/>
          <w:sz w:val="24"/>
          <w:szCs w:val="24"/>
        </w:rPr>
        <w:t>o one has emailed me or contacted me to say</w:t>
      </w:r>
      <w:r>
        <w:rPr>
          <w:rFonts w:ascii="Times New Roman" w:hAnsi="Times New Roman" w:cs="Times New Roman"/>
          <w:sz w:val="24"/>
          <w:szCs w:val="24"/>
        </w:rPr>
        <w:t xml:space="preserve"> ‘where is your imported [</w:t>
      </w:r>
      <w:r w:rsidR="002B3A14">
        <w:rPr>
          <w:rFonts w:ascii="Times New Roman" w:hAnsi="Times New Roman" w:cs="Times New Roman"/>
          <w:sz w:val="24"/>
          <w:szCs w:val="24"/>
        </w:rPr>
        <w:t>antibiotic</w:t>
      </w:r>
      <w:r w:rsidR="00B11ED4">
        <w:rPr>
          <w:rFonts w:ascii="Times New Roman" w:hAnsi="Times New Roman" w:cs="Times New Roman"/>
          <w:sz w:val="24"/>
          <w:szCs w:val="24"/>
        </w:rPr>
        <w:t xml:space="preserve"> </w:t>
      </w:r>
      <w:r w:rsidR="002B3A14">
        <w:rPr>
          <w:rFonts w:ascii="Times New Roman" w:hAnsi="Times New Roman" w:cs="Times New Roman"/>
          <w:sz w:val="24"/>
          <w:szCs w:val="24"/>
        </w:rPr>
        <w:t>usage</w:t>
      </w:r>
      <w:r>
        <w:rPr>
          <w:rFonts w:ascii="Times New Roman" w:hAnsi="Times New Roman" w:cs="Times New Roman"/>
          <w:sz w:val="24"/>
          <w:szCs w:val="24"/>
        </w:rPr>
        <w:t>] data?’…” (R7b)</w:t>
      </w:r>
      <w:r w:rsidR="009E6BD6">
        <w:rPr>
          <w:rFonts w:ascii="Times New Roman" w:hAnsi="Times New Roman" w:cs="Times New Roman"/>
          <w:sz w:val="24"/>
          <w:szCs w:val="24"/>
        </w:rPr>
        <w:t>.</w:t>
      </w:r>
    </w:p>
    <w:p w14:paraId="6B8AE42C" w14:textId="77777777" w:rsidR="000D654E" w:rsidRPr="005E72ED" w:rsidRDefault="000D654E" w:rsidP="000D654E">
      <w:pPr>
        <w:spacing w:line="240" w:lineRule="auto"/>
        <w:rPr>
          <w:rFonts w:ascii="Times New Roman" w:eastAsia="Times New Roman" w:hAnsi="Times New Roman" w:cs="Times New Roman"/>
          <w:sz w:val="24"/>
          <w:szCs w:val="24"/>
        </w:rPr>
      </w:pPr>
    </w:p>
    <w:p w14:paraId="4A60636B" w14:textId="5B0BDF45" w:rsidR="000D654E" w:rsidRDefault="000D654E" w:rsidP="000D65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 imported from within the E</w:t>
      </w:r>
      <w:r w:rsidR="004C5BCE">
        <w:rPr>
          <w:rFonts w:ascii="Times New Roman" w:eastAsia="Times New Roman" w:hAnsi="Times New Roman" w:cs="Times New Roman"/>
          <w:sz w:val="24"/>
          <w:szCs w:val="24"/>
        </w:rPr>
        <w:t>uropean Union (EU)</w:t>
      </w:r>
      <w:r>
        <w:rPr>
          <w:rFonts w:ascii="Times New Roman" w:eastAsia="Times New Roman" w:hAnsi="Times New Roman" w:cs="Times New Roman"/>
          <w:sz w:val="24"/>
          <w:szCs w:val="24"/>
        </w:rPr>
        <w:t xml:space="preserve">, particularly from parts of Northern Europe, is likely to be covered by similar standards for prudent </w:t>
      </w:r>
      <w:r w:rsidR="004F098D">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4F098D">
        <w:rPr>
          <w:rFonts w:ascii="Times New Roman" w:eastAsia="Times New Roman" w:hAnsi="Times New Roman" w:cs="Times New Roman"/>
          <w:sz w:val="24"/>
          <w:szCs w:val="24"/>
        </w:rPr>
        <w:t>use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However, “Brexit-related changes in the relative amounts of foods imported from non-EU countries are likely to change the qualitative and quantitative antimicrobial and AMR</w:t>
      </w:r>
      <w:r w:rsidR="002F09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related challenges” (Advisory Committee on the Microbiological Safety of Food 2018: pages 12-13). In recognition of the international challenges of AMR evolving within these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s, a minority of retailers revealed that they have looked at more sophisticated surveillance systems to monitor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Pr>
          <w:rFonts w:ascii="Times New Roman" w:eastAsia="Times New Roman" w:hAnsi="Times New Roman" w:cs="Times New Roman"/>
          <w:sz w:val="24"/>
          <w:szCs w:val="24"/>
        </w:rPr>
        <w:t xml:space="preserve"> and AMR in their international food supply (R1a), but HM Government (2019</w:t>
      </w:r>
      <w:r w:rsidR="008C0157">
        <w:rPr>
          <w:rFonts w:ascii="Times New Roman" w:eastAsia="Times New Roman" w:hAnsi="Times New Roman" w:cs="Times New Roman"/>
          <w:sz w:val="24"/>
          <w:szCs w:val="24"/>
        </w:rPr>
        <w:t>a</w:t>
      </w:r>
      <w:r>
        <w:rPr>
          <w:rFonts w:ascii="Times New Roman" w:eastAsia="Times New Roman" w:hAnsi="Times New Roman" w:cs="Times New Roman"/>
          <w:sz w:val="24"/>
          <w:szCs w:val="24"/>
        </w:rPr>
        <w:t>) recognises the expense of operationalising such systems.</w:t>
      </w:r>
    </w:p>
    <w:p w14:paraId="2C09679A" w14:textId="77777777" w:rsidR="0005726C" w:rsidRDefault="0005726C" w:rsidP="000D654E">
      <w:pPr>
        <w:spacing w:line="480" w:lineRule="auto"/>
        <w:rPr>
          <w:rFonts w:ascii="Times New Roman" w:eastAsia="Times New Roman" w:hAnsi="Times New Roman" w:cs="Times New Roman"/>
          <w:sz w:val="24"/>
          <w:szCs w:val="24"/>
        </w:rPr>
      </w:pPr>
    </w:p>
    <w:p w14:paraId="2D104919" w14:textId="0A93D851" w:rsidR="000D654E" w:rsidRDefault="000D654E" w:rsidP="000D65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picture of how monitoring of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Pr>
          <w:rFonts w:ascii="Times New Roman" w:eastAsia="Times New Roman" w:hAnsi="Times New Roman" w:cs="Times New Roman"/>
          <w:sz w:val="24"/>
          <w:szCs w:val="24"/>
        </w:rPr>
        <w:t xml:space="preserve"> and traceability are achieved in UK meat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s, as outlined in the section above, goes some way to explaining the challenges for monitoring and reporting reduction in </w:t>
      </w:r>
      <w:r w:rsidR="002B3A14">
        <w:rPr>
          <w:rFonts w:ascii="Times New Roman" w:eastAsia="Times New Roman" w:hAnsi="Times New Roman" w:cs="Times New Roman"/>
          <w:sz w:val="24"/>
          <w:szCs w:val="24"/>
        </w:rPr>
        <w:t>antibiotic</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Pr>
          <w:rFonts w:ascii="Times New Roman" w:eastAsia="Times New Roman" w:hAnsi="Times New Roman" w:cs="Times New Roman"/>
          <w:sz w:val="24"/>
          <w:szCs w:val="24"/>
        </w:rPr>
        <w:t xml:space="preserve"> through international </w:t>
      </w:r>
      <w:r w:rsidR="002B3A14">
        <w:rPr>
          <w:rFonts w:ascii="Times New Roman" w:eastAsia="Times New Roman" w:hAnsi="Times New Roman" w:cs="Times New Roman"/>
          <w:sz w:val="24"/>
          <w:szCs w:val="24"/>
        </w:rPr>
        <w:t>supply</w:t>
      </w:r>
      <w:r w:rsidR="00B11ED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s. Coordination and traceability of </w:t>
      </w:r>
      <w:r w:rsidR="002B3A14">
        <w:rPr>
          <w:rFonts w:ascii="Times New Roman" w:eastAsia="Times New Roman" w:hAnsi="Times New Roman" w:cs="Times New Roman"/>
          <w:sz w:val="24"/>
          <w:szCs w:val="24"/>
        </w:rPr>
        <w:t>antibiotic</w:t>
      </w:r>
      <w:r w:rsidR="0012782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Pr>
          <w:rFonts w:ascii="Times New Roman" w:eastAsia="Times New Roman" w:hAnsi="Times New Roman" w:cs="Times New Roman"/>
          <w:sz w:val="24"/>
          <w:szCs w:val="24"/>
        </w:rPr>
        <w:t xml:space="preserve"> data through inter-firm linkages is more difficult to replicate through international sourcing networks. There is also no impetus as yet for retailers to report on antibiotic </w:t>
      </w:r>
      <w:r>
        <w:rPr>
          <w:rFonts w:ascii="Times New Roman" w:eastAsia="Times New Roman" w:hAnsi="Times New Roman" w:cs="Times New Roman"/>
          <w:sz w:val="24"/>
          <w:szCs w:val="24"/>
        </w:rPr>
        <w:lastRenderedPageBreak/>
        <w:t xml:space="preserve">reduction achieved by overseas suppliers, as the retailer quoted above explained. The model of multipolar governance characterising achievements in the reduction of </w:t>
      </w:r>
      <w:r w:rsidR="002B3A14">
        <w:rPr>
          <w:rFonts w:ascii="Times New Roman" w:eastAsia="Times New Roman" w:hAnsi="Times New Roman" w:cs="Times New Roman"/>
          <w:sz w:val="24"/>
          <w:szCs w:val="24"/>
        </w:rPr>
        <w:t>antibiotic</w:t>
      </w:r>
      <w:r w:rsidR="0012782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Pr>
          <w:rFonts w:ascii="Times New Roman" w:eastAsia="Times New Roman" w:hAnsi="Times New Roman" w:cs="Times New Roman"/>
          <w:sz w:val="24"/>
          <w:szCs w:val="24"/>
        </w:rPr>
        <w:t xml:space="preserve"> is </w:t>
      </w:r>
      <w:r w:rsidR="00567458">
        <w:rPr>
          <w:rFonts w:ascii="Times New Roman" w:eastAsia="Times New Roman" w:hAnsi="Times New Roman" w:cs="Times New Roman"/>
          <w:sz w:val="24"/>
          <w:szCs w:val="24"/>
        </w:rPr>
        <w:t>not evident</w:t>
      </w:r>
      <w:r>
        <w:rPr>
          <w:rFonts w:ascii="Times New Roman" w:eastAsia="Times New Roman" w:hAnsi="Times New Roman" w:cs="Times New Roman"/>
          <w:sz w:val="24"/>
          <w:szCs w:val="24"/>
        </w:rPr>
        <w:t xml:space="preserve"> beyond the</w:t>
      </w:r>
      <w:r w:rsidR="00567458">
        <w:rPr>
          <w:rFonts w:ascii="Times New Roman" w:eastAsia="Times New Roman" w:hAnsi="Times New Roman" w:cs="Times New Roman"/>
          <w:sz w:val="24"/>
          <w:szCs w:val="24"/>
        </w:rPr>
        <w:t xml:space="preserve"> national</w:t>
      </w:r>
      <w:r>
        <w:rPr>
          <w:rFonts w:ascii="Times New Roman" w:eastAsia="Times New Roman" w:hAnsi="Times New Roman" w:cs="Times New Roman"/>
          <w:sz w:val="24"/>
          <w:szCs w:val="24"/>
        </w:rPr>
        <w:t xml:space="preserve"> context, despite the influence of WHO and regional EU initiatives and guidelines. For an international supply</w:t>
      </w:r>
      <w:r w:rsidR="00567458">
        <w:rPr>
          <w:rFonts w:ascii="Times New Roman" w:eastAsia="Times New Roman" w:hAnsi="Times New Roman" w:cs="Times New Roman"/>
          <w:sz w:val="24"/>
          <w:szCs w:val="24"/>
        </w:rPr>
        <w:t xml:space="preserve"> base</w:t>
      </w:r>
      <w:r>
        <w:rPr>
          <w:rFonts w:ascii="Times New Roman" w:eastAsia="Times New Roman" w:hAnsi="Times New Roman" w:cs="Times New Roman"/>
          <w:sz w:val="24"/>
          <w:szCs w:val="24"/>
        </w:rPr>
        <w:t xml:space="preserve"> to </w:t>
      </w:r>
      <w:r w:rsidR="0039395A">
        <w:rPr>
          <w:rFonts w:ascii="Times New Roman" w:eastAsia="Times New Roman" w:hAnsi="Times New Roman" w:cs="Times New Roman"/>
          <w:sz w:val="24"/>
          <w:szCs w:val="24"/>
        </w:rPr>
        <w:t xml:space="preserve">imitate </w:t>
      </w:r>
      <w:r>
        <w:rPr>
          <w:rFonts w:ascii="Times New Roman" w:eastAsia="Times New Roman" w:hAnsi="Times New Roman" w:cs="Times New Roman"/>
          <w:sz w:val="24"/>
          <w:szCs w:val="24"/>
        </w:rPr>
        <w:t>effective antibiotic reduction on a comparable</w:t>
      </w:r>
      <w:r w:rsidR="0039395A">
        <w:rPr>
          <w:rFonts w:ascii="Times New Roman" w:eastAsia="Times New Roman" w:hAnsi="Times New Roman" w:cs="Times New Roman"/>
          <w:sz w:val="24"/>
          <w:szCs w:val="24"/>
        </w:rPr>
        <w:t xml:space="preserve"> systematic</w:t>
      </w:r>
      <w:r>
        <w:rPr>
          <w:rFonts w:ascii="Times New Roman" w:eastAsia="Times New Roman" w:hAnsi="Times New Roman" w:cs="Times New Roman"/>
          <w:sz w:val="24"/>
          <w:szCs w:val="24"/>
        </w:rPr>
        <w:t xml:space="preserve"> level, there would need to be tighter coordination between government departments, multi-stakeholder targets taskforces, and traceability managed by the public and/or private sector at scale and across national borders. These challenges will play out over the coming years in the UK as the implications of Brexit unfold and with increasing volumes of meat likely to be sourced from outside of the EU.</w:t>
      </w:r>
    </w:p>
    <w:p w14:paraId="64D104BE" w14:textId="77777777" w:rsidR="000D654E" w:rsidRDefault="000D654E" w:rsidP="000D654E">
      <w:pPr>
        <w:spacing w:line="480" w:lineRule="auto"/>
        <w:rPr>
          <w:rFonts w:ascii="Times New Roman" w:eastAsia="Times New Roman" w:hAnsi="Times New Roman" w:cs="Times New Roman"/>
          <w:sz w:val="24"/>
          <w:szCs w:val="24"/>
        </w:rPr>
      </w:pPr>
    </w:p>
    <w:p w14:paraId="2BBE9884" w14:textId="71813DF1" w:rsidR="00BE3D6C" w:rsidRDefault="000D654E" w:rsidP="008017B0">
      <w:pPr>
        <w:spacing w:line="480" w:lineRule="auto"/>
        <w:rPr>
          <w:rFonts w:ascii="Times New Roman" w:eastAsia="Times New Roman" w:hAnsi="Times New Roman" w:cs="Times New Roman"/>
          <w:sz w:val="24"/>
          <w:szCs w:val="24"/>
        </w:rPr>
      </w:pPr>
      <w:r w:rsidRPr="00F740FA">
        <w:rPr>
          <w:rFonts w:ascii="Times New Roman" w:eastAsia="Times New Roman" w:hAnsi="Times New Roman" w:cs="Times New Roman"/>
          <w:sz w:val="24"/>
          <w:szCs w:val="24"/>
        </w:rPr>
        <w:t xml:space="preserve">The reluctance to address non-domestic usage of antibiotics speaks to </w:t>
      </w:r>
      <w:r w:rsidR="002F09B4">
        <w:rPr>
          <w:rFonts w:ascii="Times New Roman" w:eastAsia="Times New Roman" w:hAnsi="Times New Roman" w:cs="Times New Roman"/>
          <w:sz w:val="24"/>
          <w:szCs w:val="24"/>
        </w:rPr>
        <w:t>the UK framing of AMR</w:t>
      </w:r>
      <w:r w:rsidRPr="00F740FA">
        <w:rPr>
          <w:rFonts w:ascii="Times New Roman" w:eastAsia="Times New Roman" w:hAnsi="Times New Roman" w:cs="Times New Roman"/>
          <w:sz w:val="24"/>
          <w:szCs w:val="24"/>
        </w:rPr>
        <w:t xml:space="preserve"> as a UK food safety challenge on UK soil that matters to UK public heal</w:t>
      </w:r>
      <w:r>
        <w:rPr>
          <w:rFonts w:ascii="Times New Roman" w:eastAsia="Times New Roman" w:hAnsi="Times New Roman" w:cs="Times New Roman"/>
          <w:sz w:val="24"/>
          <w:szCs w:val="24"/>
        </w:rPr>
        <w:t>th</w:t>
      </w:r>
      <w:r w:rsidR="00390A6E">
        <w:rPr>
          <w:rFonts w:ascii="Times New Roman" w:eastAsia="Times New Roman" w:hAnsi="Times New Roman" w:cs="Times New Roman"/>
          <w:sz w:val="24"/>
          <w:szCs w:val="24"/>
        </w:rPr>
        <w:t>, though the government’s 20-year vision mentions the importance global partnership at a strategic level (HM Government, 2019</w:t>
      </w:r>
      <w:r w:rsidR="008C0157">
        <w:rPr>
          <w:rFonts w:ascii="Times New Roman" w:eastAsia="Times New Roman" w:hAnsi="Times New Roman" w:cs="Times New Roman"/>
          <w:sz w:val="24"/>
          <w:szCs w:val="24"/>
        </w:rPr>
        <w:t>b</w:t>
      </w:r>
      <w:r w:rsidR="00390A6E">
        <w:rPr>
          <w:rFonts w:ascii="Times New Roman" w:eastAsia="Times New Roman" w:hAnsi="Times New Roman" w:cs="Times New Roman"/>
          <w:sz w:val="24"/>
          <w:szCs w:val="24"/>
        </w:rPr>
        <w:t>)</w:t>
      </w:r>
      <w:r>
        <w:rPr>
          <w:rFonts w:ascii="Times New Roman" w:eastAsia="Times New Roman" w:hAnsi="Times New Roman" w:cs="Times New Roman"/>
          <w:sz w:val="24"/>
          <w:szCs w:val="24"/>
        </w:rPr>
        <w:t>. Major uncertainties remain regarding</w:t>
      </w:r>
      <w:r w:rsidRPr="00F740FA">
        <w:rPr>
          <w:rFonts w:ascii="Times New Roman" w:eastAsia="Times New Roman" w:hAnsi="Times New Roman" w:cs="Times New Roman"/>
          <w:sz w:val="24"/>
          <w:szCs w:val="24"/>
        </w:rPr>
        <w:t xml:space="preserve"> AMR-related production, processing</w:t>
      </w:r>
      <w:r>
        <w:rPr>
          <w:rFonts w:ascii="Times New Roman" w:eastAsia="Times New Roman" w:hAnsi="Times New Roman" w:cs="Times New Roman"/>
          <w:sz w:val="24"/>
          <w:szCs w:val="24"/>
        </w:rPr>
        <w:t>,</w:t>
      </w:r>
      <w:r w:rsidRPr="00F740FA">
        <w:rPr>
          <w:rFonts w:ascii="Times New Roman" w:eastAsia="Times New Roman" w:hAnsi="Times New Roman" w:cs="Times New Roman"/>
          <w:sz w:val="24"/>
          <w:szCs w:val="24"/>
        </w:rPr>
        <w:t xml:space="preserve"> and retailing transmission routes for foods sourced outside the UK and whether it is relevant to UK public </w:t>
      </w:r>
      <w:r>
        <w:rPr>
          <w:rFonts w:ascii="Times New Roman" w:eastAsia="Times New Roman" w:hAnsi="Times New Roman" w:cs="Times New Roman"/>
          <w:sz w:val="24"/>
          <w:szCs w:val="24"/>
        </w:rPr>
        <w:t>health. In the era of COVID-19,</w:t>
      </w:r>
      <w:r w:rsidRPr="00F740FA">
        <w:rPr>
          <w:rFonts w:ascii="Times New Roman" w:eastAsia="Times New Roman" w:hAnsi="Times New Roman" w:cs="Times New Roman"/>
          <w:sz w:val="24"/>
          <w:szCs w:val="24"/>
        </w:rPr>
        <w:t xml:space="preserve"> the international zoonotic disease risk, of which AMR is a slower evolving threat</w:t>
      </w:r>
      <w:r>
        <w:rPr>
          <w:rFonts w:ascii="Times New Roman" w:eastAsia="Times New Roman" w:hAnsi="Times New Roman" w:cs="Times New Roman"/>
          <w:sz w:val="24"/>
          <w:szCs w:val="24"/>
        </w:rPr>
        <w:t>,</w:t>
      </w:r>
      <w:r w:rsidRPr="00F740FA">
        <w:rPr>
          <w:rFonts w:ascii="Times New Roman" w:eastAsia="Times New Roman" w:hAnsi="Times New Roman" w:cs="Times New Roman"/>
          <w:sz w:val="24"/>
          <w:szCs w:val="24"/>
        </w:rPr>
        <w:t xml:space="preserve"> may start to be taken more seriously.</w:t>
      </w:r>
    </w:p>
    <w:p w14:paraId="461E2151" w14:textId="77777777" w:rsidR="00526071" w:rsidRDefault="00526071" w:rsidP="008017B0">
      <w:pPr>
        <w:spacing w:line="480" w:lineRule="auto"/>
        <w:rPr>
          <w:rFonts w:ascii="Times New Roman" w:eastAsia="Times New Roman" w:hAnsi="Times New Roman" w:cs="Times New Roman"/>
          <w:sz w:val="24"/>
          <w:szCs w:val="24"/>
        </w:rPr>
      </w:pPr>
    </w:p>
    <w:p w14:paraId="53EAB0CA" w14:textId="396CD489" w:rsidR="00E9798E" w:rsidRPr="00127824" w:rsidRDefault="00BE3D6C" w:rsidP="00127824">
      <w:pPr>
        <w:spacing w:after="0" w:line="48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The marginalisation of wider AMR transmission pathways</w:t>
      </w:r>
    </w:p>
    <w:p w14:paraId="65194A0C" w14:textId="2EB103F9" w:rsidR="001A278D" w:rsidRDefault="001A2B43" w:rsidP="00EE46F4">
      <w:pPr>
        <w:spacing w:line="48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As Singer et al </w:t>
      </w:r>
      <w:r w:rsidR="00B10073">
        <w:rPr>
          <w:rFonts w:ascii="Times New Roman" w:eastAsia="Times New Roman" w:hAnsi="Times New Roman" w:cs="Times New Roman"/>
          <w:sz w:val="24"/>
          <w:szCs w:val="24"/>
        </w:rPr>
        <w:t>(</w:t>
      </w:r>
      <w:r>
        <w:rPr>
          <w:rFonts w:ascii="Times New Roman" w:eastAsia="Times New Roman" w:hAnsi="Times New Roman" w:cs="Times New Roman"/>
          <w:sz w:val="24"/>
          <w:szCs w:val="24"/>
        </w:rPr>
        <w:t>2020</w:t>
      </w:r>
      <w:r w:rsidR="00B100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outline</w:t>
      </w:r>
      <w:r w:rsidR="00E033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80214">
        <w:rPr>
          <w:rFonts w:ascii="Times New Roman" w:eastAsia="Times New Roman" w:hAnsi="Times New Roman" w:cs="Times New Roman"/>
          <w:sz w:val="24"/>
          <w:szCs w:val="24"/>
        </w:rPr>
        <w:t>understanding and addressing</w:t>
      </w:r>
      <w:r>
        <w:rPr>
          <w:rFonts w:ascii="Times New Roman" w:eastAsia="Times New Roman" w:hAnsi="Times New Roman" w:cs="Times New Roman"/>
          <w:sz w:val="24"/>
          <w:szCs w:val="24"/>
        </w:rPr>
        <w:t xml:space="preserve"> </w:t>
      </w:r>
      <w:r w:rsidR="00080214">
        <w:rPr>
          <w:rFonts w:ascii="Times New Roman" w:eastAsia="Times New Roman" w:hAnsi="Times New Roman" w:cs="Times New Roman"/>
          <w:sz w:val="24"/>
          <w:szCs w:val="24"/>
        </w:rPr>
        <w:t xml:space="preserve">AMR in the environment is vital to </w:t>
      </w:r>
      <w:r w:rsidR="00E0333A">
        <w:rPr>
          <w:rFonts w:ascii="Times New Roman" w:eastAsia="Times New Roman" w:hAnsi="Times New Roman" w:cs="Times New Roman"/>
          <w:sz w:val="24"/>
          <w:szCs w:val="24"/>
        </w:rPr>
        <w:t>tackling</w:t>
      </w:r>
      <w:r w:rsidR="00080214">
        <w:rPr>
          <w:rFonts w:ascii="Times New Roman" w:eastAsia="Times New Roman" w:hAnsi="Times New Roman" w:cs="Times New Roman"/>
          <w:sz w:val="24"/>
          <w:szCs w:val="24"/>
        </w:rPr>
        <w:t xml:space="preserve"> it</w:t>
      </w:r>
      <w:r w:rsidR="00567458">
        <w:rPr>
          <w:rFonts w:ascii="Times New Roman" w:eastAsia="Times New Roman" w:hAnsi="Times New Roman" w:cs="Times New Roman"/>
          <w:sz w:val="24"/>
          <w:szCs w:val="24"/>
        </w:rPr>
        <w:t>. T</w:t>
      </w:r>
      <w:r w:rsidR="00CB4FA0">
        <w:rPr>
          <w:rFonts w:ascii="Times New Roman" w:eastAsia="Times New Roman" w:hAnsi="Times New Roman" w:cs="Times New Roman"/>
          <w:sz w:val="24"/>
          <w:szCs w:val="24"/>
        </w:rPr>
        <w:t>his</w:t>
      </w:r>
      <w:r w:rsidR="00080214">
        <w:rPr>
          <w:rFonts w:ascii="Times New Roman" w:eastAsia="Times New Roman" w:hAnsi="Times New Roman" w:cs="Times New Roman"/>
          <w:sz w:val="24"/>
          <w:szCs w:val="24"/>
        </w:rPr>
        <w:t xml:space="preserve"> </w:t>
      </w:r>
      <w:r w:rsidR="00CB4FA0">
        <w:rPr>
          <w:rFonts w:ascii="Times New Roman" w:eastAsia="Times New Roman" w:hAnsi="Times New Roman" w:cs="Times New Roman"/>
          <w:sz w:val="24"/>
          <w:szCs w:val="24"/>
        </w:rPr>
        <w:t>requires</w:t>
      </w:r>
      <w:r w:rsidR="00E0333A">
        <w:rPr>
          <w:rFonts w:ascii="Times New Roman" w:eastAsia="Times New Roman" w:hAnsi="Times New Roman" w:cs="Times New Roman"/>
          <w:sz w:val="24"/>
          <w:szCs w:val="24"/>
        </w:rPr>
        <w:t xml:space="preserve"> </w:t>
      </w:r>
      <w:r w:rsidR="0039395A">
        <w:rPr>
          <w:rFonts w:ascii="Times New Roman" w:eastAsia="Times New Roman" w:hAnsi="Times New Roman" w:cs="Times New Roman"/>
          <w:sz w:val="24"/>
          <w:szCs w:val="24"/>
        </w:rPr>
        <w:t>a shift in business culture</w:t>
      </w:r>
      <w:r w:rsidR="006C067B">
        <w:rPr>
          <w:rFonts w:ascii="Times New Roman" w:eastAsia="Times New Roman" w:hAnsi="Times New Roman" w:cs="Times New Roman"/>
          <w:sz w:val="24"/>
          <w:szCs w:val="24"/>
        </w:rPr>
        <w:t>, the identification of new actors/nodes</w:t>
      </w:r>
      <w:r w:rsidR="00567458">
        <w:rPr>
          <w:rFonts w:ascii="Times New Roman" w:eastAsia="Times New Roman" w:hAnsi="Times New Roman" w:cs="Times New Roman"/>
          <w:sz w:val="24"/>
          <w:szCs w:val="24"/>
        </w:rPr>
        <w:t>,</w:t>
      </w:r>
      <w:r w:rsidR="006C067B">
        <w:rPr>
          <w:rFonts w:ascii="Times New Roman" w:eastAsia="Times New Roman" w:hAnsi="Times New Roman" w:cs="Times New Roman"/>
          <w:sz w:val="24"/>
          <w:szCs w:val="24"/>
        </w:rPr>
        <w:t xml:space="preserve"> and materially-</w:t>
      </w:r>
      <w:r w:rsidR="002F09B4">
        <w:rPr>
          <w:rFonts w:ascii="Times New Roman" w:eastAsia="Times New Roman" w:hAnsi="Times New Roman" w:cs="Times New Roman"/>
          <w:sz w:val="24"/>
          <w:szCs w:val="24"/>
        </w:rPr>
        <w:t>responsive</w:t>
      </w:r>
      <w:r w:rsidR="006C067B">
        <w:rPr>
          <w:rFonts w:ascii="Times New Roman" w:eastAsia="Times New Roman" w:hAnsi="Times New Roman" w:cs="Times New Roman"/>
          <w:sz w:val="24"/>
          <w:szCs w:val="24"/>
        </w:rPr>
        <w:t xml:space="preserve"> driving mechanisms</w:t>
      </w:r>
      <w:r w:rsidR="00080214">
        <w:rPr>
          <w:rFonts w:ascii="Times New Roman" w:eastAsia="Times New Roman" w:hAnsi="Times New Roman" w:cs="Times New Roman"/>
          <w:sz w:val="24"/>
          <w:szCs w:val="24"/>
        </w:rPr>
        <w:t xml:space="preserve"> </w:t>
      </w:r>
      <w:r w:rsidR="00E0333A">
        <w:rPr>
          <w:rFonts w:ascii="Times New Roman" w:eastAsia="Times New Roman" w:hAnsi="Times New Roman" w:cs="Times New Roman"/>
          <w:sz w:val="24"/>
          <w:szCs w:val="24"/>
        </w:rPr>
        <w:t xml:space="preserve">to </w:t>
      </w:r>
      <w:r w:rsidR="006C067B">
        <w:rPr>
          <w:rFonts w:ascii="Times New Roman" w:eastAsia="Times New Roman" w:hAnsi="Times New Roman" w:cs="Times New Roman"/>
          <w:sz w:val="24"/>
          <w:szCs w:val="24"/>
        </w:rPr>
        <w:t xml:space="preserve">support </w:t>
      </w:r>
      <w:r w:rsidR="00E0333A">
        <w:rPr>
          <w:rFonts w:ascii="Times New Roman" w:eastAsia="Times New Roman" w:hAnsi="Times New Roman" w:cs="Times New Roman"/>
          <w:sz w:val="24"/>
          <w:szCs w:val="24"/>
        </w:rPr>
        <w:t>tackl</w:t>
      </w:r>
      <w:r w:rsidR="006C067B">
        <w:rPr>
          <w:rFonts w:ascii="Times New Roman" w:eastAsia="Times New Roman" w:hAnsi="Times New Roman" w:cs="Times New Roman"/>
          <w:sz w:val="24"/>
          <w:szCs w:val="24"/>
        </w:rPr>
        <w:t>ing</w:t>
      </w:r>
      <w:r w:rsidR="00080214">
        <w:rPr>
          <w:rFonts w:ascii="Times New Roman" w:eastAsia="Times New Roman" w:hAnsi="Times New Roman" w:cs="Times New Roman"/>
          <w:sz w:val="24"/>
          <w:szCs w:val="24"/>
        </w:rPr>
        <w:t xml:space="preserve"> the transmission</w:t>
      </w:r>
      <w:r w:rsidR="00E0333A">
        <w:rPr>
          <w:rFonts w:ascii="Times New Roman" w:eastAsia="Times New Roman" w:hAnsi="Times New Roman" w:cs="Times New Roman"/>
          <w:sz w:val="24"/>
          <w:szCs w:val="24"/>
        </w:rPr>
        <w:t xml:space="preserve"> and dissemination of antimicrobial-resistant bacteria through environment</w:t>
      </w:r>
      <w:r w:rsidR="00CB4FA0">
        <w:rPr>
          <w:rFonts w:ascii="Times New Roman" w:eastAsia="Times New Roman" w:hAnsi="Times New Roman" w:cs="Times New Roman"/>
          <w:sz w:val="24"/>
          <w:szCs w:val="24"/>
        </w:rPr>
        <w:t>s</w:t>
      </w:r>
      <w:r w:rsidR="00E0333A">
        <w:rPr>
          <w:rFonts w:ascii="Times New Roman" w:eastAsia="Times New Roman" w:hAnsi="Times New Roman" w:cs="Times New Roman"/>
          <w:sz w:val="24"/>
          <w:szCs w:val="24"/>
        </w:rPr>
        <w:t xml:space="preserve"> </w:t>
      </w:r>
      <w:r w:rsidR="00CB4FA0">
        <w:rPr>
          <w:rFonts w:ascii="Times New Roman" w:eastAsia="Times New Roman" w:hAnsi="Times New Roman" w:cs="Times New Roman"/>
          <w:sz w:val="24"/>
          <w:szCs w:val="24"/>
        </w:rPr>
        <w:t>where</w:t>
      </w:r>
      <w:r w:rsidR="00E0333A">
        <w:rPr>
          <w:rFonts w:ascii="Times New Roman" w:eastAsia="Times New Roman" w:hAnsi="Times New Roman" w:cs="Times New Roman"/>
          <w:sz w:val="24"/>
          <w:szCs w:val="24"/>
        </w:rPr>
        <w:t xml:space="preserve"> the agri-food network has </w:t>
      </w:r>
      <w:r w:rsidR="006C067B">
        <w:rPr>
          <w:rFonts w:ascii="Times New Roman" w:eastAsia="Times New Roman" w:hAnsi="Times New Roman" w:cs="Times New Roman"/>
          <w:sz w:val="24"/>
          <w:szCs w:val="24"/>
        </w:rPr>
        <w:t xml:space="preserve">less tested governance for food safety (on which </w:t>
      </w:r>
      <w:r w:rsidR="002E7346">
        <w:rPr>
          <w:rFonts w:ascii="Times New Roman" w:eastAsia="Times New Roman" w:hAnsi="Times New Roman" w:cs="Times New Roman"/>
          <w:sz w:val="24"/>
          <w:szCs w:val="24"/>
        </w:rPr>
        <w:t xml:space="preserve">we suggest </w:t>
      </w:r>
      <w:r w:rsidR="006C067B">
        <w:rPr>
          <w:rFonts w:ascii="Times New Roman" w:eastAsia="Times New Roman" w:hAnsi="Times New Roman" w:cs="Times New Roman"/>
          <w:sz w:val="24"/>
          <w:szCs w:val="24"/>
        </w:rPr>
        <w:t>AMR has piggy-backed). Arguably, this demands new extensions to</w:t>
      </w:r>
      <w:r w:rsidR="0039395A">
        <w:rPr>
          <w:rFonts w:ascii="Times New Roman" w:eastAsia="Times New Roman" w:hAnsi="Times New Roman" w:cs="Times New Roman"/>
          <w:sz w:val="24"/>
          <w:szCs w:val="24"/>
        </w:rPr>
        <w:t xml:space="preserve"> </w:t>
      </w:r>
      <w:r w:rsidR="006C067B">
        <w:rPr>
          <w:rFonts w:ascii="Times New Roman" w:eastAsia="Times New Roman" w:hAnsi="Times New Roman" w:cs="Times New Roman"/>
          <w:sz w:val="24"/>
          <w:szCs w:val="24"/>
        </w:rPr>
        <w:t xml:space="preserve">agri-food </w:t>
      </w:r>
      <w:r w:rsidR="0039395A">
        <w:rPr>
          <w:rFonts w:ascii="Times New Roman" w:eastAsia="Times New Roman" w:hAnsi="Times New Roman" w:cs="Times New Roman"/>
          <w:sz w:val="24"/>
          <w:szCs w:val="24"/>
        </w:rPr>
        <w:t>multi-polar governance</w:t>
      </w:r>
      <w:r w:rsidR="006C067B">
        <w:rPr>
          <w:rFonts w:ascii="Times New Roman" w:eastAsia="Times New Roman" w:hAnsi="Times New Roman" w:cs="Times New Roman"/>
          <w:sz w:val="24"/>
          <w:szCs w:val="24"/>
        </w:rPr>
        <w:t>.</w:t>
      </w:r>
      <w:r w:rsidR="0039395A">
        <w:rPr>
          <w:rFonts w:ascii="Times New Roman" w:eastAsia="Times New Roman" w:hAnsi="Times New Roman" w:cs="Times New Roman"/>
          <w:sz w:val="24"/>
          <w:szCs w:val="24"/>
        </w:rPr>
        <w:t xml:space="preserve"> </w:t>
      </w:r>
      <w:r w:rsidR="00A86B35" w:rsidRPr="001F5D3F">
        <w:rPr>
          <w:rFonts w:ascii="Times New Roman" w:eastAsia="Times New Roman" w:hAnsi="Times New Roman" w:cs="Times New Roman"/>
          <w:sz w:val="24"/>
          <w:szCs w:val="24"/>
        </w:rPr>
        <w:t xml:space="preserve">For example, </w:t>
      </w:r>
      <w:r w:rsidR="00A86B35">
        <w:rPr>
          <w:rFonts w:ascii="Times New Roman" w:eastAsia="Times New Roman" w:hAnsi="Times New Roman" w:cs="Times New Roman"/>
          <w:sz w:val="24"/>
          <w:szCs w:val="24"/>
        </w:rPr>
        <w:t>f</w:t>
      </w:r>
      <w:r w:rsidR="00A86B35" w:rsidRPr="00F740FA">
        <w:rPr>
          <w:rFonts w:ascii="Times New Roman" w:eastAsia="Times New Roman" w:hAnsi="Times New Roman" w:cs="Times New Roman"/>
          <w:sz w:val="24"/>
          <w:szCs w:val="24"/>
        </w:rPr>
        <w:t xml:space="preserve">arm animals excrete </w:t>
      </w:r>
      <w:r w:rsidR="00A86B35" w:rsidRPr="00F740FA">
        <w:rPr>
          <w:rFonts w:ascii="Times New Roman" w:eastAsia="Times New Roman" w:hAnsi="Times New Roman" w:cs="Times New Roman"/>
          <w:sz w:val="24"/>
          <w:szCs w:val="24"/>
        </w:rPr>
        <w:lastRenderedPageBreak/>
        <w:t xml:space="preserve">unmetabolized </w:t>
      </w:r>
      <w:r w:rsidR="00A86B35" w:rsidRPr="00F740FA">
        <w:rPr>
          <w:rFonts w:ascii="Times New Roman" w:eastAsia="Times New Roman" w:hAnsi="Times New Roman" w:cs="Times New Roman"/>
          <w:sz w:val="24"/>
          <w:szCs w:val="24"/>
          <w:shd w:val="clear" w:color="auto" w:fill="FCFCFC"/>
        </w:rPr>
        <w:t xml:space="preserve">antibiotics, resistant bacteria, and </w:t>
      </w:r>
      <w:r w:rsidR="00A86B35">
        <w:rPr>
          <w:rFonts w:ascii="Times New Roman" w:eastAsia="Times New Roman" w:hAnsi="Times New Roman" w:cs="Times New Roman"/>
          <w:sz w:val="24"/>
          <w:szCs w:val="24"/>
          <w:shd w:val="clear" w:color="auto" w:fill="FCFCFC"/>
        </w:rPr>
        <w:t>antibiotic resistance genes</w:t>
      </w:r>
      <w:r w:rsidR="00A86B35" w:rsidRPr="00F740FA">
        <w:rPr>
          <w:rFonts w:ascii="Times New Roman" w:eastAsia="Times New Roman" w:hAnsi="Times New Roman" w:cs="Times New Roman"/>
          <w:sz w:val="24"/>
          <w:szCs w:val="24"/>
        </w:rPr>
        <w:t xml:space="preserve"> into the environment (</w:t>
      </w:r>
      <w:r w:rsidR="00A86B35" w:rsidRPr="00F740FA">
        <w:rPr>
          <w:rFonts w:ascii="Times New Roman" w:eastAsia="Times New Roman" w:hAnsi="Times New Roman" w:cs="Times New Roman"/>
          <w:sz w:val="24"/>
          <w:szCs w:val="24"/>
          <w:shd w:val="clear" w:color="auto" w:fill="FCFCFC"/>
        </w:rPr>
        <w:t>Silva et al</w:t>
      </w:r>
      <w:r w:rsidR="00567458">
        <w:rPr>
          <w:rFonts w:ascii="Times New Roman" w:eastAsia="Times New Roman" w:hAnsi="Times New Roman" w:cs="Times New Roman"/>
          <w:sz w:val="24"/>
          <w:szCs w:val="24"/>
          <w:shd w:val="clear" w:color="auto" w:fill="FCFCFC"/>
        </w:rPr>
        <w:t>.,</w:t>
      </w:r>
      <w:r w:rsidR="00A86B35" w:rsidRPr="00F740FA">
        <w:rPr>
          <w:rFonts w:ascii="Times New Roman" w:eastAsia="Times New Roman" w:hAnsi="Times New Roman" w:cs="Times New Roman"/>
          <w:sz w:val="24"/>
          <w:szCs w:val="24"/>
          <w:shd w:val="clear" w:color="auto" w:fill="FCFCFC"/>
        </w:rPr>
        <w:t xml:space="preserve"> 2020) in concentrations too low to kill</w:t>
      </w:r>
      <w:r w:rsidR="00A86B35">
        <w:rPr>
          <w:rFonts w:ascii="Times New Roman" w:eastAsia="Times New Roman" w:hAnsi="Times New Roman" w:cs="Times New Roman"/>
          <w:sz w:val="24"/>
          <w:szCs w:val="24"/>
          <w:shd w:val="clear" w:color="auto" w:fill="FCFCFC"/>
        </w:rPr>
        <w:t xml:space="preserve"> pathogens</w:t>
      </w:r>
      <w:r w:rsidR="00A86B35" w:rsidRPr="00F740FA">
        <w:rPr>
          <w:rFonts w:ascii="Times New Roman" w:eastAsia="Times New Roman" w:hAnsi="Times New Roman" w:cs="Times New Roman"/>
          <w:sz w:val="24"/>
          <w:szCs w:val="24"/>
          <w:shd w:val="clear" w:color="auto" w:fill="FCFCFC"/>
        </w:rPr>
        <w:t>, but high enough for resista</w:t>
      </w:r>
      <w:r w:rsidR="00567458">
        <w:rPr>
          <w:rFonts w:ascii="Times New Roman" w:eastAsia="Times New Roman" w:hAnsi="Times New Roman" w:cs="Times New Roman"/>
          <w:sz w:val="24"/>
          <w:szCs w:val="24"/>
          <w:shd w:val="clear" w:color="auto" w:fill="FCFCFC"/>
        </w:rPr>
        <w:t>nce</w:t>
      </w:r>
      <w:r w:rsidR="00A86B35">
        <w:rPr>
          <w:rFonts w:ascii="Times New Roman" w:eastAsia="Times New Roman" w:hAnsi="Times New Roman" w:cs="Times New Roman"/>
          <w:sz w:val="24"/>
          <w:szCs w:val="24"/>
          <w:shd w:val="clear" w:color="auto" w:fill="FCFCFC"/>
        </w:rPr>
        <w:t xml:space="preserve"> genes</w:t>
      </w:r>
      <w:r w:rsidR="00A86B35" w:rsidRPr="00F740FA">
        <w:rPr>
          <w:rFonts w:ascii="Times New Roman" w:eastAsia="Times New Roman" w:hAnsi="Times New Roman" w:cs="Times New Roman"/>
          <w:sz w:val="24"/>
          <w:szCs w:val="24"/>
          <w:shd w:val="clear" w:color="auto" w:fill="FCFCFC"/>
        </w:rPr>
        <w:t xml:space="preserve"> to </w:t>
      </w:r>
      <w:r w:rsidR="00A86B35">
        <w:rPr>
          <w:rFonts w:ascii="Times New Roman" w:eastAsia="Times New Roman" w:hAnsi="Times New Roman" w:cs="Times New Roman"/>
          <w:sz w:val="24"/>
          <w:szCs w:val="24"/>
          <w:shd w:val="clear" w:color="auto" w:fill="FCFCFC"/>
        </w:rPr>
        <w:t>disseminate</w:t>
      </w:r>
      <w:r w:rsidR="00A86B35" w:rsidRPr="00F740FA">
        <w:rPr>
          <w:rFonts w:ascii="Times New Roman" w:eastAsia="Times New Roman" w:hAnsi="Times New Roman" w:cs="Times New Roman"/>
          <w:sz w:val="24"/>
          <w:szCs w:val="24"/>
          <w:shd w:val="clear" w:color="auto" w:fill="FCFCFC"/>
        </w:rPr>
        <w:t>.</w:t>
      </w:r>
      <w:r w:rsidR="00A86B35" w:rsidRPr="00F740FA">
        <w:rPr>
          <w:rFonts w:ascii="Times New Roman" w:eastAsia="Times New Roman" w:hAnsi="Times New Roman" w:cs="Times New Roman"/>
          <w:sz w:val="24"/>
          <w:szCs w:val="24"/>
        </w:rPr>
        <w:t xml:space="preserve"> </w:t>
      </w:r>
      <w:r w:rsidR="006C067B">
        <w:rPr>
          <w:rFonts w:ascii="Times New Roman" w:eastAsia="Times New Roman" w:hAnsi="Times New Roman" w:cs="Times New Roman"/>
          <w:sz w:val="24"/>
          <w:szCs w:val="24"/>
        </w:rPr>
        <w:t>How might farm animal excrement b</w:t>
      </w:r>
      <w:r w:rsidR="002E7346">
        <w:rPr>
          <w:rFonts w:ascii="Times New Roman" w:eastAsia="Times New Roman" w:hAnsi="Times New Roman" w:cs="Times New Roman"/>
          <w:sz w:val="24"/>
          <w:szCs w:val="24"/>
        </w:rPr>
        <w:t>e</w:t>
      </w:r>
      <w:r w:rsidR="006C067B">
        <w:rPr>
          <w:rFonts w:ascii="Times New Roman" w:eastAsia="Times New Roman" w:hAnsi="Times New Roman" w:cs="Times New Roman"/>
          <w:sz w:val="24"/>
          <w:szCs w:val="24"/>
        </w:rPr>
        <w:t xml:space="preserve"> formally measured and monitored? For both resistance genes and antibiotic residues</w:t>
      </w:r>
      <w:r w:rsidR="004D2BDB">
        <w:rPr>
          <w:rFonts w:ascii="Times New Roman" w:eastAsia="Times New Roman" w:hAnsi="Times New Roman" w:cs="Times New Roman"/>
          <w:sz w:val="24"/>
          <w:szCs w:val="24"/>
        </w:rPr>
        <w:t>,</w:t>
      </w:r>
      <w:r w:rsidR="006C067B">
        <w:rPr>
          <w:rFonts w:ascii="Times New Roman" w:eastAsia="Times New Roman" w:hAnsi="Times New Roman" w:cs="Times New Roman"/>
          <w:sz w:val="24"/>
          <w:szCs w:val="24"/>
        </w:rPr>
        <w:t xml:space="preserve"> there are other potential dissemination routes including through slurry, wastewater</w:t>
      </w:r>
      <w:r w:rsidR="0005726C">
        <w:rPr>
          <w:rFonts w:ascii="Times New Roman" w:eastAsia="Times New Roman" w:hAnsi="Times New Roman" w:cs="Times New Roman"/>
          <w:sz w:val="24"/>
          <w:szCs w:val="24"/>
        </w:rPr>
        <w:t>,</w:t>
      </w:r>
      <w:r w:rsidR="006C067B">
        <w:rPr>
          <w:rFonts w:ascii="Times New Roman" w:eastAsia="Times New Roman" w:hAnsi="Times New Roman" w:cs="Times New Roman"/>
          <w:sz w:val="24"/>
          <w:szCs w:val="24"/>
        </w:rPr>
        <w:t xml:space="preserve"> and drinking water</w:t>
      </w:r>
      <w:r w:rsidR="004D2BDB">
        <w:rPr>
          <w:rFonts w:ascii="Times New Roman" w:eastAsia="Times New Roman" w:hAnsi="Times New Roman" w:cs="Times New Roman"/>
          <w:sz w:val="24"/>
          <w:szCs w:val="24"/>
        </w:rPr>
        <w:t>,</w:t>
      </w:r>
      <w:r w:rsidR="006C067B">
        <w:rPr>
          <w:rFonts w:ascii="Times New Roman" w:eastAsia="Times New Roman" w:hAnsi="Times New Roman" w:cs="Times New Roman"/>
          <w:sz w:val="24"/>
          <w:szCs w:val="24"/>
        </w:rPr>
        <w:t xml:space="preserve"> and through direct contact of people (e.g. farmers and farm labourers) with the environment (UNEP, 2017). Wh</w:t>
      </w:r>
      <w:r w:rsidR="007C684B">
        <w:rPr>
          <w:rFonts w:ascii="Times New Roman" w:eastAsia="Times New Roman" w:hAnsi="Times New Roman" w:cs="Times New Roman"/>
          <w:sz w:val="24"/>
          <w:szCs w:val="24"/>
        </w:rPr>
        <w:t>o should form a</w:t>
      </w:r>
      <w:r w:rsidR="006C067B">
        <w:rPr>
          <w:rFonts w:ascii="Times New Roman" w:eastAsia="Times New Roman" w:hAnsi="Times New Roman" w:cs="Times New Roman"/>
          <w:sz w:val="24"/>
          <w:szCs w:val="24"/>
        </w:rPr>
        <w:t xml:space="preserve"> </w:t>
      </w:r>
      <w:r w:rsidR="00567458">
        <w:rPr>
          <w:rFonts w:ascii="Times New Roman" w:eastAsia="Times New Roman" w:hAnsi="Times New Roman" w:cs="Times New Roman"/>
          <w:sz w:val="24"/>
          <w:szCs w:val="24"/>
        </w:rPr>
        <w:t>t</w:t>
      </w:r>
      <w:r w:rsidR="007C684B">
        <w:rPr>
          <w:rFonts w:ascii="Times New Roman" w:eastAsia="Times New Roman" w:hAnsi="Times New Roman" w:cs="Times New Roman"/>
          <w:sz w:val="24"/>
          <w:szCs w:val="24"/>
        </w:rPr>
        <w:t>ask</w:t>
      </w:r>
      <w:r w:rsidR="00567458">
        <w:rPr>
          <w:rFonts w:ascii="Times New Roman" w:eastAsia="Times New Roman" w:hAnsi="Times New Roman" w:cs="Times New Roman"/>
          <w:sz w:val="24"/>
          <w:szCs w:val="24"/>
        </w:rPr>
        <w:t>f</w:t>
      </w:r>
      <w:r w:rsidR="007C684B">
        <w:rPr>
          <w:rFonts w:ascii="Times New Roman" w:eastAsia="Times New Roman" w:hAnsi="Times New Roman" w:cs="Times New Roman"/>
          <w:sz w:val="24"/>
          <w:szCs w:val="24"/>
        </w:rPr>
        <w:t>orce</w:t>
      </w:r>
      <w:r w:rsidR="006C067B">
        <w:rPr>
          <w:rFonts w:ascii="Times New Roman" w:eastAsia="Times New Roman" w:hAnsi="Times New Roman" w:cs="Times New Roman"/>
          <w:sz w:val="24"/>
          <w:szCs w:val="24"/>
        </w:rPr>
        <w:t xml:space="preserve"> </w:t>
      </w:r>
      <w:r w:rsidR="007C684B">
        <w:rPr>
          <w:rFonts w:ascii="Times New Roman" w:eastAsia="Times New Roman" w:hAnsi="Times New Roman" w:cs="Times New Roman"/>
          <w:sz w:val="24"/>
          <w:szCs w:val="24"/>
        </w:rPr>
        <w:t>for tackling resistance disseminated and transmitted through</w:t>
      </w:r>
      <w:r w:rsidR="006C067B">
        <w:rPr>
          <w:rFonts w:ascii="Times New Roman" w:eastAsia="Times New Roman" w:hAnsi="Times New Roman" w:cs="Times New Roman"/>
          <w:sz w:val="24"/>
          <w:szCs w:val="24"/>
        </w:rPr>
        <w:t xml:space="preserve"> farm </w:t>
      </w:r>
      <w:r w:rsidR="007C684B">
        <w:rPr>
          <w:rFonts w:ascii="Times New Roman" w:eastAsia="Times New Roman" w:hAnsi="Times New Roman" w:cs="Times New Roman"/>
          <w:sz w:val="24"/>
          <w:szCs w:val="24"/>
        </w:rPr>
        <w:t xml:space="preserve">or factory </w:t>
      </w:r>
      <w:r w:rsidR="006C067B">
        <w:rPr>
          <w:rFonts w:ascii="Times New Roman" w:eastAsia="Times New Roman" w:hAnsi="Times New Roman" w:cs="Times New Roman"/>
          <w:sz w:val="24"/>
          <w:szCs w:val="24"/>
        </w:rPr>
        <w:t>run-off?</w:t>
      </w:r>
      <w:r w:rsidR="007C684B">
        <w:rPr>
          <w:rFonts w:ascii="Times New Roman" w:eastAsia="Times New Roman" w:hAnsi="Times New Roman" w:cs="Times New Roman"/>
          <w:sz w:val="24"/>
          <w:szCs w:val="24"/>
        </w:rPr>
        <w:t xml:space="preserve"> Are targets workable in this context?</w:t>
      </w:r>
      <w:r w:rsidR="00BE3D6C">
        <w:rPr>
          <w:rFonts w:ascii="Times New Roman" w:eastAsia="Times New Roman" w:hAnsi="Times New Roman" w:cs="Times New Roman"/>
          <w:sz w:val="24"/>
          <w:szCs w:val="24"/>
        </w:rPr>
        <w:t xml:space="preserve"> We suggest </w:t>
      </w:r>
      <w:r w:rsidR="004D2BDB">
        <w:rPr>
          <w:rFonts w:ascii="Times New Roman" w:eastAsia="Times New Roman" w:hAnsi="Times New Roman" w:cs="Times New Roman"/>
          <w:sz w:val="24"/>
          <w:szCs w:val="24"/>
        </w:rPr>
        <w:t xml:space="preserve">that </w:t>
      </w:r>
      <w:r w:rsidR="00BE3D6C">
        <w:rPr>
          <w:rFonts w:ascii="Times New Roman" w:eastAsia="Times New Roman" w:hAnsi="Times New Roman" w:cs="Times New Roman"/>
          <w:sz w:val="24"/>
          <w:szCs w:val="24"/>
        </w:rPr>
        <w:t xml:space="preserve">the uncertainty around causal relationships that can be measured and monitored across this wider set of potential dissemination and transmission routes for AMR is </w:t>
      </w:r>
      <w:r w:rsidR="007C684B">
        <w:rPr>
          <w:rFonts w:ascii="Times New Roman" w:eastAsia="Times New Roman" w:hAnsi="Times New Roman" w:cs="Times New Roman"/>
          <w:sz w:val="24"/>
          <w:szCs w:val="24"/>
        </w:rPr>
        <w:t xml:space="preserve">only partly </w:t>
      </w:r>
      <w:r w:rsidR="004D2BDB">
        <w:rPr>
          <w:rFonts w:ascii="Times New Roman" w:eastAsia="Times New Roman" w:hAnsi="Times New Roman" w:cs="Times New Roman"/>
          <w:sz w:val="24"/>
          <w:szCs w:val="24"/>
        </w:rPr>
        <w:t xml:space="preserve">the reason </w:t>
      </w:r>
      <w:r w:rsidR="004263A9">
        <w:rPr>
          <w:rFonts w:ascii="Times New Roman" w:eastAsia="Times New Roman" w:hAnsi="Times New Roman" w:cs="Times New Roman"/>
          <w:sz w:val="24"/>
          <w:szCs w:val="24"/>
        </w:rPr>
        <w:t>for</w:t>
      </w:r>
      <w:r w:rsidR="00BE3D6C">
        <w:rPr>
          <w:rFonts w:ascii="Times New Roman" w:eastAsia="Times New Roman" w:hAnsi="Times New Roman" w:cs="Times New Roman"/>
          <w:sz w:val="24"/>
          <w:szCs w:val="24"/>
        </w:rPr>
        <w:t xml:space="preserve"> the lack of any concerted regulatory attention given to them</w:t>
      </w:r>
      <w:r w:rsidR="004D2BDB">
        <w:rPr>
          <w:rFonts w:ascii="Times New Roman" w:eastAsia="Times New Roman" w:hAnsi="Times New Roman" w:cs="Times New Roman"/>
          <w:sz w:val="24"/>
          <w:szCs w:val="24"/>
        </w:rPr>
        <w:t>. P</w:t>
      </w:r>
      <w:r w:rsidR="007C684B">
        <w:rPr>
          <w:rFonts w:ascii="Times New Roman" w:eastAsia="Times New Roman" w:hAnsi="Times New Roman" w:cs="Times New Roman"/>
          <w:sz w:val="24"/>
          <w:szCs w:val="24"/>
        </w:rPr>
        <w:t xml:space="preserve">erhaps a more significant factor is the lack of multipolar governance in </w:t>
      </w:r>
      <w:r w:rsidR="002E7346">
        <w:rPr>
          <w:rFonts w:ascii="Times New Roman" w:eastAsia="Times New Roman" w:hAnsi="Times New Roman" w:cs="Times New Roman"/>
          <w:sz w:val="24"/>
          <w:szCs w:val="24"/>
        </w:rPr>
        <w:t>agri-food</w:t>
      </w:r>
      <w:r w:rsidR="007C684B">
        <w:rPr>
          <w:rFonts w:ascii="Times New Roman" w:eastAsia="Times New Roman" w:hAnsi="Times New Roman" w:cs="Times New Roman"/>
          <w:sz w:val="24"/>
          <w:szCs w:val="24"/>
        </w:rPr>
        <w:t xml:space="preserve"> for environmenta</w:t>
      </w:r>
      <w:r w:rsidR="002E7346">
        <w:rPr>
          <w:rFonts w:ascii="Times New Roman" w:eastAsia="Times New Roman" w:hAnsi="Times New Roman" w:cs="Times New Roman"/>
          <w:sz w:val="24"/>
          <w:szCs w:val="24"/>
        </w:rPr>
        <w:t>lly</w:t>
      </w:r>
      <w:r w:rsidR="00567458">
        <w:rPr>
          <w:rFonts w:ascii="Times New Roman" w:eastAsia="Times New Roman" w:hAnsi="Times New Roman" w:cs="Times New Roman"/>
          <w:sz w:val="24"/>
          <w:szCs w:val="24"/>
        </w:rPr>
        <w:t xml:space="preserve"> </w:t>
      </w:r>
      <w:r w:rsidR="002E7346">
        <w:rPr>
          <w:rFonts w:ascii="Times New Roman" w:eastAsia="Times New Roman" w:hAnsi="Times New Roman" w:cs="Times New Roman"/>
          <w:sz w:val="24"/>
          <w:szCs w:val="24"/>
        </w:rPr>
        <w:t xml:space="preserve">linked </w:t>
      </w:r>
      <w:r w:rsidR="007C684B">
        <w:rPr>
          <w:rFonts w:ascii="Times New Roman" w:eastAsia="Times New Roman" w:hAnsi="Times New Roman" w:cs="Times New Roman"/>
          <w:sz w:val="24"/>
          <w:szCs w:val="24"/>
        </w:rPr>
        <w:t>public health</w:t>
      </w:r>
      <w:r w:rsidR="004263A9">
        <w:rPr>
          <w:rFonts w:ascii="Times New Roman" w:eastAsia="Times New Roman" w:hAnsi="Times New Roman" w:cs="Times New Roman"/>
          <w:sz w:val="24"/>
          <w:szCs w:val="24"/>
        </w:rPr>
        <w:t>, which would be needed to</w:t>
      </w:r>
      <w:r w:rsidR="00EA103D">
        <w:rPr>
          <w:rFonts w:ascii="Times New Roman" w:eastAsia="Times New Roman" w:hAnsi="Times New Roman" w:cs="Times New Roman"/>
          <w:sz w:val="24"/>
          <w:szCs w:val="24"/>
        </w:rPr>
        <w:t xml:space="preserve"> address behaviour change</w:t>
      </w:r>
      <w:r w:rsidR="007C684B">
        <w:rPr>
          <w:rFonts w:ascii="Times New Roman" w:eastAsia="Times New Roman" w:hAnsi="Times New Roman" w:cs="Times New Roman"/>
          <w:sz w:val="24"/>
          <w:szCs w:val="24"/>
        </w:rPr>
        <w:t xml:space="preserve">. </w:t>
      </w:r>
      <w:r w:rsidR="000D654E">
        <w:rPr>
          <w:rFonts w:ascii="Times New Roman" w:eastAsia="Times New Roman" w:hAnsi="Times New Roman" w:cs="Times New Roman"/>
          <w:sz w:val="24"/>
          <w:szCs w:val="24"/>
        </w:rPr>
        <w:t xml:space="preserve">From our previous section, </w:t>
      </w:r>
      <w:r w:rsidR="008E0DA1">
        <w:rPr>
          <w:rFonts w:ascii="Times New Roman" w:eastAsia="Times New Roman" w:hAnsi="Times New Roman" w:cs="Times New Roman"/>
          <w:sz w:val="24"/>
          <w:szCs w:val="24"/>
        </w:rPr>
        <w:t>i</w:t>
      </w:r>
      <w:r w:rsidR="000D654E">
        <w:rPr>
          <w:rFonts w:ascii="Times New Roman" w:eastAsia="Times New Roman" w:hAnsi="Times New Roman" w:cs="Times New Roman"/>
          <w:sz w:val="24"/>
          <w:szCs w:val="24"/>
        </w:rPr>
        <w:t xml:space="preserve">t is clear that </w:t>
      </w:r>
      <w:r w:rsidR="00CB4FA0">
        <w:rPr>
          <w:rFonts w:ascii="Times New Roman" w:eastAsia="Times New Roman" w:hAnsi="Times New Roman" w:cs="Times New Roman"/>
          <w:sz w:val="24"/>
          <w:szCs w:val="24"/>
        </w:rPr>
        <w:t>the materialities of non-human</w:t>
      </w:r>
      <w:r w:rsidR="000D654E">
        <w:rPr>
          <w:rFonts w:ascii="Times New Roman" w:eastAsia="Times New Roman" w:hAnsi="Times New Roman" w:cs="Times New Roman"/>
          <w:sz w:val="24"/>
          <w:szCs w:val="24"/>
        </w:rPr>
        <w:t xml:space="preserve"> animal species</w:t>
      </w:r>
      <w:r w:rsidR="00CB4FA0">
        <w:rPr>
          <w:rFonts w:ascii="Times New Roman" w:eastAsia="Times New Roman" w:hAnsi="Times New Roman" w:cs="Times New Roman"/>
          <w:sz w:val="24"/>
          <w:szCs w:val="24"/>
        </w:rPr>
        <w:t xml:space="preserve"> h</w:t>
      </w:r>
      <w:r w:rsidR="004263A9">
        <w:rPr>
          <w:rFonts w:ascii="Times New Roman" w:eastAsia="Times New Roman" w:hAnsi="Times New Roman" w:cs="Times New Roman"/>
          <w:sz w:val="24"/>
          <w:szCs w:val="24"/>
        </w:rPr>
        <w:t>ave</w:t>
      </w:r>
      <w:r w:rsidR="00CB4FA0">
        <w:rPr>
          <w:rFonts w:ascii="Times New Roman" w:eastAsia="Times New Roman" w:hAnsi="Times New Roman" w:cs="Times New Roman"/>
          <w:sz w:val="24"/>
          <w:szCs w:val="24"/>
        </w:rPr>
        <w:t xml:space="preserve"> </w:t>
      </w:r>
      <w:r w:rsidR="00EA103D">
        <w:rPr>
          <w:rFonts w:ascii="Times New Roman" w:eastAsia="Times New Roman" w:hAnsi="Times New Roman" w:cs="Times New Roman"/>
          <w:sz w:val="24"/>
          <w:szCs w:val="24"/>
        </w:rPr>
        <w:t>shaped</w:t>
      </w:r>
      <w:r w:rsidR="00CB4FA0">
        <w:rPr>
          <w:rFonts w:ascii="Times New Roman" w:eastAsia="Times New Roman" w:hAnsi="Times New Roman" w:cs="Times New Roman"/>
          <w:sz w:val="24"/>
          <w:szCs w:val="24"/>
        </w:rPr>
        <w:t xml:space="preserve"> the </w:t>
      </w:r>
      <w:r w:rsidR="00EA103D">
        <w:rPr>
          <w:rFonts w:ascii="Times New Roman" w:eastAsia="Times New Roman" w:hAnsi="Times New Roman" w:cs="Times New Roman"/>
          <w:sz w:val="24"/>
          <w:szCs w:val="24"/>
        </w:rPr>
        <w:t xml:space="preserve">capacity to </w:t>
      </w:r>
      <w:r w:rsidR="00CB4FA0">
        <w:rPr>
          <w:rFonts w:ascii="Times New Roman" w:eastAsia="Times New Roman" w:hAnsi="Times New Roman" w:cs="Times New Roman"/>
          <w:sz w:val="24"/>
          <w:szCs w:val="24"/>
        </w:rPr>
        <w:t xml:space="preserve">meet </w:t>
      </w:r>
      <w:r w:rsidR="004F098D">
        <w:rPr>
          <w:rFonts w:ascii="Times New Roman" w:eastAsia="Times New Roman" w:hAnsi="Times New Roman" w:cs="Times New Roman"/>
          <w:sz w:val="24"/>
          <w:szCs w:val="24"/>
        </w:rPr>
        <w:t>antibiotic</w:t>
      </w:r>
      <w:r w:rsidR="00CB4FA0">
        <w:rPr>
          <w:rFonts w:ascii="Times New Roman" w:eastAsia="Times New Roman" w:hAnsi="Times New Roman" w:cs="Times New Roman"/>
          <w:sz w:val="24"/>
          <w:szCs w:val="24"/>
        </w:rPr>
        <w:t xml:space="preserve"> reduction targets</w:t>
      </w:r>
      <w:r w:rsidR="00567458">
        <w:rPr>
          <w:rFonts w:ascii="Times New Roman" w:eastAsia="Times New Roman" w:hAnsi="Times New Roman" w:cs="Times New Roman"/>
          <w:sz w:val="24"/>
          <w:szCs w:val="24"/>
        </w:rPr>
        <w:t>. W</w:t>
      </w:r>
      <w:r w:rsidR="000D654E">
        <w:rPr>
          <w:rFonts w:ascii="Times New Roman" w:eastAsia="Times New Roman" w:hAnsi="Times New Roman" w:cs="Times New Roman"/>
          <w:sz w:val="24"/>
          <w:szCs w:val="24"/>
        </w:rPr>
        <w:t>hat similar insight</w:t>
      </w:r>
      <w:r w:rsidR="0058779A">
        <w:rPr>
          <w:rFonts w:ascii="Times New Roman" w:eastAsia="Times New Roman" w:hAnsi="Times New Roman" w:cs="Times New Roman"/>
          <w:sz w:val="24"/>
          <w:szCs w:val="24"/>
        </w:rPr>
        <w:t>s</w:t>
      </w:r>
      <w:r w:rsidR="000D654E">
        <w:rPr>
          <w:rFonts w:ascii="Times New Roman" w:eastAsia="Times New Roman" w:hAnsi="Times New Roman" w:cs="Times New Roman"/>
          <w:sz w:val="24"/>
          <w:szCs w:val="24"/>
        </w:rPr>
        <w:t xml:space="preserve"> </w:t>
      </w:r>
      <w:r w:rsidR="002E7346">
        <w:rPr>
          <w:rFonts w:ascii="Times New Roman" w:eastAsia="Times New Roman" w:hAnsi="Times New Roman" w:cs="Times New Roman"/>
          <w:sz w:val="24"/>
          <w:szCs w:val="24"/>
        </w:rPr>
        <w:t xml:space="preserve">are still to </w:t>
      </w:r>
      <w:r w:rsidR="000D654E">
        <w:rPr>
          <w:rFonts w:ascii="Times New Roman" w:eastAsia="Times New Roman" w:hAnsi="Times New Roman" w:cs="Times New Roman"/>
          <w:sz w:val="24"/>
          <w:szCs w:val="24"/>
        </w:rPr>
        <w:t xml:space="preserve">be </w:t>
      </w:r>
      <w:r w:rsidR="002E7346">
        <w:rPr>
          <w:rFonts w:ascii="Times New Roman" w:eastAsia="Times New Roman" w:hAnsi="Times New Roman" w:cs="Times New Roman"/>
          <w:sz w:val="24"/>
          <w:szCs w:val="24"/>
        </w:rPr>
        <w:t>found</w:t>
      </w:r>
      <w:r w:rsidR="000D654E">
        <w:rPr>
          <w:rFonts w:ascii="Times New Roman" w:eastAsia="Times New Roman" w:hAnsi="Times New Roman" w:cs="Times New Roman"/>
          <w:sz w:val="24"/>
          <w:szCs w:val="24"/>
        </w:rPr>
        <w:t xml:space="preserve"> about </w:t>
      </w:r>
      <w:r w:rsidR="002E7346">
        <w:rPr>
          <w:rFonts w:ascii="Times New Roman" w:eastAsia="Times New Roman" w:hAnsi="Times New Roman" w:cs="Times New Roman"/>
          <w:sz w:val="24"/>
          <w:szCs w:val="24"/>
        </w:rPr>
        <w:t>how, for example, soil</w:t>
      </w:r>
      <w:r w:rsidR="004263A9">
        <w:rPr>
          <w:rFonts w:ascii="Times New Roman" w:eastAsia="Times New Roman" w:hAnsi="Times New Roman" w:cs="Times New Roman"/>
          <w:sz w:val="24"/>
          <w:szCs w:val="24"/>
        </w:rPr>
        <w:t xml:space="preserve"> </w:t>
      </w:r>
      <w:r w:rsidR="002E7346">
        <w:rPr>
          <w:rFonts w:ascii="Times New Roman" w:eastAsia="Times New Roman" w:hAnsi="Times New Roman" w:cs="Times New Roman"/>
          <w:sz w:val="24"/>
          <w:szCs w:val="24"/>
        </w:rPr>
        <w:t>types</w:t>
      </w:r>
      <w:r w:rsidR="00526071">
        <w:rPr>
          <w:rFonts w:ascii="Times New Roman" w:eastAsia="Times New Roman" w:hAnsi="Times New Roman" w:cs="Times New Roman"/>
          <w:sz w:val="24"/>
          <w:szCs w:val="24"/>
        </w:rPr>
        <w:t xml:space="preserve"> and</w:t>
      </w:r>
      <w:r w:rsidR="002E7346">
        <w:rPr>
          <w:rFonts w:ascii="Times New Roman" w:eastAsia="Times New Roman" w:hAnsi="Times New Roman" w:cs="Times New Roman"/>
          <w:sz w:val="24"/>
          <w:szCs w:val="24"/>
        </w:rPr>
        <w:t xml:space="preserve"> vegetation</w:t>
      </w:r>
      <w:r w:rsidR="004263A9">
        <w:rPr>
          <w:rFonts w:ascii="Times New Roman" w:eastAsia="Times New Roman" w:hAnsi="Times New Roman" w:cs="Times New Roman"/>
          <w:sz w:val="24"/>
          <w:szCs w:val="24"/>
        </w:rPr>
        <w:t xml:space="preserve"> </w:t>
      </w:r>
      <w:r w:rsidR="002E7346">
        <w:rPr>
          <w:rFonts w:ascii="Times New Roman" w:eastAsia="Times New Roman" w:hAnsi="Times New Roman" w:cs="Times New Roman"/>
          <w:sz w:val="24"/>
          <w:szCs w:val="24"/>
        </w:rPr>
        <w:t>coverage shape the future success of meeting</w:t>
      </w:r>
      <w:r w:rsidR="004263A9">
        <w:rPr>
          <w:rFonts w:ascii="Times New Roman" w:eastAsia="Times New Roman" w:hAnsi="Times New Roman" w:cs="Times New Roman"/>
          <w:sz w:val="24"/>
          <w:szCs w:val="24"/>
        </w:rPr>
        <w:t xml:space="preserve"> </w:t>
      </w:r>
      <w:r w:rsidR="002E7346">
        <w:rPr>
          <w:rFonts w:ascii="Times New Roman" w:eastAsia="Times New Roman" w:hAnsi="Times New Roman" w:cs="Times New Roman"/>
          <w:sz w:val="24"/>
          <w:szCs w:val="24"/>
        </w:rPr>
        <w:t>targets to reduce resistance</w:t>
      </w:r>
      <w:r w:rsidR="004263A9">
        <w:rPr>
          <w:rFonts w:ascii="Times New Roman" w:eastAsia="Times New Roman" w:hAnsi="Times New Roman" w:cs="Times New Roman"/>
          <w:sz w:val="24"/>
          <w:szCs w:val="24"/>
        </w:rPr>
        <w:t xml:space="preserve"> </w:t>
      </w:r>
      <w:r w:rsidR="002E7346">
        <w:rPr>
          <w:rFonts w:ascii="Times New Roman" w:eastAsia="Times New Roman" w:hAnsi="Times New Roman" w:cs="Times New Roman"/>
          <w:sz w:val="24"/>
          <w:szCs w:val="24"/>
        </w:rPr>
        <w:t xml:space="preserve">levels in </w:t>
      </w:r>
      <w:r w:rsidR="00EA103D">
        <w:rPr>
          <w:rFonts w:ascii="Times New Roman" w:eastAsia="Times New Roman" w:hAnsi="Times New Roman" w:cs="Times New Roman"/>
          <w:sz w:val="24"/>
          <w:szCs w:val="24"/>
        </w:rPr>
        <w:t>farmland</w:t>
      </w:r>
      <w:r w:rsidR="002E7346">
        <w:rPr>
          <w:rFonts w:ascii="Times New Roman" w:eastAsia="Times New Roman" w:hAnsi="Times New Roman" w:cs="Times New Roman"/>
          <w:sz w:val="24"/>
          <w:szCs w:val="24"/>
        </w:rPr>
        <w:t xml:space="preserve"> run-off</w:t>
      </w:r>
      <w:r w:rsidR="000D654E">
        <w:rPr>
          <w:rFonts w:ascii="Times New Roman" w:eastAsia="Times New Roman" w:hAnsi="Times New Roman" w:cs="Times New Roman"/>
          <w:sz w:val="24"/>
          <w:szCs w:val="24"/>
        </w:rPr>
        <w:t>?</w:t>
      </w:r>
      <w:r w:rsidR="00160AEA">
        <w:rPr>
          <w:rFonts w:ascii="Times New Roman" w:eastAsia="Times New Roman" w:hAnsi="Times New Roman" w:cs="Times New Roman"/>
          <w:sz w:val="24"/>
          <w:szCs w:val="24"/>
        </w:rPr>
        <w:t xml:space="preserve"> </w:t>
      </w:r>
      <w:r w:rsidR="000D654E">
        <w:rPr>
          <w:rFonts w:ascii="Times New Roman" w:eastAsia="Times New Roman" w:hAnsi="Times New Roman" w:cs="Times New Roman"/>
          <w:sz w:val="24"/>
          <w:szCs w:val="24"/>
        </w:rPr>
        <w:t>A</w:t>
      </w:r>
      <w:r w:rsidR="00160AEA">
        <w:rPr>
          <w:rFonts w:ascii="Times New Roman" w:eastAsia="Times New Roman" w:hAnsi="Times New Roman" w:cs="Times New Roman"/>
          <w:sz w:val="24"/>
          <w:szCs w:val="24"/>
        </w:rPr>
        <w:t>ny</w:t>
      </w:r>
      <w:r w:rsidR="00160AEA" w:rsidRPr="00F740FA">
        <w:rPr>
          <w:rFonts w:ascii="Times New Roman" w:eastAsia="Times New Roman" w:hAnsi="Times New Roman" w:cs="Times New Roman"/>
          <w:sz w:val="24"/>
          <w:szCs w:val="24"/>
        </w:rPr>
        <w:t xml:space="preserve"> AMR assemblage is dynamic, its refrains and borders simultaneously influenced by, colluding with, and resisting, the rhythms of corporate food systems</w:t>
      </w:r>
      <w:r w:rsidR="002E7346">
        <w:rPr>
          <w:rFonts w:ascii="Times New Roman" w:eastAsia="Times New Roman" w:hAnsi="Times New Roman" w:cs="Times New Roman"/>
          <w:sz w:val="24"/>
          <w:szCs w:val="24"/>
        </w:rPr>
        <w:t>, heterogeneous environments</w:t>
      </w:r>
      <w:r w:rsidR="00526071">
        <w:rPr>
          <w:rFonts w:ascii="Times New Roman" w:eastAsia="Times New Roman" w:hAnsi="Times New Roman" w:cs="Times New Roman"/>
          <w:sz w:val="24"/>
          <w:szCs w:val="24"/>
        </w:rPr>
        <w:t>,</w:t>
      </w:r>
      <w:r w:rsidR="00160AEA" w:rsidRPr="00F740FA">
        <w:rPr>
          <w:rFonts w:ascii="Times New Roman" w:eastAsia="Times New Roman" w:hAnsi="Times New Roman" w:cs="Times New Roman"/>
          <w:sz w:val="24"/>
          <w:szCs w:val="24"/>
        </w:rPr>
        <w:t xml:space="preserve"> and the gene</w:t>
      </w:r>
      <w:r w:rsidR="00160AEA">
        <w:rPr>
          <w:rFonts w:ascii="Times New Roman" w:eastAsia="Times New Roman" w:hAnsi="Times New Roman" w:cs="Times New Roman"/>
          <w:sz w:val="24"/>
          <w:szCs w:val="24"/>
        </w:rPr>
        <w:t>-</w:t>
      </w:r>
      <w:r w:rsidR="00160AEA" w:rsidRPr="00F740FA">
        <w:rPr>
          <w:rFonts w:ascii="Times New Roman" w:eastAsia="Times New Roman" w:hAnsi="Times New Roman" w:cs="Times New Roman"/>
          <w:sz w:val="24"/>
          <w:szCs w:val="24"/>
        </w:rPr>
        <w:t xml:space="preserve">sharing </w:t>
      </w:r>
      <w:r w:rsidR="00160AEA">
        <w:rPr>
          <w:rFonts w:ascii="Times New Roman" w:eastAsia="Times New Roman" w:hAnsi="Times New Roman" w:cs="Times New Roman"/>
          <w:sz w:val="24"/>
          <w:szCs w:val="24"/>
        </w:rPr>
        <w:t>between</w:t>
      </w:r>
      <w:r w:rsidR="00160AEA" w:rsidRPr="00F740FA">
        <w:rPr>
          <w:rFonts w:ascii="Times New Roman" w:eastAsia="Times New Roman" w:hAnsi="Times New Roman" w:cs="Times New Roman"/>
          <w:sz w:val="24"/>
          <w:szCs w:val="24"/>
        </w:rPr>
        <w:t xml:space="preserve"> microbes</w:t>
      </w:r>
      <w:r w:rsidR="002E7346">
        <w:rPr>
          <w:rFonts w:ascii="Times New Roman" w:eastAsia="Times New Roman" w:hAnsi="Times New Roman" w:cs="Times New Roman"/>
          <w:sz w:val="24"/>
          <w:szCs w:val="24"/>
        </w:rPr>
        <w:t xml:space="preserve"> – creating </w:t>
      </w:r>
      <w:r w:rsidR="004F098D">
        <w:rPr>
          <w:rFonts w:ascii="Times New Roman" w:eastAsia="Times New Roman" w:hAnsi="Times New Roman" w:cs="Times New Roman"/>
          <w:sz w:val="24"/>
          <w:szCs w:val="24"/>
        </w:rPr>
        <w:t>less discussed ‘</w:t>
      </w:r>
      <w:r w:rsidR="002E7346">
        <w:rPr>
          <w:rFonts w:ascii="Times New Roman" w:eastAsia="Times New Roman" w:hAnsi="Times New Roman" w:cs="Times New Roman"/>
          <w:sz w:val="24"/>
          <w:szCs w:val="24"/>
        </w:rPr>
        <w:t>braking mechanisms</w:t>
      </w:r>
      <w:r w:rsidR="004F098D">
        <w:rPr>
          <w:rFonts w:ascii="Times New Roman" w:eastAsia="Times New Roman" w:hAnsi="Times New Roman" w:cs="Times New Roman"/>
          <w:sz w:val="24"/>
          <w:szCs w:val="24"/>
        </w:rPr>
        <w:t>’</w:t>
      </w:r>
      <w:r w:rsidR="002E7346">
        <w:rPr>
          <w:rFonts w:ascii="Times New Roman" w:eastAsia="Times New Roman" w:hAnsi="Times New Roman" w:cs="Times New Roman"/>
          <w:sz w:val="24"/>
          <w:szCs w:val="24"/>
        </w:rPr>
        <w:t xml:space="preserve"> as counter to those ‘driving mechanisms’</w:t>
      </w:r>
      <w:r w:rsidR="00160AEA" w:rsidRPr="00F740FA">
        <w:rPr>
          <w:rFonts w:ascii="Times New Roman" w:eastAsia="Times New Roman" w:hAnsi="Times New Roman" w:cs="Times New Roman"/>
          <w:sz w:val="24"/>
          <w:szCs w:val="24"/>
        </w:rPr>
        <w:t xml:space="preserve">. </w:t>
      </w:r>
      <w:r w:rsidR="00160AEA">
        <w:rPr>
          <w:rFonts w:ascii="Times New Roman" w:eastAsia="Times New Roman" w:hAnsi="Times New Roman" w:cs="Times New Roman"/>
          <w:sz w:val="24"/>
          <w:szCs w:val="24"/>
        </w:rPr>
        <w:t xml:space="preserve">We </w:t>
      </w:r>
      <w:r w:rsidR="0058779A">
        <w:rPr>
          <w:rFonts w:ascii="Times New Roman" w:eastAsia="Times New Roman" w:hAnsi="Times New Roman" w:cs="Times New Roman"/>
          <w:sz w:val="24"/>
          <w:szCs w:val="24"/>
        </w:rPr>
        <w:t>bring these insights</w:t>
      </w:r>
      <w:r w:rsidR="00160AEA">
        <w:rPr>
          <w:rFonts w:ascii="Times New Roman" w:eastAsia="Times New Roman" w:hAnsi="Times New Roman" w:cs="Times New Roman"/>
          <w:sz w:val="24"/>
          <w:szCs w:val="24"/>
        </w:rPr>
        <w:t xml:space="preserve"> to </w:t>
      </w:r>
      <w:r w:rsidR="002E7346">
        <w:rPr>
          <w:rFonts w:ascii="Times New Roman" w:eastAsia="Times New Roman" w:hAnsi="Times New Roman" w:cs="Times New Roman"/>
          <w:sz w:val="24"/>
          <w:szCs w:val="24"/>
        </w:rPr>
        <w:t>support</w:t>
      </w:r>
      <w:r w:rsidR="00C7496A">
        <w:rPr>
          <w:rFonts w:ascii="Times New Roman" w:eastAsia="Times New Roman" w:hAnsi="Times New Roman" w:cs="Times New Roman"/>
          <w:sz w:val="24"/>
          <w:szCs w:val="24"/>
        </w:rPr>
        <w:t xml:space="preserve"> the challenges of </w:t>
      </w:r>
      <w:r w:rsidR="004263A9">
        <w:rPr>
          <w:rFonts w:ascii="Times New Roman" w:eastAsia="Times New Roman" w:hAnsi="Times New Roman" w:cs="Times New Roman"/>
          <w:sz w:val="24"/>
          <w:szCs w:val="24"/>
        </w:rPr>
        <w:t xml:space="preserve">broadening </w:t>
      </w:r>
      <w:r w:rsidR="00C7496A">
        <w:rPr>
          <w:rFonts w:ascii="Times New Roman" w:eastAsia="Times New Roman" w:hAnsi="Times New Roman" w:cs="Times New Roman"/>
          <w:sz w:val="24"/>
          <w:szCs w:val="24"/>
        </w:rPr>
        <w:t>approaches</w:t>
      </w:r>
      <w:r w:rsidR="00160AEA">
        <w:rPr>
          <w:rFonts w:ascii="Times New Roman" w:eastAsia="Times New Roman" w:hAnsi="Times New Roman" w:cs="Times New Roman"/>
          <w:sz w:val="24"/>
          <w:szCs w:val="24"/>
        </w:rPr>
        <w:t xml:space="preserve"> within agri-food</w:t>
      </w:r>
      <w:r w:rsidR="00C7496A">
        <w:rPr>
          <w:rFonts w:ascii="Times New Roman" w:eastAsia="Times New Roman" w:hAnsi="Times New Roman" w:cs="Times New Roman"/>
          <w:sz w:val="24"/>
          <w:szCs w:val="24"/>
        </w:rPr>
        <w:t xml:space="preserve"> for tackling AMR</w:t>
      </w:r>
      <w:r w:rsidR="00160AEA">
        <w:rPr>
          <w:rFonts w:ascii="Times New Roman" w:eastAsia="Times New Roman" w:hAnsi="Times New Roman" w:cs="Times New Roman"/>
          <w:sz w:val="24"/>
          <w:szCs w:val="24"/>
        </w:rPr>
        <w:t xml:space="preserve"> transmission and dissemination in the environment</w:t>
      </w:r>
      <w:r w:rsidR="00C7496A">
        <w:rPr>
          <w:rFonts w:ascii="Times New Roman" w:eastAsia="Times New Roman" w:hAnsi="Times New Roman" w:cs="Times New Roman"/>
          <w:sz w:val="24"/>
          <w:szCs w:val="24"/>
        </w:rPr>
        <w:t>.</w:t>
      </w:r>
    </w:p>
    <w:p w14:paraId="627BB0AD" w14:textId="77777777" w:rsidR="001A278D" w:rsidRPr="001A278D" w:rsidRDefault="001A278D" w:rsidP="00EE46F4">
      <w:pPr>
        <w:spacing w:line="480" w:lineRule="auto"/>
        <w:rPr>
          <w:rFonts w:ascii="Times New Roman" w:eastAsia="Times New Roman" w:hAnsi="Times New Roman" w:cs="Times New Roman"/>
          <w:bCs/>
          <w:iCs/>
          <w:sz w:val="24"/>
          <w:szCs w:val="24"/>
        </w:rPr>
      </w:pPr>
    </w:p>
    <w:p w14:paraId="6833275C" w14:textId="32355915" w:rsidR="00FF0F1B" w:rsidRPr="00F740FA" w:rsidRDefault="00982B78" w:rsidP="00F740FA">
      <w:pPr>
        <w:spacing w:line="480" w:lineRule="auto"/>
        <w:rPr>
          <w:rFonts w:ascii="Times New Roman" w:eastAsia="Times New Roman" w:hAnsi="Times New Roman" w:cs="Times New Roman"/>
          <w:sz w:val="24"/>
          <w:szCs w:val="24"/>
        </w:rPr>
      </w:pPr>
      <w:r w:rsidRPr="00F740FA">
        <w:rPr>
          <w:rFonts w:ascii="Times New Roman" w:eastAsia="Times New Roman" w:hAnsi="Times New Roman" w:cs="Times New Roman"/>
          <w:b/>
          <w:sz w:val="24"/>
          <w:szCs w:val="24"/>
        </w:rPr>
        <w:t>Conclusion</w:t>
      </w:r>
    </w:p>
    <w:p w14:paraId="3993A4BD" w14:textId="4035E7EA" w:rsidR="00E13EDD" w:rsidRDefault="00E13EDD" w:rsidP="00EF3DE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light of the influential O’Neill </w:t>
      </w:r>
      <w:r w:rsidR="00D92551">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rPr>
        <w:t xml:space="preserve">report, the paper has sought to demonstrate how responsibility for AMR in the UK agri-food system on the part of retailers, processors, and </w:t>
      </w:r>
      <w:r>
        <w:rPr>
          <w:rFonts w:ascii="Times New Roman" w:eastAsia="Times New Roman" w:hAnsi="Times New Roman" w:cs="Times New Roman"/>
          <w:sz w:val="24"/>
          <w:szCs w:val="24"/>
        </w:rPr>
        <w:lastRenderedPageBreak/>
        <w:t>regulators has been narrowly focused on reducing antibiotic</w:t>
      </w:r>
      <w:r w:rsidR="00D925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use in domestic meat production, leaving other AMR transmission pathways largely unaccounted for. We examined the targets for reducing </w:t>
      </w:r>
      <w:r w:rsidR="002B3A14">
        <w:rPr>
          <w:rFonts w:ascii="Times New Roman" w:eastAsia="Times New Roman" w:hAnsi="Times New Roman" w:cs="Times New Roman"/>
          <w:sz w:val="24"/>
          <w:szCs w:val="24"/>
        </w:rPr>
        <w:t>antibiotic</w:t>
      </w:r>
      <w:r w:rsidR="0012782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Pr>
          <w:rFonts w:ascii="Times New Roman" w:eastAsia="Times New Roman" w:hAnsi="Times New Roman" w:cs="Times New Roman"/>
          <w:sz w:val="24"/>
          <w:szCs w:val="24"/>
        </w:rPr>
        <w:t xml:space="preserve"> in livestock farming in the UK over the past few years and showed how those targets have been achieved ahead of schedule through multipolar governance – a wide cast of influential state, corpora</w:t>
      </w:r>
      <w:r w:rsidR="009A712B">
        <w:rPr>
          <w:rFonts w:ascii="Times New Roman" w:eastAsia="Times New Roman" w:hAnsi="Times New Roman" w:cs="Times New Roman"/>
          <w:sz w:val="24"/>
          <w:szCs w:val="24"/>
        </w:rPr>
        <w:t>te, and third sector actors</w:t>
      </w:r>
      <w:r>
        <w:rPr>
          <w:rFonts w:ascii="Times New Roman" w:eastAsia="Times New Roman" w:hAnsi="Times New Roman" w:cs="Times New Roman"/>
          <w:sz w:val="24"/>
          <w:szCs w:val="24"/>
        </w:rPr>
        <w:t xml:space="preserve"> – interacting with the materialities of farming, medication, and the microbial world</w:t>
      </w:r>
      <w:r w:rsidR="009A712B">
        <w:rPr>
          <w:rFonts w:ascii="Times New Roman" w:eastAsia="Times New Roman" w:hAnsi="Times New Roman" w:cs="Times New Roman"/>
          <w:sz w:val="24"/>
          <w:szCs w:val="24"/>
        </w:rPr>
        <w:t xml:space="preserve"> to create highly effective driving mechanisms</w:t>
      </w:r>
      <w:r>
        <w:rPr>
          <w:rFonts w:ascii="Times New Roman" w:eastAsia="Times New Roman" w:hAnsi="Times New Roman" w:cs="Times New Roman"/>
          <w:sz w:val="24"/>
          <w:szCs w:val="24"/>
        </w:rPr>
        <w:t>. We suggested that blending the GVC notion of multipolar governance with more-than-human perspectives gained critical purchase on the distributed agency through which targets were achieved. H</w:t>
      </w:r>
      <w:r w:rsidR="00C53E67">
        <w:rPr>
          <w:rFonts w:ascii="Times New Roman" w:eastAsia="Times New Roman" w:hAnsi="Times New Roman" w:cs="Times New Roman"/>
          <w:sz w:val="24"/>
          <w:szCs w:val="24"/>
        </w:rPr>
        <w:t>owever, we finished</w:t>
      </w:r>
      <w:r>
        <w:rPr>
          <w:rFonts w:ascii="Times New Roman" w:eastAsia="Times New Roman" w:hAnsi="Times New Roman" w:cs="Times New Roman"/>
          <w:sz w:val="24"/>
          <w:szCs w:val="24"/>
        </w:rPr>
        <w:t xml:space="preserve"> by reflecting on dimensions of the AMR problem</w:t>
      </w:r>
      <w:r w:rsidR="009A712B">
        <w:rPr>
          <w:rFonts w:ascii="Times New Roman" w:eastAsia="Times New Roman" w:hAnsi="Times New Roman" w:cs="Times New Roman"/>
          <w:sz w:val="24"/>
          <w:szCs w:val="24"/>
        </w:rPr>
        <w:t>,</w:t>
      </w:r>
      <w:r w:rsidR="00C53E67">
        <w:rPr>
          <w:rFonts w:ascii="Times New Roman" w:eastAsia="Times New Roman" w:hAnsi="Times New Roman" w:cs="Times New Roman"/>
          <w:sz w:val="24"/>
          <w:szCs w:val="24"/>
        </w:rPr>
        <w:t xml:space="preserve"> including </w:t>
      </w:r>
      <w:r w:rsidR="0005726C">
        <w:rPr>
          <w:rFonts w:ascii="Times New Roman" w:eastAsia="Times New Roman" w:hAnsi="Times New Roman" w:cs="Times New Roman"/>
          <w:sz w:val="24"/>
          <w:szCs w:val="24"/>
        </w:rPr>
        <w:t xml:space="preserve">international food supply chains and </w:t>
      </w:r>
      <w:r w:rsidR="00C53E67">
        <w:rPr>
          <w:rFonts w:ascii="Times New Roman" w:eastAsia="Times New Roman" w:hAnsi="Times New Roman" w:cs="Times New Roman"/>
          <w:sz w:val="24"/>
          <w:szCs w:val="24"/>
        </w:rPr>
        <w:t>transmission pathways beyond the point of p</w:t>
      </w:r>
      <w:r w:rsidR="009A712B">
        <w:rPr>
          <w:rFonts w:ascii="Times New Roman" w:eastAsia="Times New Roman" w:hAnsi="Times New Roman" w:cs="Times New Roman"/>
          <w:sz w:val="24"/>
          <w:szCs w:val="24"/>
        </w:rPr>
        <w:t>roduction</w:t>
      </w:r>
      <w:r w:rsidR="00C53E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marginalised by such a sharp focus on </w:t>
      </w:r>
      <w:r w:rsidR="002B3A14">
        <w:rPr>
          <w:rFonts w:ascii="Times New Roman" w:eastAsia="Times New Roman" w:hAnsi="Times New Roman" w:cs="Times New Roman"/>
          <w:sz w:val="24"/>
          <w:szCs w:val="24"/>
        </w:rPr>
        <w:t>antibiotic</w:t>
      </w:r>
      <w:r w:rsidR="00127824">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usage</w:t>
      </w:r>
      <w:r>
        <w:rPr>
          <w:rFonts w:ascii="Times New Roman" w:eastAsia="Times New Roman" w:hAnsi="Times New Roman" w:cs="Times New Roman"/>
          <w:sz w:val="24"/>
          <w:szCs w:val="24"/>
        </w:rPr>
        <w:t xml:space="preserve"> and its </w:t>
      </w:r>
      <w:r w:rsidR="009A712B">
        <w:rPr>
          <w:rFonts w:ascii="Times New Roman" w:eastAsia="Times New Roman" w:hAnsi="Times New Roman" w:cs="Times New Roman"/>
          <w:sz w:val="24"/>
          <w:szCs w:val="24"/>
        </w:rPr>
        <w:t>reduction in domestic settings.</w:t>
      </w:r>
    </w:p>
    <w:p w14:paraId="7023AAD8" w14:textId="77777777" w:rsidR="00E13EDD" w:rsidRDefault="00E13EDD" w:rsidP="00EF3DE7">
      <w:pPr>
        <w:spacing w:line="480" w:lineRule="auto"/>
        <w:rPr>
          <w:rFonts w:ascii="Times New Roman" w:eastAsia="Times New Roman" w:hAnsi="Times New Roman" w:cs="Times New Roman"/>
          <w:sz w:val="24"/>
          <w:szCs w:val="24"/>
        </w:rPr>
      </w:pPr>
    </w:p>
    <w:p w14:paraId="4BF31553" w14:textId="50F2FAF4" w:rsidR="00EF3DE7" w:rsidRDefault="00EC6150" w:rsidP="00EF3DE7">
      <w:pPr>
        <w:spacing w:line="480" w:lineRule="auto"/>
        <w:rPr>
          <w:rFonts w:ascii="Times New Roman" w:eastAsia="Times New Roman" w:hAnsi="Times New Roman" w:cs="Times New Roman"/>
          <w:sz w:val="24"/>
          <w:szCs w:val="24"/>
        </w:rPr>
      </w:pPr>
      <w:r w:rsidRPr="00F740FA">
        <w:rPr>
          <w:rFonts w:ascii="Times New Roman" w:eastAsia="Times New Roman" w:hAnsi="Times New Roman" w:cs="Times New Roman"/>
          <w:sz w:val="24"/>
          <w:szCs w:val="24"/>
        </w:rPr>
        <w:t xml:space="preserve">Our critique of </w:t>
      </w:r>
      <w:r w:rsidR="00C53E67">
        <w:rPr>
          <w:rFonts w:ascii="Times New Roman" w:eastAsia="Times New Roman" w:hAnsi="Times New Roman" w:cs="Times New Roman"/>
          <w:sz w:val="24"/>
          <w:szCs w:val="24"/>
        </w:rPr>
        <w:t xml:space="preserve">food </w:t>
      </w:r>
      <w:r w:rsidR="002B3A14">
        <w:rPr>
          <w:rFonts w:ascii="Times New Roman" w:eastAsia="Times New Roman" w:hAnsi="Times New Roman" w:cs="Times New Roman"/>
          <w:sz w:val="24"/>
          <w:szCs w:val="24"/>
        </w:rPr>
        <w:t>supply</w:t>
      </w:r>
      <w:r w:rsidR="00D92551">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sidRPr="00F740FA">
        <w:rPr>
          <w:rFonts w:ascii="Times New Roman" w:eastAsia="Times New Roman" w:hAnsi="Times New Roman" w:cs="Times New Roman"/>
          <w:sz w:val="24"/>
          <w:szCs w:val="24"/>
        </w:rPr>
        <w:t xml:space="preserve"> responses to AMR sits within a wider scholarly project of understanding the unfolding ways in which ‘wicked problems’ such as AMR and climate emergency are confronted, with particular performative effects, through contemporary modes and practices of economy, regulation, and governance.</w:t>
      </w:r>
      <w:r>
        <w:rPr>
          <w:rFonts w:ascii="Times New Roman" w:eastAsia="Times New Roman" w:hAnsi="Times New Roman" w:cs="Times New Roman"/>
          <w:sz w:val="24"/>
          <w:szCs w:val="24"/>
        </w:rPr>
        <w:t xml:space="preserve"> </w:t>
      </w:r>
      <w:r w:rsidR="00982B78">
        <w:rPr>
          <w:rFonts w:ascii="Times New Roman" w:eastAsia="Times New Roman" w:hAnsi="Times New Roman" w:cs="Times New Roman"/>
          <w:sz w:val="24"/>
          <w:szCs w:val="24"/>
        </w:rPr>
        <w:t>Situating our paper in broader debate on corporate engagement with global grand challenges, we concur with Barua’s call to recognise “the co-constitution of the economic by the ecological from the outset” (2019: page 1). We have taken this perspective, urged by O’Neill’s framing of AMR as an economic risk, in exploring how firm and state agency entangles with ecological agency. GVC and cognate frameworks on their own do not explore how the motivations of corporate and state co-ordinators interplay with ecological processes and how those processes resist mastery and domination by institutional power in various ways. A relational understanding of AMR in the food system grasps that dynamism and resistance and is therefore significant for critical analysis of how ‘wicked problems’ like AMR are being confronted, often problematically, by prevailing modes of governance.</w:t>
      </w:r>
    </w:p>
    <w:p w14:paraId="59211000" w14:textId="41ACF8AD" w:rsidR="00B5451F" w:rsidRDefault="00B5451F">
      <w:pPr>
        <w:spacing w:line="480" w:lineRule="auto"/>
        <w:rPr>
          <w:rFonts w:ascii="Times New Roman" w:eastAsia="Times New Roman" w:hAnsi="Times New Roman" w:cs="Times New Roman"/>
          <w:sz w:val="24"/>
          <w:szCs w:val="24"/>
        </w:rPr>
      </w:pPr>
    </w:p>
    <w:p w14:paraId="05513A12" w14:textId="5C625F31" w:rsidR="00B5451F" w:rsidRDefault="00B5451F" w:rsidP="00B545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Acknowledgements</w:t>
      </w:r>
    </w:p>
    <w:p w14:paraId="44EACC78" w14:textId="24C249A8" w:rsidR="00A80413" w:rsidRPr="008C0157" w:rsidRDefault="00A80413" w:rsidP="00B545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grateful for ESRC Award ES/P011586/1 funding the research and to three anonymous reviewers, Henry Yeung as editor</w:t>
      </w:r>
      <w:r w:rsidR="008C01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Fraser Broadfoot at the Veterinary Medicines Directorate for their very helpful comments on earlier drafts of the paper. Thanks also go to Neil Wrigley, Bill Keevil, Michelle Lowe and Tim Leighton at the University of Southampton and Steve Wearne at the Food Standards Agency for supporting the research and providing advice.</w:t>
      </w:r>
    </w:p>
    <w:p w14:paraId="23CCDD44" w14:textId="77777777" w:rsidR="00B5451F" w:rsidRDefault="00B5451F">
      <w:pPr>
        <w:spacing w:line="480" w:lineRule="auto"/>
        <w:rPr>
          <w:rFonts w:ascii="Times New Roman" w:eastAsia="Times New Roman" w:hAnsi="Times New Roman" w:cs="Times New Roman"/>
          <w:sz w:val="24"/>
          <w:szCs w:val="24"/>
        </w:rPr>
      </w:pPr>
    </w:p>
    <w:p w14:paraId="3C14DF0A" w14:textId="0E05BAD7" w:rsidR="00FF0F1B" w:rsidRDefault="00982B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07BD5462"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Advisory Committee on the Microbiological Safety of Food (2018) </w:t>
      </w:r>
      <w:r>
        <w:rPr>
          <w:rFonts w:ascii="Times New Roman" w:eastAsia="Times New Roman" w:hAnsi="Times New Roman" w:cs="Times New Roman"/>
          <w:i/>
          <w:sz w:val="24"/>
          <w:szCs w:val="24"/>
        </w:rPr>
        <w:t>Antimicrobial resistance in the food chain: Research questions and potential approaches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https://acmsf.food.gov.uk/sites/default/files/amrtaskandfinish2.pdf</w:t>
      </w:r>
      <w:r>
        <w:rPr>
          <w:rFonts w:ascii="Times New Roman" w:eastAsia="Times New Roman" w:hAnsi="Times New Roman" w:cs="Times New Roman"/>
          <w:sz w:val="24"/>
          <w:szCs w:val="24"/>
        </w:rPr>
        <w:t xml:space="preserve"> (accessed 05/11/18)</w:t>
      </w:r>
    </w:p>
    <w:p w14:paraId="055AED9A" w14:textId="77777777" w:rsidR="00FF0F1B" w:rsidRDefault="00FF0F1B">
      <w:pPr>
        <w:spacing w:after="0" w:line="480" w:lineRule="auto"/>
        <w:rPr>
          <w:rFonts w:ascii="Times New Roman" w:eastAsia="Times New Roman" w:hAnsi="Times New Roman" w:cs="Times New Roman"/>
          <w:sz w:val="24"/>
          <w:szCs w:val="24"/>
        </w:rPr>
      </w:pPr>
    </w:p>
    <w:p w14:paraId="0C59D0B1"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 J (2011) Powerful assemblages? </w:t>
      </w:r>
      <w:r>
        <w:rPr>
          <w:rFonts w:ascii="Times New Roman" w:eastAsia="Times New Roman" w:hAnsi="Times New Roman" w:cs="Times New Roman"/>
          <w:i/>
          <w:sz w:val="24"/>
          <w:szCs w:val="24"/>
        </w:rPr>
        <w:t>Area</w:t>
      </w:r>
      <w:r>
        <w:rPr>
          <w:rFonts w:ascii="Times New Roman" w:eastAsia="Times New Roman" w:hAnsi="Times New Roman" w:cs="Times New Roman"/>
          <w:sz w:val="24"/>
          <w:szCs w:val="24"/>
        </w:rPr>
        <w:t xml:space="preserve"> 43: 154-157.</w:t>
      </w:r>
    </w:p>
    <w:p w14:paraId="6CA7BC10" w14:textId="77777777" w:rsidR="00FF0F1B" w:rsidRDefault="00FF0F1B">
      <w:pPr>
        <w:spacing w:after="0" w:line="480" w:lineRule="auto"/>
        <w:rPr>
          <w:rFonts w:ascii="Times New Roman" w:eastAsia="Times New Roman" w:hAnsi="Times New Roman" w:cs="Times New Roman"/>
          <w:sz w:val="24"/>
          <w:szCs w:val="24"/>
        </w:rPr>
      </w:pPr>
    </w:p>
    <w:p w14:paraId="79E6A0A1"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Anderson B, Kearnes M., McFarlane C and Swanton D. (2012) On assemblages and geography. </w:t>
      </w:r>
      <w:r>
        <w:rPr>
          <w:rFonts w:ascii="Times New Roman" w:eastAsia="Times New Roman" w:hAnsi="Times New Roman" w:cs="Times New Roman"/>
          <w:i/>
          <w:sz w:val="24"/>
          <w:szCs w:val="24"/>
        </w:rPr>
        <w:t>Dialogues in Human Geography</w:t>
      </w:r>
      <w:r>
        <w:rPr>
          <w:rFonts w:ascii="Times New Roman" w:eastAsia="Times New Roman" w:hAnsi="Times New Roman" w:cs="Times New Roman"/>
          <w:sz w:val="24"/>
          <w:szCs w:val="24"/>
        </w:rPr>
        <w:t xml:space="preserve"> 2: 171-189.</w:t>
      </w:r>
    </w:p>
    <w:p w14:paraId="1FAD3335" w14:textId="77777777" w:rsidR="00FF0F1B" w:rsidRDefault="00FF0F1B">
      <w:pPr>
        <w:spacing w:after="0" w:line="480" w:lineRule="auto"/>
        <w:rPr>
          <w:rFonts w:ascii="Times New Roman" w:eastAsia="Times New Roman" w:hAnsi="Times New Roman" w:cs="Times New Roman"/>
          <w:sz w:val="24"/>
          <w:szCs w:val="24"/>
        </w:rPr>
      </w:pPr>
    </w:p>
    <w:p w14:paraId="52922F53"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Anderson B and McFarlane C (2011) Assemblage and geography. </w:t>
      </w:r>
      <w:r>
        <w:rPr>
          <w:rFonts w:ascii="Times New Roman" w:eastAsia="Times New Roman" w:hAnsi="Times New Roman" w:cs="Times New Roman"/>
          <w:i/>
          <w:sz w:val="24"/>
          <w:szCs w:val="24"/>
        </w:rPr>
        <w:t>Area</w:t>
      </w:r>
      <w:r>
        <w:rPr>
          <w:rFonts w:ascii="Times New Roman" w:eastAsia="Times New Roman" w:hAnsi="Times New Roman" w:cs="Times New Roman"/>
          <w:sz w:val="24"/>
          <w:szCs w:val="24"/>
        </w:rPr>
        <w:t xml:space="preserve"> 43:124-127.</w:t>
      </w:r>
    </w:p>
    <w:p w14:paraId="4D2E7066" w14:textId="77777777" w:rsidR="00FF0F1B" w:rsidRDefault="00FF0F1B">
      <w:pPr>
        <w:spacing w:after="0" w:line="480" w:lineRule="auto"/>
        <w:rPr>
          <w:rFonts w:ascii="Times New Roman" w:eastAsia="Times New Roman" w:hAnsi="Times New Roman" w:cs="Times New Roman"/>
          <w:sz w:val="24"/>
          <w:szCs w:val="24"/>
        </w:rPr>
      </w:pPr>
    </w:p>
    <w:p w14:paraId="099ACC74"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Bailey M, Bush SR, Miller A and Kochen M (2016) The role of traceability in transforming seafood governance in the global South. </w:t>
      </w:r>
      <w:r>
        <w:rPr>
          <w:rFonts w:ascii="Times New Roman" w:eastAsia="Times New Roman" w:hAnsi="Times New Roman" w:cs="Times New Roman"/>
          <w:i/>
          <w:sz w:val="24"/>
          <w:szCs w:val="24"/>
        </w:rPr>
        <w:t>Current Opinion in Environmental Sustainability</w:t>
      </w:r>
      <w:r>
        <w:rPr>
          <w:rFonts w:ascii="Times New Roman" w:eastAsia="Times New Roman" w:hAnsi="Times New Roman" w:cs="Times New Roman"/>
          <w:sz w:val="24"/>
          <w:szCs w:val="24"/>
        </w:rPr>
        <w:t xml:space="preserve"> 18: 25-32.</w:t>
      </w:r>
    </w:p>
    <w:p w14:paraId="12A237FD" w14:textId="77777777" w:rsidR="00FF0F1B" w:rsidRDefault="00FF0F1B">
      <w:pPr>
        <w:spacing w:after="0" w:line="480" w:lineRule="auto"/>
        <w:rPr>
          <w:rFonts w:ascii="Times New Roman" w:eastAsia="Times New Roman" w:hAnsi="Times New Roman" w:cs="Times New Roman"/>
          <w:sz w:val="24"/>
          <w:szCs w:val="24"/>
        </w:rPr>
      </w:pPr>
    </w:p>
    <w:p w14:paraId="744AA113" w14:textId="0A3D93D1" w:rsidR="00FF0F1B" w:rsidRDefault="00982B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Barua M (2019) Animating capital: work, commodities, circulation. </w:t>
      </w:r>
      <w:r>
        <w:rPr>
          <w:rFonts w:ascii="Times New Roman" w:eastAsia="Times New Roman" w:hAnsi="Times New Roman" w:cs="Times New Roman"/>
          <w:i/>
          <w:sz w:val="24"/>
          <w:szCs w:val="24"/>
        </w:rPr>
        <w:t>Progress in Human Geography</w:t>
      </w:r>
      <w:r w:rsidR="00105B43">
        <w:rPr>
          <w:rFonts w:ascii="Times New Roman" w:eastAsia="Times New Roman" w:hAnsi="Times New Roman" w:cs="Times New Roman"/>
          <w:sz w:val="24"/>
          <w:szCs w:val="24"/>
        </w:rPr>
        <w:t xml:space="preserve"> 43: 650-669.</w:t>
      </w:r>
    </w:p>
    <w:p w14:paraId="1EE2A4E0" w14:textId="302EF0B1" w:rsidR="00FF0F1B" w:rsidRPr="004D2BDB" w:rsidRDefault="00FF0F1B">
      <w:pPr>
        <w:spacing w:after="0" w:line="480" w:lineRule="auto"/>
        <w:rPr>
          <w:rFonts w:ascii="Times New Roman" w:eastAsia="Times New Roman" w:hAnsi="Times New Roman" w:cs="Times New Roman"/>
          <w:sz w:val="24"/>
          <w:szCs w:val="24"/>
        </w:rPr>
      </w:pPr>
    </w:p>
    <w:p w14:paraId="13D478D7" w14:textId="276834EB" w:rsidR="004D2BDB" w:rsidRPr="004D2BDB" w:rsidRDefault="004D2BDB">
      <w:pPr>
        <w:spacing w:after="0" w:line="480" w:lineRule="auto"/>
        <w:rPr>
          <w:rFonts w:ascii="Times New Roman" w:eastAsia="Times New Roman" w:hAnsi="Times New Roman" w:cs="Times New Roman"/>
          <w:sz w:val="24"/>
          <w:szCs w:val="24"/>
        </w:rPr>
      </w:pPr>
      <w:r w:rsidRPr="004D2BDB">
        <w:rPr>
          <w:rFonts w:ascii="Times New Roman" w:hAnsi="Times New Roman" w:cs="Times New Roman"/>
          <w:sz w:val="24"/>
          <w:szCs w:val="24"/>
          <w:shd w:val="clear" w:color="auto" w:fill="FFFFFF"/>
        </w:rPr>
        <w:t>Buller H</w:t>
      </w:r>
      <w:r>
        <w:rPr>
          <w:rFonts w:ascii="Times New Roman" w:hAnsi="Times New Roman" w:cs="Times New Roman"/>
          <w:sz w:val="24"/>
          <w:szCs w:val="24"/>
          <w:shd w:val="clear" w:color="auto" w:fill="FFFFFF"/>
        </w:rPr>
        <w:t xml:space="preserve"> and </w:t>
      </w:r>
      <w:r w:rsidRPr="004D2BDB">
        <w:rPr>
          <w:rFonts w:ascii="Times New Roman" w:hAnsi="Times New Roman" w:cs="Times New Roman"/>
          <w:sz w:val="24"/>
          <w:szCs w:val="24"/>
          <w:shd w:val="clear" w:color="auto" w:fill="FFFFFF"/>
        </w:rPr>
        <w:t>Roe E</w:t>
      </w:r>
      <w:r w:rsidR="00DA2B50">
        <w:rPr>
          <w:rFonts w:ascii="Times New Roman" w:hAnsi="Times New Roman" w:cs="Times New Roman"/>
          <w:sz w:val="24"/>
          <w:szCs w:val="24"/>
          <w:shd w:val="clear" w:color="auto" w:fill="FFFFFF"/>
        </w:rPr>
        <w:t xml:space="preserve"> </w:t>
      </w:r>
      <w:r w:rsidRPr="004D2BDB">
        <w:rPr>
          <w:rFonts w:ascii="Times New Roman" w:hAnsi="Times New Roman" w:cs="Times New Roman"/>
          <w:sz w:val="24"/>
          <w:szCs w:val="24"/>
          <w:shd w:val="clear" w:color="auto" w:fill="FFFFFF"/>
        </w:rPr>
        <w:t>(2018)</w:t>
      </w:r>
      <w:r>
        <w:rPr>
          <w:rFonts w:ascii="Times New Roman" w:hAnsi="Times New Roman" w:cs="Times New Roman"/>
          <w:sz w:val="24"/>
          <w:szCs w:val="24"/>
          <w:shd w:val="clear" w:color="auto" w:fill="FFFFFF"/>
        </w:rPr>
        <w:t xml:space="preserve"> </w:t>
      </w:r>
      <w:hyperlink r:id="rId9" w:history="1">
        <w:r w:rsidRPr="004D2BDB">
          <w:rPr>
            <w:rStyle w:val="Hyperlink"/>
            <w:rFonts w:ascii="Times New Roman" w:hAnsi="Times New Roman" w:cs="Times New Roman"/>
            <w:i/>
            <w:iCs/>
            <w:color w:val="auto"/>
            <w:sz w:val="24"/>
            <w:szCs w:val="24"/>
            <w:u w:val="none"/>
          </w:rPr>
          <w:t>Food and Animal Welfare</w:t>
        </w:r>
      </w:hyperlink>
      <w:r>
        <w:rPr>
          <w:rFonts w:ascii="Times New Roman" w:hAnsi="Times New Roman" w:cs="Times New Roman"/>
          <w:sz w:val="24"/>
          <w:szCs w:val="24"/>
          <w:shd w:val="clear" w:color="auto" w:fill="FFFFFF"/>
        </w:rPr>
        <w:t xml:space="preserve">. London: </w:t>
      </w:r>
      <w:r w:rsidRPr="004D2BDB">
        <w:rPr>
          <w:rFonts w:ascii="Times New Roman" w:hAnsi="Times New Roman" w:cs="Times New Roman"/>
          <w:sz w:val="24"/>
          <w:szCs w:val="24"/>
          <w:shd w:val="clear" w:color="auto" w:fill="FFFFFF"/>
        </w:rPr>
        <w:t>Bloomsbury.</w:t>
      </w:r>
    </w:p>
    <w:p w14:paraId="1D75A925" w14:textId="77777777" w:rsidR="004D2BDB" w:rsidRPr="004D2BDB" w:rsidRDefault="004D2BDB">
      <w:pPr>
        <w:spacing w:after="0" w:line="480" w:lineRule="auto"/>
        <w:rPr>
          <w:rFonts w:ascii="Times New Roman" w:eastAsia="Times New Roman" w:hAnsi="Times New Roman" w:cs="Times New Roman"/>
          <w:sz w:val="24"/>
          <w:szCs w:val="24"/>
        </w:rPr>
      </w:pPr>
    </w:p>
    <w:p w14:paraId="47D3181A" w14:textId="63C2EF37" w:rsidR="00FF0F1B" w:rsidRDefault="00982B78" w:rsidP="003B6376">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Buller H, Hinchliffe S, Hockenhull J, Barrett D, Reyher K, Butterworh A and Heath C (2015) </w:t>
      </w:r>
      <w:r>
        <w:rPr>
          <w:rFonts w:ascii="Times New Roman" w:eastAsia="Times New Roman" w:hAnsi="Times New Roman" w:cs="Times New Roman"/>
          <w:i/>
          <w:sz w:val="24"/>
          <w:szCs w:val="24"/>
        </w:rPr>
        <w:t xml:space="preserve">Systematic Review and Social Research to Further Understanding of Current Practice in the Context of Using Antimicrobials in Livestock Farming and to Inform Appropriate Interventions to Reduce Antimicrobial Resistance within the Livestock Sector </w:t>
      </w:r>
      <w:r>
        <w:rPr>
          <w:rFonts w:ascii="Times New Roman" w:eastAsia="Times New Roman" w:hAnsi="Times New Roman" w:cs="Times New Roman"/>
          <w:sz w:val="24"/>
          <w:szCs w:val="24"/>
        </w:rPr>
        <w:t>(Report for DEFRA, August 2015).</w:t>
      </w:r>
    </w:p>
    <w:p w14:paraId="093AFB99" w14:textId="77777777" w:rsidR="001A278D" w:rsidRDefault="001A278D" w:rsidP="00956A61">
      <w:pPr>
        <w:spacing w:after="0" w:line="480" w:lineRule="auto"/>
        <w:rPr>
          <w:rFonts w:ascii="Times New Roman" w:eastAsia="Times New Roman" w:hAnsi="Times New Roman" w:cs="Times New Roman"/>
          <w:color w:val="333333"/>
          <w:sz w:val="24"/>
          <w:szCs w:val="24"/>
          <w:shd w:val="clear" w:color="auto" w:fill="FFFFFF"/>
        </w:rPr>
      </w:pPr>
    </w:p>
    <w:p w14:paraId="275B7ADE" w14:textId="7FD77F48" w:rsidR="00235B36" w:rsidRPr="00E43D14" w:rsidRDefault="00235B36" w:rsidP="00956A61">
      <w:pPr>
        <w:spacing w:after="0" w:line="480" w:lineRule="auto"/>
        <w:rPr>
          <w:rFonts w:ascii="Times New Roman" w:eastAsia="Times New Roman" w:hAnsi="Times New Roman" w:cs="Times New Roman"/>
          <w:sz w:val="24"/>
          <w:szCs w:val="24"/>
        </w:rPr>
      </w:pPr>
      <w:r w:rsidRPr="00F9796B">
        <w:rPr>
          <w:rFonts w:ascii="Times New Roman" w:eastAsia="Times New Roman" w:hAnsi="Times New Roman" w:cs="Times New Roman"/>
          <w:color w:val="333333"/>
          <w:sz w:val="24"/>
          <w:szCs w:val="24"/>
          <w:shd w:val="clear" w:color="auto" w:fill="FFFFFF"/>
        </w:rPr>
        <w:t>Cheng G., Ning J</w:t>
      </w:r>
      <w:r w:rsidR="00E43D14">
        <w:rPr>
          <w:rFonts w:ascii="Times New Roman" w:eastAsia="Times New Roman" w:hAnsi="Times New Roman" w:cs="Times New Roman"/>
          <w:color w:val="333333"/>
          <w:sz w:val="24"/>
          <w:szCs w:val="24"/>
          <w:shd w:val="clear" w:color="auto" w:fill="FFFFFF"/>
        </w:rPr>
        <w:t xml:space="preserve"> and</w:t>
      </w:r>
      <w:r w:rsidRPr="00F9796B">
        <w:rPr>
          <w:rFonts w:ascii="Times New Roman" w:eastAsia="Times New Roman" w:hAnsi="Times New Roman" w:cs="Times New Roman"/>
          <w:color w:val="333333"/>
          <w:sz w:val="24"/>
          <w:szCs w:val="24"/>
          <w:shd w:val="clear" w:color="auto" w:fill="FFFFFF"/>
        </w:rPr>
        <w:t xml:space="preserve"> Ahmed S.</w:t>
      </w:r>
      <w:r w:rsidR="00E43D14">
        <w:rPr>
          <w:rFonts w:ascii="Times New Roman" w:eastAsia="Times New Roman" w:hAnsi="Times New Roman" w:cs="Times New Roman"/>
          <w:color w:val="333333"/>
          <w:sz w:val="24"/>
          <w:szCs w:val="24"/>
          <w:shd w:val="clear" w:color="auto" w:fill="FFFFFF"/>
        </w:rPr>
        <w:t xml:space="preserve"> Huang J, Ullah R, An B, Hao H, Dai M, Huang L, Wang X and Yuan Z (2019) </w:t>
      </w:r>
      <w:r w:rsidRPr="00F9796B">
        <w:rPr>
          <w:rFonts w:ascii="Times New Roman" w:eastAsia="Times New Roman" w:hAnsi="Times New Roman" w:cs="Times New Roman"/>
          <w:color w:val="333333"/>
          <w:sz w:val="24"/>
          <w:szCs w:val="24"/>
          <w:shd w:val="clear" w:color="auto" w:fill="FFFFFF"/>
        </w:rPr>
        <w:t>Selection and dissemination of antimicrobial resistance in Agri-food production.</w:t>
      </w:r>
      <w:r w:rsidR="00E43D14">
        <w:rPr>
          <w:rFonts w:ascii="Times New Roman" w:eastAsia="Times New Roman" w:hAnsi="Times New Roman" w:cs="Times New Roman"/>
          <w:color w:val="333333"/>
          <w:sz w:val="24"/>
          <w:szCs w:val="24"/>
          <w:shd w:val="clear" w:color="auto" w:fill="FFFFFF"/>
        </w:rPr>
        <w:t xml:space="preserve"> </w:t>
      </w:r>
      <w:r w:rsidRPr="00F9796B">
        <w:rPr>
          <w:rFonts w:ascii="Times New Roman" w:eastAsia="Times New Roman" w:hAnsi="Times New Roman" w:cs="Times New Roman"/>
          <w:i/>
          <w:iCs/>
          <w:color w:val="333333"/>
          <w:sz w:val="24"/>
          <w:szCs w:val="24"/>
        </w:rPr>
        <w:t>Antimicrob</w:t>
      </w:r>
      <w:r w:rsidR="00E43D14">
        <w:rPr>
          <w:rFonts w:ascii="Times New Roman" w:eastAsia="Times New Roman" w:hAnsi="Times New Roman" w:cs="Times New Roman"/>
          <w:i/>
          <w:iCs/>
          <w:color w:val="333333"/>
          <w:sz w:val="24"/>
          <w:szCs w:val="24"/>
        </w:rPr>
        <w:t>ial</w:t>
      </w:r>
      <w:r w:rsidRPr="00F9796B">
        <w:rPr>
          <w:rFonts w:ascii="Times New Roman" w:eastAsia="Times New Roman" w:hAnsi="Times New Roman" w:cs="Times New Roman"/>
          <w:i/>
          <w:iCs/>
          <w:color w:val="333333"/>
          <w:sz w:val="24"/>
          <w:szCs w:val="24"/>
        </w:rPr>
        <w:t xml:space="preserve"> Resist</w:t>
      </w:r>
      <w:r w:rsidR="00E43D14">
        <w:rPr>
          <w:rFonts w:ascii="Times New Roman" w:eastAsia="Times New Roman" w:hAnsi="Times New Roman" w:cs="Times New Roman"/>
          <w:i/>
          <w:iCs/>
          <w:color w:val="333333"/>
          <w:sz w:val="24"/>
          <w:szCs w:val="24"/>
        </w:rPr>
        <w:t>ance and</w:t>
      </w:r>
      <w:r w:rsidRPr="00F9796B">
        <w:rPr>
          <w:rFonts w:ascii="Times New Roman" w:eastAsia="Times New Roman" w:hAnsi="Times New Roman" w:cs="Times New Roman"/>
          <w:i/>
          <w:iCs/>
          <w:color w:val="333333"/>
          <w:sz w:val="24"/>
          <w:szCs w:val="24"/>
        </w:rPr>
        <w:t xml:space="preserve"> Infect</w:t>
      </w:r>
      <w:r w:rsidR="00E43D14">
        <w:rPr>
          <w:rFonts w:ascii="Times New Roman" w:eastAsia="Times New Roman" w:hAnsi="Times New Roman" w:cs="Times New Roman"/>
          <w:i/>
          <w:iCs/>
          <w:color w:val="333333"/>
          <w:sz w:val="24"/>
          <w:szCs w:val="24"/>
        </w:rPr>
        <w:t>ion</w:t>
      </w:r>
      <w:r w:rsidRPr="00F9796B">
        <w:rPr>
          <w:rFonts w:ascii="Times New Roman" w:eastAsia="Times New Roman" w:hAnsi="Times New Roman" w:cs="Times New Roman"/>
          <w:i/>
          <w:iCs/>
          <w:color w:val="333333"/>
          <w:sz w:val="24"/>
          <w:szCs w:val="24"/>
        </w:rPr>
        <w:t xml:space="preserve"> Control</w:t>
      </w:r>
      <w:r w:rsidR="00E43D14">
        <w:rPr>
          <w:rFonts w:ascii="Times New Roman" w:eastAsia="Times New Roman" w:hAnsi="Times New Roman" w:cs="Times New Roman"/>
          <w:color w:val="333333"/>
          <w:sz w:val="24"/>
          <w:szCs w:val="24"/>
          <w:shd w:val="clear" w:color="auto" w:fill="FFFFFF"/>
        </w:rPr>
        <w:t xml:space="preserve"> </w:t>
      </w:r>
      <w:r w:rsidRPr="00F9796B">
        <w:rPr>
          <w:rFonts w:ascii="Times New Roman" w:eastAsia="Times New Roman" w:hAnsi="Times New Roman" w:cs="Times New Roman"/>
          <w:color w:val="333333"/>
          <w:sz w:val="24"/>
          <w:szCs w:val="24"/>
        </w:rPr>
        <w:t>8</w:t>
      </w:r>
      <w:r w:rsidRPr="00F9796B">
        <w:rPr>
          <w:rFonts w:ascii="Times New Roman" w:eastAsia="Times New Roman" w:hAnsi="Times New Roman" w:cs="Times New Roman"/>
          <w:color w:val="333333"/>
          <w:sz w:val="24"/>
          <w:szCs w:val="24"/>
          <w:shd w:val="clear" w:color="auto" w:fill="FFFFFF"/>
        </w:rPr>
        <w:t>158 https://doi.org/10.1186/s13756-019-0623-2</w:t>
      </w:r>
    </w:p>
    <w:p w14:paraId="43D7498D" w14:textId="77777777" w:rsidR="00235B36" w:rsidRPr="00E43D14" w:rsidRDefault="00235B36">
      <w:pPr>
        <w:spacing w:after="0" w:line="480" w:lineRule="auto"/>
        <w:rPr>
          <w:rFonts w:ascii="Times New Roman" w:eastAsia="Times New Roman" w:hAnsi="Times New Roman" w:cs="Times New Roman"/>
          <w:sz w:val="24"/>
          <w:szCs w:val="24"/>
        </w:rPr>
      </w:pPr>
    </w:p>
    <w:p w14:paraId="2FE17057" w14:textId="22EB9C48"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Coe NM, Hess M and Yeung HWC (2004) ’Globalizing’ regional development: a global production networks perspective. </w:t>
      </w:r>
      <w:r>
        <w:rPr>
          <w:rFonts w:ascii="Times New Roman" w:eastAsia="Times New Roman" w:hAnsi="Times New Roman" w:cs="Times New Roman"/>
          <w:i/>
          <w:sz w:val="24"/>
          <w:szCs w:val="24"/>
        </w:rPr>
        <w:t>Transactions of the Institute of British Geographers</w:t>
      </w:r>
      <w:r>
        <w:rPr>
          <w:rFonts w:ascii="Times New Roman" w:eastAsia="Times New Roman" w:hAnsi="Times New Roman" w:cs="Times New Roman"/>
          <w:sz w:val="24"/>
          <w:szCs w:val="24"/>
        </w:rPr>
        <w:t xml:space="preserve"> 29 (4): 468-484.</w:t>
      </w:r>
    </w:p>
    <w:p w14:paraId="769F965D" w14:textId="77777777" w:rsidR="00FF0F1B" w:rsidRDefault="00FF0F1B">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p w14:paraId="3215449B"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DeLanda M (2006) </w:t>
      </w:r>
      <w:r>
        <w:rPr>
          <w:rFonts w:ascii="Times New Roman" w:eastAsia="Times New Roman" w:hAnsi="Times New Roman" w:cs="Times New Roman"/>
          <w:i/>
          <w:sz w:val="24"/>
          <w:szCs w:val="24"/>
        </w:rPr>
        <w:t>A New Philosophy of Society: Assemblage Theory and Social Complexity</w:t>
      </w:r>
      <w:r>
        <w:rPr>
          <w:rFonts w:ascii="Times New Roman" w:eastAsia="Times New Roman" w:hAnsi="Times New Roman" w:cs="Times New Roman"/>
          <w:sz w:val="24"/>
          <w:szCs w:val="24"/>
        </w:rPr>
        <w:t>. London: Continuum.</w:t>
      </w:r>
    </w:p>
    <w:p w14:paraId="74F5C60C" w14:textId="77777777" w:rsidR="00FF0F1B" w:rsidRDefault="00FF0F1B">
      <w:pPr>
        <w:spacing w:after="0" w:line="480" w:lineRule="auto"/>
        <w:rPr>
          <w:rFonts w:ascii="Times New Roman" w:eastAsia="Times New Roman" w:hAnsi="Times New Roman" w:cs="Times New Roman"/>
          <w:sz w:val="24"/>
          <w:szCs w:val="24"/>
        </w:rPr>
      </w:pPr>
    </w:p>
    <w:p w14:paraId="13BBAF1A" w14:textId="77777777" w:rsidR="00FF0F1B" w:rsidRDefault="00982B78">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Deleuze G and Guattari F (1987) </w:t>
      </w:r>
      <w:r>
        <w:rPr>
          <w:rFonts w:ascii="Times New Roman" w:eastAsia="Times New Roman" w:hAnsi="Times New Roman" w:cs="Times New Roman"/>
          <w:i/>
          <w:color w:val="000000"/>
          <w:sz w:val="24"/>
          <w:szCs w:val="24"/>
        </w:rPr>
        <w:t>A Thousand Plateaus: Capitalism and Schizophrenia</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Minneapolis: University of Minnesota Press.</w:t>
      </w:r>
    </w:p>
    <w:p w14:paraId="22392BEC" w14:textId="77777777" w:rsidR="00FF0F1B" w:rsidRDefault="00FF0F1B">
      <w:pPr>
        <w:spacing w:after="0" w:line="480" w:lineRule="auto"/>
        <w:rPr>
          <w:rFonts w:ascii="Times New Roman" w:eastAsia="Times New Roman" w:hAnsi="Times New Roman" w:cs="Times New Roman"/>
          <w:color w:val="000000"/>
          <w:sz w:val="24"/>
          <w:szCs w:val="24"/>
        </w:rPr>
      </w:pPr>
    </w:p>
    <w:p w14:paraId="0656CE69"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European Food Safety Authority (2015) EU Summary Report on antimicrobial resistance in zoonotic and indicator bacteria from humans, animals and food in 2013 EU. </w:t>
      </w:r>
      <w:r>
        <w:rPr>
          <w:rFonts w:ascii="Times New Roman" w:eastAsia="Times New Roman" w:hAnsi="Times New Roman" w:cs="Times New Roman"/>
          <w:i/>
          <w:sz w:val="24"/>
          <w:szCs w:val="24"/>
        </w:rPr>
        <w:t xml:space="preserve">EFSA Journal </w:t>
      </w:r>
      <w:r>
        <w:rPr>
          <w:rFonts w:ascii="Times New Roman" w:eastAsia="Times New Roman" w:hAnsi="Times New Roman" w:cs="Times New Roman"/>
          <w:sz w:val="24"/>
          <w:szCs w:val="24"/>
        </w:rPr>
        <w:t>13: 159-178.</w:t>
      </w:r>
    </w:p>
    <w:p w14:paraId="4B39452C" w14:textId="77777777" w:rsidR="00FF0F1B" w:rsidRDefault="00FF0F1B">
      <w:pPr>
        <w:spacing w:after="0" w:line="480" w:lineRule="auto"/>
        <w:rPr>
          <w:rFonts w:ascii="Times New Roman" w:eastAsia="Times New Roman" w:hAnsi="Times New Roman" w:cs="Times New Roman"/>
          <w:sz w:val="24"/>
          <w:szCs w:val="24"/>
        </w:rPr>
      </w:pPr>
    </w:p>
    <w:p w14:paraId="6F1F7735" w14:textId="49B32D69"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Food Standards Agency (2016) </w:t>
      </w:r>
      <w:r>
        <w:rPr>
          <w:rFonts w:ascii="Times New Roman" w:eastAsia="Times New Roman" w:hAnsi="Times New Roman" w:cs="Times New Roman"/>
          <w:i/>
          <w:sz w:val="24"/>
          <w:szCs w:val="24"/>
        </w:rPr>
        <w:t xml:space="preserve">Chief Scientific Adviser’s Science Report. Issue Four: Antimicrobial Resistance in the Food </w:t>
      </w:r>
      <w:r w:rsidR="002B3A14">
        <w:rPr>
          <w:rFonts w:ascii="Times New Roman" w:eastAsia="Times New Roman" w:hAnsi="Times New Roman" w:cs="Times New Roman"/>
          <w:i/>
          <w:sz w:val="24"/>
          <w:szCs w:val="24"/>
        </w:rPr>
        <w:t>Supply</w:t>
      </w:r>
      <w:r w:rsidR="008F5417">
        <w:rPr>
          <w:rFonts w:ascii="Times New Roman" w:eastAsia="Times New Roman" w:hAnsi="Times New Roman" w:cs="Times New Roman"/>
          <w:i/>
          <w:sz w:val="24"/>
          <w:szCs w:val="24"/>
        </w:rPr>
        <w:t xml:space="preserve"> C</w:t>
      </w:r>
      <w:r w:rsidR="002B3A14">
        <w:rPr>
          <w:rFonts w:ascii="Times New Roman" w:eastAsia="Times New Roman" w:hAnsi="Times New Roman" w:cs="Times New Roman"/>
          <w:i/>
          <w:sz w:val="24"/>
          <w:szCs w:val="24"/>
        </w:rPr>
        <w:t>hain</w:t>
      </w:r>
      <w:r>
        <w:rPr>
          <w:rFonts w:ascii="Times New Roman" w:eastAsia="Times New Roman" w:hAnsi="Times New Roman" w:cs="Times New Roman"/>
          <w:sz w:val="24"/>
          <w:szCs w:val="24"/>
        </w:rPr>
        <w:t>. London: Food Standards Agency.</w:t>
      </w:r>
    </w:p>
    <w:p w14:paraId="252D1E5F" w14:textId="77777777" w:rsidR="00FF0F1B" w:rsidRDefault="00FF0F1B">
      <w:pPr>
        <w:spacing w:after="0" w:line="480" w:lineRule="auto"/>
        <w:rPr>
          <w:rFonts w:ascii="Times New Roman" w:eastAsia="Times New Roman" w:hAnsi="Times New Roman" w:cs="Times New Roman"/>
          <w:sz w:val="24"/>
          <w:szCs w:val="24"/>
        </w:rPr>
      </w:pPr>
    </w:p>
    <w:p w14:paraId="4EF2EE90" w14:textId="79E202E9"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Freidberg S (2017) Big food and little data: the slow harvest of corporate food </w:t>
      </w:r>
      <w:r w:rsidR="002B3A14">
        <w:rPr>
          <w:rFonts w:ascii="Times New Roman" w:eastAsia="Times New Roman" w:hAnsi="Times New Roman" w:cs="Times New Roman"/>
          <w:sz w:val="24"/>
          <w:szCs w:val="24"/>
        </w:rPr>
        <w:t>supply</w:t>
      </w:r>
      <w:r w:rsidR="008F5417">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 sustainability initiatives. </w:t>
      </w:r>
      <w:r>
        <w:rPr>
          <w:rFonts w:ascii="Times New Roman" w:eastAsia="Times New Roman" w:hAnsi="Times New Roman" w:cs="Times New Roman"/>
          <w:i/>
          <w:sz w:val="24"/>
          <w:szCs w:val="24"/>
        </w:rPr>
        <w:t>Annals of the Association of American Geographers</w:t>
      </w:r>
      <w:r>
        <w:rPr>
          <w:rFonts w:ascii="Times New Roman" w:eastAsia="Times New Roman" w:hAnsi="Times New Roman" w:cs="Times New Roman"/>
          <w:sz w:val="24"/>
          <w:szCs w:val="24"/>
        </w:rPr>
        <w:t xml:space="preserve"> 107 (6): 1389-1406.</w:t>
      </w:r>
    </w:p>
    <w:p w14:paraId="58B6F229" w14:textId="77777777" w:rsidR="00FF0F1B" w:rsidRDefault="00FF0F1B">
      <w:pPr>
        <w:spacing w:after="0" w:line="480" w:lineRule="auto"/>
        <w:rPr>
          <w:rFonts w:ascii="Times New Roman" w:eastAsia="Times New Roman" w:hAnsi="Times New Roman" w:cs="Times New Roman"/>
          <w:sz w:val="24"/>
          <w:szCs w:val="24"/>
        </w:rPr>
      </w:pPr>
    </w:p>
    <w:p w14:paraId="7D7505A7"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Friedmann H (1993) The political economy of food: a global crisis. </w:t>
      </w:r>
      <w:r>
        <w:rPr>
          <w:rFonts w:ascii="Times New Roman" w:eastAsia="Times New Roman" w:hAnsi="Times New Roman" w:cs="Times New Roman"/>
          <w:i/>
          <w:sz w:val="24"/>
          <w:szCs w:val="24"/>
        </w:rPr>
        <w:t>New Left Review</w:t>
      </w:r>
      <w:r>
        <w:rPr>
          <w:rFonts w:ascii="Times New Roman" w:eastAsia="Times New Roman" w:hAnsi="Times New Roman" w:cs="Times New Roman"/>
          <w:sz w:val="24"/>
          <w:szCs w:val="24"/>
        </w:rPr>
        <w:t xml:space="preserve"> 197: 29-57.</w:t>
      </w:r>
    </w:p>
    <w:p w14:paraId="0D66D40D" w14:textId="77777777" w:rsidR="00FF0F1B" w:rsidRDefault="00FF0F1B">
      <w:pPr>
        <w:spacing w:after="0" w:line="480" w:lineRule="auto"/>
        <w:rPr>
          <w:rFonts w:ascii="Times New Roman" w:eastAsia="Times New Roman" w:hAnsi="Times New Roman" w:cs="Times New Roman"/>
          <w:sz w:val="24"/>
          <w:szCs w:val="24"/>
        </w:rPr>
      </w:pPr>
    </w:p>
    <w:p w14:paraId="02AE444A" w14:textId="77777777" w:rsidR="00F24325" w:rsidRDefault="00982B78" w:rsidP="00F2432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Gereffi G, Humphrey J and Sturgeon T (2005) The governance of global value chains </w:t>
      </w:r>
      <w:r>
        <w:rPr>
          <w:rFonts w:ascii="Times New Roman" w:eastAsia="Times New Roman" w:hAnsi="Times New Roman" w:cs="Times New Roman"/>
          <w:i/>
          <w:sz w:val="24"/>
          <w:szCs w:val="24"/>
        </w:rPr>
        <w:t>Review of International Political Economy</w:t>
      </w:r>
      <w:r>
        <w:rPr>
          <w:rFonts w:ascii="Times New Roman" w:eastAsia="Times New Roman" w:hAnsi="Times New Roman" w:cs="Times New Roman"/>
          <w:sz w:val="24"/>
          <w:szCs w:val="24"/>
        </w:rPr>
        <w:t xml:space="preserve"> 12 (1): 78-104.</w:t>
      </w:r>
    </w:p>
    <w:p w14:paraId="7AFE92DE" w14:textId="77777777" w:rsidR="00F24325" w:rsidRDefault="00F24325" w:rsidP="00F24325">
      <w:pPr>
        <w:spacing w:after="0" w:line="480" w:lineRule="auto"/>
        <w:rPr>
          <w:rFonts w:ascii="Times New Roman" w:eastAsia="Times New Roman" w:hAnsi="Times New Roman" w:cs="Times New Roman"/>
          <w:sz w:val="24"/>
          <w:szCs w:val="24"/>
        </w:rPr>
      </w:pPr>
    </w:p>
    <w:p w14:paraId="1747D4DD" w14:textId="7658644A" w:rsidR="00F24325" w:rsidRPr="00F24325" w:rsidRDefault="00F24325">
      <w:pPr>
        <w:spacing w:after="0" w:line="480" w:lineRule="auto"/>
        <w:rPr>
          <w:rFonts w:ascii="Times New Roman" w:eastAsia="Times New Roman" w:hAnsi="Times New Roman" w:cs="Times New Roman"/>
          <w:sz w:val="24"/>
          <w:szCs w:val="24"/>
        </w:rPr>
      </w:pPr>
      <w:r w:rsidRPr="00F24325">
        <w:rPr>
          <w:rFonts w:ascii="Times New Roman" w:eastAsia="Times New Roman" w:hAnsi="Times New Roman" w:cs="Times New Roman"/>
          <w:sz w:val="24"/>
          <w:szCs w:val="24"/>
        </w:rPr>
        <w:t xml:space="preserve">Graham DW, Bergeron G and Bourassa MW (2019) </w:t>
      </w:r>
      <w:r w:rsidRPr="00F24325">
        <w:rPr>
          <w:rFonts w:ascii="Times New Roman" w:hAnsi="Times New Roman" w:cs="Times New Roman"/>
          <w:color w:val="000000"/>
          <w:sz w:val="24"/>
          <w:szCs w:val="24"/>
        </w:rPr>
        <w:t>Complexities in understanding antimicrobial resistance across domesticated animal, human, and environmental systems</w:t>
      </w:r>
      <w:r>
        <w:rPr>
          <w:rFonts w:ascii="Times New Roman" w:hAnsi="Times New Roman" w:cs="Times New Roman"/>
          <w:color w:val="000000"/>
          <w:sz w:val="24"/>
          <w:szCs w:val="24"/>
        </w:rPr>
        <w:t xml:space="preserve">. </w:t>
      </w:r>
      <w:r w:rsidRPr="00F24325">
        <w:rPr>
          <w:rFonts w:ascii="Times New Roman" w:hAnsi="Times New Roman" w:cs="Times New Roman"/>
          <w:i/>
          <w:iCs/>
          <w:color w:val="000000"/>
          <w:sz w:val="24"/>
          <w:szCs w:val="24"/>
        </w:rPr>
        <w:t>Annals of the New York Academy of Sciences</w:t>
      </w:r>
      <w:r>
        <w:rPr>
          <w:rFonts w:ascii="Times New Roman" w:hAnsi="Times New Roman" w:cs="Times New Roman"/>
          <w:color w:val="000000"/>
          <w:sz w:val="24"/>
          <w:szCs w:val="24"/>
        </w:rPr>
        <w:t xml:space="preserve"> 1441 (1): 17-30.</w:t>
      </w:r>
    </w:p>
    <w:p w14:paraId="5FFC0538" w14:textId="77777777" w:rsidR="00FF0F1B" w:rsidRPr="00F24325" w:rsidRDefault="00FF0F1B">
      <w:pPr>
        <w:spacing w:after="0" w:line="480" w:lineRule="auto"/>
        <w:rPr>
          <w:rFonts w:ascii="Times New Roman" w:eastAsia="Times New Roman" w:hAnsi="Times New Roman" w:cs="Times New Roman"/>
          <w:sz w:val="24"/>
          <w:szCs w:val="24"/>
        </w:rPr>
      </w:pPr>
    </w:p>
    <w:p w14:paraId="7CD9B884" w14:textId="6E96A8D1"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Harvey F (2017) Marks &amp; Spencer is first supermarket to publish data on antibiotics in </w:t>
      </w:r>
      <w:r w:rsidR="002B3A14">
        <w:rPr>
          <w:rFonts w:ascii="Times New Roman" w:eastAsia="Times New Roman" w:hAnsi="Times New Roman" w:cs="Times New Roman"/>
          <w:sz w:val="24"/>
          <w:szCs w:val="24"/>
        </w:rPr>
        <w:t>supply</w:t>
      </w:r>
      <w:r w:rsidR="008F5417">
        <w:rPr>
          <w:rFonts w:ascii="Times New Roman" w:eastAsia="Times New Roman" w:hAnsi="Times New Roman" w:cs="Times New Roman"/>
          <w:sz w:val="24"/>
          <w:szCs w:val="24"/>
        </w:rPr>
        <w:t xml:space="preserve"> </w:t>
      </w:r>
      <w:r w:rsidR="002B3A14">
        <w:rPr>
          <w:rFonts w:ascii="Times New Roman" w:eastAsia="Times New Roman" w:hAnsi="Times New Roman" w:cs="Times New Roman"/>
          <w:sz w:val="24"/>
          <w:szCs w:val="24"/>
        </w:rPr>
        <w:t>chain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20 December.</w:t>
      </w:r>
    </w:p>
    <w:p w14:paraId="47889E5B" w14:textId="77777777" w:rsidR="00FF0F1B" w:rsidRDefault="00FF0F1B">
      <w:pPr>
        <w:spacing w:after="0" w:line="480" w:lineRule="auto"/>
        <w:rPr>
          <w:rFonts w:ascii="Times New Roman" w:eastAsia="Times New Roman" w:hAnsi="Times New Roman" w:cs="Times New Roman"/>
          <w:sz w:val="24"/>
          <w:szCs w:val="24"/>
        </w:rPr>
      </w:pPr>
    </w:p>
    <w:p w14:paraId="70AAE45D" w14:textId="1F5E7039" w:rsidR="001F5D3F" w:rsidRPr="001F5D3F" w:rsidRDefault="001F5D3F">
      <w:pPr>
        <w:spacing w:after="0" w:line="480" w:lineRule="auto"/>
        <w:rPr>
          <w:rFonts w:ascii="Times New Roman" w:eastAsia="Times New Roman" w:hAnsi="Times New Roman" w:cs="Times New Roman"/>
          <w:sz w:val="24"/>
          <w:szCs w:val="24"/>
        </w:rPr>
      </w:pPr>
      <w:r w:rsidRPr="001F5D3F">
        <w:rPr>
          <w:rFonts w:ascii="Times New Roman" w:eastAsia="Times New Roman" w:hAnsi="Times New Roman" w:cs="Times New Roman"/>
          <w:color w:val="000000"/>
          <w:sz w:val="24"/>
          <w:szCs w:val="24"/>
          <w:highlight w:val="white"/>
        </w:rPr>
        <w:t>Highmore CJ, Warner JC, Rothwell SD, Wilks SA</w:t>
      </w:r>
      <w:r>
        <w:rPr>
          <w:rFonts w:ascii="Times New Roman" w:eastAsia="Times New Roman" w:hAnsi="Times New Roman" w:cs="Times New Roman"/>
          <w:color w:val="000000"/>
          <w:sz w:val="24"/>
          <w:szCs w:val="24"/>
          <w:highlight w:val="white"/>
        </w:rPr>
        <w:t xml:space="preserve"> and </w:t>
      </w:r>
      <w:r w:rsidRPr="001F5D3F">
        <w:rPr>
          <w:rFonts w:ascii="Times New Roman" w:eastAsia="Times New Roman" w:hAnsi="Times New Roman" w:cs="Times New Roman"/>
          <w:color w:val="000000"/>
          <w:sz w:val="24"/>
          <w:szCs w:val="24"/>
          <w:highlight w:val="white"/>
        </w:rPr>
        <w:t>Keevil CW</w:t>
      </w:r>
      <w:r>
        <w:rPr>
          <w:rFonts w:ascii="Times New Roman" w:eastAsia="Times New Roman" w:hAnsi="Times New Roman" w:cs="Times New Roman"/>
          <w:color w:val="000000"/>
          <w:sz w:val="24"/>
          <w:szCs w:val="24"/>
          <w:highlight w:val="white"/>
        </w:rPr>
        <w:t xml:space="preserve"> (</w:t>
      </w:r>
      <w:r w:rsidRPr="001F5D3F">
        <w:rPr>
          <w:rFonts w:ascii="Times New Roman" w:eastAsia="Times New Roman" w:hAnsi="Times New Roman" w:cs="Times New Roman"/>
          <w:color w:val="000000"/>
          <w:sz w:val="24"/>
          <w:szCs w:val="24"/>
          <w:highlight w:val="white"/>
        </w:rPr>
        <w:t>2018</w:t>
      </w:r>
      <w:r>
        <w:rPr>
          <w:rFonts w:ascii="Times New Roman" w:eastAsia="Times New Roman" w:hAnsi="Times New Roman" w:cs="Times New Roman"/>
          <w:color w:val="000000"/>
          <w:sz w:val="24"/>
          <w:szCs w:val="24"/>
          <w:highlight w:val="white"/>
        </w:rPr>
        <w:t>)</w:t>
      </w:r>
      <w:r w:rsidRPr="001F5D3F">
        <w:rPr>
          <w:rFonts w:ascii="Times New Roman" w:eastAsia="Times New Roman" w:hAnsi="Times New Roman" w:cs="Times New Roman"/>
          <w:color w:val="000000"/>
          <w:sz w:val="24"/>
          <w:szCs w:val="24"/>
          <w:highlight w:val="white"/>
        </w:rPr>
        <w:t xml:space="preserve"> Viable-but-nonculturable</w:t>
      </w:r>
      <w:r>
        <w:rPr>
          <w:rFonts w:ascii="Times New Roman" w:eastAsia="Times New Roman" w:hAnsi="Times New Roman" w:cs="Times New Roman"/>
          <w:color w:val="000000"/>
          <w:sz w:val="24"/>
          <w:szCs w:val="24"/>
          <w:highlight w:val="white"/>
        </w:rPr>
        <w:t xml:space="preserve"> </w:t>
      </w:r>
      <w:r w:rsidRPr="001F5D3F">
        <w:rPr>
          <w:rFonts w:ascii="Times New Roman" w:eastAsia="Times New Roman" w:hAnsi="Times New Roman" w:cs="Times New Roman"/>
          <w:i/>
          <w:color w:val="000000"/>
          <w:sz w:val="24"/>
          <w:szCs w:val="24"/>
          <w:highlight w:val="white"/>
        </w:rPr>
        <w:t>Listeria monocytogenes</w:t>
      </w:r>
      <w:r>
        <w:rPr>
          <w:rFonts w:ascii="Times New Roman" w:eastAsia="Times New Roman" w:hAnsi="Times New Roman" w:cs="Times New Roman"/>
          <w:color w:val="000000"/>
          <w:sz w:val="24"/>
          <w:szCs w:val="24"/>
          <w:highlight w:val="white"/>
        </w:rPr>
        <w:t xml:space="preserve"> </w:t>
      </w:r>
      <w:r w:rsidRPr="001F5D3F">
        <w:rPr>
          <w:rFonts w:ascii="Times New Roman" w:eastAsia="Times New Roman" w:hAnsi="Times New Roman" w:cs="Times New Roman"/>
          <w:color w:val="000000"/>
          <w:sz w:val="24"/>
          <w:szCs w:val="24"/>
          <w:highlight w:val="white"/>
        </w:rPr>
        <w:t>and</w:t>
      </w:r>
      <w:r>
        <w:rPr>
          <w:rFonts w:ascii="Times New Roman" w:eastAsia="Times New Roman" w:hAnsi="Times New Roman" w:cs="Times New Roman"/>
          <w:color w:val="000000"/>
          <w:sz w:val="24"/>
          <w:szCs w:val="24"/>
          <w:highlight w:val="white"/>
        </w:rPr>
        <w:t xml:space="preserve"> </w:t>
      </w:r>
      <w:r w:rsidRPr="001F5D3F">
        <w:rPr>
          <w:rFonts w:ascii="Times New Roman" w:eastAsia="Times New Roman" w:hAnsi="Times New Roman" w:cs="Times New Roman"/>
          <w:i/>
          <w:color w:val="000000"/>
          <w:sz w:val="24"/>
          <w:szCs w:val="24"/>
          <w:highlight w:val="white"/>
        </w:rPr>
        <w:t>Salmonella enterica</w:t>
      </w:r>
      <w:r>
        <w:rPr>
          <w:rFonts w:ascii="Times New Roman" w:eastAsia="Times New Roman" w:hAnsi="Times New Roman" w:cs="Times New Roman"/>
          <w:color w:val="000000"/>
          <w:sz w:val="24"/>
          <w:szCs w:val="24"/>
          <w:highlight w:val="white"/>
        </w:rPr>
        <w:t xml:space="preserve"> S</w:t>
      </w:r>
      <w:r w:rsidRPr="001F5D3F">
        <w:rPr>
          <w:rFonts w:ascii="Times New Roman" w:eastAsia="Times New Roman" w:hAnsi="Times New Roman" w:cs="Times New Roman"/>
          <w:color w:val="000000"/>
          <w:sz w:val="24"/>
          <w:szCs w:val="24"/>
          <w:highlight w:val="white"/>
        </w:rPr>
        <w:t>erovar Thompson induced by chlorine stress remain infectious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American Society for Microbiology</w:t>
      </w:r>
      <w:r>
        <w:rPr>
          <w:rFonts w:ascii="Times New Roman" w:eastAsia="Times New Roman" w:hAnsi="Times New Roman" w:cs="Times New Roman"/>
          <w:color w:val="000000"/>
          <w:sz w:val="24"/>
          <w:szCs w:val="24"/>
        </w:rPr>
        <w:t xml:space="preserve"> 9: </w:t>
      </w:r>
      <w:r w:rsidRPr="001F5D3F">
        <w:rPr>
          <w:rFonts w:ascii="Times New Roman" w:hAnsi="Times New Roman" w:cs="Times New Roman"/>
          <w:sz w:val="24"/>
          <w:szCs w:val="24"/>
        </w:rPr>
        <w:t>e00540-18.</w:t>
      </w:r>
    </w:p>
    <w:p w14:paraId="2DEE5588" w14:textId="77777777" w:rsidR="001F5D3F" w:rsidRPr="001F5D3F" w:rsidRDefault="001F5D3F">
      <w:pPr>
        <w:spacing w:after="0" w:line="480" w:lineRule="auto"/>
        <w:rPr>
          <w:rFonts w:ascii="Times New Roman" w:eastAsia="Times New Roman" w:hAnsi="Times New Roman" w:cs="Times New Roman"/>
          <w:sz w:val="24"/>
          <w:szCs w:val="24"/>
        </w:rPr>
      </w:pPr>
    </w:p>
    <w:p w14:paraId="790E8167"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Hinchliffe SJ (2015) More than one world more than one health: reconfiguring inter-species health. </w:t>
      </w:r>
      <w:r>
        <w:rPr>
          <w:rFonts w:ascii="Times New Roman" w:eastAsia="Times New Roman" w:hAnsi="Times New Roman" w:cs="Times New Roman"/>
          <w:i/>
          <w:sz w:val="24"/>
          <w:szCs w:val="24"/>
        </w:rPr>
        <w:t>Social Science and Medicine</w:t>
      </w:r>
      <w:r>
        <w:rPr>
          <w:rFonts w:ascii="Times New Roman" w:eastAsia="Times New Roman" w:hAnsi="Times New Roman" w:cs="Times New Roman"/>
          <w:sz w:val="24"/>
          <w:szCs w:val="24"/>
        </w:rPr>
        <w:t xml:space="preserve"> 129: 28-35.</w:t>
      </w:r>
    </w:p>
    <w:p w14:paraId="3C8746B4" w14:textId="77777777" w:rsidR="00FF0F1B" w:rsidRDefault="00FF0F1B">
      <w:pPr>
        <w:spacing w:after="0" w:line="480" w:lineRule="auto"/>
        <w:rPr>
          <w:rFonts w:ascii="Times New Roman" w:eastAsia="Times New Roman" w:hAnsi="Times New Roman" w:cs="Times New Roman"/>
          <w:sz w:val="24"/>
          <w:szCs w:val="24"/>
        </w:rPr>
      </w:pPr>
    </w:p>
    <w:p w14:paraId="2CB02BA7" w14:textId="59C1D2DF"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Hinchliffe S, Bingham N, Allen J and Carter S (2017) </w:t>
      </w:r>
      <w:r>
        <w:rPr>
          <w:rFonts w:ascii="Times New Roman" w:eastAsia="Times New Roman" w:hAnsi="Times New Roman" w:cs="Times New Roman"/>
          <w:i/>
          <w:sz w:val="24"/>
          <w:szCs w:val="24"/>
        </w:rPr>
        <w:t>Pathological Lives: Disease, Space and Biopolitics</w:t>
      </w:r>
      <w:r>
        <w:rPr>
          <w:rFonts w:ascii="Times New Roman" w:eastAsia="Times New Roman" w:hAnsi="Times New Roman" w:cs="Times New Roman"/>
          <w:sz w:val="24"/>
          <w:szCs w:val="24"/>
        </w:rPr>
        <w:t>. Chichester: Wiley Blackwell.</w:t>
      </w:r>
    </w:p>
    <w:p w14:paraId="7BC38CF9" w14:textId="1804361A" w:rsidR="00F14F20" w:rsidRDefault="00F14F20">
      <w:pPr>
        <w:spacing w:after="0" w:line="480" w:lineRule="auto"/>
        <w:rPr>
          <w:rFonts w:ascii="Times New Roman" w:eastAsia="Times New Roman" w:hAnsi="Times New Roman" w:cs="Times New Roman"/>
          <w:sz w:val="24"/>
          <w:szCs w:val="24"/>
        </w:rPr>
      </w:pPr>
    </w:p>
    <w:p w14:paraId="749C50D8" w14:textId="7A762C1E" w:rsidR="00F14F20" w:rsidRPr="00F14F20" w:rsidRDefault="00F14F2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 Government (2016) </w:t>
      </w:r>
      <w:r>
        <w:rPr>
          <w:rFonts w:ascii="Times New Roman" w:eastAsia="Times New Roman" w:hAnsi="Times New Roman" w:cs="Times New Roman"/>
          <w:i/>
          <w:iCs/>
          <w:sz w:val="24"/>
          <w:szCs w:val="24"/>
        </w:rPr>
        <w:t>Government Response to the Review on Antimicrobial Resistance</w:t>
      </w:r>
      <w:r>
        <w:rPr>
          <w:rFonts w:ascii="Times New Roman" w:eastAsia="Times New Roman" w:hAnsi="Times New Roman" w:cs="Times New Roman"/>
          <w:sz w:val="24"/>
          <w:szCs w:val="24"/>
        </w:rPr>
        <w:t xml:space="preserve"> (published September 2016) pp. 33.</w:t>
      </w:r>
    </w:p>
    <w:p w14:paraId="7D876B59" w14:textId="77777777" w:rsidR="00FF0F1B" w:rsidRDefault="00FF0F1B">
      <w:pPr>
        <w:spacing w:after="0" w:line="480" w:lineRule="auto"/>
        <w:rPr>
          <w:rFonts w:ascii="Times New Roman" w:eastAsia="Times New Roman" w:hAnsi="Times New Roman" w:cs="Times New Roman"/>
          <w:sz w:val="24"/>
          <w:szCs w:val="24"/>
        </w:rPr>
      </w:pPr>
    </w:p>
    <w:p w14:paraId="4F2E32B0" w14:textId="60BFC037" w:rsidR="00FF0F1B" w:rsidRDefault="00982B78">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 Government (2019</w:t>
      </w:r>
      <w:r w:rsidR="008C015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Tackling Antimicrobial Resistance 2019–2024: The UK’s Five-Year National Action Plan</w:t>
      </w:r>
      <w:r>
        <w:rPr>
          <w:rFonts w:ascii="Times New Roman" w:eastAsia="Times New Roman" w:hAnsi="Times New Roman" w:cs="Times New Roman"/>
          <w:sz w:val="24"/>
          <w:szCs w:val="24"/>
        </w:rPr>
        <w:t xml:space="preserve"> (published January 2019) pp. 98.</w:t>
      </w:r>
    </w:p>
    <w:p w14:paraId="279C7259" w14:textId="37DB8D0F" w:rsidR="00390A6E" w:rsidRDefault="00390A6E">
      <w:pPr>
        <w:shd w:val="clear" w:color="auto" w:fill="FFFFFF"/>
        <w:spacing w:after="0" w:line="480" w:lineRule="auto"/>
        <w:rPr>
          <w:rFonts w:ascii="Times New Roman" w:eastAsia="Times New Roman" w:hAnsi="Times New Roman" w:cs="Times New Roman"/>
          <w:sz w:val="24"/>
          <w:szCs w:val="24"/>
        </w:rPr>
      </w:pPr>
    </w:p>
    <w:p w14:paraId="7CBF5249" w14:textId="373DDB1E" w:rsidR="00390A6E" w:rsidRDefault="00390A6E">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 Government (2019</w:t>
      </w:r>
      <w:r w:rsidR="008C015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Contained and Controlled: the UK’s 20-Year Vision for Antimicrobial Resistance</w:t>
      </w:r>
      <w:r>
        <w:rPr>
          <w:rFonts w:ascii="Times New Roman" w:eastAsia="Times New Roman" w:hAnsi="Times New Roman" w:cs="Times New Roman"/>
          <w:sz w:val="24"/>
          <w:szCs w:val="24"/>
        </w:rPr>
        <w:t xml:space="preserve"> (published January 2019) pp. 19.</w:t>
      </w:r>
    </w:p>
    <w:p w14:paraId="3A5B5F6E" w14:textId="77777777" w:rsidR="00FF0F1B" w:rsidRDefault="00FF0F1B">
      <w:pPr>
        <w:shd w:val="clear" w:color="auto" w:fill="FFFFFF"/>
        <w:spacing w:after="0" w:line="480" w:lineRule="auto"/>
        <w:rPr>
          <w:rFonts w:ascii="Times New Roman" w:eastAsia="Times New Roman" w:hAnsi="Times New Roman" w:cs="Times New Roman"/>
          <w:sz w:val="24"/>
          <w:szCs w:val="24"/>
        </w:rPr>
      </w:pPr>
    </w:p>
    <w:p w14:paraId="725A0F66" w14:textId="201CE6AB"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Horner R (2017) Beyond facilitator? State roles in global value chains and global production networks. </w:t>
      </w:r>
      <w:r>
        <w:rPr>
          <w:rFonts w:ascii="Times New Roman" w:eastAsia="Times New Roman" w:hAnsi="Times New Roman" w:cs="Times New Roman"/>
          <w:i/>
          <w:sz w:val="24"/>
          <w:szCs w:val="24"/>
        </w:rPr>
        <w:t>Geography Compass</w:t>
      </w:r>
      <w:r>
        <w:rPr>
          <w:rFonts w:ascii="Times New Roman" w:eastAsia="Times New Roman" w:hAnsi="Times New Roman" w:cs="Times New Roman"/>
          <w:sz w:val="24"/>
          <w:szCs w:val="24"/>
        </w:rPr>
        <w:t xml:space="preserve"> 11: 1-13.Khomami N (2016) One in four supermarket chicken samples contain antibiotic-resistant E coli </w:t>
      </w:r>
      <w:r>
        <w:rPr>
          <w:rFonts w:ascii="Times New Roman" w:eastAsia="Times New Roman" w:hAnsi="Times New Roman" w:cs="Times New Roman"/>
          <w:i/>
          <w:sz w:val="24"/>
          <w:szCs w:val="24"/>
        </w:rPr>
        <w:t xml:space="preserve">The Guardian </w:t>
      </w:r>
      <w:r>
        <w:rPr>
          <w:rFonts w:ascii="Times New Roman" w:eastAsia="Times New Roman" w:hAnsi="Times New Roman" w:cs="Times New Roman"/>
          <w:sz w:val="24"/>
          <w:szCs w:val="24"/>
        </w:rPr>
        <w:t>5th September 2016.</w:t>
      </w:r>
    </w:p>
    <w:p w14:paraId="040DC182" w14:textId="77777777" w:rsidR="00FF0F1B" w:rsidRDefault="00FF0F1B">
      <w:pPr>
        <w:spacing w:after="0" w:line="480" w:lineRule="auto"/>
        <w:rPr>
          <w:rFonts w:ascii="Times New Roman" w:eastAsia="Times New Roman" w:hAnsi="Times New Roman" w:cs="Times New Roman"/>
          <w:sz w:val="24"/>
          <w:szCs w:val="24"/>
        </w:rPr>
      </w:pPr>
    </w:p>
    <w:p w14:paraId="1EC538AC"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Kirchhelle C (2020) </w:t>
      </w:r>
      <w:r>
        <w:rPr>
          <w:rFonts w:ascii="Times New Roman" w:eastAsia="Times New Roman" w:hAnsi="Times New Roman" w:cs="Times New Roman"/>
          <w:i/>
          <w:sz w:val="24"/>
          <w:szCs w:val="24"/>
        </w:rPr>
        <w:t>Pyrrhic Progress: The History of Antibiotics in Anglo-American Food Production</w:t>
      </w:r>
      <w:r>
        <w:rPr>
          <w:rFonts w:ascii="Times New Roman" w:eastAsia="Times New Roman" w:hAnsi="Times New Roman" w:cs="Times New Roman"/>
          <w:sz w:val="24"/>
          <w:szCs w:val="24"/>
        </w:rPr>
        <w:t>. New Brunswick, Newark, and London: Rutgers University Press.</w:t>
      </w:r>
    </w:p>
    <w:p w14:paraId="0F1BEAEA" w14:textId="77777777" w:rsidR="00FF0F1B" w:rsidRDefault="00FF0F1B">
      <w:pPr>
        <w:spacing w:after="0" w:line="480" w:lineRule="auto"/>
        <w:rPr>
          <w:rFonts w:ascii="Times New Roman" w:eastAsia="Times New Roman" w:hAnsi="Times New Roman" w:cs="Times New Roman"/>
          <w:sz w:val="24"/>
          <w:szCs w:val="24"/>
        </w:rPr>
      </w:pPr>
    </w:p>
    <w:p w14:paraId="3D0FD0F9"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 T, Barling D and Caraher M (2009) </w:t>
      </w:r>
      <w:r>
        <w:rPr>
          <w:rFonts w:ascii="Times New Roman" w:eastAsia="Times New Roman" w:hAnsi="Times New Roman" w:cs="Times New Roman"/>
          <w:i/>
          <w:sz w:val="24"/>
          <w:szCs w:val="24"/>
        </w:rPr>
        <w:t>Food Policy: Integrating Health, Environment and Society</w:t>
      </w:r>
      <w:r>
        <w:rPr>
          <w:rFonts w:ascii="Times New Roman" w:eastAsia="Times New Roman" w:hAnsi="Times New Roman" w:cs="Times New Roman"/>
          <w:sz w:val="24"/>
          <w:szCs w:val="24"/>
        </w:rPr>
        <w:t>. Oxford: Oxford University Press.</w:t>
      </w:r>
    </w:p>
    <w:p w14:paraId="22D0C29D" w14:textId="77777777" w:rsidR="00FF0F1B" w:rsidRDefault="00FF0F1B">
      <w:pPr>
        <w:spacing w:after="0" w:line="480" w:lineRule="auto"/>
        <w:rPr>
          <w:rFonts w:ascii="Times New Roman" w:eastAsia="Times New Roman" w:hAnsi="Times New Roman" w:cs="Times New Roman"/>
          <w:sz w:val="24"/>
          <w:szCs w:val="24"/>
        </w:rPr>
      </w:pPr>
    </w:p>
    <w:p w14:paraId="3DC6D8ED"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Lewis N, Le Heron R, Campbell H, Henry M, Le Heron E, Pawson E, Perkins H, Roche M and Rosin C (2013) Assembling biological economies: region-shaping initiatives in making and retaining value. </w:t>
      </w:r>
      <w:r>
        <w:rPr>
          <w:rFonts w:ascii="Times New Roman" w:eastAsia="Times New Roman" w:hAnsi="Times New Roman" w:cs="Times New Roman"/>
          <w:i/>
          <w:sz w:val="24"/>
          <w:szCs w:val="24"/>
        </w:rPr>
        <w:t>New Zealand Geographer</w:t>
      </w:r>
      <w:r>
        <w:rPr>
          <w:rFonts w:ascii="Times New Roman" w:eastAsia="Times New Roman" w:hAnsi="Times New Roman" w:cs="Times New Roman"/>
          <w:sz w:val="24"/>
          <w:szCs w:val="24"/>
        </w:rPr>
        <w:t xml:space="preserve"> 69: 180-196.</w:t>
      </w:r>
    </w:p>
    <w:p w14:paraId="107CD86A" w14:textId="77777777" w:rsidR="00FF0F1B" w:rsidRDefault="00FF0F1B">
      <w:pPr>
        <w:spacing w:after="0" w:line="480" w:lineRule="auto"/>
        <w:rPr>
          <w:rFonts w:ascii="Times New Roman" w:eastAsia="Times New Roman" w:hAnsi="Times New Roman" w:cs="Times New Roman"/>
          <w:sz w:val="24"/>
          <w:szCs w:val="24"/>
        </w:rPr>
      </w:pPr>
    </w:p>
    <w:p w14:paraId="20870598" w14:textId="6245973E"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Marsden T, Lee R, Flynn A and Thankappan S (2009) </w:t>
      </w:r>
      <w:r>
        <w:rPr>
          <w:rFonts w:ascii="Times New Roman" w:eastAsia="Times New Roman" w:hAnsi="Times New Roman" w:cs="Times New Roman"/>
          <w:i/>
          <w:sz w:val="24"/>
          <w:szCs w:val="24"/>
        </w:rPr>
        <w:t>The New Regulation and Governance of Food: Beyond the Food Crisis?</w:t>
      </w:r>
      <w:r>
        <w:rPr>
          <w:rFonts w:ascii="Times New Roman" w:eastAsia="Times New Roman" w:hAnsi="Times New Roman" w:cs="Times New Roman"/>
          <w:sz w:val="24"/>
          <w:szCs w:val="24"/>
        </w:rPr>
        <w:t xml:space="preserve"> London: Routledge.</w:t>
      </w:r>
    </w:p>
    <w:p w14:paraId="610E4AE3" w14:textId="22C80FEC" w:rsidR="00FF0F1B" w:rsidRDefault="00FF0F1B">
      <w:pPr>
        <w:spacing w:after="0" w:line="480" w:lineRule="auto"/>
        <w:rPr>
          <w:rFonts w:ascii="Times New Roman" w:eastAsia="Times New Roman" w:hAnsi="Times New Roman" w:cs="Times New Roman"/>
          <w:sz w:val="24"/>
          <w:szCs w:val="24"/>
        </w:rPr>
      </w:pPr>
    </w:p>
    <w:p w14:paraId="7C5BC3F9"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Nadvi K. (2008) Global standards, global governance and the organisation of global value chains. </w:t>
      </w:r>
      <w:r>
        <w:rPr>
          <w:rFonts w:ascii="Times New Roman" w:eastAsia="Times New Roman" w:hAnsi="Times New Roman" w:cs="Times New Roman"/>
          <w:i/>
          <w:sz w:val="24"/>
          <w:szCs w:val="24"/>
        </w:rPr>
        <w:t>Journal of Economic Geography</w:t>
      </w:r>
      <w:r>
        <w:rPr>
          <w:rFonts w:ascii="Times New Roman" w:eastAsia="Times New Roman" w:hAnsi="Times New Roman" w:cs="Times New Roman"/>
          <w:sz w:val="24"/>
          <w:szCs w:val="24"/>
        </w:rPr>
        <w:t xml:space="preserve"> 8(3): 323-343.</w:t>
      </w:r>
    </w:p>
    <w:p w14:paraId="677A1BAB" w14:textId="77777777" w:rsidR="00FF0F1B" w:rsidRDefault="00FF0F1B">
      <w:pPr>
        <w:spacing w:after="0" w:line="480" w:lineRule="auto"/>
        <w:rPr>
          <w:rFonts w:ascii="Times New Roman" w:eastAsia="Times New Roman" w:hAnsi="Times New Roman" w:cs="Times New Roman"/>
          <w:sz w:val="24"/>
          <w:szCs w:val="24"/>
        </w:rPr>
      </w:pPr>
    </w:p>
    <w:p w14:paraId="528464D5"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O’Neill J (2016) </w:t>
      </w:r>
      <w:r>
        <w:rPr>
          <w:rFonts w:ascii="Times New Roman" w:eastAsia="Times New Roman" w:hAnsi="Times New Roman" w:cs="Times New Roman"/>
          <w:i/>
          <w:sz w:val="24"/>
          <w:szCs w:val="24"/>
        </w:rPr>
        <w:t>Tackling Drug-Resistant Infections Globally: Final Report and Recommendations</w:t>
      </w:r>
      <w:r>
        <w:rPr>
          <w:rFonts w:ascii="Times New Roman" w:eastAsia="Times New Roman" w:hAnsi="Times New Roman" w:cs="Times New Roman"/>
          <w:sz w:val="24"/>
          <w:szCs w:val="24"/>
        </w:rPr>
        <w:t>. Report, May.</w:t>
      </w:r>
    </w:p>
    <w:p w14:paraId="3C1D26EE" w14:textId="77777777" w:rsidR="00FF0F1B" w:rsidRDefault="00FF0F1B">
      <w:pPr>
        <w:spacing w:after="0" w:line="480" w:lineRule="auto"/>
        <w:rPr>
          <w:rFonts w:ascii="Times New Roman" w:eastAsia="Times New Roman" w:hAnsi="Times New Roman" w:cs="Times New Roman"/>
          <w:sz w:val="24"/>
          <w:szCs w:val="24"/>
        </w:rPr>
      </w:pPr>
    </w:p>
    <w:p w14:paraId="456B5359"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Ouma S (2015) </w:t>
      </w:r>
      <w:r>
        <w:rPr>
          <w:rFonts w:ascii="Times New Roman" w:eastAsia="Times New Roman" w:hAnsi="Times New Roman" w:cs="Times New Roman"/>
          <w:i/>
          <w:sz w:val="24"/>
          <w:szCs w:val="24"/>
        </w:rPr>
        <w:t>Assembling Export Markets: The Making and Unmaking of Global Food Connections in West Africa</w:t>
      </w:r>
      <w:r>
        <w:rPr>
          <w:rFonts w:ascii="Times New Roman" w:eastAsia="Times New Roman" w:hAnsi="Times New Roman" w:cs="Times New Roman"/>
          <w:sz w:val="24"/>
          <w:szCs w:val="24"/>
        </w:rPr>
        <w:t>. Oxford: Wiley Blackwell.</w:t>
      </w:r>
    </w:p>
    <w:p w14:paraId="416963D6" w14:textId="77777777" w:rsidR="00FF0F1B" w:rsidRDefault="00FF0F1B">
      <w:pPr>
        <w:spacing w:after="0" w:line="480" w:lineRule="auto"/>
        <w:rPr>
          <w:rFonts w:ascii="Times New Roman" w:eastAsia="Times New Roman" w:hAnsi="Times New Roman" w:cs="Times New Roman"/>
          <w:sz w:val="24"/>
          <w:szCs w:val="24"/>
        </w:rPr>
      </w:pPr>
    </w:p>
    <w:p w14:paraId="0327CECE"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Ponte S and Sturgeon T (2014) Explaining governance in global value chains: a modular theory-building effort. </w:t>
      </w:r>
      <w:r>
        <w:rPr>
          <w:rFonts w:ascii="Times New Roman" w:eastAsia="Times New Roman" w:hAnsi="Times New Roman" w:cs="Times New Roman"/>
          <w:i/>
          <w:sz w:val="24"/>
          <w:szCs w:val="24"/>
        </w:rPr>
        <w:t>Review of International Political Economy</w:t>
      </w:r>
      <w:r>
        <w:rPr>
          <w:rFonts w:ascii="Times New Roman" w:eastAsia="Times New Roman" w:hAnsi="Times New Roman" w:cs="Times New Roman"/>
          <w:sz w:val="24"/>
          <w:szCs w:val="24"/>
        </w:rPr>
        <w:t xml:space="preserve"> 21: 195-223.</w:t>
      </w:r>
    </w:p>
    <w:p w14:paraId="293561F2" w14:textId="77777777" w:rsidR="00FF0F1B" w:rsidRDefault="00FF0F1B">
      <w:pPr>
        <w:spacing w:after="0" w:line="480" w:lineRule="auto"/>
        <w:rPr>
          <w:rFonts w:ascii="Times New Roman" w:eastAsia="Times New Roman" w:hAnsi="Times New Roman" w:cs="Times New Roman"/>
          <w:sz w:val="24"/>
          <w:szCs w:val="24"/>
        </w:rPr>
      </w:pPr>
    </w:p>
    <w:p w14:paraId="790F3DF0" w14:textId="64853D63" w:rsidR="008C2C1A" w:rsidRDefault="00982B78" w:rsidP="008C2C1A">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Prestinaci F, Pezzotti P and Pantosti A (2015) Antimicrobial resistance: a global multifaceted phenomenon. </w:t>
      </w:r>
      <w:r>
        <w:rPr>
          <w:rFonts w:ascii="Times New Roman" w:eastAsia="Times New Roman" w:hAnsi="Times New Roman" w:cs="Times New Roman"/>
          <w:i/>
          <w:color w:val="000000"/>
          <w:sz w:val="24"/>
          <w:szCs w:val="24"/>
        </w:rPr>
        <w:t>Pathogens and Global Health</w:t>
      </w:r>
      <w:r>
        <w:rPr>
          <w:rFonts w:ascii="Times New Roman" w:eastAsia="Times New Roman" w:hAnsi="Times New Roman" w:cs="Times New Roman"/>
          <w:color w:val="000000"/>
          <w:sz w:val="24"/>
          <w:szCs w:val="24"/>
        </w:rPr>
        <w:t xml:space="preserve"> 109: 309–318.</w:t>
      </w:r>
    </w:p>
    <w:p w14:paraId="6690ED7C" w14:textId="60F39BD1" w:rsidR="00250246" w:rsidRPr="00250246" w:rsidRDefault="00250246" w:rsidP="00250246">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p w14:paraId="0EA9A402" w14:textId="6181AED0" w:rsidR="008C2C1A" w:rsidRDefault="00250246" w:rsidP="00250246">
      <w:pPr>
        <w:pBdr>
          <w:top w:val="nil"/>
          <w:left w:val="nil"/>
          <w:bottom w:val="nil"/>
          <w:right w:val="nil"/>
          <w:between w:val="nil"/>
        </w:pBd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RUMA</w:t>
      </w:r>
      <w:r w:rsidRPr="00250246">
        <w:rPr>
          <w:rFonts w:ascii="Times New Roman" w:eastAsia="Times New Roman" w:hAnsi="Times New Roman" w:cs="Times New Roman"/>
          <w:sz w:val="24"/>
          <w:szCs w:val="24"/>
        </w:rPr>
        <w:t xml:space="preserve"> (2016) </w:t>
      </w:r>
      <w:hyperlink r:id="rId10" w:history="1">
        <w:r w:rsidRPr="003B6376">
          <w:rPr>
            <w:rStyle w:val="Hyperlink"/>
            <w:rFonts w:ascii="Times New Roman" w:hAnsi="Times New Roman" w:cs="Times New Roman"/>
            <w:sz w:val="24"/>
            <w:szCs w:val="24"/>
          </w:rPr>
          <w:t>'Antibiotic-free' labelling | Responsible Use of Medicines in Agriculture Alliance (ruma.org.uk)</w:t>
        </w:r>
      </w:hyperlink>
      <w:r w:rsidRPr="003B6376">
        <w:rPr>
          <w:rFonts w:ascii="Times New Roman" w:hAnsi="Times New Roman" w:cs="Times New Roman"/>
          <w:sz w:val="24"/>
          <w:szCs w:val="24"/>
        </w:rPr>
        <w:t xml:space="preserve"> (accessed 29/03/21).</w:t>
      </w:r>
    </w:p>
    <w:p w14:paraId="471C431E" w14:textId="77777777" w:rsidR="001A278D" w:rsidRPr="00250246" w:rsidRDefault="001A278D" w:rsidP="00250246">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43D0954E" w14:textId="7D15ED32" w:rsidR="008C2C1A" w:rsidRPr="004C5BCE" w:rsidRDefault="008C2C1A" w:rsidP="008C2C1A">
      <w:pPr>
        <w:pBdr>
          <w:top w:val="nil"/>
          <w:left w:val="nil"/>
          <w:bottom w:val="nil"/>
          <w:right w:val="nil"/>
          <w:between w:val="nil"/>
        </w:pBdr>
        <w:spacing w:after="0" w:line="480" w:lineRule="auto"/>
        <w:rPr>
          <w:rFonts w:ascii="Times New Roman" w:hAnsi="Times New Roman" w:cs="Times New Roman"/>
          <w:spacing w:val="4"/>
          <w:sz w:val="24"/>
          <w:szCs w:val="24"/>
          <w:shd w:val="clear" w:color="auto" w:fill="FCFCFC"/>
        </w:rPr>
      </w:pPr>
      <w:bookmarkStart w:id="4" w:name="_Hlk56450246"/>
      <w:r w:rsidRPr="004C5BCE">
        <w:rPr>
          <w:rFonts w:ascii="Times New Roman" w:hAnsi="Times New Roman" w:cs="Times New Roman"/>
          <w:spacing w:val="4"/>
          <w:sz w:val="24"/>
          <w:szCs w:val="24"/>
          <w:shd w:val="clear" w:color="auto" w:fill="FCFCFC"/>
        </w:rPr>
        <w:t xml:space="preserve">Silva V, Correia S., Pereira JE, Igrejas G, Poeta P (2020) Surveillance and </w:t>
      </w:r>
      <w:r w:rsidR="00105B43" w:rsidRPr="004C5BCE">
        <w:rPr>
          <w:rFonts w:ascii="Times New Roman" w:hAnsi="Times New Roman" w:cs="Times New Roman"/>
          <w:spacing w:val="4"/>
          <w:sz w:val="24"/>
          <w:szCs w:val="24"/>
          <w:shd w:val="clear" w:color="auto" w:fill="FCFCFC"/>
        </w:rPr>
        <w:t>e</w:t>
      </w:r>
      <w:r w:rsidRPr="004C5BCE">
        <w:rPr>
          <w:rFonts w:ascii="Times New Roman" w:hAnsi="Times New Roman" w:cs="Times New Roman"/>
          <w:spacing w:val="4"/>
          <w:sz w:val="24"/>
          <w:szCs w:val="24"/>
          <w:shd w:val="clear" w:color="auto" w:fill="FCFCFC"/>
        </w:rPr>
        <w:t xml:space="preserve">nvironmental </w:t>
      </w:r>
      <w:r w:rsidR="00105B43" w:rsidRPr="004C5BCE">
        <w:rPr>
          <w:rFonts w:ascii="Times New Roman" w:hAnsi="Times New Roman" w:cs="Times New Roman"/>
          <w:spacing w:val="4"/>
          <w:sz w:val="24"/>
          <w:szCs w:val="24"/>
          <w:shd w:val="clear" w:color="auto" w:fill="FCFCFC"/>
        </w:rPr>
        <w:t>r</w:t>
      </w:r>
      <w:r w:rsidRPr="004C5BCE">
        <w:rPr>
          <w:rFonts w:ascii="Times New Roman" w:hAnsi="Times New Roman" w:cs="Times New Roman"/>
          <w:spacing w:val="4"/>
          <w:sz w:val="24"/>
          <w:szCs w:val="24"/>
          <w:shd w:val="clear" w:color="auto" w:fill="FCFCFC"/>
        </w:rPr>
        <w:t xml:space="preserve">isk </w:t>
      </w:r>
      <w:r w:rsidR="00105B43" w:rsidRPr="004C5BCE">
        <w:rPr>
          <w:rFonts w:ascii="Times New Roman" w:hAnsi="Times New Roman" w:cs="Times New Roman"/>
          <w:spacing w:val="4"/>
          <w:sz w:val="24"/>
          <w:szCs w:val="24"/>
          <w:shd w:val="clear" w:color="auto" w:fill="FCFCFC"/>
        </w:rPr>
        <w:t>a</w:t>
      </w:r>
      <w:r w:rsidRPr="004C5BCE">
        <w:rPr>
          <w:rFonts w:ascii="Times New Roman" w:hAnsi="Times New Roman" w:cs="Times New Roman"/>
          <w:spacing w:val="4"/>
          <w:sz w:val="24"/>
          <w:szCs w:val="24"/>
          <w:shd w:val="clear" w:color="auto" w:fill="FCFCFC"/>
        </w:rPr>
        <w:t xml:space="preserve">ssessment of </w:t>
      </w:r>
      <w:r w:rsidR="00105B43" w:rsidRPr="004C5BCE">
        <w:rPr>
          <w:rFonts w:ascii="Times New Roman" w:hAnsi="Times New Roman" w:cs="Times New Roman"/>
          <w:spacing w:val="4"/>
          <w:sz w:val="24"/>
          <w:szCs w:val="24"/>
          <w:shd w:val="clear" w:color="auto" w:fill="FCFCFC"/>
        </w:rPr>
        <w:t>a</w:t>
      </w:r>
      <w:r w:rsidRPr="004C5BCE">
        <w:rPr>
          <w:rFonts w:ascii="Times New Roman" w:hAnsi="Times New Roman" w:cs="Times New Roman"/>
          <w:spacing w:val="4"/>
          <w:sz w:val="24"/>
          <w:szCs w:val="24"/>
          <w:shd w:val="clear" w:color="auto" w:fill="FCFCFC"/>
        </w:rPr>
        <w:t xml:space="preserve">ntibiotics and AMR/ARGs </w:t>
      </w:r>
      <w:r w:rsidR="00105B43" w:rsidRPr="004C5BCE">
        <w:rPr>
          <w:rFonts w:ascii="Times New Roman" w:hAnsi="Times New Roman" w:cs="Times New Roman"/>
          <w:spacing w:val="4"/>
          <w:sz w:val="24"/>
          <w:szCs w:val="24"/>
          <w:shd w:val="clear" w:color="auto" w:fill="FCFCFC"/>
        </w:rPr>
        <w:t>r</w:t>
      </w:r>
      <w:r w:rsidRPr="004C5BCE">
        <w:rPr>
          <w:rFonts w:ascii="Times New Roman" w:hAnsi="Times New Roman" w:cs="Times New Roman"/>
          <w:spacing w:val="4"/>
          <w:sz w:val="24"/>
          <w:szCs w:val="24"/>
          <w:shd w:val="clear" w:color="auto" w:fill="FCFCFC"/>
        </w:rPr>
        <w:t xml:space="preserve">elated with MRSA: One Health Perspective. In: Hashmi M. (eds) </w:t>
      </w:r>
      <w:r w:rsidRPr="004C5BCE">
        <w:rPr>
          <w:rFonts w:ascii="Times New Roman" w:hAnsi="Times New Roman" w:cs="Times New Roman"/>
          <w:i/>
          <w:iCs/>
          <w:spacing w:val="4"/>
          <w:sz w:val="24"/>
          <w:szCs w:val="24"/>
          <w:shd w:val="clear" w:color="auto" w:fill="FCFCFC"/>
        </w:rPr>
        <w:t>Antibiotics and Antimicrobial Resistance Genes. Emerging Contaminants and Associated Treatment Technologies</w:t>
      </w:r>
      <w:r w:rsidRPr="004C5BCE">
        <w:rPr>
          <w:rFonts w:ascii="Times New Roman" w:hAnsi="Times New Roman" w:cs="Times New Roman"/>
          <w:spacing w:val="4"/>
          <w:sz w:val="24"/>
          <w:szCs w:val="24"/>
          <w:shd w:val="clear" w:color="auto" w:fill="FCFCFC"/>
        </w:rPr>
        <w:t xml:space="preserve">. </w:t>
      </w:r>
      <w:r w:rsidR="00105B43" w:rsidRPr="004C5BCE">
        <w:rPr>
          <w:rFonts w:ascii="Times New Roman" w:hAnsi="Times New Roman" w:cs="Times New Roman"/>
          <w:spacing w:val="4"/>
          <w:sz w:val="24"/>
          <w:szCs w:val="24"/>
          <w:shd w:val="clear" w:color="auto" w:fill="FCFCFC"/>
        </w:rPr>
        <w:t xml:space="preserve">Cham: </w:t>
      </w:r>
      <w:r w:rsidRPr="004C5BCE">
        <w:rPr>
          <w:rFonts w:ascii="Times New Roman" w:hAnsi="Times New Roman" w:cs="Times New Roman"/>
          <w:spacing w:val="4"/>
          <w:sz w:val="24"/>
          <w:szCs w:val="24"/>
          <w:shd w:val="clear" w:color="auto" w:fill="FCFCFC"/>
        </w:rPr>
        <w:t>Springer.</w:t>
      </w:r>
    </w:p>
    <w:p w14:paraId="756E6102" w14:textId="268C8DAD" w:rsidR="00F64030" w:rsidRPr="004C5BCE" w:rsidRDefault="00F64030" w:rsidP="008C2C1A">
      <w:pPr>
        <w:pBdr>
          <w:top w:val="nil"/>
          <w:left w:val="nil"/>
          <w:bottom w:val="nil"/>
          <w:right w:val="nil"/>
          <w:between w:val="nil"/>
        </w:pBdr>
        <w:spacing w:after="0" w:line="480" w:lineRule="auto"/>
        <w:rPr>
          <w:rFonts w:ascii="Times New Roman" w:hAnsi="Times New Roman" w:cs="Times New Roman"/>
          <w:spacing w:val="4"/>
          <w:sz w:val="24"/>
          <w:szCs w:val="24"/>
          <w:shd w:val="clear" w:color="auto" w:fill="FCFCFC"/>
        </w:rPr>
      </w:pPr>
    </w:p>
    <w:p w14:paraId="7923FABD" w14:textId="5728EBF3" w:rsidR="00F64030" w:rsidRPr="004C5BCE" w:rsidRDefault="00F64030" w:rsidP="008C2C1A">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4C5BCE">
        <w:rPr>
          <w:rFonts w:ascii="Times New Roman" w:hAnsi="Times New Roman" w:cs="Times New Roman"/>
          <w:spacing w:val="4"/>
          <w:sz w:val="24"/>
          <w:szCs w:val="24"/>
          <w:shd w:val="clear" w:color="auto" w:fill="FCFCFC"/>
        </w:rPr>
        <w:lastRenderedPageBreak/>
        <w:t xml:space="preserve">Singer AC, Fry M and Antoniou V (2020) </w:t>
      </w:r>
      <w:r w:rsidRPr="004C5BCE">
        <w:rPr>
          <w:rFonts w:ascii="Times New Roman" w:hAnsi="Times New Roman" w:cs="Times New Roman"/>
          <w:i/>
          <w:iCs/>
          <w:spacing w:val="4"/>
          <w:sz w:val="24"/>
          <w:szCs w:val="24"/>
          <w:shd w:val="clear" w:color="auto" w:fill="FCFCFC"/>
        </w:rPr>
        <w:t>Framework for understanding environmental antimicrobial resistance in England. Project SC190010</w:t>
      </w:r>
      <w:r w:rsidRPr="004C5BCE">
        <w:rPr>
          <w:rFonts w:ascii="Times New Roman" w:hAnsi="Times New Roman" w:cs="Times New Roman"/>
          <w:spacing w:val="4"/>
          <w:sz w:val="24"/>
          <w:szCs w:val="24"/>
          <w:shd w:val="clear" w:color="auto" w:fill="FCFCFC"/>
        </w:rPr>
        <w:t xml:space="preserve"> Environment Agency – October 2020</w:t>
      </w:r>
    </w:p>
    <w:bookmarkEnd w:id="4"/>
    <w:p w14:paraId="437D9D9D" w14:textId="77777777" w:rsidR="008C2C1A" w:rsidRPr="004C5BCE" w:rsidRDefault="008C2C1A">
      <w:pPr>
        <w:spacing w:line="480" w:lineRule="auto"/>
        <w:rPr>
          <w:rFonts w:ascii="Times New Roman" w:eastAsia="Times New Roman" w:hAnsi="Times New Roman" w:cs="Times New Roman"/>
          <w:sz w:val="24"/>
          <w:szCs w:val="24"/>
        </w:rPr>
      </w:pPr>
    </w:p>
    <w:p w14:paraId="02C29C4E" w14:textId="77777777" w:rsidR="00FF0F1B" w:rsidRDefault="00982B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Strak J (2017) United Kingdom: a pig industry on the edge. </w:t>
      </w:r>
      <w:r>
        <w:rPr>
          <w:rFonts w:ascii="Times New Roman" w:eastAsia="Times New Roman" w:hAnsi="Times New Roman" w:cs="Times New Roman"/>
          <w:i/>
          <w:sz w:val="24"/>
          <w:szCs w:val="24"/>
        </w:rPr>
        <w:t>Pig Progress</w:t>
      </w:r>
      <w:r>
        <w:rPr>
          <w:rFonts w:ascii="Times New Roman" w:eastAsia="Times New Roman" w:hAnsi="Times New Roman" w:cs="Times New Roman"/>
          <w:sz w:val="24"/>
          <w:szCs w:val="24"/>
        </w:rPr>
        <w:t>, 08 December.</w:t>
      </w:r>
    </w:p>
    <w:p w14:paraId="7EF301F2" w14:textId="77777777" w:rsidR="00FF0F1B" w:rsidRDefault="00FF0F1B">
      <w:pPr>
        <w:spacing w:after="0" w:line="480" w:lineRule="auto"/>
        <w:rPr>
          <w:rFonts w:ascii="Times New Roman" w:eastAsia="Times New Roman" w:hAnsi="Times New Roman" w:cs="Times New Roman"/>
          <w:sz w:val="24"/>
          <w:szCs w:val="24"/>
        </w:rPr>
      </w:pPr>
    </w:p>
    <w:p w14:paraId="4B9EA829"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UNEP (2017) </w:t>
      </w:r>
      <w:r>
        <w:rPr>
          <w:rFonts w:ascii="Times New Roman" w:eastAsia="Times New Roman" w:hAnsi="Times New Roman" w:cs="Times New Roman"/>
          <w:i/>
          <w:sz w:val="24"/>
          <w:szCs w:val="24"/>
        </w:rPr>
        <w:t>Frontiers 2017: Emerging Issues of Environmental Concern</w:t>
      </w:r>
      <w:r>
        <w:rPr>
          <w:rFonts w:ascii="Times New Roman" w:eastAsia="Times New Roman" w:hAnsi="Times New Roman" w:cs="Times New Roman"/>
          <w:sz w:val="24"/>
          <w:szCs w:val="24"/>
        </w:rPr>
        <w:t>. Nairobi: United Nations Environment Programme.</w:t>
      </w:r>
    </w:p>
    <w:p w14:paraId="20A6186B" w14:textId="77777777" w:rsidR="00FF0F1B" w:rsidRDefault="00FF0F1B">
      <w:pPr>
        <w:spacing w:after="0" w:line="480" w:lineRule="auto"/>
        <w:rPr>
          <w:rFonts w:ascii="Times New Roman" w:eastAsia="Times New Roman" w:hAnsi="Times New Roman" w:cs="Times New Roman"/>
          <w:sz w:val="24"/>
          <w:szCs w:val="24"/>
        </w:rPr>
      </w:pPr>
    </w:p>
    <w:p w14:paraId="1F038D73" w14:textId="77777777" w:rsidR="00FF0F1B" w:rsidRDefault="00982B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Ventola CL (2015) The antibiotic crisis. </w:t>
      </w:r>
      <w:r>
        <w:rPr>
          <w:rFonts w:ascii="Times New Roman" w:eastAsia="Times New Roman" w:hAnsi="Times New Roman" w:cs="Times New Roman"/>
          <w:i/>
          <w:sz w:val="24"/>
          <w:szCs w:val="24"/>
        </w:rPr>
        <w:t>Pharmacy and Therapeutics</w:t>
      </w:r>
      <w:r>
        <w:rPr>
          <w:rFonts w:ascii="Times New Roman" w:eastAsia="Times New Roman" w:hAnsi="Times New Roman" w:cs="Times New Roman"/>
          <w:sz w:val="24"/>
          <w:szCs w:val="24"/>
        </w:rPr>
        <w:t xml:space="preserve"> 40(4): 277-283.</w:t>
      </w:r>
    </w:p>
    <w:p w14:paraId="665640AD" w14:textId="77777777" w:rsidR="00FF0F1B" w:rsidRDefault="00FF0F1B">
      <w:pPr>
        <w:spacing w:after="0" w:line="480" w:lineRule="auto"/>
        <w:rPr>
          <w:rFonts w:ascii="Times New Roman" w:eastAsia="Times New Roman" w:hAnsi="Times New Roman" w:cs="Times New Roman"/>
          <w:sz w:val="24"/>
          <w:szCs w:val="24"/>
        </w:rPr>
      </w:pPr>
    </w:p>
    <w:p w14:paraId="340BAAD0" w14:textId="4460BA98" w:rsidR="0058094E" w:rsidRDefault="0058094E">
      <w:pPr>
        <w:spacing w:after="0" w:line="480" w:lineRule="auto"/>
        <w:rPr>
          <w:rFonts w:ascii="Times New Roman" w:eastAsia="Times New Roman" w:hAnsi="Times New Roman" w:cs="Times New Roman"/>
          <w:sz w:val="24"/>
          <w:szCs w:val="24"/>
        </w:rPr>
      </w:pPr>
      <w:bookmarkStart w:id="5" w:name="_Hlk67955833"/>
      <w:r>
        <w:rPr>
          <w:rFonts w:ascii="Times New Roman" w:eastAsia="Times New Roman" w:hAnsi="Times New Roman" w:cs="Times New Roman"/>
          <w:sz w:val="24"/>
          <w:szCs w:val="24"/>
        </w:rPr>
        <w:t xml:space="preserve">Veterinary Medicines Directorate (2020) </w:t>
      </w:r>
      <w:r>
        <w:rPr>
          <w:rFonts w:ascii="Times New Roman" w:eastAsia="Times New Roman" w:hAnsi="Times New Roman" w:cs="Times New Roman"/>
          <w:i/>
          <w:sz w:val="24"/>
          <w:szCs w:val="24"/>
        </w:rPr>
        <w:t>UK Veterinary Antibiotic Resistance and Sales Surveillance Report UK-VARSS 2019</w:t>
      </w:r>
      <w:r>
        <w:rPr>
          <w:rFonts w:ascii="Times New Roman" w:eastAsia="Times New Roman" w:hAnsi="Times New Roman" w:cs="Times New Roman"/>
          <w:sz w:val="24"/>
          <w:szCs w:val="24"/>
        </w:rPr>
        <w:t xml:space="preserve"> (</w:t>
      </w:r>
      <w:r w:rsidR="00BB684C">
        <w:rPr>
          <w:rFonts w:ascii="Times New Roman" w:eastAsia="Times New Roman" w:hAnsi="Times New Roman" w:cs="Times New Roman"/>
          <w:sz w:val="24"/>
          <w:szCs w:val="24"/>
        </w:rPr>
        <w:t xml:space="preserve">published </w:t>
      </w:r>
      <w:r>
        <w:rPr>
          <w:rFonts w:ascii="Times New Roman" w:eastAsia="Times New Roman" w:hAnsi="Times New Roman" w:cs="Times New Roman"/>
          <w:sz w:val="24"/>
          <w:szCs w:val="24"/>
        </w:rPr>
        <w:t>November, 2020)</w:t>
      </w:r>
      <w:r w:rsidR="00BB684C">
        <w:rPr>
          <w:rFonts w:ascii="Times New Roman" w:eastAsia="Times New Roman" w:hAnsi="Times New Roman" w:cs="Times New Roman"/>
          <w:sz w:val="24"/>
          <w:szCs w:val="24"/>
        </w:rPr>
        <w:t xml:space="preserve"> 103 pp.</w:t>
      </w:r>
    </w:p>
    <w:bookmarkEnd w:id="5"/>
    <w:p w14:paraId="065BFD45" w14:textId="77777777" w:rsidR="00FF0F1B" w:rsidRDefault="00FF0F1B">
      <w:pPr>
        <w:spacing w:after="0" w:line="480" w:lineRule="auto"/>
        <w:rPr>
          <w:rFonts w:ascii="Times New Roman" w:eastAsia="Times New Roman" w:hAnsi="Times New Roman" w:cs="Times New Roman"/>
          <w:sz w:val="24"/>
          <w:szCs w:val="24"/>
        </w:rPr>
      </w:pPr>
    </w:p>
    <w:p w14:paraId="700056A5" w14:textId="27D513AB" w:rsidR="00FF0F1B" w:rsidRDefault="00982B78" w:rsidP="0052213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Watts M and Goodman D (1997) Agrarian questions: global appetite, local metabolism: nature, culture, and industry in fin-de-siecle </w:t>
      </w:r>
      <w:r w:rsidR="00056D4C">
        <w:rPr>
          <w:rFonts w:ascii="Times New Roman" w:eastAsia="Times New Roman" w:hAnsi="Times New Roman" w:cs="Times New Roman"/>
          <w:sz w:val="24"/>
          <w:szCs w:val="24"/>
        </w:rPr>
        <w:t>agri-food</w:t>
      </w:r>
      <w:r>
        <w:rPr>
          <w:rFonts w:ascii="Times New Roman" w:eastAsia="Times New Roman" w:hAnsi="Times New Roman" w:cs="Times New Roman"/>
          <w:sz w:val="24"/>
          <w:szCs w:val="24"/>
        </w:rPr>
        <w:t xml:space="preserve"> systems. In: Goodman D and Watts MJ (eds) </w:t>
      </w:r>
      <w:r>
        <w:rPr>
          <w:rFonts w:ascii="Times New Roman" w:eastAsia="Times New Roman" w:hAnsi="Times New Roman" w:cs="Times New Roman"/>
          <w:i/>
          <w:sz w:val="24"/>
          <w:szCs w:val="24"/>
        </w:rPr>
        <w:t>Globalising Food: Agrarian Questions and Global Restructuring</w:t>
      </w:r>
      <w:r>
        <w:rPr>
          <w:rFonts w:ascii="Times New Roman" w:eastAsia="Times New Roman" w:hAnsi="Times New Roman" w:cs="Times New Roman"/>
          <w:sz w:val="24"/>
          <w:szCs w:val="24"/>
        </w:rPr>
        <w:t xml:space="preserve"> London and New York: Routledge, pp. 1-32.</w:t>
      </w:r>
    </w:p>
    <w:p w14:paraId="3460557F" w14:textId="4599302C" w:rsidR="005B3FB4" w:rsidRDefault="005B3F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591EB4" w14:textId="77777777" w:rsidR="005B3FB4" w:rsidRDefault="005B3FB4" w:rsidP="005B3F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1: List of Interview Sources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3"/>
        <w:gridCol w:w="5192"/>
        <w:gridCol w:w="1134"/>
      </w:tblGrid>
      <w:tr w:rsidR="005B3FB4" w14:paraId="55E4562D" w14:textId="77777777" w:rsidTr="00B822E1">
        <w:tc>
          <w:tcPr>
            <w:tcW w:w="2883" w:type="dxa"/>
          </w:tcPr>
          <w:p w14:paraId="07FBAF0B" w14:textId="77777777" w:rsidR="005B3FB4" w:rsidRDefault="005B3FB4" w:rsidP="00B822E1">
            <w:pPr>
              <w:widowControl w:val="0"/>
              <w:spacing w:after="120"/>
              <w:rPr>
                <w:rFonts w:ascii="Times New Roman" w:eastAsia="Times New Roman" w:hAnsi="Times New Roman" w:cs="Times New Roman"/>
                <w:b/>
              </w:rPr>
            </w:pPr>
            <w:r>
              <w:rPr>
                <w:rFonts w:ascii="Times New Roman" w:eastAsia="Times New Roman" w:hAnsi="Times New Roman" w:cs="Times New Roman"/>
                <w:b/>
              </w:rPr>
              <w:t>Interview Code</w:t>
            </w:r>
          </w:p>
        </w:tc>
        <w:tc>
          <w:tcPr>
            <w:tcW w:w="5192" w:type="dxa"/>
          </w:tcPr>
          <w:p w14:paraId="5D76EFB1" w14:textId="77777777" w:rsidR="005B3FB4" w:rsidRDefault="005B3FB4" w:rsidP="00B822E1">
            <w:pPr>
              <w:widowControl w:val="0"/>
              <w:spacing w:after="120"/>
              <w:rPr>
                <w:rFonts w:ascii="Times New Roman" w:eastAsia="Times New Roman" w:hAnsi="Times New Roman" w:cs="Times New Roman"/>
                <w:b/>
              </w:rPr>
            </w:pPr>
            <w:r>
              <w:rPr>
                <w:rFonts w:ascii="Times New Roman" w:eastAsia="Times New Roman" w:hAnsi="Times New Roman" w:cs="Times New Roman"/>
                <w:b/>
              </w:rPr>
              <w:t>Role(s) of Interviewee(s)</w:t>
            </w:r>
          </w:p>
        </w:tc>
        <w:tc>
          <w:tcPr>
            <w:tcW w:w="1134" w:type="dxa"/>
          </w:tcPr>
          <w:p w14:paraId="36D64A12" w14:textId="77777777" w:rsidR="005B3FB4" w:rsidRDefault="005B3FB4" w:rsidP="00B822E1">
            <w:pPr>
              <w:widowControl w:val="0"/>
              <w:spacing w:after="120"/>
              <w:rPr>
                <w:rFonts w:ascii="Times New Roman" w:eastAsia="Times New Roman" w:hAnsi="Times New Roman" w:cs="Times New Roman"/>
                <w:b/>
              </w:rPr>
            </w:pPr>
            <w:r>
              <w:rPr>
                <w:rFonts w:ascii="Times New Roman" w:eastAsia="Times New Roman" w:hAnsi="Times New Roman" w:cs="Times New Roman"/>
                <w:b/>
              </w:rPr>
              <w:t>Date</w:t>
            </w:r>
          </w:p>
        </w:tc>
      </w:tr>
      <w:tr w:rsidR="005B3FB4" w14:paraId="5FEBB6B4" w14:textId="77777777" w:rsidTr="00B822E1">
        <w:tc>
          <w:tcPr>
            <w:tcW w:w="2883" w:type="dxa"/>
          </w:tcPr>
          <w:p w14:paraId="33CADAAF" w14:textId="77777777" w:rsidR="005B3FB4" w:rsidRDefault="005B3FB4" w:rsidP="00B822E1">
            <w:pPr>
              <w:widowControl w:val="0"/>
              <w:spacing w:after="120"/>
              <w:rPr>
                <w:rFonts w:ascii="Times New Roman" w:eastAsia="Times New Roman" w:hAnsi="Times New Roman" w:cs="Times New Roman"/>
                <w:b/>
              </w:rPr>
            </w:pPr>
            <w:r>
              <w:rPr>
                <w:rFonts w:ascii="Times New Roman" w:eastAsia="Times New Roman" w:hAnsi="Times New Roman" w:cs="Times New Roman"/>
                <w:b/>
              </w:rPr>
              <w:t>Corporate Food Retailers</w:t>
            </w:r>
          </w:p>
        </w:tc>
        <w:tc>
          <w:tcPr>
            <w:tcW w:w="5192" w:type="dxa"/>
          </w:tcPr>
          <w:p w14:paraId="0834395B" w14:textId="77777777" w:rsidR="005B3FB4" w:rsidRDefault="005B3FB4" w:rsidP="00B822E1">
            <w:pPr>
              <w:widowControl w:val="0"/>
              <w:spacing w:after="120"/>
              <w:rPr>
                <w:rFonts w:ascii="Times New Roman" w:eastAsia="Times New Roman" w:hAnsi="Times New Roman" w:cs="Times New Roman"/>
              </w:rPr>
            </w:pPr>
          </w:p>
        </w:tc>
        <w:tc>
          <w:tcPr>
            <w:tcW w:w="1134" w:type="dxa"/>
          </w:tcPr>
          <w:p w14:paraId="5688FA00" w14:textId="77777777" w:rsidR="005B3FB4" w:rsidRDefault="005B3FB4" w:rsidP="00B822E1">
            <w:pPr>
              <w:widowControl w:val="0"/>
              <w:spacing w:after="120"/>
              <w:rPr>
                <w:rFonts w:ascii="Times New Roman" w:eastAsia="Times New Roman" w:hAnsi="Times New Roman" w:cs="Times New Roman"/>
              </w:rPr>
            </w:pPr>
          </w:p>
        </w:tc>
      </w:tr>
      <w:tr w:rsidR="005B3FB4" w14:paraId="115ED67A" w14:textId="77777777" w:rsidTr="00B822E1">
        <w:tc>
          <w:tcPr>
            <w:tcW w:w="2883" w:type="dxa"/>
          </w:tcPr>
          <w:p w14:paraId="70CCF606"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Retailer 1 (R1)</w:t>
            </w:r>
          </w:p>
        </w:tc>
        <w:tc>
          <w:tcPr>
            <w:tcW w:w="5192" w:type="dxa"/>
          </w:tcPr>
          <w:p w14:paraId="02072DD5"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Buyer (a); Technologist (b)</w:t>
            </w:r>
          </w:p>
        </w:tc>
        <w:tc>
          <w:tcPr>
            <w:tcW w:w="1134" w:type="dxa"/>
          </w:tcPr>
          <w:p w14:paraId="6875FC59"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31/07/17</w:t>
            </w:r>
          </w:p>
        </w:tc>
      </w:tr>
      <w:tr w:rsidR="005B3FB4" w14:paraId="32EFFB42" w14:textId="77777777" w:rsidTr="00B822E1">
        <w:tc>
          <w:tcPr>
            <w:tcW w:w="2883" w:type="dxa"/>
          </w:tcPr>
          <w:p w14:paraId="7E56BF43"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R2</w:t>
            </w:r>
          </w:p>
        </w:tc>
        <w:tc>
          <w:tcPr>
            <w:tcW w:w="5192" w:type="dxa"/>
          </w:tcPr>
          <w:p w14:paraId="60F46F57"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Category Manager (Agriculture)</w:t>
            </w:r>
          </w:p>
        </w:tc>
        <w:tc>
          <w:tcPr>
            <w:tcW w:w="1134" w:type="dxa"/>
          </w:tcPr>
          <w:p w14:paraId="1C603C24"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11/10/17</w:t>
            </w:r>
          </w:p>
        </w:tc>
      </w:tr>
      <w:tr w:rsidR="005B3FB4" w14:paraId="3C41F16F" w14:textId="77777777" w:rsidTr="00B822E1">
        <w:tc>
          <w:tcPr>
            <w:tcW w:w="2883" w:type="dxa"/>
          </w:tcPr>
          <w:p w14:paraId="3B86E613"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R3</w:t>
            </w:r>
          </w:p>
        </w:tc>
        <w:tc>
          <w:tcPr>
            <w:tcW w:w="5192" w:type="dxa"/>
          </w:tcPr>
          <w:p w14:paraId="41352B3D"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Category Manager (Agriculture)</w:t>
            </w:r>
          </w:p>
        </w:tc>
        <w:tc>
          <w:tcPr>
            <w:tcW w:w="1134" w:type="dxa"/>
          </w:tcPr>
          <w:p w14:paraId="2FC88FD0"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03/10/17</w:t>
            </w:r>
          </w:p>
        </w:tc>
      </w:tr>
      <w:tr w:rsidR="005B3FB4" w14:paraId="5D134E78" w14:textId="77777777" w:rsidTr="00B822E1">
        <w:tc>
          <w:tcPr>
            <w:tcW w:w="2883" w:type="dxa"/>
          </w:tcPr>
          <w:p w14:paraId="48D8051E" w14:textId="77777777" w:rsidR="005B3FB4" w:rsidRDefault="005B3FB4" w:rsidP="00B822E1">
            <w:pPr>
              <w:widowControl w:val="0"/>
              <w:spacing w:after="120"/>
              <w:rPr>
                <w:rFonts w:ascii="Times New Roman" w:eastAsia="Times New Roman" w:hAnsi="Times New Roman" w:cs="Times New Roman"/>
                <w:b/>
              </w:rPr>
            </w:pPr>
            <w:r>
              <w:rPr>
                <w:rFonts w:ascii="Times New Roman" w:eastAsia="Times New Roman" w:hAnsi="Times New Roman" w:cs="Times New Roman"/>
              </w:rPr>
              <w:t>R4</w:t>
            </w:r>
          </w:p>
        </w:tc>
        <w:tc>
          <w:tcPr>
            <w:tcW w:w="5192" w:type="dxa"/>
          </w:tcPr>
          <w:p w14:paraId="224928EA"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Produce safety manager (a); category manager (Agriculture) (b); technologist (c); microbiologist (d)</w:t>
            </w:r>
          </w:p>
        </w:tc>
        <w:tc>
          <w:tcPr>
            <w:tcW w:w="1134" w:type="dxa"/>
          </w:tcPr>
          <w:p w14:paraId="6BB36AC1"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30/10/17</w:t>
            </w:r>
          </w:p>
        </w:tc>
      </w:tr>
      <w:tr w:rsidR="005B3FB4" w14:paraId="7EC70A68" w14:textId="77777777" w:rsidTr="00B822E1">
        <w:tc>
          <w:tcPr>
            <w:tcW w:w="2883" w:type="dxa"/>
          </w:tcPr>
          <w:p w14:paraId="48B64236"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R5</w:t>
            </w:r>
          </w:p>
        </w:tc>
        <w:tc>
          <w:tcPr>
            <w:tcW w:w="5192" w:type="dxa"/>
          </w:tcPr>
          <w:p w14:paraId="1316EBAF"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Product quality manager (a); corporate responsibility manager (b)</w:t>
            </w:r>
          </w:p>
        </w:tc>
        <w:tc>
          <w:tcPr>
            <w:tcW w:w="1134" w:type="dxa"/>
          </w:tcPr>
          <w:p w14:paraId="715C58C9"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17/11/17</w:t>
            </w:r>
          </w:p>
        </w:tc>
      </w:tr>
      <w:tr w:rsidR="005B3FB4" w14:paraId="17ACC107" w14:textId="77777777" w:rsidTr="00B822E1">
        <w:tc>
          <w:tcPr>
            <w:tcW w:w="2883" w:type="dxa"/>
          </w:tcPr>
          <w:p w14:paraId="34E72D7F"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R6</w:t>
            </w:r>
          </w:p>
        </w:tc>
        <w:tc>
          <w:tcPr>
            <w:tcW w:w="5192" w:type="dxa"/>
          </w:tcPr>
          <w:p w14:paraId="23C92267"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Corporate responsibility director (a); category manager (agriculture) (b); product safety manager (c)</w:t>
            </w:r>
          </w:p>
        </w:tc>
        <w:tc>
          <w:tcPr>
            <w:tcW w:w="1134" w:type="dxa"/>
          </w:tcPr>
          <w:p w14:paraId="763984E8"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26/01/18</w:t>
            </w:r>
          </w:p>
        </w:tc>
      </w:tr>
      <w:tr w:rsidR="005B3FB4" w14:paraId="56FD0833" w14:textId="77777777" w:rsidTr="00B822E1">
        <w:tc>
          <w:tcPr>
            <w:tcW w:w="2883" w:type="dxa"/>
          </w:tcPr>
          <w:p w14:paraId="5975F00D"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R7A</w:t>
            </w:r>
          </w:p>
        </w:tc>
        <w:tc>
          <w:tcPr>
            <w:tcW w:w="5192" w:type="dxa"/>
          </w:tcPr>
          <w:p w14:paraId="1C86F9A4"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Corporate sustainability director</w:t>
            </w:r>
          </w:p>
        </w:tc>
        <w:tc>
          <w:tcPr>
            <w:tcW w:w="1134" w:type="dxa"/>
          </w:tcPr>
          <w:p w14:paraId="0123D708"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13/02/17</w:t>
            </w:r>
          </w:p>
        </w:tc>
      </w:tr>
      <w:tr w:rsidR="005B3FB4" w14:paraId="40F2B58E" w14:textId="77777777" w:rsidTr="00B822E1">
        <w:tc>
          <w:tcPr>
            <w:tcW w:w="2883" w:type="dxa"/>
          </w:tcPr>
          <w:p w14:paraId="44307282"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R7B</w:t>
            </w:r>
          </w:p>
        </w:tc>
        <w:tc>
          <w:tcPr>
            <w:tcW w:w="5192" w:type="dxa"/>
          </w:tcPr>
          <w:p w14:paraId="11A5AC56"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Corporate sustainability director</w:t>
            </w:r>
          </w:p>
        </w:tc>
        <w:tc>
          <w:tcPr>
            <w:tcW w:w="1134" w:type="dxa"/>
          </w:tcPr>
          <w:p w14:paraId="1BD1212E"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26/01/18</w:t>
            </w:r>
          </w:p>
        </w:tc>
      </w:tr>
      <w:tr w:rsidR="005B3FB4" w14:paraId="2DD1DA4B" w14:textId="77777777" w:rsidTr="00B822E1">
        <w:tc>
          <w:tcPr>
            <w:tcW w:w="2883" w:type="dxa"/>
          </w:tcPr>
          <w:p w14:paraId="3A2BEC3E" w14:textId="77777777" w:rsidR="005B3FB4" w:rsidRDefault="005B3FB4" w:rsidP="00B822E1">
            <w:pPr>
              <w:widowControl w:val="0"/>
              <w:spacing w:after="120"/>
              <w:rPr>
                <w:rFonts w:ascii="Times New Roman" w:eastAsia="Times New Roman" w:hAnsi="Times New Roman" w:cs="Times New Roman"/>
                <w:b/>
                <w:color w:val="000000"/>
              </w:rPr>
            </w:pPr>
            <w:r>
              <w:rPr>
                <w:rFonts w:ascii="Times New Roman" w:eastAsia="Times New Roman" w:hAnsi="Times New Roman" w:cs="Times New Roman"/>
              </w:rPr>
              <w:t>R8</w:t>
            </w:r>
          </w:p>
        </w:tc>
        <w:tc>
          <w:tcPr>
            <w:tcW w:w="5192" w:type="dxa"/>
          </w:tcPr>
          <w:p w14:paraId="4212D054"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Category Manager (Agriculture)</w:t>
            </w:r>
          </w:p>
        </w:tc>
        <w:tc>
          <w:tcPr>
            <w:tcW w:w="1134" w:type="dxa"/>
          </w:tcPr>
          <w:p w14:paraId="66CEFD21"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15/01/18</w:t>
            </w:r>
          </w:p>
        </w:tc>
      </w:tr>
      <w:tr w:rsidR="005B3FB4" w14:paraId="3EEEE046" w14:textId="77777777" w:rsidTr="00B822E1">
        <w:tc>
          <w:tcPr>
            <w:tcW w:w="2883" w:type="dxa"/>
          </w:tcPr>
          <w:p w14:paraId="66B03A06" w14:textId="77777777" w:rsidR="005B3FB4" w:rsidRDefault="005B3FB4" w:rsidP="00B822E1">
            <w:pPr>
              <w:widowControl w:val="0"/>
              <w:spacing w:after="120"/>
              <w:rPr>
                <w:rFonts w:ascii="Times New Roman" w:eastAsia="Times New Roman" w:hAnsi="Times New Roman" w:cs="Times New Roman"/>
                <w:b/>
              </w:rPr>
            </w:pPr>
            <w:r>
              <w:rPr>
                <w:rFonts w:ascii="Times New Roman" w:eastAsia="Times New Roman" w:hAnsi="Times New Roman" w:cs="Times New Roman"/>
              </w:rPr>
              <w:t>R9</w:t>
            </w:r>
          </w:p>
        </w:tc>
        <w:tc>
          <w:tcPr>
            <w:tcW w:w="5192" w:type="dxa"/>
          </w:tcPr>
          <w:p w14:paraId="11AEDCA9"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Product safety manager (a); product quality manager (b)</w:t>
            </w:r>
          </w:p>
        </w:tc>
        <w:tc>
          <w:tcPr>
            <w:tcW w:w="1134" w:type="dxa"/>
          </w:tcPr>
          <w:p w14:paraId="7C54091F"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06/03/18</w:t>
            </w:r>
          </w:p>
        </w:tc>
      </w:tr>
      <w:tr w:rsidR="005B3FB4" w14:paraId="51F7409C" w14:textId="77777777" w:rsidTr="00B822E1">
        <w:tc>
          <w:tcPr>
            <w:tcW w:w="2883" w:type="dxa"/>
          </w:tcPr>
          <w:p w14:paraId="6D1EBA90" w14:textId="77777777" w:rsidR="005B3FB4" w:rsidRDefault="005B3FB4" w:rsidP="00B822E1">
            <w:pPr>
              <w:widowControl w:val="0"/>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Trade Associations</w:t>
            </w:r>
          </w:p>
        </w:tc>
        <w:tc>
          <w:tcPr>
            <w:tcW w:w="5192" w:type="dxa"/>
          </w:tcPr>
          <w:p w14:paraId="4EE81E0C" w14:textId="77777777" w:rsidR="005B3FB4" w:rsidRDefault="005B3FB4" w:rsidP="00B822E1">
            <w:pPr>
              <w:widowControl w:val="0"/>
              <w:spacing w:after="120"/>
              <w:rPr>
                <w:rFonts w:ascii="Times New Roman" w:eastAsia="Times New Roman" w:hAnsi="Times New Roman" w:cs="Times New Roman"/>
              </w:rPr>
            </w:pPr>
          </w:p>
        </w:tc>
        <w:tc>
          <w:tcPr>
            <w:tcW w:w="1134" w:type="dxa"/>
          </w:tcPr>
          <w:p w14:paraId="39D59664" w14:textId="77777777" w:rsidR="005B3FB4" w:rsidRDefault="005B3FB4" w:rsidP="00B822E1">
            <w:pPr>
              <w:widowControl w:val="0"/>
              <w:spacing w:after="120"/>
              <w:rPr>
                <w:rFonts w:ascii="Times New Roman" w:eastAsia="Times New Roman" w:hAnsi="Times New Roman" w:cs="Times New Roman"/>
              </w:rPr>
            </w:pPr>
          </w:p>
        </w:tc>
      </w:tr>
      <w:tr w:rsidR="005B3FB4" w14:paraId="6F01BF91" w14:textId="77777777" w:rsidTr="00B822E1">
        <w:tc>
          <w:tcPr>
            <w:tcW w:w="2883" w:type="dxa"/>
          </w:tcPr>
          <w:p w14:paraId="1576890D"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Trade Association 1 (TA1)</w:t>
            </w:r>
          </w:p>
        </w:tc>
        <w:tc>
          <w:tcPr>
            <w:tcW w:w="5192" w:type="dxa"/>
          </w:tcPr>
          <w:p w14:paraId="7F746C2B"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Head (a); technical director (b)</w:t>
            </w:r>
          </w:p>
        </w:tc>
        <w:tc>
          <w:tcPr>
            <w:tcW w:w="1134" w:type="dxa"/>
          </w:tcPr>
          <w:p w14:paraId="3066B385"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12/10/17</w:t>
            </w:r>
          </w:p>
        </w:tc>
      </w:tr>
      <w:tr w:rsidR="005B3FB4" w14:paraId="2E055D63" w14:textId="77777777" w:rsidTr="00B822E1">
        <w:tc>
          <w:tcPr>
            <w:tcW w:w="2883" w:type="dxa"/>
          </w:tcPr>
          <w:p w14:paraId="311F1E1B"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TA2</w:t>
            </w:r>
          </w:p>
        </w:tc>
        <w:tc>
          <w:tcPr>
            <w:tcW w:w="5192" w:type="dxa"/>
          </w:tcPr>
          <w:p w14:paraId="11D2B22D"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Director (a); policy adviser (b)</w:t>
            </w:r>
          </w:p>
        </w:tc>
        <w:tc>
          <w:tcPr>
            <w:tcW w:w="1134" w:type="dxa"/>
          </w:tcPr>
          <w:p w14:paraId="5B0A1CF2"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02/10/17</w:t>
            </w:r>
          </w:p>
        </w:tc>
      </w:tr>
      <w:tr w:rsidR="005B3FB4" w14:paraId="4C8E96F1" w14:textId="77777777" w:rsidTr="00B822E1">
        <w:tc>
          <w:tcPr>
            <w:tcW w:w="2883" w:type="dxa"/>
          </w:tcPr>
          <w:p w14:paraId="1EDC60E7"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TA3</w:t>
            </w:r>
          </w:p>
        </w:tc>
        <w:tc>
          <w:tcPr>
            <w:tcW w:w="5192" w:type="dxa"/>
          </w:tcPr>
          <w:p w14:paraId="077E51C4"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Technical director (a); technical manager (b)</w:t>
            </w:r>
          </w:p>
        </w:tc>
        <w:tc>
          <w:tcPr>
            <w:tcW w:w="1134" w:type="dxa"/>
          </w:tcPr>
          <w:p w14:paraId="1413897F"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02/10/17</w:t>
            </w:r>
          </w:p>
        </w:tc>
      </w:tr>
      <w:tr w:rsidR="005B3FB4" w14:paraId="47C52DD6" w14:textId="77777777" w:rsidTr="00B822E1">
        <w:tc>
          <w:tcPr>
            <w:tcW w:w="2883" w:type="dxa"/>
          </w:tcPr>
          <w:p w14:paraId="1541722C"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TA4</w:t>
            </w:r>
          </w:p>
        </w:tc>
        <w:tc>
          <w:tcPr>
            <w:tcW w:w="5192" w:type="dxa"/>
          </w:tcPr>
          <w:p w14:paraId="0AC5B491"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Veterinary manager</w:t>
            </w:r>
          </w:p>
        </w:tc>
        <w:tc>
          <w:tcPr>
            <w:tcW w:w="1134" w:type="dxa"/>
          </w:tcPr>
          <w:p w14:paraId="5DACC317"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23/11/17</w:t>
            </w:r>
          </w:p>
        </w:tc>
      </w:tr>
      <w:tr w:rsidR="005B3FB4" w14:paraId="65E97EC9" w14:textId="77777777" w:rsidTr="00B822E1">
        <w:tc>
          <w:tcPr>
            <w:tcW w:w="2883" w:type="dxa"/>
          </w:tcPr>
          <w:p w14:paraId="727C3478"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TA5</w:t>
            </w:r>
          </w:p>
        </w:tc>
        <w:tc>
          <w:tcPr>
            <w:tcW w:w="5192" w:type="dxa"/>
          </w:tcPr>
          <w:p w14:paraId="21F5D59C"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Policy advisor</w:t>
            </w:r>
          </w:p>
        </w:tc>
        <w:tc>
          <w:tcPr>
            <w:tcW w:w="1134" w:type="dxa"/>
          </w:tcPr>
          <w:p w14:paraId="6F107871"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11/12/17</w:t>
            </w:r>
          </w:p>
        </w:tc>
      </w:tr>
      <w:tr w:rsidR="005B3FB4" w14:paraId="03A0717A" w14:textId="77777777" w:rsidTr="00B822E1">
        <w:tc>
          <w:tcPr>
            <w:tcW w:w="2883" w:type="dxa"/>
          </w:tcPr>
          <w:p w14:paraId="49B1C90C"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TA6</w:t>
            </w:r>
          </w:p>
        </w:tc>
        <w:tc>
          <w:tcPr>
            <w:tcW w:w="5192" w:type="dxa"/>
          </w:tcPr>
          <w:p w14:paraId="447ABE01"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Director</w:t>
            </w:r>
          </w:p>
        </w:tc>
        <w:tc>
          <w:tcPr>
            <w:tcW w:w="1134" w:type="dxa"/>
          </w:tcPr>
          <w:p w14:paraId="33D814BD"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22/01/17</w:t>
            </w:r>
          </w:p>
        </w:tc>
      </w:tr>
      <w:tr w:rsidR="005B3FB4" w14:paraId="49BE96FF" w14:textId="77777777" w:rsidTr="00B822E1">
        <w:tc>
          <w:tcPr>
            <w:tcW w:w="2883" w:type="dxa"/>
          </w:tcPr>
          <w:p w14:paraId="3D2E0E7E"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TA7</w:t>
            </w:r>
          </w:p>
        </w:tc>
        <w:tc>
          <w:tcPr>
            <w:tcW w:w="5192" w:type="dxa"/>
          </w:tcPr>
          <w:p w14:paraId="2AEEC1F4"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Technical director</w:t>
            </w:r>
          </w:p>
        </w:tc>
        <w:tc>
          <w:tcPr>
            <w:tcW w:w="1134" w:type="dxa"/>
          </w:tcPr>
          <w:p w14:paraId="249380BD"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29/03/18</w:t>
            </w:r>
          </w:p>
        </w:tc>
      </w:tr>
      <w:tr w:rsidR="005B3FB4" w14:paraId="6E15304B" w14:textId="77777777" w:rsidTr="00B822E1">
        <w:tc>
          <w:tcPr>
            <w:tcW w:w="2883" w:type="dxa"/>
          </w:tcPr>
          <w:p w14:paraId="2FB3814A"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TA8</w:t>
            </w:r>
          </w:p>
        </w:tc>
        <w:tc>
          <w:tcPr>
            <w:tcW w:w="5192" w:type="dxa"/>
          </w:tcPr>
          <w:p w14:paraId="1473C6C2"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Director</w:t>
            </w:r>
          </w:p>
        </w:tc>
        <w:tc>
          <w:tcPr>
            <w:tcW w:w="1134" w:type="dxa"/>
          </w:tcPr>
          <w:p w14:paraId="389CAFE8"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02/03/18</w:t>
            </w:r>
          </w:p>
        </w:tc>
      </w:tr>
      <w:tr w:rsidR="005B3FB4" w14:paraId="47220AFD" w14:textId="77777777" w:rsidTr="00B822E1">
        <w:tc>
          <w:tcPr>
            <w:tcW w:w="2883" w:type="dxa"/>
          </w:tcPr>
          <w:p w14:paraId="3DEAA55B" w14:textId="77777777" w:rsidR="005B3FB4" w:rsidRDefault="005B3FB4" w:rsidP="00B822E1">
            <w:pPr>
              <w:widowControl w:val="0"/>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Government Departments</w:t>
            </w:r>
          </w:p>
        </w:tc>
        <w:tc>
          <w:tcPr>
            <w:tcW w:w="5192" w:type="dxa"/>
          </w:tcPr>
          <w:p w14:paraId="6DD6747D" w14:textId="77777777" w:rsidR="005B3FB4" w:rsidRDefault="005B3FB4" w:rsidP="00B822E1">
            <w:pPr>
              <w:widowControl w:val="0"/>
              <w:spacing w:after="120"/>
              <w:rPr>
                <w:rFonts w:ascii="Times New Roman" w:eastAsia="Times New Roman" w:hAnsi="Times New Roman" w:cs="Times New Roman"/>
              </w:rPr>
            </w:pPr>
          </w:p>
        </w:tc>
        <w:tc>
          <w:tcPr>
            <w:tcW w:w="1134" w:type="dxa"/>
          </w:tcPr>
          <w:p w14:paraId="573FD6D8" w14:textId="77777777" w:rsidR="005B3FB4" w:rsidRDefault="005B3FB4" w:rsidP="00B822E1">
            <w:pPr>
              <w:widowControl w:val="0"/>
              <w:spacing w:after="120"/>
              <w:rPr>
                <w:rFonts w:ascii="Times New Roman" w:eastAsia="Times New Roman" w:hAnsi="Times New Roman" w:cs="Times New Roman"/>
              </w:rPr>
            </w:pPr>
          </w:p>
        </w:tc>
      </w:tr>
      <w:tr w:rsidR="005B3FB4" w14:paraId="5BF06DD2" w14:textId="77777777" w:rsidTr="00B822E1">
        <w:tc>
          <w:tcPr>
            <w:tcW w:w="2883" w:type="dxa"/>
          </w:tcPr>
          <w:p w14:paraId="000C62AE"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Government Department (GD1A)</w:t>
            </w:r>
          </w:p>
        </w:tc>
        <w:tc>
          <w:tcPr>
            <w:tcW w:w="5192" w:type="dxa"/>
          </w:tcPr>
          <w:p w14:paraId="76326DB9"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Director</w:t>
            </w:r>
          </w:p>
        </w:tc>
        <w:tc>
          <w:tcPr>
            <w:tcW w:w="1134" w:type="dxa"/>
          </w:tcPr>
          <w:p w14:paraId="07A83B1D"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14/07/17</w:t>
            </w:r>
          </w:p>
        </w:tc>
      </w:tr>
      <w:tr w:rsidR="005B3FB4" w14:paraId="0C72E035" w14:textId="77777777" w:rsidTr="00B822E1">
        <w:tc>
          <w:tcPr>
            <w:tcW w:w="2883" w:type="dxa"/>
          </w:tcPr>
          <w:p w14:paraId="31B20A86"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GD1B</w:t>
            </w:r>
          </w:p>
        </w:tc>
        <w:tc>
          <w:tcPr>
            <w:tcW w:w="5192" w:type="dxa"/>
          </w:tcPr>
          <w:p w14:paraId="164A8C7A"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Advisor</w:t>
            </w:r>
          </w:p>
        </w:tc>
        <w:tc>
          <w:tcPr>
            <w:tcW w:w="1134" w:type="dxa"/>
          </w:tcPr>
          <w:p w14:paraId="44FBD6F9"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31/07/17</w:t>
            </w:r>
          </w:p>
        </w:tc>
      </w:tr>
      <w:tr w:rsidR="005B3FB4" w14:paraId="093FACE6" w14:textId="77777777" w:rsidTr="00B822E1">
        <w:tc>
          <w:tcPr>
            <w:tcW w:w="2883" w:type="dxa"/>
          </w:tcPr>
          <w:p w14:paraId="2E100B40"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GD2</w:t>
            </w:r>
          </w:p>
        </w:tc>
        <w:tc>
          <w:tcPr>
            <w:tcW w:w="5192" w:type="dxa"/>
          </w:tcPr>
          <w:p w14:paraId="388C605B"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Director (a); project manager (b); policy manager (c); researcher (d); research and development manager (e)</w:t>
            </w:r>
          </w:p>
        </w:tc>
        <w:tc>
          <w:tcPr>
            <w:tcW w:w="1134" w:type="dxa"/>
          </w:tcPr>
          <w:p w14:paraId="7C594F2F"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01/08/17</w:t>
            </w:r>
          </w:p>
        </w:tc>
      </w:tr>
      <w:tr w:rsidR="005B3FB4" w14:paraId="68DC19FF" w14:textId="77777777" w:rsidTr="00B822E1">
        <w:tc>
          <w:tcPr>
            <w:tcW w:w="2883" w:type="dxa"/>
          </w:tcPr>
          <w:p w14:paraId="6AD8998B" w14:textId="77777777" w:rsidR="005B3FB4" w:rsidRDefault="005B3FB4" w:rsidP="00B822E1">
            <w:pPr>
              <w:widowControl w:val="0"/>
              <w:spacing w:after="120"/>
              <w:rPr>
                <w:rFonts w:ascii="Times New Roman" w:eastAsia="Times New Roman" w:hAnsi="Times New Roman" w:cs="Times New Roman"/>
                <w:b/>
              </w:rPr>
            </w:pPr>
            <w:r>
              <w:rPr>
                <w:rFonts w:ascii="Times New Roman" w:eastAsia="Times New Roman" w:hAnsi="Times New Roman" w:cs="Times New Roman"/>
                <w:b/>
              </w:rPr>
              <w:t>Pig Farms</w:t>
            </w:r>
          </w:p>
        </w:tc>
        <w:tc>
          <w:tcPr>
            <w:tcW w:w="5192" w:type="dxa"/>
          </w:tcPr>
          <w:p w14:paraId="128746DC" w14:textId="77777777" w:rsidR="005B3FB4" w:rsidRDefault="005B3FB4" w:rsidP="00B822E1">
            <w:pPr>
              <w:widowControl w:val="0"/>
              <w:spacing w:after="120"/>
              <w:rPr>
                <w:rFonts w:ascii="Times New Roman" w:eastAsia="Times New Roman" w:hAnsi="Times New Roman" w:cs="Times New Roman"/>
              </w:rPr>
            </w:pPr>
          </w:p>
        </w:tc>
        <w:tc>
          <w:tcPr>
            <w:tcW w:w="1134" w:type="dxa"/>
          </w:tcPr>
          <w:p w14:paraId="6AB625FC" w14:textId="77777777" w:rsidR="005B3FB4" w:rsidRDefault="005B3FB4" w:rsidP="00B822E1">
            <w:pPr>
              <w:widowControl w:val="0"/>
              <w:spacing w:after="120"/>
              <w:rPr>
                <w:rFonts w:ascii="Times New Roman" w:eastAsia="Times New Roman" w:hAnsi="Times New Roman" w:cs="Times New Roman"/>
              </w:rPr>
            </w:pPr>
          </w:p>
        </w:tc>
      </w:tr>
      <w:tr w:rsidR="005B3FB4" w14:paraId="0F0848B8" w14:textId="77777777" w:rsidTr="00B822E1">
        <w:tc>
          <w:tcPr>
            <w:tcW w:w="2883" w:type="dxa"/>
          </w:tcPr>
          <w:p w14:paraId="5EDE4997"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Pig Farm 1 (PgF1)</w:t>
            </w:r>
          </w:p>
        </w:tc>
        <w:tc>
          <w:tcPr>
            <w:tcW w:w="5192" w:type="dxa"/>
          </w:tcPr>
          <w:p w14:paraId="10BA0CA9"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Farmer</w:t>
            </w:r>
          </w:p>
        </w:tc>
        <w:tc>
          <w:tcPr>
            <w:tcW w:w="1134" w:type="dxa"/>
          </w:tcPr>
          <w:p w14:paraId="4C846AF6"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15/02/18</w:t>
            </w:r>
          </w:p>
        </w:tc>
      </w:tr>
      <w:tr w:rsidR="005B3FB4" w14:paraId="4A3D7B59" w14:textId="77777777" w:rsidTr="00B822E1">
        <w:tc>
          <w:tcPr>
            <w:tcW w:w="2883" w:type="dxa"/>
          </w:tcPr>
          <w:p w14:paraId="4BDA7D28"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PgF2</w:t>
            </w:r>
          </w:p>
        </w:tc>
        <w:tc>
          <w:tcPr>
            <w:tcW w:w="5192" w:type="dxa"/>
          </w:tcPr>
          <w:p w14:paraId="180037DB"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Farmer</w:t>
            </w:r>
          </w:p>
        </w:tc>
        <w:tc>
          <w:tcPr>
            <w:tcW w:w="1134" w:type="dxa"/>
          </w:tcPr>
          <w:p w14:paraId="5B6B9B9B"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23/03/18</w:t>
            </w:r>
          </w:p>
        </w:tc>
      </w:tr>
      <w:tr w:rsidR="005B3FB4" w14:paraId="540646E8" w14:textId="77777777" w:rsidTr="00B822E1">
        <w:tc>
          <w:tcPr>
            <w:tcW w:w="2883" w:type="dxa"/>
          </w:tcPr>
          <w:p w14:paraId="33B1F0B5"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PgF3</w:t>
            </w:r>
          </w:p>
        </w:tc>
        <w:tc>
          <w:tcPr>
            <w:tcW w:w="5192" w:type="dxa"/>
          </w:tcPr>
          <w:p w14:paraId="4C6C0E65"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Farmer</w:t>
            </w:r>
          </w:p>
        </w:tc>
        <w:tc>
          <w:tcPr>
            <w:tcW w:w="1134" w:type="dxa"/>
          </w:tcPr>
          <w:p w14:paraId="68710CD5"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23/02/18</w:t>
            </w:r>
          </w:p>
        </w:tc>
      </w:tr>
      <w:tr w:rsidR="005B3FB4" w14:paraId="39BA2006" w14:textId="77777777" w:rsidTr="00B822E1">
        <w:tc>
          <w:tcPr>
            <w:tcW w:w="2883" w:type="dxa"/>
          </w:tcPr>
          <w:p w14:paraId="0FDB11F8"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PgF4</w:t>
            </w:r>
          </w:p>
        </w:tc>
        <w:tc>
          <w:tcPr>
            <w:tcW w:w="5192" w:type="dxa"/>
          </w:tcPr>
          <w:p w14:paraId="624D08D8"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Farmer</w:t>
            </w:r>
          </w:p>
        </w:tc>
        <w:tc>
          <w:tcPr>
            <w:tcW w:w="1134" w:type="dxa"/>
          </w:tcPr>
          <w:p w14:paraId="405937B0"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12/03/18</w:t>
            </w:r>
          </w:p>
        </w:tc>
      </w:tr>
      <w:tr w:rsidR="005B3FB4" w14:paraId="24EC6CF4" w14:textId="77777777" w:rsidTr="00B822E1">
        <w:tc>
          <w:tcPr>
            <w:tcW w:w="2883" w:type="dxa"/>
          </w:tcPr>
          <w:p w14:paraId="346B4BCA"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PgF5</w:t>
            </w:r>
          </w:p>
        </w:tc>
        <w:tc>
          <w:tcPr>
            <w:tcW w:w="5192" w:type="dxa"/>
          </w:tcPr>
          <w:p w14:paraId="13475469"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Farmer</w:t>
            </w:r>
          </w:p>
        </w:tc>
        <w:tc>
          <w:tcPr>
            <w:tcW w:w="1134" w:type="dxa"/>
          </w:tcPr>
          <w:p w14:paraId="327DF352"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08/02/18</w:t>
            </w:r>
          </w:p>
        </w:tc>
      </w:tr>
      <w:tr w:rsidR="005B3FB4" w14:paraId="6E5837A7" w14:textId="77777777" w:rsidTr="00B822E1">
        <w:tc>
          <w:tcPr>
            <w:tcW w:w="2883" w:type="dxa"/>
          </w:tcPr>
          <w:p w14:paraId="1D1C9027"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PgF6</w:t>
            </w:r>
          </w:p>
        </w:tc>
        <w:tc>
          <w:tcPr>
            <w:tcW w:w="5192" w:type="dxa"/>
          </w:tcPr>
          <w:p w14:paraId="6BD2F4E4"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Farmer</w:t>
            </w:r>
          </w:p>
        </w:tc>
        <w:tc>
          <w:tcPr>
            <w:tcW w:w="1134" w:type="dxa"/>
          </w:tcPr>
          <w:p w14:paraId="1709CF09"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30/09/18</w:t>
            </w:r>
          </w:p>
        </w:tc>
      </w:tr>
      <w:tr w:rsidR="005B3FB4" w14:paraId="08182A91" w14:textId="77777777" w:rsidTr="00B822E1">
        <w:tc>
          <w:tcPr>
            <w:tcW w:w="2883" w:type="dxa"/>
          </w:tcPr>
          <w:p w14:paraId="495BE207"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PgF7</w:t>
            </w:r>
          </w:p>
        </w:tc>
        <w:tc>
          <w:tcPr>
            <w:tcW w:w="5192" w:type="dxa"/>
          </w:tcPr>
          <w:p w14:paraId="64FAF0CC" w14:textId="77777777" w:rsidR="005B3FB4" w:rsidRDefault="005B3FB4" w:rsidP="00B822E1">
            <w:pPr>
              <w:widowControl w:val="0"/>
              <w:spacing w:after="120"/>
              <w:rPr>
                <w:rFonts w:ascii="Times New Roman" w:eastAsia="Times New Roman" w:hAnsi="Times New Roman" w:cs="Times New Roman"/>
                <w:b/>
              </w:rPr>
            </w:pPr>
            <w:r>
              <w:rPr>
                <w:rFonts w:ascii="Times New Roman" w:eastAsia="Times New Roman" w:hAnsi="Times New Roman" w:cs="Times New Roman"/>
              </w:rPr>
              <w:t>Farmer</w:t>
            </w:r>
          </w:p>
        </w:tc>
        <w:tc>
          <w:tcPr>
            <w:tcW w:w="1134" w:type="dxa"/>
          </w:tcPr>
          <w:p w14:paraId="09F49C2D"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06/04/18</w:t>
            </w:r>
          </w:p>
        </w:tc>
      </w:tr>
      <w:tr w:rsidR="005B3FB4" w14:paraId="42B391B0" w14:textId="77777777" w:rsidTr="00B822E1">
        <w:tc>
          <w:tcPr>
            <w:tcW w:w="2883" w:type="dxa"/>
          </w:tcPr>
          <w:p w14:paraId="2225A357" w14:textId="77777777" w:rsidR="005B3FB4" w:rsidRDefault="005B3FB4" w:rsidP="00B822E1">
            <w:pPr>
              <w:widowControl w:val="0"/>
              <w:spacing w:after="120"/>
              <w:rPr>
                <w:rFonts w:ascii="Times New Roman" w:eastAsia="Times New Roman" w:hAnsi="Times New Roman" w:cs="Times New Roman"/>
                <w:b/>
              </w:rPr>
            </w:pPr>
            <w:r>
              <w:rPr>
                <w:rFonts w:ascii="Times New Roman" w:eastAsia="Times New Roman" w:hAnsi="Times New Roman" w:cs="Times New Roman"/>
                <w:b/>
              </w:rPr>
              <w:t>Poultry (Chicken) Farms</w:t>
            </w:r>
          </w:p>
        </w:tc>
        <w:tc>
          <w:tcPr>
            <w:tcW w:w="5192" w:type="dxa"/>
          </w:tcPr>
          <w:p w14:paraId="18F80FF5" w14:textId="77777777" w:rsidR="005B3FB4" w:rsidRDefault="005B3FB4" w:rsidP="00B822E1">
            <w:pPr>
              <w:widowControl w:val="0"/>
              <w:spacing w:after="120"/>
              <w:rPr>
                <w:rFonts w:ascii="Times New Roman" w:eastAsia="Times New Roman" w:hAnsi="Times New Roman" w:cs="Times New Roman"/>
              </w:rPr>
            </w:pPr>
          </w:p>
        </w:tc>
        <w:tc>
          <w:tcPr>
            <w:tcW w:w="1134" w:type="dxa"/>
          </w:tcPr>
          <w:p w14:paraId="7F88EB30" w14:textId="77777777" w:rsidR="005B3FB4" w:rsidRDefault="005B3FB4" w:rsidP="00B822E1">
            <w:pPr>
              <w:widowControl w:val="0"/>
              <w:spacing w:after="120"/>
              <w:rPr>
                <w:rFonts w:ascii="Times New Roman" w:eastAsia="Times New Roman" w:hAnsi="Times New Roman" w:cs="Times New Roman"/>
              </w:rPr>
            </w:pPr>
          </w:p>
        </w:tc>
      </w:tr>
      <w:tr w:rsidR="005B3FB4" w14:paraId="7AB77807" w14:textId="77777777" w:rsidTr="00B822E1">
        <w:tc>
          <w:tcPr>
            <w:tcW w:w="2883" w:type="dxa"/>
          </w:tcPr>
          <w:p w14:paraId="7DE8F383"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PouF1</w:t>
            </w:r>
          </w:p>
        </w:tc>
        <w:tc>
          <w:tcPr>
            <w:tcW w:w="5192" w:type="dxa"/>
          </w:tcPr>
          <w:p w14:paraId="6CD2DBFA"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Farmer</w:t>
            </w:r>
          </w:p>
        </w:tc>
        <w:tc>
          <w:tcPr>
            <w:tcW w:w="1134" w:type="dxa"/>
          </w:tcPr>
          <w:p w14:paraId="704DFB88"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12/06/18</w:t>
            </w:r>
          </w:p>
        </w:tc>
      </w:tr>
      <w:tr w:rsidR="005B3FB4" w14:paraId="2061CAFE" w14:textId="77777777" w:rsidTr="00B822E1">
        <w:tc>
          <w:tcPr>
            <w:tcW w:w="2883" w:type="dxa"/>
          </w:tcPr>
          <w:p w14:paraId="6B84ACD6"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PouF2</w:t>
            </w:r>
          </w:p>
        </w:tc>
        <w:tc>
          <w:tcPr>
            <w:tcW w:w="5192" w:type="dxa"/>
          </w:tcPr>
          <w:p w14:paraId="5BE7772A"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Farmer</w:t>
            </w:r>
          </w:p>
        </w:tc>
        <w:tc>
          <w:tcPr>
            <w:tcW w:w="1134" w:type="dxa"/>
          </w:tcPr>
          <w:p w14:paraId="59D375FA"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25/04/18</w:t>
            </w:r>
          </w:p>
        </w:tc>
      </w:tr>
      <w:tr w:rsidR="005B3FB4" w14:paraId="7F4098D4" w14:textId="77777777" w:rsidTr="00B822E1">
        <w:tc>
          <w:tcPr>
            <w:tcW w:w="2883" w:type="dxa"/>
          </w:tcPr>
          <w:p w14:paraId="62B53D93"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PouF3</w:t>
            </w:r>
          </w:p>
        </w:tc>
        <w:tc>
          <w:tcPr>
            <w:tcW w:w="5192" w:type="dxa"/>
          </w:tcPr>
          <w:p w14:paraId="5E081F4B"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Farmer</w:t>
            </w:r>
          </w:p>
        </w:tc>
        <w:tc>
          <w:tcPr>
            <w:tcW w:w="1134" w:type="dxa"/>
          </w:tcPr>
          <w:p w14:paraId="78A579DA"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01/06/18</w:t>
            </w:r>
          </w:p>
        </w:tc>
      </w:tr>
      <w:tr w:rsidR="005B3FB4" w14:paraId="2BCD3DDF" w14:textId="77777777" w:rsidTr="00B822E1">
        <w:tc>
          <w:tcPr>
            <w:tcW w:w="2883" w:type="dxa"/>
          </w:tcPr>
          <w:p w14:paraId="6C33E7F0" w14:textId="77777777" w:rsidR="005B3FB4" w:rsidRDefault="005B3FB4" w:rsidP="00B822E1">
            <w:pPr>
              <w:widowControl w:val="0"/>
              <w:spacing w:after="120"/>
              <w:rPr>
                <w:rFonts w:ascii="Times New Roman" w:eastAsia="Times New Roman" w:hAnsi="Times New Roman" w:cs="Times New Roman"/>
                <w:b/>
                <w:color w:val="000000"/>
              </w:rPr>
            </w:pPr>
            <w:r>
              <w:rPr>
                <w:rFonts w:ascii="Times New Roman" w:eastAsia="Times New Roman" w:hAnsi="Times New Roman" w:cs="Times New Roman"/>
              </w:rPr>
              <w:t>PouF4</w:t>
            </w:r>
          </w:p>
        </w:tc>
        <w:tc>
          <w:tcPr>
            <w:tcW w:w="5192" w:type="dxa"/>
          </w:tcPr>
          <w:p w14:paraId="1E55C3D2"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Farmer</w:t>
            </w:r>
          </w:p>
        </w:tc>
        <w:tc>
          <w:tcPr>
            <w:tcW w:w="1134" w:type="dxa"/>
          </w:tcPr>
          <w:p w14:paraId="5B461CD7"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06/02/18</w:t>
            </w:r>
          </w:p>
        </w:tc>
      </w:tr>
      <w:tr w:rsidR="005B3FB4" w14:paraId="576F67E6" w14:textId="77777777" w:rsidTr="00B822E1">
        <w:tc>
          <w:tcPr>
            <w:tcW w:w="2883" w:type="dxa"/>
          </w:tcPr>
          <w:p w14:paraId="7BCB5EB6"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rPr>
              <w:t>PouF5</w:t>
            </w:r>
          </w:p>
        </w:tc>
        <w:tc>
          <w:tcPr>
            <w:tcW w:w="5192" w:type="dxa"/>
          </w:tcPr>
          <w:p w14:paraId="43FD6FFE"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Farmer</w:t>
            </w:r>
          </w:p>
        </w:tc>
        <w:tc>
          <w:tcPr>
            <w:tcW w:w="1134" w:type="dxa"/>
          </w:tcPr>
          <w:p w14:paraId="6CBE311F"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10/01/18</w:t>
            </w:r>
          </w:p>
        </w:tc>
      </w:tr>
      <w:tr w:rsidR="005B3FB4" w14:paraId="6BC0A43A" w14:textId="77777777" w:rsidTr="00B822E1">
        <w:tc>
          <w:tcPr>
            <w:tcW w:w="2883" w:type="dxa"/>
          </w:tcPr>
          <w:p w14:paraId="67F1C349"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rPr>
              <w:t>PouF6</w:t>
            </w:r>
          </w:p>
        </w:tc>
        <w:tc>
          <w:tcPr>
            <w:tcW w:w="5192" w:type="dxa"/>
          </w:tcPr>
          <w:p w14:paraId="40DDB477"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Farmer</w:t>
            </w:r>
          </w:p>
        </w:tc>
        <w:tc>
          <w:tcPr>
            <w:tcW w:w="1134" w:type="dxa"/>
          </w:tcPr>
          <w:p w14:paraId="1461171E"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14/06/18</w:t>
            </w:r>
          </w:p>
        </w:tc>
      </w:tr>
      <w:tr w:rsidR="005B3FB4" w14:paraId="41505B82" w14:textId="77777777" w:rsidTr="00B822E1">
        <w:tc>
          <w:tcPr>
            <w:tcW w:w="2883" w:type="dxa"/>
          </w:tcPr>
          <w:p w14:paraId="5869261A" w14:textId="77777777" w:rsidR="005B3FB4" w:rsidRDefault="005B3FB4" w:rsidP="00B822E1">
            <w:pPr>
              <w:widowControl w:val="0"/>
              <w:spacing w:after="120"/>
              <w:rPr>
                <w:rFonts w:ascii="Times New Roman" w:eastAsia="Times New Roman" w:hAnsi="Times New Roman" w:cs="Times New Roman"/>
                <w:b/>
              </w:rPr>
            </w:pPr>
            <w:r>
              <w:rPr>
                <w:rFonts w:ascii="Times New Roman" w:eastAsia="Times New Roman" w:hAnsi="Times New Roman" w:cs="Times New Roman"/>
                <w:b/>
              </w:rPr>
              <w:t>Processors</w:t>
            </w:r>
          </w:p>
        </w:tc>
        <w:tc>
          <w:tcPr>
            <w:tcW w:w="5192" w:type="dxa"/>
          </w:tcPr>
          <w:p w14:paraId="54E795FA" w14:textId="77777777" w:rsidR="005B3FB4" w:rsidRDefault="005B3FB4" w:rsidP="00B822E1">
            <w:pPr>
              <w:widowControl w:val="0"/>
              <w:spacing w:after="120"/>
              <w:rPr>
                <w:rFonts w:ascii="Times New Roman" w:eastAsia="Times New Roman" w:hAnsi="Times New Roman" w:cs="Times New Roman"/>
              </w:rPr>
            </w:pPr>
          </w:p>
        </w:tc>
        <w:tc>
          <w:tcPr>
            <w:tcW w:w="1134" w:type="dxa"/>
          </w:tcPr>
          <w:p w14:paraId="53716C30" w14:textId="77777777" w:rsidR="005B3FB4" w:rsidRDefault="005B3FB4" w:rsidP="00B822E1">
            <w:pPr>
              <w:widowControl w:val="0"/>
              <w:spacing w:after="120"/>
              <w:rPr>
                <w:rFonts w:ascii="Times New Roman" w:eastAsia="Times New Roman" w:hAnsi="Times New Roman" w:cs="Times New Roman"/>
              </w:rPr>
            </w:pPr>
          </w:p>
        </w:tc>
      </w:tr>
      <w:tr w:rsidR="005B3FB4" w14:paraId="718F364A" w14:textId="77777777" w:rsidTr="00B822E1">
        <w:tc>
          <w:tcPr>
            <w:tcW w:w="2883" w:type="dxa"/>
          </w:tcPr>
          <w:p w14:paraId="42D35D8C"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Processor 1 (P1A)</w:t>
            </w:r>
          </w:p>
        </w:tc>
        <w:tc>
          <w:tcPr>
            <w:tcW w:w="5192" w:type="dxa"/>
          </w:tcPr>
          <w:p w14:paraId="41B89D19"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Production manager (a); production manager (b)</w:t>
            </w:r>
          </w:p>
        </w:tc>
        <w:tc>
          <w:tcPr>
            <w:tcW w:w="1134" w:type="dxa"/>
          </w:tcPr>
          <w:p w14:paraId="626FAEBB"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27/03/18</w:t>
            </w:r>
          </w:p>
        </w:tc>
      </w:tr>
      <w:tr w:rsidR="005B3FB4" w14:paraId="5054DD7D" w14:textId="77777777" w:rsidTr="00B822E1">
        <w:tc>
          <w:tcPr>
            <w:tcW w:w="2883" w:type="dxa"/>
          </w:tcPr>
          <w:p w14:paraId="1E22A67A"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P1B</w:t>
            </w:r>
          </w:p>
        </w:tc>
        <w:tc>
          <w:tcPr>
            <w:tcW w:w="5192" w:type="dxa"/>
          </w:tcPr>
          <w:p w14:paraId="325957E2"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Production manager (a); production manager (b)</w:t>
            </w:r>
          </w:p>
        </w:tc>
        <w:tc>
          <w:tcPr>
            <w:tcW w:w="1134" w:type="dxa"/>
          </w:tcPr>
          <w:p w14:paraId="288D5078"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28/03/18</w:t>
            </w:r>
          </w:p>
        </w:tc>
      </w:tr>
      <w:tr w:rsidR="005B3FB4" w14:paraId="6CBA1A34" w14:textId="77777777" w:rsidTr="00B822E1">
        <w:tc>
          <w:tcPr>
            <w:tcW w:w="2883" w:type="dxa"/>
          </w:tcPr>
          <w:p w14:paraId="62C1F2B4"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Processor 2 (P2)</w:t>
            </w:r>
          </w:p>
        </w:tc>
        <w:tc>
          <w:tcPr>
            <w:tcW w:w="5192" w:type="dxa"/>
          </w:tcPr>
          <w:p w14:paraId="4588CB9E"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Animal welfare manager</w:t>
            </w:r>
          </w:p>
        </w:tc>
        <w:tc>
          <w:tcPr>
            <w:tcW w:w="1134" w:type="dxa"/>
          </w:tcPr>
          <w:p w14:paraId="2BF83947"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24/04/18</w:t>
            </w:r>
          </w:p>
        </w:tc>
      </w:tr>
      <w:tr w:rsidR="005B3FB4" w14:paraId="332490AA" w14:textId="77777777" w:rsidTr="00B822E1">
        <w:tc>
          <w:tcPr>
            <w:tcW w:w="2883" w:type="dxa"/>
          </w:tcPr>
          <w:p w14:paraId="3A8C2CAF"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Processor 3 (P3)</w:t>
            </w:r>
          </w:p>
        </w:tc>
        <w:tc>
          <w:tcPr>
            <w:tcW w:w="5192" w:type="dxa"/>
          </w:tcPr>
          <w:p w14:paraId="2E9B0FB7"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Research officer (a); Technical director (b)</w:t>
            </w:r>
          </w:p>
        </w:tc>
        <w:tc>
          <w:tcPr>
            <w:tcW w:w="1134" w:type="dxa"/>
          </w:tcPr>
          <w:p w14:paraId="0DB6A6AA"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02/05/18</w:t>
            </w:r>
          </w:p>
        </w:tc>
      </w:tr>
      <w:tr w:rsidR="005B3FB4" w14:paraId="1BE2AA38" w14:textId="77777777" w:rsidTr="00B822E1">
        <w:tc>
          <w:tcPr>
            <w:tcW w:w="2883" w:type="dxa"/>
          </w:tcPr>
          <w:p w14:paraId="1CCE997C" w14:textId="77777777" w:rsidR="005B3FB4" w:rsidRDefault="005B3FB4" w:rsidP="00B822E1">
            <w:pPr>
              <w:widowControl w:val="0"/>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Accreditation Bodies</w:t>
            </w:r>
          </w:p>
        </w:tc>
        <w:tc>
          <w:tcPr>
            <w:tcW w:w="5192" w:type="dxa"/>
          </w:tcPr>
          <w:p w14:paraId="3CE2E7B7" w14:textId="77777777" w:rsidR="005B3FB4" w:rsidRDefault="005B3FB4" w:rsidP="00B822E1">
            <w:pPr>
              <w:widowControl w:val="0"/>
              <w:spacing w:after="120"/>
              <w:rPr>
                <w:rFonts w:ascii="Times New Roman" w:eastAsia="Times New Roman" w:hAnsi="Times New Roman" w:cs="Times New Roman"/>
              </w:rPr>
            </w:pPr>
          </w:p>
        </w:tc>
        <w:tc>
          <w:tcPr>
            <w:tcW w:w="1134" w:type="dxa"/>
          </w:tcPr>
          <w:p w14:paraId="67E01DC3" w14:textId="77777777" w:rsidR="005B3FB4" w:rsidRDefault="005B3FB4" w:rsidP="00B822E1">
            <w:pPr>
              <w:widowControl w:val="0"/>
              <w:spacing w:after="120"/>
              <w:rPr>
                <w:rFonts w:ascii="Times New Roman" w:eastAsia="Times New Roman" w:hAnsi="Times New Roman" w:cs="Times New Roman"/>
              </w:rPr>
            </w:pPr>
          </w:p>
        </w:tc>
      </w:tr>
      <w:tr w:rsidR="005B3FB4" w14:paraId="339B9F57" w14:textId="77777777" w:rsidTr="00B822E1">
        <w:tc>
          <w:tcPr>
            <w:tcW w:w="2883" w:type="dxa"/>
          </w:tcPr>
          <w:p w14:paraId="61A8DACB"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Accreditation Body 1 (AB1)</w:t>
            </w:r>
          </w:p>
        </w:tc>
        <w:tc>
          <w:tcPr>
            <w:tcW w:w="5192" w:type="dxa"/>
          </w:tcPr>
          <w:p w14:paraId="25DE7D48"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Technical director</w:t>
            </w:r>
          </w:p>
        </w:tc>
        <w:tc>
          <w:tcPr>
            <w:tcW w:w="1134" w:type="dxa"/>
          </w:tcPr>
          <w:p w14:paraId="6378FD55"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11/10/17</w:t>
            </w:r>
          </w:p>
        </w:tc>
      </w:tr>
      <w:tr w:rsidR="005B3FB4" w14:paraId="52D08181" w14:textId="77777777" w:rsidTr="00B822E1">
        <w:tc>
          <w:tcPr>
            <w:tcW w:w="2883" w:type="dxa"/>
          </w:tcPr>
          <w:p w14:paraId="743C90F0" w14:textId="77777777" w:rsidR="005B3FB4" w:rsidRDefault="005B3FB4" w:rsidP="00B822E1">
            <w:pPr>
              <w:widowControl w:val="0"/>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Consultancy Firms</w:t>
            </w:r>
          </w:p>
        </w:tc>
        <w:tc>
          <w:tcPr>
            <w:tcW w:w="5192" w:type="dxa"/>
          </w:tcPr>
          <w:p w14:paraId="52913A34" w14:textId="77777777" w:rsidR="005B3FB4" w:rsidRDefault="005B3FB4" w:rsidP="00B822E1">
            <w:pPr>
              <w:widowControl w:val="0"/>
              <w:spacing w:after="120"/>
              <w:rPr>
                <w:rFonts w:ascii="Times New Roman" w:eastAsia="Times New Roman" w:hAnsi="Times New Roman" w:cs="Times New Roman"/>
              </w:rPr>
            </w:pPr>
          </w:p>
        </w:tc>
        <w:tc>
          <w:tcPr>
            <w:tcW w:w="1134" w:type="dxa"/>
          </w:tcPr>
          <w:p w14:paraId="2872AFD7" w14:textId="77777777" w:rsidR="005B3FB4" w:rsidRDefault="005B3FB4" w:rsidP="00B822E1">
            <w:pPr>
              <w:widowControl w:val="0"/>
              <w:spacing w:after="120"/>
              <w:rPr>
                <w:rFonts w:ascii="Times New Roman" w:eastAsia="Times New Roman" w:hAnsi="Times New Roman" w:cs="Times New Roman"/>
              </w:rPr>
            </w:pPr>
          </w:p>
        </w:tc>
      </w:tr>
      <w:tr w:rsidR="005B3FB4" w14:paraId="371A68CF" w14:textId="77777777" w:rsidTr="00B822E1">
        <w:tc>
          <w:tcPr>
            <w:tcW w:w="2883" w:type="dxa"/>
          </w:tcPr>
          <w:p w14:paraId="240506C2" w14:textId="77777777" w:rsidR="005B3FB4" w:rsidRDefault="005B3FB4" w:rsidP="00B822E1">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Consultancy 1 (C1)</w:t>
            </w:r>
          </w:p>
        </w:tc>
        <w:tc>
          <w:tcPr>
            <w:tcW w:w="5192" w:type="dxa"/>
          </w:tcPr>
          <w:p w14:paraId="6FE11298"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Director (a); veterinary surgeon (b)</w:t>
            </w:r>
          </w:p>
        </w:tc>
        <w:tc>
          <w:tcPr>
            <w:tcW w:w="1134" w:type="dxa"/>
          </w:tcPr>
          <w:p w14:paraId="2893546C"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23/03/18</w:t>
            </w:r>
          </w:p>
        </w:tc>
      </w:tr>
      <w:tr w:rsidR="005B3FB4" w14:paraId="378CF19E" w14:textId="77777777" w:rsidTr="00B822E1">
        <w:tc>
          <w:tcPr>
            <w:tcW w:w="2883" w:type="dxa"/>
          </w:tcPr>
          <w:p w14:paraId="0B33A22C" w14:textId="77777777" w:rsidR="005B3FB4" w:rsidRDefault="005B3FB4" w:rsidP="00B822E1">
            <w:pPr>
              <w:widowControl w:val="0"/>
              <w:spacing w:after="120"/>
              <w:rPr>
                <w:rFonts w:ascii="Times New Roman" w:eastAsia="Times New Roman" w:hAnsi="Times New Roman" w:cs="Times New Roman"/>
                <w:b/>
              </w:rPr>
            </w:pPr>
            <w:r>
              <w:rPr>
                <w:rFonts w:ascii="Times New Roman" w:eastAsia="Times New Roman" w:hAnsi="Times New Roman" w:cs="Times New Roman"/>
                <w:b/>
              </w:rPr>
              <w:t>Campaigning Organisations</w:t>
            </w:r>
          </w:p>
        </w:tc>
        <w:tc>
          <w:tcPr>
            <w:tcW w:w="5192" w:type="dxa"/>
          </w:tcPr>
          <w:p w14:paraId="56E124B6" w14:textId="77777777" w:rsidR="005B3FB4" w:rsidRDefault="005B3FB4" w:rsidP="00B822E1">
            <w:pPr>
              <w:widowControl w:val="0"/>
              <w:spacing w:after="120"/>
              <w:rPr>
                <w:rFonts w:ascii="Times New Roman" w:eastAsia="Times New Roman" w:hAnsi="Times New Roman" w:cs="Times New Roman"/>
              </w:rPr>
            </w:pPr>
          </w:p>
        </w:tc>
        <w:tc>
          <w:tcPr>
            <w:tcW w:w="1134" w:type="dxa"/>
          </w:tcPr>
          <w:p w14:paraId="164A32D6" w14:textId="77777777" w:rsidR="005B3FB4" w:rsidRDefault="005B3FB4" w:rsidP="00B822E1">
            <w:pPr>
              <w:widowControl w:val="0"/>
              <w:spacing w:after="120"/>
              <w:rPr>
                <w:rFonts w:ascii="Times New Roman" w:eastAsia="Times New Roman" w:hAnsi="Times New Roman" w:cs="Times New Roman"/>
              </w:rPr>
            </w:pPr>
          </w:p>
        </w:tc>
      </w:tr>
      <w:tr w:rsidR="005B3FB4" w14:paraId="45BE0F39" w14:textId="77777777" w:rsidTr="00B822E1">
        <w:tc>
          <w:tcPr>
            <w:tcW w:w="2883" w:type="dxa"/>
          </w:tcPr>
          <w:p w14:paraId="351E04E1"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Campaigning Organisation 1 (CO1)</w:t>
            </w:r>
          </w:p>
        </w:tc>
        <w:tc>
          <w:tcPr>
            <w:tcW w:w="5192" w:type="dxa"/>
          </w:tcPr>
          <w:p w14:paraId="5BADF458"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Manager</w:t>
            </w:r>
          </w:p>
        </w:tc>
        <w:tc>
          <w:tcPr>
            <w:tcW w:w="1134" w:type="dxa"/>
          </w:tcPr>
          <w:p w14:paraId="3B83AE2F" w14:textId="77777777" w:rsidR="005B3FB4" w:rsidRDefault="005B3FB4" w:rsidP="00B822E1">
            <w:pPr>
              <w:widowControl w:val="0"/>
              <w:spacing w:after="120"/>
              <w:rPr>
                <w:rFonts w:ascii="Times New Roman" w:eastAsia="Times New Roman" w:hAnsi="Times New Roman" w:cs="Times New Roman"/>
              </w:rPr>
            </w:pPr>
            <w:r>
              <w:rPr>
                <w:rFonts w:ascii="Times New Roman" w:eastAsia="Times New Roman" w:hAnsi="Times New Roman" w:cs="Times New Roman"/>
              </w:rPr>
              <w:t>06/12/17</w:t>
            </w:r>
          </w:p>
        </w:tc>
      </w:tr>
    </w:tbl>
    <w:p w14:paraId="275AE8DB" w14:textId="77777777" w:rsidR="005B3FB4" w:rsidRDefault="005B3FB4" w:rsidP="005B3FB4"/>
    <w:p w14:paraId="4341474D" w14:textId="77777777" w:rsidR="005B3FB4" w:rsidRDefault="005B3FB4" w:rsidP="00522130">
      <w:pPr>
        <w:spacing w:after="0" w:line="480" w:lineRule="auto"/>
        <w:rPr>
          <w:rFonts w:ascii="Times New Roman" w:eastAsia="Times New Roman" w:hAnsi="Times New Roman" w:cs="Times New Roman"/>
          <w:sz w:val="24"/>
          <w:szCs w:val="24"/>
        </w:rPr>
      </w:pPr>
    </w:p>
    <w:sectPr w:rsidR="005B3FB4" w:rsidSect="00187CBC">
      <w:footerReference w:type="even" r:id="rId11"/>
      <w:footerReference w:type="default" r:id="rId12"/>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EF7F9" w14:textId="77777777" w:rsidR="00686C24" w:rsidRDefault="00686C24">
      <w:pPr>
        <w:spacing w:after="0" w:line="240" w:lineRule="auto"/>
      </w:pPr>
      <w:r>
        <w:separator/>
      </w:r>
    </w:p>
  </w:endnote>
  <w:endnote w:type="continuationSeparator" w:id="0">
    <w:p w14:paraId="78A99946" w14:textId="77777777" w:rsidR="00686C24" w:rsidRDefault="0068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9923573"/>
      <w:docPartObj>
        <w:docPartGallery w:val="Page Numbers (Bottom of Page)"/>
        <w:docPartUnique/>
      </w:docPartObj>
    </w:sdtPr>
    <w:sdtEndPr>
      <w:rPr>
        <w:rStyle w:val="PageNumber"/>
      </w:rPr>
    </w:sdtEndPr>
    <w:sdtContent>
      <w:p w14:paraId="1B52844B" w14:textId="5B7641DA" w:rsidR="00B11ED4" w:rsidRDefault="00686C24" w:rsidP="004F188B">
        <w:pPr>
          <w:pStyle w:val="Footer"/>
          <w:framePr w:wrap="none" w:vAnchor="text" w:hAnchor="margin" w:xAlign="right" w:y="1"/>
          <w:rPr>
            <w:rStyle w:val="PageNumber"/>
          </w:rPr>
        </w:pPr>
      </w:p>
    </w:sdtContent>
  </w:sdt>
  <w:p w14:paraId="4EFB5757" w14:textId="77777777" w:rsidR="00B11ED4" w:rsidRDefault="00B11ED4" w:rsidP="00F979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57724"/>
      <w:docPartObj>
        <w:docPartGallery w:val="Page Numbers (Bottom of Page)"/>
        <w:docPartUnique/>
      </w:docPartObj>
    </w:sdtPr>
    <w:sdtEndPr>
      <w:rPr>
        <w:noProof/>
      </w:rPr>
    </w:sdtEndPr>
    <w:sdtContent>
      <w:p w14:paraId="283D4391" w14:textId="6772A18C" w:rsidR="00B5451F" w:rsidRDefault="00B545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A2D041" w14:textId="77777777" w:rsidR="00B11ED4" w:rsidRDefault="00B11E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71BBF" w14:textId="77777777" w:rsidR="00686C24" w:rsidRDefault="00686C24">
      <w:pPr>
        <w:spacing w:after="0" w:line="240" w:lineRule="auto"/>
      </w:pPr>
      <w:r>
        <w:separator/>
      </w:r>
    </w:p>
  </w:footnote>
  <w:footnote w:type="continuationSeparator" w:id="0">
    <w:p w14:paraId="0D3DA8AD" w14:textId="77777777" w:rsidR="00686C24" w:rsidRDefault="00686C24">
      <w:pPr>
        <w:spacing w:after="0" w:line="240" w:lineRule="auto"/>
      </w:pPr>
      <w:r>
        <w:continuationSeparator/>
      </w:r>
    </w:p>
  </w:footnote>
  <w:footnote w:id="1">
    <w:p w14:paraId="04DBA2BD" w14:textId="77777777" w:rsidR="00B11ED4" w:rsidRPr="00DD0E9F" w:rsidRDefault="00B11ED4" w:rsidP="00202E02">
      <w:pPr>
        <w:pBdr>
          <w:top w:val="nil"/>
          <w:left w:val="nil"/>
          <w:bottom w:val="nil"/>
          <w:right w:val="nil"/>
          <w:between w:val="nil"/>
        </w:pBdr>
        <w:spacing w:after="0" w:line="240" w:lineRule="auto"/>
        <w:rPr>
          <w:rFonts w:ascii="Times New Roman" w:hAnsi="Times New Roman" w:cs="Times New Roman"/>
          <w:color w:val="000000"/>
          <w:sz w:val="20"/>
          <w:szCs w:val="20"/>
        </w:rPr>
      </w:pPr>
      <w:r>
        <w:rPr>
          <w:vertAlign w:val="superscript"/>
        </w:rPr>
        <w:footnoteRef/>
      </w:r>
      <w:r>
        <w:rPr>
          <w:color w:val="000000"/>
          <w:sz w:val="20"/>
          <w:szCs w:val="20"/>
        </w:rPr>
        <w:t xml:space="preserve"> </w:t>
      </w:r>
      <w:hyperlink r:id="rId1">
        <w:r w:rsidRPr="00DD0E9F">
          <w:rPr>
            <w:rFonts w:ascii="Times New Roman" w:hAnsi="Times New Roman" w:cs="Times New Roman"/>
            <w:color w:val="0563C1"/>
            <w:sz w:val="20"/>
            <w:szCs w:val="20"/>
            <w:u w:val="single"/>
          </w:rPr>
          <w:t>https://www.who.int/news-room/fact-sheets/detail/antibiotic-resistance</w:t>
        </w:r>
      </w:hyperlink>
      <w:r w:rsidRPr="00DD0E9F">
        <w:rPr>
          <w:rFonts w:ascii="Times New Roman" w:hAnsi="Times New Roman" w:cs="Times New Roman"/>
          <w:color w:val="000000"/>
          <w:sz w:val="20"/>
          <w:szCs w:val="20"/>
        </w:rPr>
        <w:t xml:space="preserve"> (accessed 12/10/20).</w:t>
      </w:r>
    </w:p>
  </w:footnote>
  <w:footnote w:id="2">
    <w:p w14:paraId="035FB9EC" w14:textId="44A3EA65" w:rsidR="00B11ED4" w:rsidRPr="00DD0E9F" w:rsidRDefault="00B11ED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DD0E9F">
        <w:rPr>
          <w:rFonts w:ascii="Times New Roman" w:hAnsi="Times New Roman" w:cs="Times New Roman"/>
          <w:sz w:val="20"/>
          <w:szCs w:val="20"/>
          <w:vertAlign w:val="superscript"/>
        </w:rPr>
        <w:footnoteRef/>
      </w:r>
      <w:r w:rsidRPr="00DD0E9F">
        <w:rPr>
          <w:rFonts w:ascii="Times New Roman" w:eastAsia="Times New Roman" w:hAnsi="Times New Roman" w:cs="Times New Roman"/>
          <w:color w:val="000000"/>
          <w:sz w:val="20"/>
          <w:szCs w:val="20"/>
        </w:rPr>
        <w:t xml:space="preserve"> Chlorine wash</w:t>
      </w:r>
      <w:r w:rsidRPr="00DD0E9F">
        <w:rPr>
          <w:rFonts w:ascii="Times New Roman" w:eastAsia="Times New Roman" w:hAnsi="Times New Roman" w:cs="Times New Roman"/>
          <w:color w:val="000000"/>
          <w:sz w:val="20"/>
          <w:szCs w:val="20"/>
          <w:highlight w:val="white"/>
        </w:rPr>
        <w:t>ing may not only be ineffective as a decontaminant</w:t>
      </w:r>
      <w:r w:rsidR="001F5D3F" w:rsidRPr="00DD0E9F">
        <w:rPr>
          <w:rFonts w:ascii="Times New Roman" w:eastAsia="Times New Roman" w:hAnsi="Times New Roman" w:cs="Times New Roman"/>
          <w:color w:val="000000"/>
          <w:sz w:val="20"/>
          <w:szCs w:val="20"/>
          <w:highlight w:val="white"/>
        </w:rPr>
        <w:t>,</w:t>
      </w:r>
      <w:r w:rsidRPr="00DD0E9F">
        <w:rPr>
          <w:rFonts w:ascii="Times New Roman" w:eastAsia="Times New Roman" w:hAnsi="Times New Roman" w:cs="Times New Roman"/>
          <w:color w:val="000000"/>
          <w:sz w:val="20"/>
          <w:szCs w:val="20"/>
          <w:highlight w:val="white"/>
        </w:rPr>
        <w:t xml:space="preserve"> but can co-create conditions where </w:t>
      </w:r>
      <w:r w:rsidR="001F5D3F" w:rsidRPr="00DD0E9F">
        <w:rPr>
          <w:rFonts w:ascii="Times New Roman" w:eastAsia="Times New Roman" w:hAnsi="Times New Roman" w:cs="Times New Roman"/>
          <w:color w:val="000000"/>
          <w:sz w:val="20"/>
          <w:szCs w:val="20"/>
          <w:highlight w:val="white"/>
        </w:rPr>
        <w:t xml:space="preserve">antimicrobial </w:t>
      </w:r>
      <w:r w:rsidRPr="00DD0E9F">
        <w:rPr>
          <w:rFonts w:ascii="Times New Roman" w:eastAsia="Times New Roman" w:hAnsi="Times New Roman" w:cs="Times New Roman"/>
          <w:color w:val="000000"/>
          <w:sz w:val="20"/>
          <w:szCs w:val="20"/>
          <w:highlight w:val="white"/>
        </w:rPr>
        <w:t>resistance could flourish</w:t>
      </w:r>
      <w:r w:rsidR="001F5D3F" w:rsidRPr="00DD0E9F">
        <w:rPr>
          <w:rFonts w:ascii="Times New Roman" w:eastAsia="Times New Roman" w:hAnsi="Times New Roman" w:cs="Times New Roman"/>
          <w:color w:val="000000"/>
          <w:sz w:val="20"/>
          <w:szCs w:val="20"/>
          <w:highlight w:val="white"/>
        </w:rPr>
        <w:t xml:space="preserve"> (Highmore et al., 2018)</w:t>
      </w:r>
      <w:r w:rsidRPr="00DD0E9F">
        <w:rPr>
          <w:rFonts w:ascii="Times New Roman" w:eastAsia="Times New Roman" w:hAnsi="Times New Roman" w:cs="Times New Roman"/>
          <w:color w:val="000000"/>
          <w:sz w:val="20"/>
          <w:szCs w:val="20"/>
          <w:highlight w:val="white"/>
        </w:rPr>
        <w:t>.</w:t>
      </w:r>
    </w:p>
  </w:footnote>
  <w:footnote w:id="3">
    <w:p w14:paraId="778484DC" w14:textId="5A0F6826" w:rsidR="00B11ED4" w:rsidRPr="00DD0E9F" w:rsidRDefault="00B11ED4" w:rsidP="009E299A">
      <w:pPr>
        <w:pBdr>
          <w:top w:val="nil"/>
          <w:left w:val="nil"/>
          <w:bottom w:val="nil"/>
          <w:right w:val="nil"/>
          <w:between w:val="nil"/>
        </w:pBdr>
        <w:spacing w:after="0" w:line="240" w:lineRule="auto"/>
        <w:rPr>
          <w:rFonts w:ascii="Times New Roman" w:hAnsi="Times New Roman" w:cs="Times New Roman"/>
          <w:color w:val="000000"/>
          <w:sz w:val="20"/>
          <w:szCs w:val="20"/>
        </w:rPr>
      </w:pPr>
      <w:r w:rsidRPr="00DD0E9F">
        <w:rPr>
          <w:rFonts w:ascii="Times New Roman" w:hAnsi="Times New Roman" w:cs="Times New Roman"/>
          <w:sz w:val="24"/>
          <w:szCs w:val="24"/>
          <w:vertAlign w:val="superscript"/>
        </w:rPr>
        <w:footnoteRef/>
      </w:r>
      <w:r w:rsidRPr="00DD0E9F">
        <w:rPr>
          <w:rFonts w:ascii="Times New Roman" w:hAnsi="Times New Roman" w:cs="Times New Roman"/>
          <w:color w:val="000000"/>
          <w:sz w:val="24"/>
          <w:szCs w:val="24"/>
        </w:rPr>
        <w:t xml:space="preserve"> </w:t>
      </w:r>
      <w:r w:rsidRPr="00DD0E9F">
        <w:rPr>
          <w:rFonts w:ascii="Times New Roman" w:hAnsi="Times New Roman" w:cs="Times New Roman"/>
          <w:color w:val="000000"/>
          <w:sz w:val="20"/>
          <w:szCs w:val="20"/>
        </w:rPr>
        <w:t>The thirteen pig and chicken farmers in the North of England were part of a small-scale, more exploratory, part of the research, in line with the terms of the programme funding this project. The sample of farms was identified through a formal Farm Business Survey coordinated by Defra, which made access to the farms possible and was a requirement of the funder.</w:t>
      </w:r>
    </w:p>
  </w:footnote>
  <w:footnote w:id="4">
    <w:p w14:paraId="31E9D56C" w14:textId="6BFEAD0A" w:rsidR="00B11ED4" w:rsidRPr="00DD0E9F" w:rsidRDefault="00B11ED4" w:rsidP="009E299A">
      <w:pPr>
        <w:pBdr>
          <w:top w:val="nil"/>
          <w:left w:val="nil"/>
          <w:bottom w:val="nil"/>
          <w:right w:val="nil"/>
          <w:between w:val="nil"/>
        </w:pBdr>
        <w:spacing w:after="0" w:line="240" w:lineRule="auto"/>
        <w:rPr>
          <w:rFonts w:ascii="Times New Roman" w:hAnsi="Times New Roman" w:cs="Times New Roman"/>
          <w:color w:val="000000"/>
          <w:sz w:val="20"/>
          <w:szCs w:val="20"/>
        </w:rPr>
      </w:pPr>
      <w:r>
        <w:rPr>
          <w:vertAlign w:val="superscript"/>
        </w:rPr>
        <w:footnoteRef/>
      </w:r>
      <w:r>
        <w:rPr>
          <w:color w:val="000000"/>
          <w:sz w:val="20"/>
          <w:szCs w:val="20"/>
        </w:rPr>
        <w:t xml:space="preserve"> </w:t>
      </w:r>
      <w:r w:rsidRPr="00DD0E9F">
        <w:rPr>
          <w:rFonts w:ascii="Times New Roman" w:hAnsi="Times New Roman" w:cs="Times New Roman"/>
          <w:color w:val="000000"/>
          <w:sz w:val="20"/>
          <w:szCs w:val="20"/>
        </w:rPr>
        <w:t>The range of job titles across corporate retail interviewees reflects how responsibility for AMR is internally organised</w:t>
      </w:r>
      <w:r w:rsidR="009E6BD6" w:rsidRPr="00DD0E9F">
        <w:rPr>
          <w:rFonts w:ascii="Times New Roman" w:hAnsi="Times New Roman" w:cs="Times New Roman"/>
          <w:color w:val="000000"/>
          <w:sz w:val="20"/>
          <w:szCs w:val="20"/>
        </w:rPr>
        <w:t>.</w:t>
      </w:r>
    </w:p>
  </w:footnote>
  <w:footnote w:id="5">
    <w:p w14:paraId="5CFD9B7C" w14:textId="77777777" w:rsidR="00B11ED4" w:rsidRPr="00DD0E9F" w:rsidRDefault="00B11ED4" w:rsidP="005416B7">
      <w:pPr>
        <w:pBdr>
          <w:top w:val="nil"/>
          <w:left w:val="nil"/>
          <w:bottom w:val="nil"/>
          <w:right w:val="nil"/>
          <w:between w:val="nil"/>
        </w:pBdr>
        <w:spacing w:after="0" w:line="240" w:lineRule="auto"/>
        <w:rPr>
          <w:rFonts w:ascii="Times New Roman" w:hAnsi="Times New Roman" w:cs="Times New Roman"/>
          <w:color w:val="000000"/>
          <w:sz w:val="20"/>
          <w:szCs w:val="20"/>
        </w:rPr>
      </w:pPr>
      <w:r>
        <w:rPr>
          <w:vertAlign w:val="superscript"/>
        </w:rPr>
        <w:footnoteRef/>
      </w:r>
      <w:r>
        <w:rPr>
          <w:color w:val="000000"/>
          <w:sz w:val="20"/>
          <w:szCs w:val="20"/>
        </w:rPr>
        <w:t xml:space="preserve"> </w:t>
      </w:r>
      <w:hyperlink r:id="rId2">
        <w:r w:rsidRPr="00DD0E9F">
          <w:rPr>
            <w:rFonts w:ascii="Times New Roman" w:hAnsi="Times New Roman" w:cs="Times New Roman"/>
            <w:color w:val="0563C1"/>
            <w:sz w:val="20"/>
            <w:szCs w:val="20"/>
            <w:u w:val="single"/>
          </w:rPr>
          <w:t>https://www.kantarworldpanel.com/en/grocery-market-share/great-britain</w:t>
        </w:r>
      </w:hyperlink>
      <w:r w:rsidRPr="00DD0E9F">
        <w:rPr>
          <w:rFonts w:ascii="Times New Roman" w:hAnsi="Times New Roman" w:cs="Times New Roman"/>
          <w:color w:val="000000"/>
          <w:sz w:val="20"/>
          <w:szCs w:val="20"/>
        </w:rPr>
        <w:t xml:space="preserve"> (accessed 07/11/19)</w:t>
      </w:r>
    </w:p>
  </w:footnote>
  <w:footnote w:id="6">
    <w:p w14:paraId="0842D8F0" w14:textId="77777777" w:rsidR="00B11ED4" w:rsidRPr="00DD0E9F" w:rsidRDefault="00B11ED4" w:rsidP="005416B7">
      <w:pPr>
        <w:pBdr>
          <w:top w:val="nil"/>
          <w:left w:val="nil"/>
          <w:bottom w:val="nil"/>
          <w:right w:val="nil"/>
          <w:between w:val="nil"/>
        </w:pBdr>
        <w:spacing w:after="0" w:line="240" w:lineRule="auto"/>
        <w:rPr>
          <w:rFonts w:ascii="Times New Roman" w:hAnsi="Times New Roman" w:cs="Times New Roman"/>
          <w:color w:val="000000"/>
          <w:sz w:val="20"/>
          <w:szCs w:val="20"/>
        </w:rPr>
      </w:pPr>
      <w:r w:rsidRPr="00DD0E9F">
        <w:rPr>
          <w:rFonts w:ascii="Times New Roman" w:hAnsi="Times New Roman" w:cs="Times New Roman"/>
          <w:sz w:val="20"/>
          <w:szCs w:val="20"/>
          <w:vertAlign w:val="superscript"/>
        </w:rPr>
        <w:footnoteRef/>
      </w:r>
      <w:r w:rsidRPr="00DD0E9F">
        <w:rPr>
          <w:rFonts w:ascii="Times New Roman" w:hAnsi="Times New Roman" w:cs="Times New Roman"/>
          <w:color w:val="000000"/>
          <w:sz w:val="20"/>
          <w:szCs w:val="20"/>
        </w:rPr>
        <w:t xml:space="preserve"> </w:t>
      </w:r>
      <w:hyperlink r:id="rId3">
        <w:r w:rsidRPr="00DD0E9F">
          <w:rPr>
            <w:rFonts w:ascii="Times New Roman" w:hAnsi="Times New Roman" w:cs="Times New Roman"/>
            <w:color w:val="0563C1"/>
            <w:sz w:val="20"/>
            <w:szCs w:val="20"/>
            <w:u w:val="single"/>
          </w:rPr>
          <w:t>https://www.foodnavigator.com/Article/2017/09/26/Consolidation-in-UK-poultry-as-Cargill-Faccenda-form-JV</w:t>
        </w:r>
      </w:hyperlink>
      <w:r w:rsidRPr="00DD0E9F">
        <w:rPr>
          <w:rFonts w:ascii="Times New Roman" w:hAnsi="Times New Roman" w:cs="Times New Roman"/>
          <w:color w:val="000000"/>
          <w:sz w:val="20"/>
          <w:szCs w:val="20"/>
        </w:rPr>
        <w:t xml:space="preserve"> (accessed 23/08/18)</w:t>
      </w:r>
    </w:p>
  </w:footnote>
  <w:footnote w:id="7">
    <w:p w14:paraId="6616C7CF" w14:textId="3580A66F" w:rsidR="002971C0" w:rsidRPr="00DD0E9F" w:rsidRDefault="002971C0">
      <w:pPr>
        <w:pStyle w:val="FootnoteText"/>
        <w:rPr>
          <w:rFonts w:ascii="Times New Roman" w:hAnsi="Times New Roman" w:cs="Times New Roman"/>
          <w:lang w:val="en-US"/>
        </w:rPr>
      </w:pPr>
      <w:r>
        <w:rPr>
          <w:rStyle w:val="FootnoteReference"/>
        </w:rPr>
        <w:footnoteRef/>
      </w:r>
      <w:r>
        <w:t xml:space="preserve"> </w:t>
      </w:r>
      <w:r w:rsidRPr="00DD0E9F">
        <w:rPr>
          <w:rFonts w:ascii="Times New Roman" w:hAnsi="Times New Roman" w:cs="Times New Roman"/>
        </w:rPr>
        <w:t xml:space="preserve">The term </w:t>
      </w:r>
      <w:r w:rsidRPr="00DD0E9F">
        <w:rPr>
          <w:rFonts w:ascii="Times New Roman" w:hAnsi="Times New Roman" w:cs="Times New Roman"/>
          <w:lang w:val="en-US"/>
        </w:rPr>
        <w:t>‘pre-competitive’ refer</w:t>
      </w:r>
      <w:r w:rsidR="00CE1173" w:rsidRPr="00DD0E9F">
        <w:rPr>
          <w:rFonts w:ascii="Times New Roman" w:hAnsi="Times New Roman" w:cs="Times New Roman"/>
          <w:lang w:val="en-US"/>
        </w:rPr>
        <w:t>s</w:t>
      </w:r>
      <w:r w:rsidRPr="00DD0E9F">
        <w:rPr>
          <w:rFonts w:ascii="Times New Roman" w:hAnsi="Times New Roman" w:cs="Times New Roman"/>
          <w:lang w:val="en-US"/>
        </w:rPr>
        <w:t xml:space="preserve"> to the development of an idea or product through industry collaboration and partnership rather than through competition. R1</w:t>
      </w:r>
      <w:r w:rsidR="00CE1173" w:rsidRPr="00DD0E9F">
        <w:rPr>
          <w:rFonts w:ascii="Times New Roman" w:hAnsi="Times New Roman" w:cs="Times New Roman"/>
          <w:lang w:val="en-US"/>
        </w:rPr>
        <w:t>a</w:t>
      </w:r>
      <w:r w:rsidRPr="00DD0E9F">
        <w:rPr>
          <w:rFonts w:ascii="Times New Roman" w:hAnsi="Times New Roman" w:cs="Times New Roman"/>
          <w:lang w:val="en-US"/>
        </w:rPr>
        <w:t xml:space="preserve">, </w:t>
      </w:r>
      <w:r w:rsidR="00CE1173" w:rsidRPr="00DD0E9F">
        <w:rPr>
          <w:rFonts w:ascii="Times New Roman" w:hAnsi="Times New Roman" w:cs="Times New Roman"/>
          <w:lang w:val="en-US"/>
        </w:rPr>
        <w:t>R3, and TA4 explicitly used the term to refer to collaborative</w:t>
      </w:r>
      <w:r w:rsidR="00CE0A47" w:rsidRPr="00DD0E9F">
        <w:rPr>
          <w:rFonts w:ascii="Times New Roman" w:hAnsi="Times New Roman" w:cs="Times New Roman"/>
          <w:lang w:val="en-US"/>
        </w:rPr>
        <w:t xml:space="preserve"> </w:t>
      </w:r>
      <w:r w:rsidR="00CE1173" w:rsidRPr="00DD0E9F">
        <w:rPr>
          <w:rFonts w:ascii="Times New Roman" w:hAnsi="Times New Roman" w:cs="Times New Roman"/>
          <w:lang w:val="en-US"/>
        </w:rPr>
        <w:t>attempts to tackle the challenge of AMR. Other respondents mentioned the importance of collaboration without necessarily using the specific term, ‘pre-competitive’.</w:t>
      </w:r>
      <w:r w:rsidR="00CE0A47" w:rsidRPr="00DD0E9F">
        <w:rPr>
          <w:rFonts w:ascii="Times New Roman" w:hAnsi="Times New Roman" w:cs="Times New Roman"/>
          <w:lang w:val="en-US"/>
        </w:rPr>
        <w:t xml:space="preserve"> Corporate responsibilities concerning labour standards have sometimes involved similar types of joint effort through multi-stakeholder organisations.</w:t>
      </w:r>
    </w:p>
  </w:footnote>
  <w:footnote w:id="8">
    <w:p w14:paraId="70E45779" w14:textId="77777777" w:rsidR="00B11ED4" w:rsidRPr="00DD0E9F" w:rsidRDefault="00B11ED4" w:rsidP="00EE46F4">
      <w:pPr>
        <w:pBdr>
          <w:top w:val="nil"/>
          <w:left w:val="nil"/>
          <w:bottom w:val="nil"/>
          <w:right w:val="nil"/>
          <w:between w:val="nil"/>
        </w:pBdr>
        <w:spacing w:after="0" w:line="240" w:lineRule="auto"/>
        <w:rPr>
          <w:rFonts w:ascii="Times New Roman" w:hAnsi="Times New Roman" w:cs="Times New Roman"/>
          <w:color w:val="000000"/>
          <w:sz w:val="20"/>
          <w:szCs w:val="20"/>
        </w:rPr>
      </w:pPr>
      <w:r w:rsidRPr="00DD0E9F">
        <w:rPr>
          <w:rFonts w:ascii="Times New Roman" w:hAnsi="Times New Roman" w:cs="Times New Roman"/>
          <w:sz w:val="20"/>
          <w:szCs w:val="20"/>
          <w:vertAlign w:val="superscript"/>
        </w:rPr>
        <w:footnoteRef/>
      </w:r>
      <w:r w:rsidRPr="00DD0E9F">
        <w:rPr>
          <w:rFonts w:ascii="Times New Roman" w:hAnsi="Times New Roman" w:cs="Times New Roman"/>
          <w:color w:val="000000"/>
          <w:sz w:val="20"/>
          <w:szCs w:val="20"/>
        </w:rPr>
        <w:t xml:space="preserve"> </w:t>
      </w:r>
      <w:hyperlink r:id="rId4">
        <w:r w:rsidRPr="00DD0E9F">
          <w:rPr>
            <w:rFonts w:ascii="Times New Roman" w:hAnsi="Times New Roman" w:cs="Times New Roman"/>
            <w:color w:val="0563C1"/>
            <w:sz w:val="20"/>
            <w:szCs w:val="20"/>
            <w:u w:val="single"/>
          </w:rPr>
          <w:t>https://www.ruma.org.uk/targets-task-force/</w:t>
        </w:r>
      </w:hyperlink>
      <w:r w:rsidRPr="00DD0E9F">
        <w:rPr>
          <w:rFonts w:ascii="Times New Roman" w:hAnsi="Times New Roman" w:cs="Times New Roman"/>
          <w:color w:val="000000"/>
          <w:sz w:val="20"/>
          <w:szCs w:val="20"/>
        </w:rPr>
        <w:t xml:space="preserve"> (accessed 17/09/20).</w:t>
      </w:r>
    </w:p>
  </w:footnote>
  <w:footnote w:id="9">
    <w:p w14:paraId="12FDED15" w14:textId="168CDAB6" w:rsidR="00B11ED4" w:rsidRDefault="00B11ED4" w:rsidP="000D654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European Parliament has moved to strengthen EU legislation on agricultural antibiotic-use in 2018 (</w:t>
      </w:r>
      <w:hyperlink r:id="rId5">
        <w:r>
          <w:rPr>
            <w:color w:val="000000"/>
            <w:sz w:val="18"/>
            <w:szCs w:val="18"/>
            <w:u w:val="single"/>
          </w:rPr>
          <w:t>http://www.europarl.europa.eu/news/en/press-room/20181018IPR16526/meps-back-plans-to-halt-spread-of-drug-resistance-from-animals-to-humans</w:t>
        </w:r>
      </w:hyperlink>
      <w:r>
        <w:rPr>
          <w:color w:val="000000"/>
          <w:sz w:val="18"/>
          <w:szCs w:val="18"/>
        </w:rPr>
        <w:t>) (accessed 17/09/20).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3B46"/>
    <w:multiLevelType w:val="hybridMultilevel"/>
    <w:tmpl w:val="72466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A4701"/>
    <w:multiLevelType w:val="multilevel"/>
    <w:tmpl w:val="8D7C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D7A91"/>
    <w:multiLevelType w:val="hybridMultilevel"/>
    <w:tmpl w:val="157E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5253FC"/>
    <w:multiLevelType w:val="hybridMultilevel"/>
    <w:tmpl w:val="21529B6A"/>
    <w:lvl w:ilvl="0" w:tplc="07BE6DE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1B"/>
    <w:rsid w:val="000072AB"/>
    <w:rsid w:val="00026081"/>
    <w:rsid w:val="0003063C"/>
    <w:rsid w:val="00031883"/>
    <w:rsid w:val="0005222F"/>
    <w:rsid w:val="00053D1F"/>
    <w:rsid w:val="00056D4C"/>
    <w:rsid w:val="0005726C"/>
    <w:rsid w:val="00066764"/>
    <w:rsid w:val="0007241D"/>
    <w:rsid w:val="00075EAD"/>
    <w:rsid w:val="00076BF1"/>
    <w:rsid w:val="00080214"/>
    <w:rsid w:val="000A402B"/>
    <w:rsid w:val="000A4B52"/>
    <w:rsid w:val="000B1BE7"/>
    <w:rsid w:val="000B2A3F"/>
    <w:rsid w:val="000D654E"/>
    <w:rsid w:val="000E37BD"/>
    <w:rsid w:val="000E6881"/>
    <w:rsid w:val="000F3ADC"/>
    <w:rsid w:val="0010512C"/>
    <w:rsid w:val="00105B43"/>
    <w:rsid w:val="00111BA4"/>
    <w:rsid w:val="00112406"/>
    <w:rsid w:val="00116EA2"/>
    <w:rsid w:val="00127824"/>
    <w:rsid w:val="00133728"/>
    <w:rsid w:val="001437A5"/>
    <w:rsid w:val="00143C0A"/>
    <w:rsid w:val="00144AEA"/>
    <w:rsid w:val="001514D1"/>
    <w:rsid w:val="001602B0"/>
    <w:rsid w:val="00160AEA"/>
    <w:rsid w:val="0016156D"/>
    <w:rsid w:val="00171C21"/>
    <w:rsid w:val="00181FC3"/>
    <w:rsid w:val="001823CF"/>
    <w:rsid w:val="001863BB"/>
    <w:rsid w:val="00187CBC"/>
    <w:rsid w:val="00190F8C"/>
    <w:rsid w:val="00191B92"/>
    <w:rsid w:val="00193E91"/>
    <w:rsid w:val="00194A64"/>
    <w:rsid w:val="00194F24"/>
    <w:rsid w:val="00196F13"/>
    <w:rsid w:val="00197538"/>
    <w:rsid w:val="001A278D"/>
    <w:rsid w:val="001A2B43"/>
    <w:rsid w:val="001A5617"/>
    <w:rsid w:val="001B11EB"/>
    <w:rsid w:val="001B23AD"/>
    <w:rsid w:val="001C3682"/>
    <w:rsid w:val="001C55E9"/>
    <w:rsid w:val="001C7FC7"/>
    <w:rsid w:val="001F5D3F"/>
    <w:rsid w:val="00202E02"/>
    <w:rsid w:val="002033FA"/>
    <w:rsid w:val="00203CD2"/>
    <w:rsid w:val="00220F79"/>
    <w:rsid w:val="00231F24"/>
    <w:rsid w:val="00235B36"/>
    <w:rsid w:val="00237F34"/>
    <w:rsid w:val="00242B67"/>
    <w:rsid w:val="00250246"/>
    <w:rsid w:val="00266122"/>
    <w:rsid w:val="002666BA"/>
    <w:rsid w:val="00271BCF"/>
    <w:rsid w:val="00271F38"/>
    <w:rsid w:val="002739AA"/>
    <w:rsid w:val="00274C2F"/>
    <w:rsid w:val="002776F9"/>
    <w:rsid w:val="00292A04"/>
    <w:rsid w:val="002971C0"/>
    <w:rsid w:val="002A6D9B"/>
    <w:rsid w:val="002B3167"/>
    <w:rsid w:val="002B3A14"/>
    <w:rsid w:val="002C53FC"/>
    <w:rsid w:val="002D19A1"/>
    <w:rsid w:val="002D1EC9"/>
    <w:rsid w:val="002D7297"/>
    <w:rsid w:val="002E20AC"/>
    <w:rsid w:val="002E592C"/>
    <w:rsid w:val="002E7346"/>
    <w:rsid w:val="002F09B4"/>
    <w:rsid w:val="002F0D67"/>
    <w:rsid w:val="002F6627"/>
    <w:rsid w:val="002F7965"/>
    <w:rsid w:val="00300BDF"/>
    <w:rsid w:val="00306513"/>
    <w:rsid w:val="00306EA9"/>
    <w:rsid w:val="00313351"/>
    <w:rsid w:val="003223C1"/>
    <w:rsid w:val="00322CA1"/>
    <w:rsid w:val="00322E02"/>
    <w:rsid w:val="00325663"/>
    <w:rsid w:val="00331E7B"/>
    <w:rsid w:val="00352942"/>
    <w:rsid w:val="00352AED"/>
    <w:rsid w:val="00362407"/>
    <w:rsid w:val="00390A6E"/>
    <w:rsid w:val="0039395A"/>
    <w:rsid w:val="00397ADF"/>
    <w:rsid w:val="003A6837"/>
    <w:rsid w:val="003B006B"/>
    <w:rsid w:val="003B30A0"/>
    <w:rsid w:val="003B6376"/>
    <w:rsid w:val="003D2F59"/>
    <w:rsid w:val="003E253E"/>
    <w:rsid w:val="003E3391"/>
    <w:rsid w:val="003E6CF1"/>
    <w:rsid w:val="003F4DD2"/>
    <w:rsid w:val="00413D7D"/>
    <w:rsid w:val="00417FD6"/>
    <w:rsid w:val="00423BCF"/>
    <w:rsid w:val="00424486"/>
    <w:rsid w:val="004263A9"/>
    <w:rsid w:val="00433C47"/>
    <w:rsid w:val="00437D01"/>
    <w:rsid w:val="00446D88"/>
    <w:rsid w:val="00454227"/>
    <w:rsid w:val="004567E3"/>
    <w:rsid w:val="00460A08"/>
    <w:rsid w:val="004610F8"/>
    <w:rsid w:val="00461CBD"/>
    <w:rsid w:val="0047097C"/>
    <w:rsid w:val="0047207C"/>
    <w:rsid w:val="00480DF2"/>
    <w:rsid w:val="00483FFB"/>
    <w:rsid w:val="00486A33"/>
    <w:rsid w:val="00491F50"/>
    <w:rsid w:val="004A03ED"/>
    <w:rsid w:val="004A41A6"/>
    <w:rsid w:val="004B3045"/>
    <w:rsid w:val="004C5BCE"/>
    <w:rsid w:val="004C6C54"/>
    <w:rsid w:val="004C75E8"/>
    <w:rsid w:val="004D0510"/>
    <w:rsid w:val="004D2BDB"/>
    <w:rsid w:val="004D61D7"/>
    <w:rsid w:val="004D71C7"/>
    <w:rsid w:val="004F098D"/>
    <w:rsid w:val="004F188B"/>
    <w:rsid w:val="004F3A04"/>
    <w:rsid w:val="004F7A41"/>
    <w:rsid w:val="00500C02"/>
    <w:rsid w:val="00512C1B"/>
    <w:rsid w:val="00522130"/>
    <w:rsid w:val="00526071"/>
    <w:rsid w:val="0052788D"/>
    <w:rsid w:val="00530563"/>
    <w:rsid w:val="00540FE9"/>
    <w:rsid w:val="005416B7"/>
    <w:rsid w:val="005515F9"/>
    <w:rsid w:val="005519FA"/>
    <w:rsid w:val="00554B7D"/>
    <w:rsid w:val="00555758"/>
    <w:rsid w:val="00560DE7"/>
    <w:rsid w:val="00567458"/>
    <w:rsid w:val="005716CA"/>
    <w:rsid w:val="0057446D"/>
    <w:rsid w:val="005808AB"/>
    <w:rsid w:val="0058094E"/>
    <w:rsid w:val="00582693"/>
    <w:rsid w:val="00585A30"/>
    <w:rsid w:val="00585ED7"/>
    <w:rsid w:val="0058779A"/>
    <w:rsid w:val="0059266C"/>
    <w:rsid w:val="00592B2B"/>
    <w:rsid w:val="00595C2F"/>
    <w:rsid w:val="00597B30"/>
    <w:rsid w:val="005A22F5"/>
    <w:rsid w:val="005A3A58"/>
    <w:rsid w:val="005B3B32"/>
    <w:rsid w:val="005B3C30"/>
    <w:rsid w:val="005B3FB4"/>
    <w:rsid w:val="005C4147"/>
    <w:rsid w:val="005D004C"/>
    <w:rsid w:val="005D01EF"/>
    <w:rsid w:val="005D07E4"/>
    <w:rsid w:val="005D3CB8"/>
    <w:rsid w:val="005D3CD4"/>
    <w:rsid w:val="005E1A6A"/>
    <w:rsid w:val="005E1D9D"/>
    <w:rsid w:val="005E72ED"/>
    <w:rsid w:val="00604139"/>
    <w:rsid w:val="00610033"/>
    <w:rsid w:val="00612B9D"/>
    <w:rsid w:val="00614B99"/>
    <w:rsid w:val="00635809"/>
    <w:rsid w:val="00637CAA"/>
    <w:rsid w:val="00642E34"/>
    <w:rsid w:val="00666C2C"/>
    <w:rsid w:val="00673766"/>
    <w:rsid w:val="00686C24"/>
    <w:rsid w:val="00687F36"/>
    <w:rsid w:val="00690BF3"/>
    <w:rsid w:val="0069374E"/>
    <w:rsid w:val="00695C78"/>
    <w:rsid w:val="006A2D4A"/>
    <w:rsid w:val="006B5CAB"/>
    <w:rsid w:val="006B6206"/>
    <w:rsid w:val="006B6659"/>
    <w:rsid w:val="006C067B"/>
    <w:rsid w:val="006C3722"/>
    <w:rsid w:val="006D5C3F"/>
    <w:rsid w:val="006D6D23"/>
    <w:rsid w:val="006D6E38"/>
    <w:rsid w:val="006E2EC4"/>
    <w:rsid w:val="006E4867"/>
    <w:rsid w:val="006E6B54"/>
    <w:rsid w:val="006F5547"/>
    <w:rsid w:val="007100C2"/>
    <w:rsid w:val="007127E6"/>
    <w:rsid w:val="007139CD"/>
    <w:rsid w:val="007269F6"/>
    <w:rsid w:val="00731E2C"/>
    <w:rsid w:val="00734F09"/>
    <w:rsid w:val="007363F3"/>
    <w:rsid w:val="00756A8C"/>
    <w:rsid w:val="00766D20"/>
    <w:rsid w:val="00771517"/>
    <w:rsid w:val="007717AB"/>
    <w:rsid w:val="00776529"/>
    <w:rsid w:val="0078082E"/>
    <w:rsid w:val="007835AE"/>
    <w:rsid w:val="00783AEB"/>
    <w:rsid w:val="00786CAF"/>
    <w:rsid w:val="00790DD5"/>
    <w:rsid w:val="007A430A"/>
    <w:rsid w:val="007A6BAA"/>
    <w:rsid w:val="007C3328"/>
    <w:rsid w:val="007C684B"/>
    <w:rsid w:val="007C7EF0"/>
    <w:rsid w:val="007D1412"/>
    <w:rsid w:val="007D2831"/>
    <w:rsid w:val="007E17C2"/>
    <w:rsid w:val="007E35F3"/>
    <w:rsid w:val="007F07E3"/>
    <w:rsid w:val="007F3D93"/>
    <w:rsid w:val="007F7C16"/>
    <w:rsid w:val="008017B0"/>
    <w:rsid w:val="008017D0"/>
    <w:rsid w:val="00804CE4"/>
    <w:rsid w:val="008103B0"/>
    <w:rsid w:val="0081220C"/>
    <w:rsid w:val="0081259C"/>
    <w:rsid w:val="00816F39"/>
    <w:rsid w:val="00826404"/>
    <w:rsid w:val="008274C6"/>
    <w:rsid w:val="00832D81"/>
    <w:rsid w:val="0083666E"/>
    <w:rsid w:val="00836BB8"/>
    <w:rsid w:val="00846793"/>
    <w:rsid w:val="00847969"/>
    <w:rsid w:val="00847DC2"/>
    <w:rsid w:val="00850114"/>
    <w:rsid w:val="008619B6"/>
    <w:rsid w:val="00861D8A"/>
    <w:rsid w:val="00866AFB"/>
    <w:rsid w:val="00871F96"/>
    <w:rsid w:val="008808C2"/>
    <w:rsid w:val="0088234E"/>
    <w:rsid w:val="00883B94"/>
    <w:rsid w:val="00886273"/>
    <w:rsid w:val="0089436C"/>
    <w:rsid w:val="008A3156"/>
    <w:rsid w:val="008A7D71"/>
    <w:rsid w:val="008C0157"/>
    <w:rsid w:val="008C2C1A"/>
    <w:rsid w:val="008C55A5"/>
    <w:rsid w:val="008C5A8E"/>
    <w:rsid w:val="008C5E17"/>
    <w:rsid w:val="008D36F0"/>
    <w:rsid w:val="008D4F9C"/>
    <w:rsid w:val="008D5C31"/>
    <w:rsid w:val="008E0DA1"/>
    <w:rsid w:val="008F2E7F"/>
    <w:rsid w:val="008F53C8"/>
    <w:rsid w:val="008F5417"/>
    <w:rsid w:val="008F6D07"/>
    <w:rsid w:val="008F7901"/>
    <w:rsid w:val="00920C79"/>
    <w:rsid w:val="00923707"/>
    <w:rsid w:val="0092792A"/>
    <w:rsid w:val="00930CF6"/>
    <w:rsid w:val="00935FC3"/>
    <w:rsid w:val="009401A7"/>
    <w:rsid w:val="00941C95"/>
    <w:rsid w:val="009443C8"/>
    <w:rsid w:val="009449DB"/>
    <w:rsid w:val="009543EC"/>
    <w:rsid w:val="00956A61"/>
    <w:rsid w:val="00957227"/>
    <w:rsid w:val="00963591"/>
    <w:rsid w:val="00965BB3"/>
    <w:rsid w:val="00971598"/>
    <w:rsid w:val="00982B78"/>
    <w:rsid w:val="009904A2"/>
    <w:rsid w:val="009955D5"/>
    <w:rsid w:val="009A0822"/>
    <w:rsid w:val="009A26BF"/>
    <w:rsid w:val="009A712B"/>
    <w:rsid w:val="009A7BF3"/>
    <w:rsid w:val="009C2022"/>
    <w:rsid w:val="009C49CE"/>
    <w:rsid w:val="009C71DA"/>
    <w:rsid w:val="009D5DFC"/>
    <w:rsid w:val="009D7E7B"/>
    <w:rsid w:val="009E299A"/>
    <w:rsid w:val="009E6BD6"/>
    <w:rsid w:val="009F0FB6"/>
    <w:rsid w:val="009F2EC3"/>
    <w:rsid w:val="009F3061"/>
    <w:rsid w:val="009F71E8"/>
    <w:rsid w:val="00A01141"/>
    <w:rsid w:val="00A03A75"/>
    <w:rsid w:val="00A1000B"/>
    <w:rsid w:val="00A11788"/>
    <w:rsid w:val="00A1259F"/>
    <w:rsid w:val="00A14AF7"/>
    <w:rsid w:val="00A27B97"/>
    <w:rsid w:val="00A40EE1"/>
    <w:rsid w:val="00A41CA9"/>
    <w:rsid w:val="00A705D0"/>
    <w:rsid w:val="00A72AE1"/>
    <w:rsid w:val="00A77A29"/>
    <w:rsid w:val="00A80413"/>
    <w:rsid w:val="00A86B35"/>
    <w:rsid w:val="00A93A8B"/>
    <w:rsid w:val="00A94C8F"/>
    <w:rsid w:val="00A94E5F"/>
    <w:rsid w:val="00A95756"/>
    <w:rsid w:val="00A97A2D"/>
    <w:rsid w:val="00AA0628"/>
    <w:rsid w:val="00AA4A55"/>
    <w:rsid w:val="00AB238C"/>
    <w:rsid w:val="00AB2646"/>
    <w:rsid w:val="00AB2B1E"/>
    <w:rsid w:val="00AB369E"/>
    <w:rsid w:val="00AB5AC7"/>
    <w:rsid w:val="00AB5E1E"/>
    <w:rsid w:val="00AC3080"/>
    <w:rsid w:val="00AD2C7A"/>
    <w:rsid w:val="00AD4369"/>
    <w:rsid w:val="00AF503B"/>
    <w:rsid w:val="00AF7466"/>
    <w:rsid w:val="00B03709"/>
    <w:rsid w:val="00B04F44"/>
    <w:rsid w:val="00B10073"/>
    <w:rsid w:val="00B11ED4"/>
    <w:rsid w:val="00B12EAE"/>
    <w:rsid w:val="00B14FE1"/>
    <w:rsid w:val="00B17EAF"/>
    <w:rsid w:val="00B466F7"/>
    <w:rsid w:val="00B5451F"/>
    <w:rsid w:val="00B64D91"/>
    <w:rsid w:val="00B655E6"/>
    <w:rsid w:val="00B659A6"/>
    <w:rsid w:val="00B76D28"/>
    <w:rsid w:val="00B85484"/>
    <w:rsid w:val="00B859FD"/>
    <w:rsid w:val="00BA2C8F"/>
    <w:rsid w:val="00BB050B"/>
    <w:rsid w:val="00BB684C"/>
    <w:rsid w:val="00BB6A0D"/>
    <w:rsid w:val="00BC5466"/>
    <w:rsid w:val="00BC78F4"/>
    <w:rsid w:val="00BE3D6C"/>
    <w:rsid w:val="00BF17CF"/>
    <w:rsid w:val="00BF6743"/>
    <w:rsid w:val="00C068DF"/>
    <w:rsid w:val="00C137B7"/>
    <w:rsid w:val="00C2063A"/>
    <w:rsid w:val="00C22557"/>
    <w:rsid w:val="00C25598"/>
    <w:rsid w:val="00C351DB"/>
    <w:rsid w:val="00C35375"/>
    <w:rsid w:val="00C41888"/>
    <w:rsid w:val="00C43628"/>
    <w:rsid w:val="00C4400D"/>
    <w:rsid w:val="00C53E67"/>
    <w:rsid w:val="00C546C3"/>
    <w:rsid w:val="00C62AFF"/>
    <w:rsid w:val="00C73183"/>
    <w:rsid w:val="00C7496A"/>
    <w:rsid w:val="00C83DC6"/>
    <w:rsid w:val="00C927E7"/>
    <w:rsid w:val="00C92FF3"/>
    <w:rsid w:val="00CA29B5"/>
    <w:rsid w:val="00CA2BA0"/>
    <w:rsid w:val="00CA4C48"/>
    <w:rsid w:val="00CB4FA0"/>
    <w:rsid w:val="00CB65A8"/>
    <w:rsid w:val="00CC0319"/>
    <w:rsid w:val="00CE0A47"/>
    <w:rsid w:val="00CE1173"/>
    <w:rsid w:val="00CE37E5"/>
    <w:rsid w:val="00CF0661"/>
    <w:rsid w:val="00CF4EC8"/>
    <w:rsid w:val="00CF59A5"/>
    <w:rsid w:val="00D01196"/>
    <w:rsid w:val="00D01794"/>
    <w:rsid w:val="00D0183B"/>
    <w:rsid w:val="00D213E2"/>
    <w:rsid w:val="00D25431"/>
    <w:rsid w:val="00D26A88"/>
    <w:rsid w:val="00D27587"/>
    <w:rsid w:val="00D35A8B"/>
    <w:rsid w:val="00D3720B"/>
    <w:rsid w:val="00D42592"/>
    <w:rsid w:val="00D56271"/>
    <w:rsid w:val="00D725A3"/>
    <w:rsid w:val="00D75E79"/>
    <w:rsid w:val="00D810A5"/>
    <w:rsid w:val="00D8462E"/>
    <w:rsid w:val="00D858B7"/>
    <w:rsid w:val="00D924F8"/>
    <w:rsid w:val="00D92551"/>
    <w:rsid w:val="00DA053C"/>
    <w:rsid w:val="00DA1E62"/>
    <w:rsid w:val="00DA2B50"/>
    <w:rsid w:val="00DA7B34"/>
    <w:rsid w:val="00DB06C1"/>
    <w:rsid w:val="00DB6E2B"/>
    <w:rsid w:val="00DB784C"/>
    <w:rsid w:val="00DD0E9F"/>
    <w:rsid w:val="00DD1D2D"/>
    <w:rsid w:val="00DD6E94"/>
    <w:rsid w:val="00DE2DD3"/>
    <w:rsid w:val="00DE5473"/>
    <w:rsid w:val="00DF7AD9"/>
    <w:rsid w:val="00E0333A"/>
    <w:rsid w:val="00E13EDD"/>
    <w:rsid w:val="00E15620"/>
    <w:rsid w:val="00E30B14"/>
    <w:rsid w:val="00E310F4"/>
    <w:rsid w:val="00E42BC0"/>
    <w:rsid w:val="00E43D14"/>
    <w:rsid w:val="00E50E70"/>
    <w:rsid w:val="00E536EE"/>
    <w:rsid w:val="00E561DB"/>
    <w:rsid w:val="00E56E38"/>
    <w:rsid w:val="00E65286"/>
    <w:rsid w:val="00E9011A"/>
    <w:rsid w:val="00E9798E"/>
    <w:rsid w:val="00EA103D"/>
    <w:rsid w:val="00EC6150"/>
    <w:rsid w:val="00EC61BB"/>
    <w:rsid w:val="00ED262A"/>
    <w:rsid w:val="00ED443A"/>
    <w:rsid w:val="00ED5101"/>
    <w:rsid w:val="00EE46F4"/>
    <w:rsid w:val="00EF2AF4"/>
    <w:rsid w:val="00EF3DE7"/>
    <w:rsid w:val="00F14F20"/>
    <w:rsid w:val="00F21447"/>
    <w:rsid w:val="00F236C8"/>
    <w:rsid w:val="00F24325"/>
    <w:rsid w:val="00F2595C"/>
    <w:rsid w:val="00F36570"/>
    <w:rsid w:val="00F4789D"/>
    <w:rsid w:val="00F47CD6"/>
    <w:rsid w:val="00F51790"/>
    <w:rsid w:val="00F55596"/>
    <w:rsid w:val="00F64030"/>
    <w:rsid w:val="00F64EDF"/>
    <w:rsid w:val="00F72F18"/>
    <w:rsid w:val="00F740FA"/>
    <w:rsid w:val="00F76EF3"/>
    <w:rsid w:val="00F91C0B"/>
    <w:rsid w:val="00F9796B"/>
    <w:rsid w:val="00FA03E7"/>
    <w:rsid w:val="00FA254A"/>
    <w:rsid w:val="00FA3F17"/>
    <w:rsid w:val="00FB128B"/>
    <w:rsid w:val="00FC2259"/>
    <w:rsid w:val="00FC4E71"/>
    <w:rsid w:val="00FD1FCA"/>
    <w:rsid w:val="00FD438B"/>
    <w:rsid w:val="00FE2615"/>
    <w:rsid w:val="00FE4813"/>
    <w:rsid w:val="00FE4925"/>
    <w:rsid w:val="00FF0132"/>
    <w:rsid w:val="00FF0F1B"/>
    <w:rsid w:val="00FF1A7F"/>
    <w:rsid w:val="00FF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CBFD"/>
  <w15:docId w15:val="{4A417F50-0035-3F4D-BC3D-16DF3C45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49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492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97B30"/>
    <w:rPr>
      <w:b/>
      <w:bCs/>
    </w:rPr>
  </w:style>
  <w:style w:type="character" w:customStyle="1" w:styleId="CommentSubjectChar">
    <w:name w:val="Comment Subject Char"/>
    <w:basedOn w:val="CommentTextChar"/>
    <w:link w:val="CommentSubject"/>
    <w:uiPriority w:val="99"/>
    <w:semiHidden/>
    <w:rsid w:val="00597B30"/>
    <w:rPr>
      <w:b/>
      <w:bCs/>
      <w:sz w:val="20"/>
      <w:szCs w:val="20"/>
    </w:rPr>
  </w:style>
  <w:style w:type="paragraph" w:styleId="Footer">
    <w:name w:val="footer"/>
    <w:basedOn w:val="Normal"/>
    <w:link w:val="FooterChar"/>
    <w:uiPriority w:val="99"/>
    <w:unhideWhenUsed/>
    <w:rsid w:val="00461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CBD"/>
  </w:style>
  <w:style w:type="character" w:styleId="PageNumber">
    <w:name w:val="page number"/>
    <w:basedOn w:val="DefaultParagraphFont"/>
    <w:uiPriority w:val="99"/>
    <w:semiHidden/>
    <w:unhideWhenUsed/>
    <w:rsid w:val="00461CBD"/>
  </w:style>
  <w:style w:type="paragraph" w:styleId="Header">
    <w:name w:val="header"/>
    <w:basedOn w:val="Normal"/>
    <w:link w:val="HeaderChar"/>
    <w:uiPriority w:val="99"/>
    <w:unhideWhenUsed/>
    <w:rsid w:val="00461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CBD"/>
  </w:style>
  <w:style w:type="paragraph" w:styleId="Revision">
    <w:name w:val="Revision"/>
    <w:hidden/>
    <w:uiPriority w:val="99"/>
    <w:semiHidden/>
    <w:rsid w:val="00C351DB"/>
    <w:pPr>
      <w:spacing w:after="0" w:line="240" w:lineRule="auto"/>
    </w:pPr>
  </w:style>
  <w:style w:type="paragraph" w:styleId="ListParagraph">
    <w:name w:val="List Paragraph"/>
    <w:basedOn w:val="Normal"/>
    <w:uiPriority w:val="34"/>
    <w:qFormat/>
    <w:rsid w:val="00DE5473"/>
    <w:pPr>
      <w:ind w:left="720"/>
      <w:contextualSpacing/>
    </w:pPr>
  </w:style>
  <w:style w:type="character" w:styleId="Hyperlink">
    <w:name w:val="Hyperlink"/>
    <w:basedOn w:val="DefaultParagraphFont"/>
    <w:uiPriority w:val="99"/>
    <w:unhideWhenUsed/>
    <w:rsid w:val="002D1EC9"/>
    <w:rPr>
      <w:color w:val="0000FF" w:themeColor="hyperlink"/>
      <w:u w:val="single"/>
    </w:rPr>
  </w:style>
  <w:style w:type="character" w:customStyle="1" w:styleId="UnresolvedMention1">
    <w:name w:val="Unresolved Mention1"/>
    <w:basedOn w:val="DefaultParagraphFont"/>
    <w:uiPriority w:val="99"/>
    <w:semiHidden/>
    <w:unhideWhenUsed/>
    <w:rsid w:val="002D1EC9"/>
    <w:rPr>
      <w:color w:val="605E5C"/>
      <w:shd w:val="clear" w:color="auto" w:fill="E1DFDD"/>
    </w:rPr>
  </w:style>
  <w:style w:type="character" w:customStyle="1" w:styleId="apple-converted-space">
    <w:name w:val="apple-converted-space"/>
    <w:basedOn w:val="DefaultParagraphFont"/>
    <w:rsid w:val="002D1EC9"/>
  </w:style>
  <w:style w:type="paragraph" w:customStyle="1" w:styleId="paragraph">
    <w:name w:val="paragraph"/>
    <w:basedOn w:val="Normal"/>
    <w:rsid w:val="005E72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2BDB"/>
    <w:rPr>
      <w:i/>
      <w:iCs/>
    </w:rPr>
  </w:style>
  <w:style w:type="character" w:styleId="Strong">
    <w:name w:val="Strong"/>
    <w:basedOn w:val="DefaultParagraphFont"/>
    <w:uiPriority w:val="22"/>
    <w:qFormat/>
    <w:rsid w:val="00C83DC6"/>
    <w:rPr>
      <w:b/>
      <w:bCs/>
    </w:rPr>
  </w:style>
  <w:style w:type="paragraph" w:styleId="FootnoteText">
    <w:name w:val="footnote text"/>
    <w:basedOn w:val="Normal"/>
    <w:link w:val="FootnoteTextChar"/>
    <w:uiPriority w:val="99"/>
    <w:unhideWhenUsed/>
    <w:rsid w:val="002971C0"/>
    <w:pPr>
      <w:spacing w:after="0" w:line="240" w:lineRule="auto"/>
    </w:pPr>
    <w:rPr>
      <w:sz w:val="20"/>
      <w:szCs w:val="20"/>
    </w:rPr>
  </w:style>
  <w:style w:type="character" w:customStyle="1" w:styleId="FootnoteTextChar">
    <w:name w:val="Footnote Text Char"/>
    <w:basedOn w:val="DefaultParagraphFont"/>
    <w:link w:val="FootnoteText"/>
    <w:uiPriority w:val="99"/>
    <w:rsid w:val="002971C0"/>
    <w:rPr>
      <w:sz w:val="20"/>
      <w:szCs w:val="20"/>
    </w:rPr>
  </w:style>
  <w:style w:type="character" w:styleId="FootnoteReference">
    <w:name w:val="footnote reference"/>
    <w:basedOn w:val="DefaultParagraphFont"/>
    <w:uiPriority w:val="99"/>
    <w:semiHidden/>
    <w:unhideWhenUsed/>
    <w:rsid w:val="00297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279140">
      <w:bodyDiv w:val="1"/>
      <w:marLeft w:val="0"/>
      <w:marRight w:val="0"/>
      <w:marTop w:val="0"/>
      <w:marBottom w:val="0"/>
      <w:divBdr>
        <w:top w:val="none" w:sz="0" w:space="0" w:color="auto"/>
        <w:left w:val="none" w:sz="0" w:space="0" w:color="auto"/>
        <w:bottom w:val="none" w:sz="0" w:space="0" w:color="auto"/>
        <w:right w:val="none" w:sz="0" w:space="0" w:color="auto"/>
      </w:divBdr>
    </w:div>
    <w:div w:id="1115096615">
      <w:bodyDiv w:val="1"/>
      <w:marLeft w:val="0"/>
      <w:marRight w:val="0"/>
      <w:marTop w:val="0"/>
      <w:marBottom w:val="0"/>
      <w:divBdr>
        <w:top w:val="none" w:sz="0" w:space="0" w:color="auto"/>
        <w:left w:val="none" w:sz="0" w:space="0" w:color="auto"/>
        <w:bottom w:val="none" w:sz="0" w:space="0" w:color="auto"/>
        <w:right w:val="none" w:sz="0" w:space="0" w:color="auto"/>
      </w:divBdr>
    </w:div>
    <w:div w:id="1299535154">
      <w:bodyDiv w:val="1"/>
      <w:marLeft w:val="0"/>
      <w:marRight w:val="0"/>
      <w:marTop w:val="0"/>
      <w:marBottom w:val="0"/>
      <w:divBdr>
        <w:top w:val="none" w:sz="0" w:space="0" w:color="auto"/>
        <w:left w:val="none" w:sz="0" w:space="0" w:color="auto"/>
        <w:bottom w:val="none" w:sz="0" w:space="0" w:color="auto"/>
        <w:right w:val="none" w:sz="0" w:space="0" w:color="auto"/>
      </w:divBdr>
    </w:div>
    <w:div w:id="1518732190">
      <w:bodyDiv w:val="1"/>
      <w:marLeft w:val="0"/>
      <w:marRight w:val="0"/>
      <w:marTop w:val="0"/>
      <w:marBottom w:val="0"/>
      <w:divBdr>
        <w:top w:val="none" w:sz="0" w:space="0" w:color="auto"/>
        <w:left w:val="none" w:sz="0" w:space="0" w:color="auto"/>
        <w:bottom w:val="none" w:sz="0" w:space="0" w:color="auto"/>
        <w:right w:val="none" w:sz="0" w:space="0" w:color="auto"/>
      </w:divBdr>
    </w:div>
    <w:div w:id="1878349968">
      <w:bodyDiv w:val="1"/>
      <w:marLeft w:val="0"/>
      <w:marRight w:val="0"/>
      <w:marTop w:val="0"/>
      <w:marBottom w:val="0"/>
      <w:divBdr>
        <w:top w:val="none" w:sz="0" w:space="0" w:color="auto"/>
        <w:left w:val="none" w:sz="0" w:space="0" w:color="auto"/>
        <w:bottom w:val="none" w:sz="0" w:space="0" w:color="auto"/>
        <w:right w:val="none" w:sz="0" w:space="0" w:color="auto"/>
      </w:divBdr>
    </w:div>
    <w:div w:id="1996909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uma.org.uk/ruma-confirms-position-on-antibiotic-free-labellin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C457-5801-4F19-8219-E96E7D0A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9266</Words>
  <Characters>52822</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AlexH</dc:creator>
  <cp:lastModifiedBy>Alex  Hughes</cp:lastModifiedBy>
  <cp:revision>2</cp:revision>
  <cp:lastPrinted>2020-11-15T21:34:00Z</cp:lastPrinted>
  <dcterms:created xsi:type="dcterms:W3CDTF">2021-04-16T08:40:00Z</dcterms:created>
  <dcterms:modified xsi:type="dcterms:W3CDTF">2021-04-16T08:40:00Z</dcterms:modified>
</cp:coreProperties>
</file>