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7CB94" w14:textId="6B151705" w:rsidR="00661045" w:rsidRPr="004556EC" w:rsidRDefault="00842524" w:rsidP="004558C6">
      <w:pPr>
        <w:pStyle w:val="Articletitle"/>
        <w:jc w:val="center"/>
        <w:rPr>
          <w:rFonts w:asciiTheme="minorHAnsi" w:hAnsiTheme="minorHAnsi" w:cstheme="minorHAnsi"/>
        </w:rPr>
      </w:pPr>
      <w:r w:rsidRPr="004556EC">
        <w:rPr>
          <w:rFonts w:asciiTheme="minorHAnsi" w:hAnsiTheme="minorHAnsi" w:cstheme="minorHAnsi"/>
        </w:rPr>
        <w:t>Determinants of Industry</w:t>
      </w:r>
      <w:r w:rsidR="004F059A" w:rsidRPr="004556EC">
        <w:rPr>
          <w:rFonts w:asciiTheme="minorHAnsi" w:hAnsiTheme="minorHAnsi" w:cstheme="minorHAnsi"/>
        </w:rPr>
        <w:t xml:space="preserve"> Herding</w:t>
      </w:r>
      <w:r w:rsidRPr="004556EC">
        <w:rPr>
          <w:rFonts w:asciiTheme="minorHAnsi" w:hAnsiTheme="minorHAnsi" w:cstheme="minorHAnsi"/>
        </w:rPr>
        <w:t xml:space="preserve"> in the US stock market</w:t>
      </w:r>
    </w:p>
    <w:p w14:paraId="2B2F5825" w14:textId="77777777" w:rsidR="004556EC" w:rsidRPr="004556EC" w:rsidRDefault="004556EC" w:rsidP="004558C6">
      <w:pPr>
        <w:pStyle w:val="Authornames"/>
        <w:jc w:val="center"/>
        <w:rPr>
          <w:rFonts w:asciiTheme="minorHAnsi" w:hAnsiTheme="minorHAnsi" w:cstheme="minorHAnsi"/>
        </w:rPr>
      </w:pPr>
    </w:p>
    <w:p w14:paraId="2B259BAA" w14:textId="77777777" w:rsidR="004556EC" w:rsidRPr="004556EC" w:rsidRDefault="004556EC" w:rsidP="004558C6">
      <w:pPr>
        <w:pStyle w:val="Authornames"/>
        <w:jc w:val="center"/>
        <w:rPr>
          <w:rFonts w:asciiTheme="minorHAnsi" w:hAnsiTheme="minorHAnsi" w:cstheme="minorHAnsi"/>
        </w:rPr>
      </w:pPr>
    </w:p>
    <w:p w14:paraId="5F80EAAD" w14:textId="22883AC9" w:rsidR="004556EC" w:rsidRPr="004556EC" w:rsidRDefault="00683FEC" w:rsidP="004558C6">
      <w:pPr>
        <w:pStyle w:val="Authornames"/>
        <w:jc w:val="center"/>
        <w:rPr>
          <w:rFonts w:asciiTheme="minorHAnsi" w:hAnsiTheme="minorHAnsi" w:cstheme="minorHAnsi"/>
        </w:rPr>
      </w:pPr>
      <w:r w:rsidRPr="004556EC">
        <w:rPr>
          <w:rFonts w:asciiTheme="minorHAnsi" w:hAnsiTheme="minorHAnsi" w:cstheme="minorHAnsi"/>
        </w:rPr>
        <w:t>Idibekeabasi Ukpong</w:t>
      </w:r>
      <w:r w:rsidR="004556EC">
        <w:rPr>
          <w:rStyle w:val="FootnoteReference"/>
          <w:rFonts w:asciiTheme="minorHAnsi" w:hAnsiTheme="minorHAnsi" w:cstheme="minorHAnsi"/>
        </w:rPr>
        <w:footnoteReference w:id="1"/>
      </w:r>
    </w:p>
    <w:p w14:paraId="32898458" w14:textId="77777777" w:rsidR="004556EC" w:rsidRPr="004556EC" w:rsidRDefault="004556EC" w:rsidP="004558C6">
      <w:pPr>
        <w:spacing w:line="360" w:lineRule="auto"/>
        <w:jc w:val="center"/>
        <w:rPr>
          <w:rFonts w:asciiTheme="minorHAnsi" w:hAnsiTheme="minorHAnsi" w:cstheme="minorHAnsi"/>
        </w:rPr>
      </w:pPr>
      <w:r w:rsidRPr="004556EC">
        <w:rPr>
          <w:rFonts w:asciiTheme="minorHAnsi" w:hAnsiTheme="minorHAnsi" w:cstheme="minorHAnsi"/>
        </w:rPr>
        <w:t>Economics, Finance and Law, Anglia Ruskin University, Chelmsford, United Kingdom</w:t>
      </w:r>
    </w:p>
    <w:p w14:paraId="6EAB7808" w14:textId="77777777" w:rsidR="004556EC" w:rsidRPr="004556EC" w:rsidRDefault="004556EC" w:rsidP="004558C6">
      <w:pPr>
        <w:pStyle w:val="Authornames"/>
        <w:jc w:val="center"/>
        <w:rPr>
          <w:rFonts w:asciiTheme="minorHAnsi" w:hAnsiTheme="minorHAnsi" w:cstheme="minorHAnsi"/>
        </w:rPr>
      </w:pPr>
    </w:p>
    <w:p w14:paraId="18AA72D7" w14:textId="5CD190C3" w:rsidR="004556EC" w:rsidRPr="004556EC" w:rsidRDefault="002550F7" w:rsidP="004558C6">
      <w:pPr>
        <w:pStyle w:val="Authornames"/>
        <w:jc w:val="center"/>
        <w:rPr>
          <w:rFonts w:asciiTheme="minorHAnsi" w:hAnsiTheme="minorHAnsi" w:cstheme="minorHAnsi"/>
          <w:vertAlign w:val="superscript"/>
        </w:rPr>
      </w:pPr>
      <w:r w:rsidRPr="004556EC">
        <w:rPr>
          <w:rFonts w:asciiTheme="minorHAnsi" w:hAnsiTheme="minorHAnsi" w:cstheme="minorHAnsi"/>
        </w:rPr>
        <w:t>Handy Tan</w:t>
      </w:r>
    </w:p>
    <w:p w14:paraId="28F5DB85" w14:textId="2446D46C" w:rsidR="004556EC" w:rsidRPr="004556EC" w:rsidRDefault="004556EC" w:rsidP="004558C6">
      <w:pPr>
        <w:spacing w:line="360" w:lineRule="auto"/>
        <w:jc w:val="center"/>
        <w:rPr>
          <w:rFonts w:asciiTheme="minorHAnsi" w:hAnsiTheme="minorHAnsi" w:cstheme="minorHAnsi"/>
        </w:rPr>
      </w:pPr>
      <w:r w:rsidRPr="004556EC">
        <w:rPr>
          <w:rFonts w:asciiTheme="minorHAnsi" w:hAnsiTheme="minorHAnsi" w:cstheme="minorHAnsi"/>
        </w:rPr>
        <w:t>Economics, Finance and Law, Anglia Ruskin University, Chelmsford, United Kingdom</w:t>
      </w:r>
    </w:p>
    <w:p w14:paraId="0C756069" w14:textId="77777777" w:rsidR="004556EC" w:rsidRPr="004556EC" w:rsidRDefault="004556EC" w:rsidP="004558C6">
      <w:pPr>
        <w:pStyle w:val="Authornames"/>
        <w:jc w:val="center"/>
        <w:rPr>
          <w:rFonts w:asciiTheme="minorHAnsi" w:hAnsiTheme="minorHAnsi" w:cstheme="minorHAnsi"/>
        </w:rPr>
      </w:pPr>
    </w:p>
    <w:p w14:paraId="3C19E4CD" w14:textId="3EEA7A4F" w:rsidR="00442B9C" w:rsidRPr="004556EC" w:rsidRDefault="002550F7" w:rsidP="004558C6">
      <w:pPr>
        <w:pStyle w:val="Authornames"/>
        <w:jc w:val="center"/>
        <w:rPr>
          <w:rFonts w:asciiTheme="minorHAnsi" w:hAnsiTheme="minorHAnsi" w:cstheme="minorHAnsi"/>
        </w:rPr>
      </w:pPr>
      <w:r w:rsidRPr="004556EC">
        <w:rPr>
          <w:rFonts w:asciiTheme="minorHAnsi" w:hAnsiTheme="minorHAnsi" w:cstheme="minorHAnsi"/>
        </w:rPr>
        <w:t>Larisa Yarovaya</w:t>
      </w:r>
    </w:p>
    <w:p w14:paraId="486B6603" w14:textId="4C4FF698" w:rsidR="00997B0F" w:rsidRPr="004556EC" w:rsidRDefault="002550F7" w:rsidP="004558C6">
      <w:pPr>
        <w:pStyle w:val="Affiliation"/>
        <w:jc w:val="center"/>
        <w:rPr>
          <w:rFonts w:asciiTheme="minorHAnsi" w:hAnsiTheme="minorHAnsi" w:cstheme="minorHAnsi"/>
        </w:rPr>
      </w:pPr>
      <w:r w:rsidRPr="004556EC">
        <w:rPr>
          <w:rFonts w:asciiTheme="minorHAnsi" w:hAnsiTheme="minorHAnsi" w:cstheme="minorHAnsi"/>
        </w:rPr>
        <w:t>Southampton Business School, University of Southampton, Southampt</w:t>
      </w:r>
      <w:r w:rsidR="00A87600" w:rsidRPr="004556EC">
        <w:rPr>
          <w:rFonts w:asciiTheme="minorHAnsi" w:hAnsiTheme="minorHAnsi" w:cstheme="minorHAnsi"/>
        </w:rPr>
        <w:t xml:space="preserve">on, United </w:t>
      </w:r>
      <w:r w:rsidRPr="004556EC">
        <w:rPr>
          <w:rFonts w:asciiTheme="minorHAnsi" w:hAnsiTheme="minorHAnsi" w:cstheme="minorHAnsi"/>
        </w:rPr>
        <w:t>Kingdom</w:t>
      </w:r>
    </w:p>
    <w:p w14:paraId="29474A20" w14:textId="32B40A60" w:rsidR="006A43B4" w:rsidRPr="004556EC" w:rsidRDefault="00C14585" w:rsidP="004558C6">
      <w:pPr>
        <w:pStyle w:val="Articletitle"/>
        <w:jc w:val="center"/>
        <w:rPr>
          <w:rFonts w:asciiTheme="minorHAnsi" w:hAnsiTheme="minorHAnsi" w:cstheme="minorHAnsi"/>
        </w:rPr>
      </w:pPr>
      <w:r w:rsidRPr="004556EC">
        <w:rPr>
          <w:rFonts w:asciiTheme="minorHAnsi" w:hAnsiTheme="minorHAnsi" w:cstheme="minorHAnsi"/>
        </w:rPr>
        <w:br w:type="page"/>
      </w:r>
      <w:r w:rsidR="006A43B4" w:rsidRPr="004556EC">
        <w:rPr>
          <w:rFonts w:asciiTheme="minorHAnsi" w:hAnsiTheme="minorHAnsi" w:cstheme="minorHAnsi"/>
        </w:rPr>
        <w:lastRenderedPageBreak/>
        <w:t xml:space="preserve">Determinants of Industry </w:t>
      </w:r>
      <w:r w:rsidR="004F059A" w:rsidRPr="004556EC">
        <w:rPr>
          <w:rFonts w:asciiTheme="minorHAnsi" w:hAnsiTheme="minorHAnsi" w:cstheme="minorHAnsi"/>
        </w:rPr>
        <w:t xml:space="preserve">Herding </w:t>
      </w:r>
      <w:r w:rsidR="006A43B4" w:rsidRPr="004556EC">
        <w:rPr>
          <w:rFonts w:asciiTheme="minorHAnsi" w:hAnsiTheme="minorHAnsi" w:cstheme="minorHAnsi"/>
        </w:rPr>
        <w:t>in the US stock market</w:t>
      </w:r>
    </w:p>
    <w:p w14:paraId="3B0A0ECF" w14:textId="74703552" w:rsidR="004556EC" w:rsidRPr="004556EC" w:rsidRDefault="004556EC" w:rsidP="004558C6">
      <w:pPr>
        <w:pStyle w:val="Abstract"/>
        <w:ind w:left="0"/>
        <w:jc w:val="both"/>
        <w:rPr>
          <w:rFonts w:asciiTheme="minorHAnsi" w:hAnsiTheme="minorHAnsi" w:cstheme="minorHAnsi"/>
          <w:b/>
          <w:bCs/>
        </w:rPr>
      </w:pPr>
      <w:r w:rsidRPr="004556EC">
        <w:rPr>
          <w:rFonts w:asciiTheme="minorHAnsi" w:hAnsiTheme="minorHAnsi" w:cstheme="minorHAnsi"/>
          <w:b/>
          <w:bCs/>
        </w:rPr>
        <w:t>Abstract</w:t>
      </w:r>
    </w:p>
    <w:p w14:paraId="2EF37A5A" w14:textId="35BF8BA0" w:rsidR="00010A02" w:rsidRPr="004556EC" w:rsidRDefault="00010A02" w:rsidP="004558C6">
      <w:pPr>
        <w:pStyle w:val="Abstract"/>
        <w:ind w:left="0"/>
        <w:jc w:val="both"/>
        <w:rPr>
          <w:rFonts w:asciiTheme="minorHAnsi" w:hAnsiTheme="minorHAnsi" w:cstheme="minorHAnsi"/>
        </w:rPr>
      </w:pPr>
      <w:r w:rsidRPr="004556EC">
        <w:rPr>
          <w:rFonts w:asciiTheme="minorHAnsi" w:hAnsiTheme="minorHAnsi" w:cstheme="minorHAnsi"/>
        </w:rPr>
        <w:t>This article provides empirical evidence on the determinants of herding in</w:t>
      </w:r>
      <w:r w:rsidR="00E54B89">
        <w:rPr>
          <w:rFonts w:asciiTheme="minorHAnsi" w:hAnsiTheme="minorHAnsi" w:cstheme="minorHAnsi"/>
        </w:rPr>
        <w:t xml:space="preserve"> the</w:t>
      </w:r>
      <w:r w:rsidRPr="004556EC">
        <w:rPr>
          <w:rFonts w:asciiTheme="minorHAnsi" w:hAnsiTheme="minorHAnsi" w:cstheme="minorHAnsi"/>
        </w:rPr>
        <w:t xml:space="preserve"> US using both market and industry level data.</w:t>
      </w:r>
      <w:r w:rsidR="004F059A" w:rsidRPr="004556EC">
        <w:rPr>
          <w:rFonts w:asciiTheme="minorHAnsi" w:hAnsiTheme="minorHAnsi" w:cstheme="minorHAnsi"/>
        </w:rPr>
        <w:t xml:space="preserve"> We examined herding </w:t>
      </w:r>
      <w:r w:rsidRPr="004556EC">
        <w:rPr>
          <w:rFonts w:asciiTheme="minorHAnsi" w:hAnsiTheme="minorHAnsi" w:cstheme="minorHAnsi"/>
        </w:rPr>
        <w:t>based on market returns, volatility and</w:t>
      </w:r>
      <w:r w:rsidR="00CB07EE" w:rsidRPr="004556EC">
        <w:rPr>
          <w:rFonts w:asciiTheme="minorHAnsi" w:hAnsiTheme="minorHAnsi" w:cstheme="minorHAnsi"/>
        </w:rPr>
        <w:t xml:space="preserve"> trading volume, using the d</w:t>
      </w:r>
      <w:r w:rsidRPr="004556EC">
        <w:rPr>
          <w:rFonts w:asciiTheme="minorHAnsi" w:hAnsiTheme="minorHAnsi" w:cstheme="minorHAnsi"/>
        </w:rPr>
        <w:t>aily data from 1990 to 20</w:t>
      </w:r>
      <w:r w:rsidR="007F2231">
        <w:rPr>
          <w:rFonts w:asciiTheme="minorHAnsi" w:hAnsiTheme="minorHAnsi" w:cstheme="minorHAnsi"/>
        </w:rPr>
        <w:t>20</w:t>
      </w:r>
      <w:r w:rsidRPr="004556EC">
        <w:rPr>
          <w:rFonts w:asciiTheme="minorHAnsi" w:hAnsiTheme="minorHAnsi" w:cstheme="minorHAnsi"/>
        </w:rPr>
        <w:t>. The findings demonstrate that herding</w:t>
      </w:r>
      <w:r w:rsidR="00990810">
        <w:rPr>
          <w:rFonts w:asciiTheme="minorHAnsi" w:hAnsiTheme="minorHAnsi" w:cstheme="minorHAnsi"/>
        </w:rPr>
        <w:t xml:space="preserve"> at the market level</w:t>
      </w:r>
      <w:r w:rsidRPr="004556EC">
        <w:rPr>
          <w:rFonts w:asciiTheme="minorHAnsi" w:hAnsiTheme="minorHAnsi" w:cstheme="minorHAnsi"/>
        </w:rPr>
        <w:t xml:space="preserve"> does not exist</w:t>
      </w:r>
      <w:r w:rsidR="00990810">
        <w:rPr>
          <w:rFonts w:asciiTheme="minorHAnsi" w:hAnsiTheme="minorHAnsi" w:cstheme="minorHAnsi"/>
        </w:rPr>
        <w:t>,</w:t>
      </w:r>
      <w:r w:rsidRPr="004556EC">
        <w:rPr>
          <w:rFonts w:asciiTheme="minorHAnsi" w:hAnsiTheme="minorHAnsi" w:cstheme="minorHAnsi"/>
        </w:rPr>
        <w:t xml:space="preserve"> </w:t>
      </w:r>
      <w:r w:rsidR="00990810">
        <w:rPr>
          <w:rFonts w:asciiTheme="minorHAnsi" w:hAnsiTheme="minorHAnsi" w:cstheme="minorHAnsi"/>
        </w:rPr>
        <w:t>however some</w:t>
      </w:r>
      <w:r w:rsidRPr="004556EC">
        <w:rPr>
          <w:rFonts w:asciiTheme="minorHAnsi" w:hAnsiTheme="minorHAnsi" w:cstheme="minorHAnsi"/>
        </w:rPr>
        <w:t xml:space="preserve"> herding becomes visible at the industry level. The results also demonstrate </w:t>
      </w:r>
      <w:r w:rsidR="00B66F1E">
        <w:rPr>
          <w:rFonts w:asciiTheme="minorHAnsi" w:hAnsiTheme="minorHAnsi" w:cstheme="minorHAnsi"/>
        </w:rPr>
        <w:t>significant</w:t>
      </w:r>
      <w:r w:rsidRPr="004556EC">
        <w:rPr>
          <w:rFonts w:asciiTheme="minorHAnsi" w:hAnsiTheme="minorHAnsi" w:cstheme="minorHAnsi"/>
        </w:rPr>
        <w:t xml:space="preserve"> evidence of </w:t>
      </w:r>
      <w:r w:rsidR="00B66F1E">
        <w:rPr>
          <w:rFonts w:asciiTheme="minorHAnsi" w:hAnsiTheme="minorHAnsi" w:cstheme="minorHAnsi"/>
        </w:rPr>
        <w:t>anti-</w:t>
      </w:r>
      <w:r w:rsidRPr="004556EC">
        <w:rPr>
          <w:rFonts w:asciiTheme="minorHAnsi" w:hAnsiTheme="minorHAnsi" w:cstheme="minorHAnsi"/>
        </w:rPr>
        <w:t xml:space="preserve">herding </w:t>
      </w:r>
      <w:r w:rsidR="00B66F1E">
        <w:rPr>
          <w:rFonts w:asciiTheme="minorHAnsi" w:hAnsiTheme="minorHAnsi" w:cstheme="minorHAnsi"/>
        </w:rPr>
        <w:t>behaviour at the market and industry level</w:t>
      </w:r>
      <w:r w:rsidR="00081DA3">
        <w:rPr>
          <w:rFonts w:asciiTheme="minorHAnsi" w:hAnsiTheme="minorHAnsi" w:cstheme="minorHAnsi"/>
        </w:rPr>
        <w:t xml:space="preserve">. </w:t>
      </w:r>
    </w:p>
    <w:p w14:paraId="4DA9A889" w14:textId="12876586" w:rsidR="0020415E" w:rsidRPr="004556EC" w:rsidRDefault="00D934A0" w:rsidP="004558C6">
      <w:pPr>
        <w:pStyle w:val="Keywords"/>
        <w:ind w:left="0"/>
        <w:rPr>
          <w:rFonts w:asciiTheme="minorHAnsi" w:hAnsiTheme="minorHAnsi" w:cstheme="minorHAnsi"/>
        </w:rPr>
      </w:pPr>
      <w:r w:rsidRPr="004556EC">
        <w:rPr>
          <w:rFonts w:asciiTheme="minorHAnsi" w:hAnsiTheme="minorHAnsi" w:cstheme="minorHAnsi"/>
        </w:rPr>
        <w:t>Keywords: industry herding</w:t>
      </w:r>
      <w:r w:rsidR="00010A02" w:rsidRPr="004556EC">
        <w:rPr>
          <w:rFonts w:asciiTheme="minorHAnsi" w:hAnsiTheme="minorHAnsi" w:cstheme="minorHAnsi"/>
        </w:rPr>
        <w:t xml:space="preserve">; US stock markets; </w:t>
      </w:r>
      <w:r w:rsidR="00010A02" w:rsidRPr="004556EC">
        <w:rPr>
          <w:rFonts w:asciiTheme="minorHAnsi" w:hAnsiTheme="minorHAnsi" w:cstheme="minorHAnsi"/>
          <w:bCs/>
          <w:lang w:val="en-US"/>
        </w:rPr>
        <w:t>asymmetric behavio</w:t>
      </w:r>
      <w:r w:rsidR="00CB07EE" w:rsidRPr="004556EC">
        <w:rPr>
          <w:rFonts w:asciiTheme="minorHAnsi" w:hAnsiTheme="minorHAnsi" w:cstheme="minorHAnsi"/>
          <w:bCs/>
          <w:lang w:val="en-US"/>
        </w:rPr>
        <w:t>u</w:t>
      </w:r>
      <w:r w:rsidR="00010A02" w:rsidRPr="004556EC">
        <w:rPr>
          <w:rFonts w:asciiTheme="minorHAnsi" w:hAnsiTheme="minorHAnsi" w:cstheme="minorHAnsi"/>
          <w:bCs/>
          <w:lang w:val="en-US"/>
        </w:rPr>
        <w:t>r</w:t>
      </w:r>
    </w:p>
    <w:p w14:paraId="5CF66AE8" w14:textId="038CB75A" w:rsidR="004556EC" w:rsidRPr="004556EC" w:rsidRDefault="00081E4B" w:rsidP="004558C6">
      <w:pPr>
        <w:pStyle w:val="Subjectcodes"/>
        <w:ind w:left="0"/>
        <w:rPr>
          <w:rFonts w:asciiTheme="minorHAnsi" w:hAnsiTheme="minorHAnsi" w:cstheme="minorHAnsi"/>
        </w:rPr>
      </w:pPr>
      <w:r w:rsidRPr="004556EC">
        <w:rPr>
          <w:rFonts w:asciiTheme="minorHAnsi" w:hAnsiTheme="minorHAnsi" w:cstheme="minorHAnsi"/>
        </w:rPr>
        <w:t>JEL Classification</w:t>
      </w:r>
      <w:r w:rsidR="00AA7777" w:rsidRPr="004556EC">
        <w:rPr>
          <w:rFonts w:asciiTheme="minorHAnsi" w:hAnsiTheme="minorHAnsi" w:cstheme="minorHAnsi"/>
        </w:rPr>
        <w:t xml:space="preserve">: </w:t>
      </w:r>
      <w:r w:rsidRPr="004556EC">
        <w:rPr>
          <w:rFonts w:asciiTheme="minorHAnsi" w:hAnsiTheme="minorHAnsi" w:cstheme="minorHAnsi"/>
        </w:rPr>
        <w:t>G14; G40</w:t>
      </w:r>
    </w:p>
    <w:p w14:paraId="7CAE0570" w14:textId="0790BC1F" w:rsidR="00997B0F" w:rsidRPr="004556EC" w:rsidRDefault="00CB07EE" w:rsidP="004558C6">
      <w:pPr>
        <w:pStyle w:val="Heading1"/>
        <w:rPr>
          <w:rFonts w:asciiTheme="minorHAnsi" w:hAnsiTheme="minorHAnsi" w:cstheme="minorHAnsi"/>
        </w:rPr>
      </w:pPr>
      <w:r w:rsidRPr="004556EC">
        <w:rPr>
          <w:rFonts w:asciiTheme="minorHAnsi" w:hAnsiTheme="minorHAnsi" w:cstheme="minorHAnsi"/>
        </w:rPr>
        <w:t xml:space="preserve">1. </w:t>
      </w:r>
      <w:r w:rsidR="00665AFD" w:rsidRPr="004556EC">
        <w:rPr>
          <w:rFonts w:asciiTheme="minorHAnsi" w:hAnsiTheme="minorHAnsi" w:cstheme="minorHAnsi"/>
        </w:rPr>
        <w:t>Introduction</w:t>
      </w:r>
    </w:p>
    <w:p w14:paraId="3B138E47" w14:textId="3D32A2AC" w:rsidR="007F0289" w:rsidRPr="004556EC" w:rsidRDefault="007F0289" w:rsidP="00231D11">
      <w:pPr>
        <w:pStyle w:val="Newparagraph"/>
        <w:spacing w:line="360" w:lineRule="auto"/>
        <w:ind w:firstLine="0"/>
        <w:jc w:val="both"/>
        <w:rPr>
          <w:rFonts w:asciiTheme="minorHAnsi" w:hAnsiTheme="minorHAnsi" w:cstheme="minorHAnsi"/>
          <w:bCs/>
          <w:lang w:eastAsia="en-US"/>
        </w:rPr>
      </w:pPr>
      <w:r w:rsidRPr="004556EC">
        <w:rPr>
          <w:rFonts w:asciiTheme="minorHAnsi" w:eastAsia="Calibri" w:hAnsiTheme="minorHAnsi" w:cstheme="minorHAnsi"/>
          <w:bCs/>
          <w:lang w:eastAsia="en-US"/>
        </w:rPr>
        <w:t>In the behavioural finance literature, herding</w:t>
      </w:r>
      <w:r w:rsidR="008E05E2">
        <w:rPr>
          <w:rFonts w:asciiTheme="minorHAnsi" w:eastAsia="Calibri" w:hAnsiTheme="minorHAnsi" w:cstheme="minorHAnsi"/>
          <w:bCs/>
          <w:lang w:eastAsia="en-US"/>
        </w:rPr>
        <w:t xml:space="preserve"> </w:t>
      </w:r>
      <w:r w:rsidRPr="004556EC">
        <w:rPr>
          <w:rFonts w:asciiTheme="minorHAnsi" w:eastAsia="Calibri" w:hAnsiTheme="minorHAnsi" w:cstheme="minorHAnsi"/>
          <w:bCs/>
          <w:lang w:eastAsia="en-US"/>
        </w:rPr>
        <w:t xml:space="preserve">arises when investors </w:t>
      </w:r>
      <w:r w:rsidR="00CB07EE" w:rsidRPr="004556EC">
        <w:rPr>
          <w:rFonts w:asciiTheme="minorHAnsi" w:eastAsia="Calibri" w:hAnsiTheme="minorHAnsi" w:cstheme="minorHAnsi"/>
          <w:bCs/>
          <w:lang w:eastAsia="en-US"/>
        </w:rPr>
        <w:t xml:space="preserve">who are </w:t>
      </w:r>
      <w:r w:rsidRPr="004556EC">
        <w:rPr>
          <w:rFonts w:asciiTheme="minorHAnsi" w:eastAsia="Calibri" w:hAnsiTheme="minorHAnsi" w:cstheme="minorHAnsi"/>
          <w:bCs/>
          <w:lang w:eastAsia="en-US"/>
        </w:rPr>
        <w:t>inclined to buy or sell based on</w:t>
      </w:r>
      <w:r w:rsidRPr="004556EC">
        <w:rPr>
          <w:rFonts w:asciiTheme="minorHAnsi" w:eastAsia="Calibri" w:hAnsiTheme="minorHAnsi" w:cstheme="minorHAnsi"/>
          <w:bCs/>
          <w:noProof/>
          <w:lang w:eastAsia="en-US"/>
        </w:rPr>
        <w:t xml:space="preserve"> </w:t>
      </w:r>
      <w:r w:rsidRPr="004556EC">
        <w:rPr>
          <w:rFonts w:asciiTheme="minorHAnsi" w:eastAsia="Calibri" w:hAnsiTheme="minorHAnsi" w:cstheme="minorHAnsi"/>
          <w:bCs/>
          <w:lang w:eastAsia="en-US"/>
        </w:rPr>
        <w:t xml:space="preserve">their private information, overturn their decision after observing the direction of the market. Consequently, investors trade in the same direction and drive asset prices away from their fundamental values, </w:t>
      </w:r>
      <w:r w:rsidRPr="004556EC">
        <w:rPr>
          <w:rFonts w:asciiTheme="minorHAnsi" w:eastAsia="Calibri" w:hAnsiTheme="minorHAnsi" w:cstheme="minorHAnsi"/>
          <w:bCs/>
          <w:lang w:val="en-US" w:eastAsia="en-US"/>
        </w:rPr>
        <w:t>resulting</w:t>
      </w:r>
      <w:r w:rsidRPr="004556EC">
        <w:rPr>
          <w:rFonts w:asciiTheme="minorHAnsi" w:eastAsia="Calibri" w:hAnsiTheme="minorHAnsi" w:cstheme="minorHAnsi"/>
          <w:bCs/>
          <w:lang w:eastAsia="en-US"/>
        </w:rPr>
        <w:t xml:space="preserve"> in excess market volatility (Nofsinger and Sias, 1999). </w:t>
      </w:r>
    </w:p>
    <w:p w14:paraId="78461115" w14:textId="56EA85BE" w:rsidR="00C74A60" w:rsidRDefault="006C29CE" w:rsidP="004558C6">
      <w:pPr>
        <w:pStyle w:val="Newparagraph"/>
        <w:spacing w:line="360" w:lineRule="auto"/>
        <w:ind w:firstLine="0"/>
        <w:jc w:val="both"/>
        <w:rPr>
          <w:rFonts w:asciiTheme="minorHAnsi" w:eastAsia="Calibri" w:hAnsiTheme="minorHAnsi" w:cstheme="minorHAnsi"/>
          <w:bCs/>
          <w:lang w:val="en-US"/>
        </w:rPr>
      </w:pPr>
      <w:r w:rsidRPr="004556EC">
        <w:rPr>
          <w:rFonts w:asciiTheme="minorHAnsi" w:hAnsiTheme="minorHAnsi" w:cstheme="minorHAnsi"/>
        </w:rPr>
        <w:t>There is considerable amount of research on herding towards the market consensus in various stock markets at the market</w:t>
      </w:r>
      <w:r w:rsidR="002B3B89">
        <w:rPr>
          <w:rFonts w:asciiTheme="minorHAnsi" w:hAnsiTheme="minorHAnsi" w:cstheme="minorHAnsi"/>
        </w:rPr>
        <w:t xml:space="preserve"> (</w:t>
      </w:r>
      <w:r w:rsidR="00F84A0F">
        <w:rPr>
          <w:rFonts w:asciiTheme="minorHAnsi" w:hAnsiTheme="minorHAnsi" w:cstheme="minorHAnsi"/>
        </w:rPr>
        <w:t>Chen</w:t>
      </w:r>
      <w:r w:rsidR="0043396D">
        <w:rPr>
          <w:rFonts w:asciiTheme="minorHAnsi" w:hAnsiTheme="minorHAnsi" w:cstheme="minorHAnsi"/>
        </w:rPr>
        <w:t>,</w:t>
      </w:r>
      <w:r w:rsidR="00F84A0F">
        <w:rPr>
          <w:rFonts w:asciiTheme="minorHAnsi" w:hAnsiTheme="minorHAnsi" w:cstheme="minorHAnsi"/>
        </w:rPr>
        <w:t xml:space="preserve"> 2020; </w:t>
      </w:r>
      <w:r w:rsidR="0043396D" w:rsidRPr="0043396D">
        <w:rPr>
          <w:rFonts w:asciiTheme="minorHAnsi" w:hAnsiTheme="minorHAnsi" w:cstheme="minorHAnsi"/>
        </w:rPr>
        <w:t>Clements, et al., 2017</w:t>
      </w:r>
      <w:r w:rsidR="0043396D">
        <w:rPr>
          <w:rFonts w:asciiTheme="minorHAnsi" w:hAnsiTheme="minorHAnsi" w:cstheme="minorHAnsi"/>
        </w:rPr>
        <w:t xml:space="preserve">; </w:t>
      </w:r>
      <w:r w:rsidR="0043396D" w:rsidRPr="0043396D">
        <w:rPr>
          <w:rFonts w:asciiTheme="minorHAnsi" w:hAnsiTheme="minorHAnsi" w:cstheme="minorHAnsi"/>
        </w:rPr>
        <w:t>Galariotis, et al., 2016</w:t>
      </w:r>
      <w:r w:rsidR="00766FA7">
        <w:rPr>
          <w:rFonts w:asciiTheme="minorHAnsi" w:hAnsiTheme="minorHAnsi" w:cstheme="minorHAnsi"/>
        </w:rPr>
        <w:t>)</w:t>
      </w:r>
      <w:r w:rsidR="00DE51DC">
        <w:rPr>
          <w:rFonts w:asciiTheme="minorHAnsi" w:hAnsiTheme="minorHAnsi" w:cstheme="minorHAnsi"/>
        </w:rPr>
        <w:t xml:space="preserve"> </w:t>
      </w:r>
      <w:r w:rsidRPr="004556EC">
        <w:rPr>
          <w:rFonts w:asciiTheme="minorHAnsi" w:hAnsiTheme="minorHAnsi" w:cstheme="minorHAnsi"/>
        </w:rPr>
        <w:t>and industry levels (</w:t>
      </w:r>
      <w:r w:rsidR="0043396D">
        <w:rPr>
          <w:rFonts w:asciiTheme="minorHAnsi" w:hAnsiTheme="minorHAnsi" w:cstheme="minorHAnsi"/>
        </w:rPr>
        <w:t>Kabir, 2018; Z</w:t>
      </w:r>
      <w:r w:rsidR="00766FA7">
        <w:rPr>
          <w:rFonts w:asciiTheme="minorHAnsi" w:hAnsiTheme="minorHAnsi" w:cstheme="minorHAnsi"/>
        </w:rPr>
        <w:t>heng, et al., 2017;</w:t>
      </w:r>
      <w:r w:rsidR="00916AD3">
        <w:rPr>
          <w:rFonts w:asciiTheme="minorHAnsi" w:hAnsiTheme="minorHAnsi" w:cstheme="minorHAnsi"/>
        </w:rPr>
        <w:t xml:space="preserve"> </w:t>
      </w:r>
      <w:r w:rsidRPr="004556EC">
        <w:rPr>
          <w:rFonts w:asciiTheme="minorHAnsi" w:hAnsiTheme="minorHAnsi" w:cstheme="minorHAnsi"/>
        </w:rPr>
        <w:t>Gebka and Woh</w:t>
      </w:r>
      <w:r w:rsidR="0095586C" w:rsidRPr="004556EC">
        <w:rPr>
          <w:rFonts w:asciiTheme="minorHAnsi" w:hAnsiTheme="minorHAnsi" w:cstheme="minorHAnsi"/>
        </w:rPr>
        <w:t>ar 2013</w:t>
      </w:r>
      <w:r w:rsidR="00766FA7">
        <w:rPr>
          <w:rFonts w:asciiTheme="minorHAnsi" w:hAnsiTheme="minorHAnsi" w:cstheme="minorHAnsi"/>
        </w:rPr>
        <w:t>)</w:t>
      </w:r>
      <w:r w:rsidRPr="004556EC">
        <w:rPr>
          <w:rFonts w:asciiTheme="minorHAnsi" w:hAnsiTheme="minorHAnsi" w:cstheme="minorHAnsi"/>
        </w:rPr>
        <w:t xml:space="preserve">.  </w:t>
      </w:r>
      <w:r w:rsidR="00901F6E" w:rsidRPr="00901F6E">
        <w:t xml:space="preserve"> </w:t>
      </w:r>
      <w:r w:rsidR="00901F6E" w:rsidRPr="00901F6E">
        <w:rPr>
          <w:rFonts w:asciiTheme="minorHAnsi" w:hAnsiTheme="minorHAnsi" w:cstheme="minorHAnsi"/>
        </w:rPr>
        <w:t xml:space="preserve">Recently, </w:t>
      </w:r>
      <w:r w:rsidR="00901F6E">
        <w:rPr>
          <w:rFonts w:asciiTheme="minorHAnsi" w:hAnsiTheme="minorHAnsi" w:cstheme="minorHAnsi"/>
        </w:rPr>
        <w:t xml:space="preserve">herding has also been investigated in </w:t>
      </w:r>
      <w:r w:rsidR="00901F6E" w:rsidRPr="00901F6E">
        <w:rPr>
          <w:rFonts w:asciiTheme="minorHAnsi" w:hAnsiTheme="minorHAnsi" w:cstheme="minorHAnsi"/>
        </w:rPr>
        <w:t>the excessively volatile cryptocurrency market</w:t>
      </w:r>
      <w:r w:rsidR="00901F6E">
        <w:rPr>
          <w:rFonts w:asciiTheme="minorHAnsi" w:hAnsiTheme="minorHAnsi" w:cstheme="minorHAnsi"/>
        </w:rPr>
        <w:t xml:space="preserve"> </w:t>
      </w:r>
      <w:r w:rsidR="00DE51DC">
        <w:rPr>
          <w:rFonts w:asciiTheme="minorHAnsi" w:hAnsiTheme="minorHAnsi" w:cstheme="minorHAnsi"/>
        </w:rPr>
        <w:t>(</w:t>
      </w:r>
      <w:r w:rsidR="00DE51DC" w:rsidRPr="00DE51DC">
        <w:rPr>
          <w:rFonts w:asciiTheme="minorHAnsi" w:hAnsiTheme="minorHAnsi" w:cstheme="minorHAnsi"/>
        </w:rPr>
        <w:t>Philippas et al., 2020; Yarovaya et al., 2020</w:t>
      </w:r>
      <w:r w:rsidR="00916AD3">
        <w:rPr>
          <w:rFonts w:asciiTheme="minorHAnsi" w:hAnsiTheme="minorHAnsi" w:cstheme="minorHAnsi"/>
        </w:rPr>
        <w:t xml:space="preserve">; </w:t>
      </w:r>
      <w:r w:rsidR="00F4500A" w:rsidRPr="00F4500A">
        <w:rPr>
          <w:rFonts w:asciiTheme="minorHAnsi" w:hAnsiTheme="minorHAnsi" w:cstheme="minorHAnsi"/>
        </w:rPr>
        <w:t>Vidal-Tomás</w:t>
      </w:r>
      <w:r w:rsidR="00F4500A">
        <w:rPr>
          <w:rFonts w:asciiTheme="minorHAnsi" w:hAnsiTheme="minorHAnsi" w:cstheme="minorHAnsi"/>
        </w:rPr>
        <w:t>, et al., 2019</w:t>
      </w:r>
      <w:r w:rsidR="00DE51DC">
        <w:rPr>
          <w:rFonts w:asciiTheme="minorHAnsi" w:hAnsiTheme="minorHAnsi" w:cstheme="minorHAnsi"/>
        </w:rPr>
        <w:t>)</w:t>
      </w:r>
      <w:r w:rsidR="00916AD3">
        <w:rPr>
          <w:rFonts w:asciiTheme="minorHAnsi" w:hAnsiTheme="minorHAnsi" w:cstheme="minorHAnsi"/>
        </w:rPr>
        <w:t xml:space="preserve">. </w:t>
      </w:r>
      <w:r w:rsidRPr="004556EC">
        <w:rPr>
          <w:rFonts w:asciiTheme="minorHAnsi" w:hAnsiTheme="minorHAnsi" w:cstheme="minorHAnsi"/>
        </w:rPr>
        <w:t xml:space="preserve">While investors in the U.S. market tend to herd more at the industry level, the empirical evidence on industry herding is still sparse (Litimi, et al., 2016). </w:t>
      </w:r>
      <w:r w:rsidR="005C35C9" w:rsidRPr="004556EC">
        <w:rPr>
          <w:rFonts w:asciiTheme="minorHAnsi" w:hAnsiTheme="minorHAnsi" w:cstheme="minorHAnsi"/>
        </w:rPr>
        <w:t xml:space="preserve">BenSaida (2017) </w:t>
      </w:r>
      <w:r w:rsidRPr="004556EC">
        <w:rPr>
          <w:rFonts w:asciiTheme="minorHAnsi" w:hAnsiTheme="minorHAnsi" w:cstheme="minorHAnsi"/>
        </w:rPr>
        <w:t xml:space="preserve">and </w:t>
      </w:r>
      <w:r w:rsidR="005C35C9" w:rsidRPr="004556EC">
        <w:rPr>
          <w:rFonts w:asciiTheme="minorHAnsi" w:hAnsiTheme="minorHAnsi" w:cstheme="minorHAnsi"/>
        </w:rPr>
        <w:t xml:space="preserve">Litimi, et al., (2016) </w:t>
      </w:r>
      <w:r w:rsidRPr="004556EC">
        <w:rPr>
          <w:rFonts w:asciiTheme="minorHAnsi" w:hAnsiTheme="minorHAnsi" w:cstheme="minorHAnsi"/>
        </w:rPr>
        <w:t xml:space="preserve">fail to find evidence of herding in the U.S. stock market but find significant herding at the industry level during periods of market turmoil. </w:t>
      </w:r>
      <w:r w:rsidR="005C7561">
        <w:rPr>
          <w:rFonts w:asciiTheme="minorHAnsi" w:hAnsiTheme="minorHAnsi" w:cstheme="minorHAnsi"/>
        </w:rPr>
        <w:t xml:space="preserve">The sparce literature motivated us to provide a </w:t>
      </w:r>
      <w:r w:rsidR="00E12A74">
        <w:rPr>
          <w:rFonts w:asciiTheme="minorHAnsi" w:hAnsiTheme="minorHAnsi" w:cstheme="minorHAnsi"/>
        </w:rPr>
        <w:t>deeper</w:t>
      </w:r>
      <w:r w:rsidRPr="004556EC">
        <w:rPr>
          <w:rFonts w:asciiTheme="minorHAnsi" w:hAnsiTheme="minorHAnsi" w:cstheme="minorHAnsi"/>
        </w:rPr>
        <w:t xml:space="preserve"> analysis of the determinants of industry herding. </w:t>
      </w:r>
      <w:r w:rsidR="006D6C6D">
        <w:rPr>
          <w:rFonts w:asciiTheme="minorHAnsi" w:hAnsiTheme="minorHAnsi" w:cstheme="minorHAnsi"/>
        </w:rPr>
        <w:t xml:space="preserve"> In this paper </w:t>
      </w:r>
      <w:r w:rsidR="007C415E">
        <w:rPr>
          <w:rFonts w:asciiTheme="minorHAnsi" w:hAnsiTheme="minorHAnsi" w:cstheme="minorHAnsi"/>
        </w:rPr>
        <w:t>our aim is to contribute to extant herding literature,</w:t>
      </w:r>
      <w:r w:rsidR="008E05E2">
        <w:rPr>
          <w:rFonts w:asciiTheme="minorHAnsi" w:hAnsiTheme="minorHAnsi" w:cstheme="minorHAnsi"/>
        </w:rPr>
        <w:t xml:space="preserve"> </w:t>
      </w:r>
      <w:r w:rsidR="007C415E">
        <w:rPr>
          <w:rFonts w:asciiTheme="minorHAnsi" w:hAnsiTheme="minorHAnsi" w:cstheme="minorHAnsi"/>
        </w:rPr>
        <w:t>by investigating</w:t>
      </w:r>
      <w:r w:rsidRPr="004556EC">
        <w:rPr>
          <w:rFonts w:asciiTheme="minorHAnsi" w:hAnsiTheme="minorHAnsi" w:cstheme="minorHAnsi"/>
        </w:rPr>
        <w:t xml:space="preserve"> whether </w:t>
      </w:r>
      <w:r w:rsidR="006D6C6D">
        <w:rPr>
          <w:rFonts w:asciiTheme="minorHAnsi" w:hAnsiTheme="minorHAnsi" w:cstheme="minorHAnsi"/>
        </w:rPr>
        <w:t>industry herding</w:t>
      </w:r>
      <w:r w:rsidRPr="004556EC">
        <w:rPr>
          <w:rFonts w:asciiTheme="minorHAnsi" w:hAnsiTheme="minorHAnsi" w:cstheme="minorHAnsi"/>
        </w:rPr>
        <w:t xml:space="preserve"> is conditional upon market returns, trading </w:t>
      </w:r>
      <w:r w:rsidRPr="004556EC">
        <w:rPr>
          <w:rFonts w:asciiTheme="minorHAnsi" w:hAnsiTheme="minorHAnsi" w:cstheme="minorHAnsi"/>
        </w:rPr>
        <w:lastRenderedPageBreak/>
        <w:t>volume and volatility</w:t>
      </w:r>
      <w:r w:rsidR="008E05E2">
        <w:rPr>
          <w:rStyle w:val="FootnoteReference"/>
          <w:rFonts w:asciiTheme="minorHAnsi" w:hAnsiTheme="minorHAnsi" w:cstheme="minorHAnsi"/>
        </w:rPr>
        <w:footnoteReference w:id="2"/>
      </w:r>
      <w:r w:rsidR="008E05E2">
        <w:t xml:space="preserve">. </w:t>
      </w:r>
      <w:r w:rsidR="008E05E2">
        <w:t xml:space="preserve"> Many studies have provided theoretical explanations on why investors herd</w:t>
      </w:r>
      <w:r w:rsidRPr="004556EC">
        <w:rPr>
          <w:rFonts w:asciiTheme="minorHAnsi" w:hAnsiTheme="minorHAnsi" w:cstheme="minorHAnsi"/>
        </w:rPr>
        <w:t>.</w:t>
      </w:r>
      <w:r w:rsidR="005E65B4" w:rsidRPr="004556EC">
        <w:rPr>
          <w:rFonts w:asciiTheme="minorHAnsi" w:hAnsiTheme="minorHAnsi" w:cstheme="minorHAnsi"/>
          <w:bCs/>
        </w:rPr>
        <w:t xml:space="preserve"> </w:t>
      </w:r>
      <w:r w:rsidR="00D9413B">
        <w:rPr>
          <w:rFonts w:asciiTheme="minorHAnsi" w:hAnsiTheme="minorHAnsi" w:cstheme="minorHAnsi"/>
          <w:bCs/>
        </w:rPr>
        <w:t xml:space="preserve">To </w:t>
      </w:r>
      <w:r w:rsidR="005C7561">
        <w:rPr>
          <w:rFonts w:asciiTheme="minorHAnsi" w:hAnsiTheme="minorHAnsi" w:cstheme="minorHAnsi"/>
          <w:bCs/>
        </w:rPr>
        <w:t>provide</w:t>
      </w:r>
      <w:r w:rsidR="005C7561" w:rsidRPr="004556EC">
        <w:rPr>
          <w:rFonts w:asciiTheme="minorHAnsi" w:hAnsiTheme="minorHAnsi" w:cstheme="minorHAnsi"/>
          <w:bCs/>
        </w:rPr>
        <w:t xml:space="preserve"> </w:t>
      </w:r>
      <w:r w:rsidR="005C7561">
        <w:rPr>
          <w:rFonts w:asciiTheme="minorHAnsi" w:hAnsiTheme="minorHAnsi" w:cstheme="minorHAnsi"/>
          <w:bCs/>
        </w:rPr>
        <w:t xml:space="preserve">recent </w:t>
      </w:r>
      <w:r w:rsidR="005C7561" w:rsidRPr="004556EC">
        <w:rPr>
          <w:rFonts w:asciiTheme="minorHAnsi" w:hAnsiTheme="minorHAnsi" w:cstheme="minorHAnsi"/>
          <w:bCs/>
        </w:rPr>
        <w:t>insight</w:t>
      </w:r>
      <w:r w:rsidR="005C7561">
        <w:rPr>
          <w:rFonts w:asciiTheme="minorHAnsi" w:hAnsiTheme="minorHAnsi" w:cstheme="minorHAnsi"/>
          <w:bCs/>
        </w:rPr>
        <w:t>s</w:t>
      </w:r>
      <w:r w:rsidR="005C7561" w:rsidRPr="004556EC">
        <w:rPr>
          <w:rFonts w:asciiTheme="minorHAnsi" w:hAnsiTheme="minorHAnsi" w:cstheme="minorHAnsi"/>
          <w:bCs/>
        </w:rPr>
        <w:t xml:space="preserve"> </w:t>
      </w:r>
      <w:r w:rsidR="005C7561">
        <w:rPr>
          <w:rFonts w:asciiTheme="minorHAnsi" w:hAnsiTheme="minorHAnsi" w:cstheme="minorHAnsi"/>
          <w:bCs/>
        </w:rPr>
        <w:t>on US industry herding</w:t>
      </w:r>
      <w:r w:rsidR="00D9413B">
        <w:rPr>
          <w:rFonts w:asciiTheme="minorHAnsi" w:hAnsiTheme="minorHAnsi" w:cstheme="minorHAnsi"/>
          <w:bCs/>
        </w:rPr>
        <w:t>, we utilise an extensive</w:t>
      </w:r>
      <w:r w:rsidR="0021233C">
        <w:rPr>
          <w:rFonts w:asciiTheme="minorHAnsi" w:hAnsiTheme="minorHAnsi" w:cstheme="minorHAnsi"/>
          <w:bCs/>
        </w:rPr>
        <w:t xml:space="preserve"> updated</w:t>
      </w:r>
      <w:r w:rsidR="00D9413B">
        <w:rPr>
          <w:rFonts w:asciiTheme="minorHAnsi" w:hAnsiTheme="minorHAnsi" w:cstheme="minorHAnsi"/>
          <w:bCs/>
        </w:rPr>
        <w:t xml:space="preserve"> dataset which spans the period from 1990 until August 2020 </w:t>
      </w:r>
      <w:r w:rsidR="003C0B4C">
        <w:rPr>
          <w:rFonts w:asciiTheme="minorHAnsi" w:hAnsiTheme="minorHAnsi" w:cstheme="minorHAnsi"/>
          <w:bCs/>
        </w:rPr>
        <w:t>to incorporate periods of</w:t>
      </w:r>
      <w:r w:rsidR="00D9413B">
        <w:rPr>
          <w:rFonts w:asciiTheme="minorHAnsi" w:hAnsiTheme="minorHAnsi" w:cstheme="minorHAnsi"/>
          <w:bCs/>
        </w:rPr>
        <w:t xml:space="preserve"> </w:t>
      </w:r>
      <w:r w:rsidR="003C0B4C" w:rsidRPr="004556EC">
        <w:rPr>
          <w:rFonts w:asciiTheme="minorHAnsi" w:eastAsia="Calibri" w:hAnsiTheme="minorHAnsi" w:cstheme="minorHAnsi"/>
          <w:lang w:val="en-US"/>
        </w:rPr>
        <w:t xml:space="preserve">significant volatility in the US market: </w:t>
      </w:r>
      <w:r w:rsidR="003C0B4C" w:rsidRPr="004556EC">
        <w:rPr>
          <w:rFonts w:asciiTheme="minorHAnsi" w:eastAsia="Calibri" w:hAnsiTheme="minorHAnsi" w:cstheme="minorHAnsi"/>
          <w:bCs/>
          <w:lang w:val="en-US"/>
        </w:rPr>
        <w:t xml:space="preserve">the 1997 Dot Com </w:t>
      </w:r>
      <w:r w:rsidR="003C0B4C">
        <w:rPr>
          <w:rFonts w:asciiTheme="minorHAnsi" w:eastAsia="Calibri" w:hAnsiTheme="minorHAnsi" w:cstheme="minorHAnsi"/>
          <w:bCs/>
          <w:lang w:val="en-US"/>
        </w:rPr>
        <w:t xml:space="preserve">bubble, </w:t>
      </w:r>
      <w:r w:rsidR="003C0B4C" w:rsidRPr="004556EC">
        <w:rPr>
          <w:rFonts w:asciiTheme="minorHAnsi" w:eastAsia="Calibri" w:hAnsiTheme="minorHAnsi" w:cstheme="minorHAnsi"/>
          <w:bCs/>
          <w:lang w:val="en-US"/>
        </w:rPr>
        <w:t>2008 credit market crisis</w:t>
      </w:r>
      <w:r w:rsidR="003C0B4C">
        <w:rPr>
          <w:rFonts w:asciiTheme="minorHAnsi" w:eastAsia="Calibri" w:hAnsiTheme="minorHAnsi" w:cstheme="minorHAnsi"/>
          <w:bCs/>
          <w:lang w:val="en-US"/>
        </w:rPr>
        <w:t xml:space="preserve"> and the ongoing COVID-19</w:t>
      </w:r>
      <w:r w:rsidR="003C0B4C">
        <w:rPr>
          <w:rFonts w:asciiTheme="minorHAnsi" w:eastAsia="Calibri" w:hAnsiTheme="minorHAnsi" w:cstheme="minorHAnsi"/>
          <w:bCs/>
          <w:lang w:val="en-US"/>
        </w:rPr>
        <w:t>.</w:t>
      </w:r>
    </w:p>
    <w:p w14:paraId="4B38CF86" w14:textId="7A3B8D96" w:rsidR="003C0B4C" w:rsidRPr="004556EC" w:rsidRDefault="003C0B4C" w:rsidP="004558C6">
      <w:pPr>
        <w:pStyle w:val="Newparagraph"/>
        <w:spacing w:line="360" w:lineRule="auto"/>
        <w:ind w:firstLine="0"/>
        <w:jc w:val="both"/>
        <w:rPr>
          <w:rFonts w:asciiTheme="minorHAnsi" w:hAnsiTheme="minorHAnsi" w:cstheme="minorHAnsi"/>
          <w:bCs/>
        </w:rPr>
      </w:pPr>
      <w:r>
        <w:rPr>
          <w:rFonts w:asciiTheme="minorHAnsi" w:eastAsia="Calibri" w:hAnsiTheme="minorHAnsi" w:cstheme="minorHAnsi"/>
          <w:bCs/>
          <w:lang w:val="en-US"/>
        </w:rPr>
        <w:t xml:space="preserve">The </w:t>
      </w:r>
      <w:r w:rsidR="008F0CD6">
        <w:rPr>
          <w:rFonts w:asciiTheme="minorHAnsi" w:eastAsia="Calibri" w:hAnsiTheme="minorHAnsi" w:cstheme="minorHAnsi"/>
          <w:bCs/>
          <w:lang w:val="en-US"/>
        </w:rPr>
        <w:t xml:space="preserve">remainder of </w:t>
      </w:r>
      <w:r>
        <w:rPr>
          <w:rFonts w:asciiTheme="minorHAnsi" w:eastAsia="Calibri" w:hAnsiTheme="minorHAnsi" w:cstheme="minorHAnsi"/>
          <w:bCs/>
          <w:lang w:val="en-US"/>
        </w:rPr>
        <w:t xml:space="preserve">paper is set out as follows. Section 2 </w:t>
      </w:r>
      <w:r w:rsidR="008F0CD6">
        <w:rPr>
          <w:rFonts w:asciiTheme="minorHAnsi" w:eastAsia="Calibri" w:hAnsiTheme="minorHAnsi" w:cstheme="minorHAnsi"/>
          <w:bCs/>
          <w:lang w:val="en-US"/>
        </w:rPr>
        <w:t>describes</w:t>
      </w:r>
      <w:r>
        <w:rPr>
          <w:rFonts w:asciiTheme="minorHAnsi" w:eastAsia="Calibri" w:hAnsiTheme="minorHAnsi" w:cstheme="minorHAnsi"/>
          <w:bCs/>
          <w:lang w:val="en-US"/>
        </w:rPr>
        <w:t xml:space="preserve"> the data and methodology utilized. Section 3</w:t>
      </w:r>
      <w:r w:rsidR="008F0CD6">
        <w:rPr>
          <w:rFonts w:asciiTheme="minorHAnsi" w:eastAsia="Calibri" w:hAnsiTheme="minorHAnsi" w:cstheme="minorHAnsi"/>
          <w:bCs/>
          <w:lang w:val="en-US"/>
        </w:rPr>
        <w:t xml:space="preserve"> discusses the results</w:t>
      </w:r>
      <w:r>
        <w:rPr>
          <w:rFonts w:asciiTheme="minorHAnsi" w:eastAsia="Calibri" w:hAnsiTheme="minorHAnsi" w:cstheme="minorHAnsi"/>
          <w:bCs/>
          <w:lang w:val="en-US"/>
        </w:rPr>
        <w:t>, and Section 4 concludes</w:t>
      </w:r>
      <w:r w:rsidR="008F0CD6">
        <w:rPr>
          <w:rFonts w:asciiTheme="minorHAnsi" w:eastAsia="Calibri" w:hAnsiTheme="minorHAnsi" w:cstheme="minorHAnsi"/>
          <w:bCs/>
          <w:lang w:val="en-US"/>
        </w:rPr>
        <w:t xml:space="preserve"> the paper</w:t>
      </w:r>
      <w:r>
        <w:rPr>
          <w:rFonts w:asciiTheme="minorHAnsi" w:eastAsia="Calibri" w:hAnsiTheme="minorHAnsi" w:cstheme="minorHAnsi"/>
          <w:bCs/>
          <w:lang w:val="en-US"/>
        </w:rPr>
        <w:t xml:space="preserve">. </w:t>
      </w:r>
    </w:p>
    <w:p w14:paraId="29525F60" w14:textId="213FE1C7" w:rsidR="004558C6" w:rsidRPr="004558C6" w:rsidRDefault="009B6E9C" w:rsidP="004558C6">
      <w:pPr>
        <w:pStyle w:val="Heading1"/>
        <w:rPr>
          <w:rFonts w:asciiTheme="minorHAnsi" w:hAnsiTheme="minorHAnsi" w:cstheme="minorHAnsi"/>
        </w:rPr>
      </w:pPr>
      <w:r w:rsidRPr="004556EC">
        <w:rPr>
          <w:rFonts w:asciiTheme="minorHAnsi" w:hAnsiTheme="minorHAnsi" w:cstheme="minorHAnsi"/>
        </w:rPr>
        <w:t>2.</w:t>
      </w:r>
      <w:r w:rsidR="00F87CAD" w:rsidRPr="004556EC">
        <w:rPr>
          <w:rFonts w:asciiTheme="minorHAnsi" w:hAnsiTheme="minorHAnsi" w:cstheme="minorHAnsi"/>
        </w:rPr>
        <w:t>Data and methodology</w:t>
      </w:r>
    </w:p>
    <w:p w14:paraId="1C3E4479" w14:textId="1051D6A7" w:rsidR="004558C6" w:rsidRDefault="00F26151" w:rsidP="00D84500">
      <w:pPr>
        <w:pStyle w:val="Newparagraph"/>
        <w:spacing w:line="360" w:lineRule="auto"/>
        <w:ind w:firstLine="0"/>
        <w:jc w:val="both"/>
        <w:rPr>
          <w:rFonts w:asciiTheme="minorHAnsi" w:eastAsia="Calibri" w:hAnsiTheme="minorHAnsi" w:cstheme="minorHAnsi"/>
          <w:lang w:val="en-US"/>
        </w:rPr>
      </w:pPr>
      <w:r>
        <w:rPr>
          <w:rFonts w:asciiTheme="minorHAnsi" w:eastAsia="Calibri" w:hAnsiTheme="minorHAnsi" w:cstheme="minorHAnsi"/>
          <w:lang w:val="en-US"/>
        </w:rPr>
        <w:t>We</w:t>
      </w:r>
      <w:r w:rsidR="00F87CAD" w:rsidRPr="004556EC">
        <w:rPr>
          <w:rFonts w:asciiTheme="minorHAnsi" w:eastAsia="Calibri" w:hAnsiTheme="minorHAnsi" w:cstheme="minorHAnsi"/>
          <w:lang w:val="en-US"/>
        </w:rPr>
        <w:t xml:space="preserve"> </w:t>
      </w:r>
      <w:proofErr w:type="spellStart"/>
      <w:r w:rsidR="00F87CAD" w:rsidRPr="004556EC">
        <w:rPr>
          <w:rFonts w:asciiTheme="minorHAnsi" w:eastAsia="Calibri" w:hAnsiTheme="minorHAnsi" w:cstheme="minorHAnsi"/>
          <w:lang w:val="en-US"/>
        </w:rPr>
        <w:t>u</w:t>
      </w:r>
      <w:r>
        <w:rPr>
          <w:rFonts w:asciiTheme="minorHAnsi" w:eastAsia="Calibri" w:hAnsiTheme="minorHAnsi" w:cstheme="minorHAnsi"/>
          <w:lang w:val="en-US"/>
        </w:rPr>
        <w:t>tili</w:t>
      </w:r>
      <w:r w:rsidR="005D37EF">
        <w:rPr>
          <w:rFonts w:asciiTheme="minorHAnsi" w:eastAsia="Calibri" w:hAnsiTheme="minorHAnsi" w:cstheme="minorHAnsi"/>
          <w:lang w:val="en-US"/>
        </w:rPr>
        <w:t>s</w:t>
      </w:r>
      <w:r>
        <w:rPr>
          <w:rFonts w:asciiTheme="minorHAnsi" w:eastAsia="Calibri" w:hAnsiTheme="minorHAnsi" w:cstheme="minorHAnsi"/>
          <w:lang w:val="en-US"/>
        </w:rPr>
        <w:t>e</w:t>
      </w:r>
      <w:proofErr w:type="spellEnd"/>
      <w:r w:rsidR="00F87CAD" w:rsidRPr="004556EC">
        <w:rPr>
          <w:rFonts w:asciiTheme="minorHAnsi" w:eastAsia="Calibri" w:hAnsiTheme="minorHAnsi" w:cstheme="minorHAnsi"/>
          <w:lang w:val="en-US"/>
        </w:rPr>
        <w:t xml:space="preserve"> daily prices for S&amp;P500</w:t>
      </w:r>
      <w:r w:rsidR="00F87CAD" w:rsidRPr="004556EC">
        <w:rPr>
          <w:rFonts w:asciiTheme="minorHAnsi" w:eastAsia="Calibri" w:hAnsiTheme="minorHAnsi" w:cstheme="minorHAnsi"/>
          <w:vertAlign w:val="superscript"/>
          <w:lang w:val="en-US"/>
        </w:rPr>
        <w:footnoteReference w:id="3"/>
      </w:r>
      <w:r w:rsidR="00F87CAD" w:rsidRPr="004556EC">
        <w:rPr>
          <w:rFonts w:asciiTheme="minorHAnsi" w:eastAsia="Calibri" w:hAnsiTheme="minorHAnsi" w:cstheme="minorHAnsi"/>
          <w:lang w:val="en-US"/>
        </w:rPr>
        <w:t xml:space="preserve"> </w:t>
      </w:r>
      <w:r w:rsidR="00B83E18" w:rsidRPr="004556EC">
        <w:rPr>
          <w:rFonts w:asciiTheme="minorHAnsi" w:eastAsia="Calibri" w:hAnsiTheme="minorHAnsi" w:cstheme="minorHAnsi"/>
          <w:lang w:val="en-US"/>
        </w:rPr>
        <w:t>constituents’</w:t>
      </w:r>
      <w:r w:rsidR="00F87CAD" w:rsidRPr="004556EC">
        <w:rPr>
          <w:rFonts w:asciiTheme="minorHAnsi" w:eastAsia="Calibri" w:hAnsiTheme="minorHAnsi" w:cstheme="minorHAnsi"/>
          <w:lang w:val="en-US"/>
        </w:rPr>
        <w:t xml:space="preserve"> stock</w:t>
      </w:r>
      <w:r>
        <w:rPr>
          <w:rFonts w:asciiTheme="minorHAnsi" w:eastAsia="Calibri" w:hAnsiTheme="minorHAnsi" w:cstheme="minorHAnsi"/>
          <w:lang w:val="en-US"/>
        </w:rPr>
        <w:t>s</w:t>
      </w:r>
      <w:r w:rsidR="00024573">
        <w:rPr>
          <w:rStyle w:val="FootnoteReference"/>
          <w:rFonts w:asciiTheme="minorHAnsi" w:eastAsia="Calibri" w:hAnsiTheme="minorHAnsi" w:cstheme="minorHAnsi"/>
          <w:lang w:val="en-US"/>
        </w:rPr>
        <w:footnoteReference w:id="4"/>
      </w:r>
      <w:r w:rsidR="00F87CAD" w:rsidRPr="004556EC">
        <w:rPr>
          <w:rFonts w:asciiTheme="minorHAnsi" w:eastAsia="Calibri" w:hAnsiTheme="minorHAnsi" w:cstheme="minorHAnsi"/>
          <w:lang w:val="en-US"/>
        </w:rPr>
        <w:t xml:space="preserve"> between January </w:t>
      </w:r>
      <w:r w:rsidR="00F87CAD" w:rsidRPr="004556EC">
        <w:rPr>
          <w:rFonts w:asciiTheme="minorHAnsi" w:eastAsia="Calibri" w:hAnsiTheme="minorHAnsi" w:cstheme="minorHAnsi"/>
          <w:bCs/>
          <w:lang w:val="en-US"/>
        </w:rPr>
        <w:t xml:space="preserve">1990 and </w:t>
      </w:r>
      <w:r w:rsidR="00F11FBB">
        <w:rPr>
          <w:rFonts w:asciiTheme="minorHAnsi" w:eastAsia="Calibri" w:hAnsiTheme="minorHAnsi" w:cstheme="minorHAnsi"/>
          <w:bCs/>
          <w:lang w:val="en-US"/>
        </w:rPr>
        <w:t>August</w:t>
      </w:r>
      <w:r w:rsidR="00F87CAD" w:rsidRPr="004556EC">
        <w:rPr>
          <w:rFonts w:asciiTheme="minorHAnsi" w:eastAsia="Calibri" w:hAnsiTheme="minorHAnsi" w:cstheme="minorHAnsi"/>
          <w:bCs/>
          <w:lang w:val="en-US"/>
        </w:rPr>
        <w:t xml:space="preserve"> 20</w:t>
      </w:r>
      <w:r w:rsidR="00F11FBB">
        <w:rPr>
          <w:rFonts w:asciiTheme="minorHAnsi" w:eastAsia="Calibri" w:hAnsiTheme="minorHAnsi" w:cstheme="minorHAnsi"/>
          <w:bCs/>
          <w:lang w:val="en-US"/>
        </w:rPr>
        <w:t>20</w:t>
      </w:r>
      <w:r w:rsidR="00113917" w:rsidRPr="004556EC">
        <w:rPr>
          <w:rStyle w:val="FootnoteReference"/>
          <w:rFonts w:asciiTheme="minorHAnsi" w:eastAsia="Calibri" w:hAnsiTheme="minorHAnsi" w:cstheme="minorHAnsi"/>
          <w:bCs/>
          <w:lang w:val="en-US"/>
        </w:rPr>
        <w:footnoteReference w:id="5"/>
      </w:r>
      <w:r w:rsidR="003C0B4C">
        <w:rPr>
          <w:rFonts w:asciiTheme="minorHAnsi" w:eastAsia="Calibri" w:hAnsiTheme="minorHAnsi" w:cstheme="minorHAnsi"/>
          <w:lang w:val="en-US"/>
        </w:rPr>
        <w:t xml:space="preserve">. </w:t>
      </w:r>
      <w:r w:rsidR="00F87CAD" w:rsidRPr="004556EC">
        <w:rPr>
          <w:rFonts w:asciiTheme="minorHAnsi" w:eastAsia="Calibri" w:hAnsiTheme="minorHAnsi" w:cstheme="minorHAnsi"/>
          <w:lang w:val="en-US"/>
        </w:rPr>
        <w:t xml:space="preserve">The </w:t>
      </w:r>
      <w:r w:rsidR="00CC2D4A">
        <w:rPr>
          <w:rFonts w:asciiTheme="minorHAnsi" w:eastAsia="Calibri" w:hAnsiTheme="minorHAnsi" w:cstheme="minorHAnsi"/>
          <w:lang w:val="en-US"/>
        </w:rPr>
        <w:t xml:space="preserve">stock market data </w:t>
      </w:r>
      <w:r w:rsidR="00F11FBB">
        <w:rPr>
          <w:rFonts w:asciiTheme="minorHAnsi" w:eastAsia="Calibri" w:hAnsiTheme="minorHAnsi" w:cstheme="minorHAnsi"/>
          <w:lang w:val="en-US"/>
        </w:rPr>
        <w:t xml:space="preserve">was </w:t>
      </w:r>
      <w:r w:rsidR="00F11FBB" w:rsidRPr="004556EC">
        <w:rPr>
          <w:rFonts w:asciiTheme="minorHAnsi" w:eastAsia="Calibri" w:hAnsiTheme="minorHAnsi" w:cstheme="minorHAnsi"/>
          <w:lang w:val="en-US"/>
        </w:rPr>
        <w:t xml:space="preserve">obtained from </w:t>
      </w:r>
      <w:r w:rsidR="004F3F2B">
        <w:rPr>
          <w:rFonts w:asciiTheme="minorHAnsi" w:eastAsia="Calibri" w:hAnsiTheme="minorHAnsi" w:cstheme="minorHAnsi"/>
          <w:lang w:val="en-US"/>
        </w:rPr>
        <w:t xml:space="preserve">the </w:t>
      </w:r>
      <w:r w:rsidR="00F11FBB">
        <w:rPr>
          <w:rFonts w:asciiTheme="minorHAnsi" w:eastAsia="Calibri" w:hAnsiTheme="minorHAnsi" w:cstheme="minorHAnsi"/>
          <w:lang w:val="en-US"/>
        </w:rPr>
        <w:t>Bloomberg Financial</w:t>
      </w:r>
      <w:r w:rsidR="00F11FBB" w:rsidRPr="004556EC">
        <w:rPr>
          <w:rFonts w:asciiTheme="minorHAnsi" w:eastAsia="Calibri" w:hAnsiTheme="minorHAnsi" w:cstheme="minorHAnsi"/>
          <w:lang w:val="en-US"/>
        </w:rPr>
        <w:t xml:space="preserve"> databas</w:t>
      </w:r>
      <w:r w:rsidR="00482B80">
        <w:rPr>
          <w:rFonts w:asciiTheme="minorHAnsi" w:eastAsia="Calibri" w:hAnsiTheme="minorHAnsi" w:cstheme="minorHAnsi"/>
          <w:lang w:val="en-US"/>
        </w:rPr>
        <w:t xml:space="preserve">e. We assign of the firms to one of </w:t>
      </w:r>
      <w:r w:rsidR="00F11FBB">
        <w:rPr>
          <w:rFonts w:asciiTheme="minorHAnsi" w:eastAsia="Calibri" w:hAnsiTheme="minorHAnsi" w:cstheme="minorHAnsi"/>
          <w:lang w:val="en-US"/>
        </w:rPr>
        <w:t>the</w:t>
      </w:r>
      <w:r w:rsidR="00F87CAD" w:rsidRPr="004556EC">
        <w:rPr>
          <w:rFonts w:asciiTheme="minorHAnsi" w:eastAsia="Calibri" w:hAnsiTheme="minorHAnsi" w:cstheme="minorHAnsi"/>
          <w:lang w:val="en-US"/>
        </w:rPr>
        <w:t xml:space="preserve"> </w:t>
      </w:r>
      <w:r w:rsidR="00482B80">
        <w:rPr>
          <w:rFonts w:asciiTheme="minorHAnsi" w:eastAsia="Calibri" w:hAnsiTheme="minorHAnsi" w:cstheme="minorHAnsi"/>
          <w:lang w:val="en-US"/>
        </w:rPr>
        <w:t xml:space="preserve">10 </w:t>
      </w:r>
      <w:r w:rsidR="00F87CAD" w:rsidRPr="004556EC">
        <w:rPr>
          <w:rFonts w:asciiTheme="minorHAnsi" w:eastAsia="Calibri" w:hAnsiTheme="minorHAnsi" w:cstheme="minorHAnsi"/>
          <w:lang w:val="en-US"/>
        </w:rPr>
        <w:t>sector</w:t>
      </w:r>
      <w:r w:rsidR="00482B80">
        <w:rPr>
          <w:rFonts w:asciiTheme="minorHAnsi" w:eastAsia="Calibri" w:hAnsiTheme="minorHAnsi" w:cstheme="minorHAnsi"/>
          <w:lang w:val="en-US"/>
        </w:rPr>
        <w:t>s</w:t>
      </w:r>
      <w:r w:rsidR="00223762" w:rsidRPr="004556EC">
        <w:rPr>
          <w:rStyle w:val="FootnoteReference"/>
          <w:rFonts w:asciiTheme="minorHAnsi" w:eastAsia="Calibri" w:hAnsiTheme="minorHAnsi" w:cstheme="minorHAnsi"/>
          <w:lang w:val="en-US"/>
        </w:rPr>
        <w:footnoteReference w:id="6"/>
      </w:r>
      <w:r w:rsidR="00F87CAD" w:rsidRPr="004556EC">
        <w:rPr>
          <w:rFonts w:asciiTheme="minorHAnsi" w:eastAsia="Calibri" w:hAnsiTheme="minorHAnsi" w:cstheme="minorHAnsi"/>
          <w:lang w:val="en-US"/>
        </w:rPr>
        <w:t xml:space="preserve"> </w:t>
      </w:r>
      <w:r w:rsidR="00482B80">
        <w:rPr>
          <w:rFonts w:asciiTheme="minorHAnsi" w:eastAsia="Calibri" w:hAnsiTheme="minorHAnsi" w:cstheme="minorHAnsi"/>
          <w:lang w:val="en-US"/>
        </w:rPr>
        <w:t>listed by</w:t>
      </w:r>
      <w:r w:rsidR="004F3F2B">
        <w:rPr>
          <w:rFonts w:asciiTheme="minorHAnsi" w:eastAsia="Calibri" w:hAnsiTheme="minorHAnsi" w:cstheme="minorHAnsi"/>
          <w:lang w:val="en-US"/>
        </w:rPr>
        <w:t xml:space="preserve"> Thompson Reuters </w:t>
      </w:r>
      <w:proofErr w:type="spellStart"/>
      <w:r w:rsidR="004F3F2B">
        <w:rPr>
          <w:rFonts w:asciiTheme="minorHAnsi" w:eastAsia="Calibri" w:hAnsiTheme="minorHAnsi" w:cstheme="minorHAnsi"/>
          <w:lang w:val="en-US"/>
        </w:rPr>
        <w:t>Datastream</w:t>
      </w:r>
      <w:proofErr w:type="spellEnd"/>
      <w:r w:rsidR="00CC2D4A">
        <w:rPr>
          <w:rFonts w:asciiTheme="minorHAnsi" w:eastAsia="Calibri" w:hAnsiTheme="minorHAnsi" w:cstheme="minorHAnsi"/>
          <w:lang w:val="en-US"/>
        </w:rPr>
        <w:t>.</w:t>
      </w:r>
    </w:p>
    <w:p w14:paraId="454586DF" w14:textId="62F74D6E" w:rsidR="00550478" w:rsidRPr="00DE36C4" w:rsidRDefault="00F26151" w:rsidP="00D84500">
      <w:pPr>
        <w:pStyle w:val="Newparagraph"/>
        <w:spacing w:line="360" w:lineRule="auto"/>
        <w:ind w:firstLine="0"/>
        <w:jc w:val="both"/>
        <w:rPr>
          <w:rFonts w:asciiTheme="minorHAnsi" w:eastAsia="Calibri" w:hAnsiTheme="minorHAnsi" w:cstheme="minorHAnsi"/>
        </w:rPr>
      </w:pPr>
      <w:r w:rsidRPr="00DE36C4">
        <w:rPr>
          <w:rFonts w:asciiTheme="minorHAnsi" w:hAnsiTheme="minorHAnsi" w:cstheme="minorHAnsi"/>
        </w:rPr>
        <w:t>We use a well-known and robust methodology</w:t>
      </w:r>
      <w:r w:rsidR="00CB70E5">
        <w:rPr>
          <w:rStyle w:val="FootnoteReference"/>
          <w:rFonts w:asciiTheme="minorHAnsi" w:hAnsiTheme="minorHAnsi" w:cstheme="minorHAnsi"/>
        </w:rPr>
        <w:footnoteReference w:id="7"/>
      </w:r>
      <w:r w:rsidRPr="00DE36C4">
        <w:rPr>
          <w:rFonts w:asciiTheme="minorHAnsi" w:hAnsiTheme="minorHAnsi" w:cstheme="minorHAnsi"/>
        </w:rPr>
        <w:t xml:space="preserve"> </w:t>
      </w:r>
      <w:r w:rsidRPr="00DE36C4">
        <w:rPr>
          <w:rFonts w:asciiTheme="minorHAnsi" w:hAnsiTheme="minorHAnsi" w:cstheme="minorHAnsi"/>
          <w:lang w:val="en-US"/>
        </w:rPr>
        <w:t xml:space="preserve">developed by </w:t>
      </w:r>
      <w:r w:rsidR="00913E44" w:rsidRPr="00DE36C4">
        <w:rPr>
          <w:rFonts w:asciiTheme="minorHAnsi" w:hAnsiTheme="minorHAnsi" w:cstheme="minorHAnsi"/>
          <w:lang w:val="en-US"/>
        </w:rPr>
        <w:t>Chang</w:t>
      </w:r>
      <w:r w:rsidR="004558C6" w:rsidRPr="00DE36C4">
        <w:rPr>
          <w:rFonts w:asciiTheme="minorHAnsi" w:hAnsiTheme="minorHAnsi" w:cstheme="minorHAnsi"/>
          <w:lang w:val="en-US"/>
        </w:rPr>
        <w:t xml:space="preserve"> </w:t>
      </w:r>
      <w:r w:rsidR="00913E44" w:rsidRPr="00DE36C4">
        <w:rPr>
          <w:rFonts w:asciiTheme="minorHAnsi" w:hAnsiTheme="minorHAnsi" w:cstheme="minorHAnsi"/>
          <w:lang w:val="en-US"/>
        </w:rPr>
        <w:t>et al.</w:t>
      </w:r>
      <w:r w:rsidR="004558C6" w:rsidRPr="00DE36C4">
        <w:rPr>
          <w:rFonts w:asciiTheme="minorHAnsi" w:hAnsiTheme="minorHAnsi" w:cstheme="minorHAnsi"/>
          <w:lang w:val="en-US"/>
        </w:rPr>
        <w:t xml:space="preserve"> </w:t>
      </w:r>
      <w:r w:rsidR="00913E44" w:rsidRPr="00DE36C4">
        <w:rPr>
          <w:rFonts w:asciiTheme="minorHAnsi" w:hAnsiTheme="minorHAnsi" w:cstheme="minorHAnsi"/>
          <w:lang w:val="en-US"/>
        </w:rPr>
        <w:t>(2000)</w:t>
      </w:r>
      <w:r w:rsidRPr="00DE36C4">
        <w:rPr>
          <w:rFonts w:asciiTheme="minorHAnsi" w:eastAsia="Calibri" w:hAnsiTheme="minorHAnsi" w:cstheme="minorHAnsi"/>
          <w:lang w:val="en-US"/>
        </w:rPr>
        <w:t xml:space="preserve"> to capture nonlinear relationships between</w:t>
      </w:r>
      <w:r w:rsidRPr="00DE36C4">
        <w:rPr>
          <w:rFonts w:asciiTheme="minorHAnsi" w:hAnsiTheme="minorHAnsi" w:cstheme="minorHAnsi"/>
        </w:rPr>
        <w:t xml:space="preserve"> </w:t>
      </w:r>
      <w:r w:rsidRPr="00DE36C4">
        <w:rPr>
          <w:rFonts w:asciiTheme="minorHAnsi" w:eastAsia="Calibri" w:hAnsiTheme="minorHAnsi" w:cstheme="minorHAnsi"/>
          <w:lang w:val="en-US"/>
        </w:rPr>
        <w:t xml:space="preserve">the cross-sectional absolute deviation (CSAD) and market returns providing several advantages over original Christie and Huang (1995) model. </w:t>
      </w:r>
    </w:p>
    <w:p w14:paraId="1753E96A" w14:textId="367D91A0" w:rsidR="00913E44" w:rsidRDefault="00913E44" w:rsidP="004558C6">
      <w:pPr>
        <w:spacing w:line="360" w:lineRule="auto"/>
        <w:jc w:val="both"/>
        <w:rPr>
          <w:rFonts w:asciiTheme="minorHAnsi" w:eastAsia="Calibri" w:hAnsiTheme="minorHAnsi" w:cstheme="minorHAnsi"/>
          <w:lang w:val="en-US"/>
        </w:rPr>
      </w:pPr>
      <w:r w:rsidRPr="004556EC">
        <w:rPr>
          <w:rFonts w:asciiTheme="minorHAnsi" w:eastAsia="Calibri" w:hAnsiTheme="minorHAnsi" w:cstheme="minorHAnsi"/>
          <w:lang w:val="en-US"/>
        </w:rPr>
        <w:t>It is specified as follows:</w:t>
      </w:r>
    </w:p>
    <w:p w14:paraId="0A4883F7" w14:textId="77777777" w:rsidR="004558C6" w:rsidRPr="004556EC" w:rsidRDefault="004558C6" w:rsidP="004558C6">
      <w:pPr>
        <w:spacing w:line="360" w:lineRule="auto"/>
        <w:jc w:val="both"/>
        <w:rPr>
          <w:rFonts w:asciiTheme="minorHAnsi" w:eastAsia="Calibri" w:hAnsiTheme="minorHAnsi" w:cstheme="minorHAnsi"/>
          <w:lang w:val="en-US"/>
        </w:rPr>
      </w:pPr>
    </w:p>
    <w:p w14:paraId="092E372A" w14:textId="1AFB503B" w:rsidR="00913E44" w:rsidRDefault="00913E44" w:rsidP="004558C6">
      <w:pPr>
        <w:spacing w:line="360" w:lineRule="auto"/>
        <w:jc w:val="both"/>
        <w:rPr>
          <w:rFonts w:asciiTheme="minorHAnsi" w:eastAsia="Calibri" w:hAnsiTheme="minorHAnsi" w:cstheme="minorHAnsi"/>
          <w:lang w:val="en-US"/>
        </w:rPr>
      </w:pPr>
      <w:r w:rsidRPr="004556EC">
        <w:rPr>
          <w:rFonts w:asciiTheme="minorHAnsi" w:eastAsia="Calibri" w:hAnsiTheme="minorHAnsi" w:cstheme="minorHAnsi"/>
          <w:lang w:val="en-US"/>
        </w:rPr>
        <w:t xml:space="preserve">       </w:t>
      </w:r>
      <m:oMath>
        <m:sSub>
          <m:sSubPr>
            <m:ctrlPr>
              <w:rPr>
                <w:rFonts w:ascii="Cambria Math" w:eastAsia="Calibri" w:hAnsi="Cambria Math" w:cstheme="minorHAnsi"/>
                <w:i/>
                <w:lang w:val="en-US"/>
              </w:rPr>
            </m:ctrlPr>
          </m:sSubPr>
          <m:e>
            <m:r>
              <w:rPr>
                <w:rFonts w:ascii="Cambria Math" w:eastAsia="Calibri" w:hAnsi="Cambria Math" w:cstheme="minorHAnsi"/>
                <w:lang w:val="en-US"/>
              </w:rPr>
              <m:t>CSAD</m:t>
            </m:r>
          </m:e>
          <m:sub>
            <m:r>
              <w:rPr>
                <w:rFonts w:ascii="Cambria Math" w:eastAsia="Calibri" w:hAnsi="Cambria Math" w:cstheme="minorHAnsi"/>
                <w:lang w:val="en-US"/>
              </w:rPr>
              <m:t>t</m:t>
            </m:r>
          </m:sub>
        </m:sSub>
        <m:r>
          <w:rPr>
            <w:rFonts w:ascii="Cambria Math" w:eastAsia="Calibri" w:hAnsi="Cambria Math" w:cstheme="minorHAnsi"/>
            <w:lang w:val="en-US"/>
          </w:rPr>
          <m:t>=</m:t>
        </m:r>
        <m:f>
          <m:fPr>
            <m:ctrlPr>
              <w:rPr>
                <w:rFonts w:ascii="Cambria Math" w:eastAsia="Calibri" w:hAnsi="Cambria Math" w:cstheme="minorHAnsi"/>
                <w:i/>
                <w:lang w:val="en-US"/>
              </w:rPr>
            </m:ctrlPr>
          </m:fPr>
          <m:num>
            <m:r>
              <w:rPr>
                <w:rFonts w:ascii="Cambria Math" w:eastAsia="Calibri" w:hAnsi="Cambria Math" w:cstheme="minorHAnsi"/>
                <w:lang w:val="en-US"/>
              </w:rPr>
              <m:t>1</m:t>
            </m:r>
          </m:num>
          <m:den>
            <m:r>
              <w:rPr>
                <w:rFonts w:ascii="Cambria Math" w:eastAsia="Calibri" w:hAnsi="Cambria Math" w:cstheme="minorHAnsi"/>
                <w:lang w:val="en-US"/>
              </w:rPr>
              <m:t>N</m:t>
            </m:r>
          </m:den>
        </m:f>
        <m:r>
          <w:rPr>
            <w:rFonts w:ascii="Cambria Math" w:eastAsia="Calibri" w:hAnsi="Cambria Math" w:cstheme="minorHAnsi"/>
            <w:lang w:val="en-US"/>
          </w:rPr>
          <m:t xml:space="preserve"> </m:t>
        </m:r>
        <m:nary>
          <m:naryPr>
            <m:chr m:val="∑"/>
            <m:limLoc m:val="undOvr"/>
            <m:ctrlPr>
              <w:rPr>
                <w:rFonts w:ascii="Cambria Math" w:eastAsia="Calibri" w:hAnsi="Cambria Math" w:cstheme="minorHAnsi"/>
                <w:i/>
                <w:lang w:val="en-US"/>
              </w:rPr>
            </m:ctrlPr>
          </m:naryPr>
          <m:sub>
            <m:r>
              <w:rPr>
                <w:rFonts w:ascii="Cambria Math" w:eastAsia="Calibri" w:hAnsi="Cambria Math" w:cstheme="minorHAnsi"/>
                <w:lang w:val="en-US"/>
              </w:rPr>
              <m:t>i=1</m:t>
            </m:r>
          </m:sub>
          <m:sup>
            <m:r>
              <w:rPr>
                <w:rFonts w:ascii="Cambria Math" w:eastAsia="Calibri" w:hAnsi="Cambria Math" w:cstheme="minorHAnsi"/>
                <w:lang w:val="en-US"/>
              </w:rPr>
              <m:t>N</m:t>
            </m:r>
          </m:sup>
          <m:e>
            <m:d>
              <m:dPr>
                <m:begChr m:val="|"/>
                <m:endChr m:val="|"/>
                <m:ctrlPr>
                  <w:rPr>
                    <w:rFonts w:ascii="Cambria Math" w:eastAsia="Calibri" w:hAnsi="Cambria Math" w:cstheme="minorHAnsi"/>
                    <w:i/>
                    <w:lang w:val="en-US"/>
                  </w:rPr>
                </m:ctrlPr>
              </m:dPr>
              <m:e>
                <m:sSub>
                  <m:sSubPr>
                    <m:ctrlPr>
                      <w:rPr>
                        <w:rFonts w:ascii="Cambria Math" w:eastAsia="Calibri" w:hAnsi="Cambria Math" w:cstheme="minorHAnsi"/>
                        <w:i/>
                        <w:lang w:val="en-US"/>
                      </w:rPr>
                    </m:ctrlPr>
                  </m:sSubPr>
                  <m:e>
                    <m:r>
                      <w:rPr>
                        <w:rFonts w:ascii="Cambria Math" w:eastAsia="Calibri" w:hAnsi="Cambria Math" w:cstheme="minorHAnsi"/>
                        <w:lang w:val="en-US"/>
                      </w:rPr>
                      <m:t>R</m:t>
                    </m:r>
                  </m:e>
                  <m:sub>
                    <m:r>
                      <w:rPr>
                        <w:rFonts w:ascii="Cambria Math" w:eastAsia="Calibri" w:hAnsi="Cambria Math" w:cstheme="minorHAnsi"/>
                        <w:lang w:val="en-US"/>
                      </w:rPr>
                      <m:t xml:space="preserve">i,t </m:t>
                    </m:r>
                  </m:sub>
                </m:sSub>
                <m:r>
                  <w:rPr>
                    <w:rFonts w:ascii="Cambria Math" w:eastAsia="Calibri" w:hAnsi="Cambria Math" w:cstheme="minorHAnsi"/>
                    <w:lang w:val="en-US"/>
                  </w:rPr>
                  <m:t>-</m:t>
                </m:r>
                <m:sSub>
                  <m:sSubPr>
                    <m:ctrlPr>
                      <w:rPr>
                        <w:rFonts w:ascii="Cambria Math" w:eastAsia="Calibri" w:hAnsi="Cambria Math" w:cstheme="minorHAnsi"/>
                        <w:i/>
                        <w:lang w:val="en-US"/>
                      </w:rPr>
                    </m:ctrlPr>
                  </m:sSubPr>
                  <m:e>
                    <m:r>
                      <w:rPr>
                        <w:rFonts w:ascii="Cambria Math" w:eastAsia="Calibri" w:hAnsi="Cambria Math" w:cstheme="minorHAnsi"/>
                        <w:lang w:val="en-US"/>
                      </w:rPr>
                      <m:t>R</m:t>
                    </m:r>
                  </m:e>
                  <m:sub>
                    <m:r>
                      <w:rPr>
                        <w:rFonts w:ascii="Cambria Math" w:eastAsia="Calibri" w:hAnsi="Cambria Math" w:cstheme="minorHAnsi"/>
                        <w:lang w:val="en-US"/>
                      </w:rPr>
                      <m:t>m,t</m:t>
                    </m:r>
                  </m:sub>
                </m:sSub>
              </m:e>
            </m:d>
          </m:e>
        </m:nary>
      </m:oMath>
      <w:r w:rsidRPr="004556EC">
        <w:rPr>
          <w:rFonts w:asciiTheme="minorHAnsi" w:eastAsia="Calibri" w:hAnsiTheme="minorHAnsi" w:cstheme="minorHAnsi"/>
          <w:lang w:val="en-US"/>
        </w:rPr>
        <w:t xml:space="preserve">                                                                         </w:t>
      </w:r>
      <w:r w:rsidR="001D540A" w:rsidRPr="004556EC">
        <w:rPr>
          <w:rFonts w:asciiTheme="minorHAnsi" w:eastAsia="Calibri" w:hAnsiTheme="minorHAnsi" w:cstheme="minorHAnsi"/>
          <w:lang w:val="en-US"/>
        </w:rPr>
        <w:t xml:space="preserve">                              (1</w:t>
      </w:r>
      <w:r w:rsidRPr="004556EC">
        <w:rPr>
          <w:rFonts w:asciiTheme="minorHAnsi" w:eastAsia="Calibri" w:hAnsiTheme="minorHAnsi" w:cstheme="minorHAnsi"/>
          <w:lang w:val="en-US"/>
        </w:rPr>
        <w:t xml:space="preserve">)  </w:t>
      </w:r>
    </w:p>
    <w:p w14:paraId="3641B56F" w14:textId="77777777" w:rsidR="004558C6" w:rsidRPr="004556EC" w:rsidRDefault="004558C6" w:rsidP="004558C6">
      <w:pPr>
        <w:spacing w:line="360" w:lineRule="auto"/>
        <w:jc w:val="both"/>
        <w:rPr>
          <w:rFonts w:asciiTheme="minorHAnsi" w:eastAsia="Calibri" w:hAnsiTheme="minorHAnsi" w:cstheme="minorHAnsi"/>
          <w:lang w:val="en-US"/>
        </w:rPr>
      </w:pPr>
    </w:p>
    <w:p w14:paraId="4D070DD0" w14:textId="77777777" w:rsidR="00913E44" w:rsidRPr="004556EC" w:rsidRDefault="00913E44" w:rsidP="004558C6">
      <w:pPr>
        <w:spacing w:line="360" w:lineRule="auto"/>
        <w:jc w:val="both"/>
        <w:rPr>
          <w:rFonts w:asciiTheme="minorHAnsi" w:eastAsia="Calibri" w:hAnsiTheme="minorHAnsi" w:cstheme="minorHAnsi"/>
          <w:lang w:val="en-US"/>
        </w:rPr>
      </w:pPr>
      <w:r w:rsidRPr="004556EC">
        <w:rPr>
          <w:rFonts w:asciiTheme="minorHAnsi" w:eastAsia="Calibri" w:hAnsiTheme="minorHAnsi" w:cstheme="minorHAnsi"/>
          <w:lang w:val="en-US"/>
        </w:rPr>
        <w:lastRenderedPageBreak/>
        <w:t>Where</w:t>
      </w:r>
      <m:oMath>
        <m:r>
          <w:rPr>
            <w:rFonts w:ascii="Cambria Math" w:eastAsia="Calibri" w:hAnsi="Cambria Math" w:cstheme="minorHAnsi"/>
            <w:lang w:val="en-US"/>
          </w:rPr>
          <m:t xml:space="preserve"> </m:t>
        </m:r>
        <m:sSub>
          <m:sSubPr>
            <m:ctrlPr>
              <w:rPr>
                <w:rFonts w:ascii="Cambria Math" w:eastAsia="Calibri" w:hAnsi="Cambria Math" w:cstheme="minorHAnsi"/>
                <w:i/>
                <w:lang w:val="en-US"/>
              </w:rPr>
            </m:ctrlPr>
          </m:sSubPr>
          <m:e>
            <m:r>
              <w:rPr>
                <w:rFonts w:ascii="Cambria Math" w:eastAsia="Calibri" w:hAnsi="Cambria Math" w:cstheme="minorHAnsi"/>
                <w:lang w:val="en-US"/>
              </w:rPr>
              <m:t>R</m:t>
            </m:r>
          </m:e>
          <m:sub>
            <m:r>
              <w:rPr>
                <w:rFonts w:ascii="Cambria Math" w:eastAsia="Calibri" w:hAnsi="Cambria Math" w:cstheme="minorHAnsi"/>
                <w:lang w:val="en-US"/>
              </w:rPr>
              <m:t xml:space="preserve">i,t </m:t>
            </m:r>
          </m:sub>
        </m:sSub>
      </m:oMath>
      <w:r w:rsidRPr="004556EC">
        <w:rPr>
          <w:rFonts w:asciiTheme="minorHAnsi" w:eastAsia="Calibri" w:hAnsiTheme="minorHAnsi" w:cstheme="minorHAnsi"/>
          <w:lang w:val="en-US"/>
        </w:rPr>
        <w:t xml:space="preserve"> is the log differenced return on stock i at time t, N is the number of stocks the market and </w:t>
      </w:r>
      <m:oMath>
        <m:sSub>
          <m:sSubPr>
            <m:ctrlPr>
              <w:rPr>
                <w:rFonts w:ascii="Cambria Math" w:eastAsia="Calibri" w:hAnsi="Cambria Math" w:cstheme="minorHAnsi"/>
                <w:lang w:val="en-US"/>
              </w:rPr>
            </m:ctrlPr>
          </m:sSubPr>
          <m:e>
            <m:r>
              <w:rPr>
                <w:rFonts w:ascii="Cambria Math" w:eastAsia="Calibri" w:hAnsi="Cambria Math" w:cstheme="minorHAnsi"/>
                <w:lang w:val="en-US"/>
              </w:rPr>
              <m:t>R</m:t>
            </m:r>
          </m:e>
          <m:sub>
            <m:r>
              <w:rPr>
                <w:rFonts w:ascii="Cambria Math" w:eastAsia="Calibri" w:hAnsi="Cambria Math" w:cstheme="minorHAnsi"/>
                <w:lang w:val="en-US"/>
              </w:rPr>
              <m:t>m</m:t>
            </m:r>
            <m:r>
              <m:rPr>
                <m:sty m:val="p"/>
              </m:rPr>
              <w:rPr>
                <w:rFonts w:ascii="Cambria Math" w:eastAsia="Calibri" w:hAnsi="Cambria Math" w:cstheme="minorHAnsi"/>
                <w:lang w:val="en-US"/>
              </w:rPr>
              <m:t>,</m:t>
            </m:r>
            <m:r>
              <w:rPr>
                <w:rFonts w:ascii="Cambria Math" w:eastAsia="Calibri" w:hAnsi="Cambria Math" w:cstheme="minorHAnsi"/>
                <w:lang w:val="en-US"/>
              </w:rPr>
              <m:t>t</m:t>
            </m:r>
          </m:sub>
        </m:sSub>
      </m:oMath>
      <w:r w:rsidRPr="004556EC">
        <w:rPr>
          <w:rFonts w:asciiTheme="minorHAnsi" w:eastAsia="Calibri" w:hAnsiTheme="minorHAnsi" w:cstheme="minorHAnsi"/>
          <w:lang w:val="en-US"/>
        </w:rPr>
        <w:t>is the cross-sectional average of market returns at time t.</w:t>
      </w:r>
    </w:p>
    <w:p w14:paraId="22A9D050" w14:textId="11DA408A" w:rsidR="00913E44" w:rsidRDefault="00033239" w:rsidP="004558C6">
      <w:pPr>
        <w:spacing w:line="360" w:lineRule="auto"/>
        <w:jc w:val="both"/>
        <w:rPr>
          <w:rFonts w:asciiTheme="minorHAnsi" w:eastAsia="Calibri" w:hAnsiTheme="minorHAnsi" w:cstheme="minorHAnsi"/>
          <w:lang w:val="en-US"/>
        </w:rPr>
      </w:pPr>
      <w:r w:rsidRPr="004556EC">
        <w:rPr>
          <w:rFonts w:asciiTheme="minorHAnsi" w:eastAsia="Calibri" w:hAnsiTheme="minorHAnsi" w:cstheme="minorHAnsi"/>
          <w:lang w:val="en-US"/>
        </w:rPr>
        <w:t>Model 1, the base model used to t</w:t>
      </w:r>
      <w:r w:rsidR="00913E44" w:rsidRPr="004556EC">
        <w:rPr>
          <w:rFonts w:asciiTheme="minorHAnsi" w:eastAsia="Calibri" w:hAnsiTheme="minorHAnsi" w:cstheme="minorHAnsi"/>
          <w:lang w:val="en-US"/>
        </w:rPr>
        <w:t xml:space="preserve">est for herding is estimated by the following regression: </w:t>
      </w:r>
    </w:p>
    <w:p w14:paraId="7CEAA01B" w14:textId="77777777" w:rsidR="004558C6" w:rsidRPr="004556EC" w:rsidRDefault="004558C6" w:rsidP="004558C6">
      <w:pPr>
        <w:spacing w:line="360" w:lineRule="auto"/>
        <w:jc w:val="both"/>
        <w:rPr>
          <w:rFonts w:asciiTheme="minorHAnsi" w:eastAsia="Calibri" w:hAnsiTheme="minorHAnsi" w:cstheme="minorHAnsi"/>
          <w:lang w:val="en-US"/>
        </w:rPr>
      </w:pPr>
    </w:p>
    <w:p w14:paraId="67A9482E" w14:textId="56A7BF55" w:rsidR="00913E44" w:rsidRPr="004556EC" w:rsidRDefault="00913E44" w:rsidP="004558C6">
      <w:pPr>
        <w:spacing w:line="360" w:lineRule="auto"/>
        <w:jc w:val="both"/>
        <w:rPr>
          <w:rFonts w:asciiTheme="minorHAnsi" w:eastAsia="Calibri" w:hAnsiTheme="minorHAnsi" w:cstheme="minorHAnsi"/>
          <w:lang w:val="en-US"/>
        </w:rPr>
      </w:pPr>
      <w:r w:rsidRPr="004556EC">
        <w:rPr>
          <w:rFonts w:asciiTheme="minorHAnsi" w:eastAsia="Calibri" w:hAnsiTheme="minorHAnsi" w:cstheme="minorHAnsi"/>
          <w:lang w:val="en-US"/>
        </w:rPr>
        <w:t xml:space="preserve">   </w:t>
      </w:r>
      <m:oMath>
        <m:r>
          <w:rPr>
            <w:rFonts w:ascii="Cambria Math" w:eastAsia="Calibri" w:hAnsi="Cambria Math" w:cstheme="minorHAnsi"/>
            <w:lang w:val="en-US"/>
          </w:rPr>
          <m:t xml:space="preserve"> </m:t>
        </m:r>
        <m:sSub>
          <m:sSubPr>
            <m:ctrlPr>
              <w:rPr>
                <w:rFonts w:ascii="Cambria Math" w:eastAsia="Calibri" w:hAnsi="Cambria Math" w:cstheme="minorHAnsi"/>
                <w:lang w:val="en-US"/>
              </w:rPr>
            </m:ctrlPr>
          </m:sSubPr>
          <m:e>
            <m:r>
              <w:rPr>
                <w:rFonts w:ascii="Cambria Math" w:eastAsia="Calibri" w:hAnsi="Cambria Math" w:cstheme="minorHAnsi"/>
                <w:lang w:val="en-US"/>
              </w:rPr>
              <m:t>CSAD</m:t>
            </m:r>
          </m:e>
          <m:sub>
            <m:r>
              <w:rPr>
                <w:rFonts w:ascii="Cambria Math" w:eastAsia="Calibri" w:hAnsi="Cambria Math" w:cstheme="minorHAnsi"/>
                <w:lang w:val="en-US"/>
              </w:rPr>
              <m:t>t</m:t>
            </m:r>
          </m:sub>
        </m:sSub>
        <m:r>
          <m:rPr>
            <m:sty m:val="p"/>
          </m:rPr>
          <w:rPr>
            <w:rFonts w:ascii="Cambria Math" w:eastAsia="Calibri" w:hAnsi="Cambria Math" w:cstheme="minorHAnsi"/>
            <w:lang w:val="en-US"/>
          </w:rPr>
          <m:t>=</m:t>
        </m:r>
        <m:r>
          <w:rPr>
            <w:rFonts w:ascii="Cambria Math" w:eastAsia="Calibri" w:hAnsi="Cambria Math" w:cstheme="minorHAnsi"/>
            <w:lang w:val="en-US"/>
          </w:rPr>
          <m:t>α</m:t>
        </m:r>
        <m:r>
          <m:rPr>
            <m:sty m:val="p"/>
          </m:rPr>
          <w:rPr>
            <w:rFonts w:ascii="Cambria Math" w:eastAsia="Calibri" w:hAnsi="Cambria Math" w:cstheme="minorHAnsi"/>
            <w:lang w:val="en-US"/>
          </w:rPr>
          <m:t>+</m:t>
        </m:r>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1</m:t>
            </m:r>
          </m:sub>
        </m:sSub>
        <m:d>
          <m:dPr>
            <m:begChr m:val="|"/>
            <m:endChr m:val="|"/>
            <m:ctrlPr>
              <w:rPr>
                <w:rFonts w:ascii="Cambria Math" w:eastAsia="Calibri" w:hAnsi="Cambria Math" w:cstheme="minorHAnsi"/>
                <w:lang w:val="en-US"/>
              </w:rPr>
            </m:ctrlPr>
          </m:dPr>
          <m:e>
            <m:sSub>
              <m:sSubPr>
                <m:ctrlPr>
                  <w:rPr>
                    <w:rFonts w:ascii="Cambria Math" w:eastAsia="Calibri" w:hAnsi="Cambria Math" w:cstheme="minorHAnsi"/>
                    <w:lang w:val="en-US"/>
                  </w:rPr>
                </m:ctrlPr>
              </m:sSubPr>
              <m:e>
                <m:r>
                  <w:rPr>
                    <w:rFonts w:ascii="Cambria Math" w:eastAsia="Calibri" w:hAnsi="Cambria Math" w:cstheme="minorHAnsi"/>
                    <w:lang w:val="en-US"/>
                  </w:rPr>
                  <m:t>R</m:t>
                </m:r>
              </m:e>
              <m:sub>
                <m:r>
                  <w:rPr>
                    <w:rFonts w:ascii="Cambria Math" w:eastAsia="Calibri" w:hAnsi="Cambria Math" w:cstheme="minorHAnsi"/>
                    <w:lang w:val="en-US"/>
                  </w:rPr>
                  <m:t>m</m:t>
                </m:r>
                <m:r>
                  <m:rPr>
                    <m:sty m:val="p"/>
                  </m:rPr>
                  <w:rPr>
                    <w:rFonts w:ascii="Cambria Math" w:eastAsia="Calibri" w:hAnsi="Cambria Math" w:cstheme="minorHAnsi"/>
                    <w:lang w:val="en-US"/>
                  </w:rPr>
                  <m:t>,</m:t>
                </m:r>
                <m:r>
                  <w:rPr>
                    <w:rFonts w:ascii="Cambria Math" w:eastAsia="Calibri" w:hAnsi="Cambria Math" w:cstheme="minorHAnsi"/>
                    <w:lang w:val="en-US"/>
                  </w:rPr>
                  <m:t>t</m:t>
                </m:r>
              </m:sub>
            </m:sSub>
          </m:e>
        </m:d>
        <m:r>
          <m:rPr>
            <m:sty m:val="p"/>
          </m:rPr>
          <w:rPr>
            <w:rFonts w:ascii="Cambria Math" w:eastAsia="Calibri" w:hAnsi="Cambria Math" w:cstheme="minorHAnsi"/>
            <w:lang w:val="en-US"/>
          </w:rPr>
          <m:t>+</m:t>
        </m:r>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2  </m:t>
            </m:r>
          </m:sub>
        </m:sSub>
        <m:sSubSup>
          <m:sSubSupPr>
            <m:ctrlPr>
              <w:rPr>
                <w:rFonts w:ascii="Cambria Math" w:eastAsia="Calibri" w:hAnsi="Cambria Math" w:cstheme="minorHAnsi"/>
                <w:lang w:val="en-US"/>
              </w:rPr>
            </m:ctrlPr>
          </m:sSubSupPr>
          <m:e>
            <m:r>
              <w:rPr>
                <w:rFonts w:ascii="Cambria Math" w:eastAsia="Calibri" w:hAnsi="Cambria Math" w:cstheme="minorHAnsi"/>
                <w:lang w:val="en-US"/>
              </w:rPr>
              <m:t>R</m:t>
            </m:r>
          </m:e>
          <m:sub>
            <m:r>
              <w:rPr>
                <w:rFonts w:ascii="Cambria Math" w:eastAsia="Calibri" w:hAnsi="Cambria Math" w:cstheme="minorHAnsi"/>
                <w:lang w:val="en-US"/>
              </w:rPr>
              <m:t>m</m:t>
            </m:r>
            <m:r>
              <m:rPr>
                <m:sty m:val="p"/>
              </m:rPr>
              <w:rPr>
                <w:rFonts w:ascii="Cambria Math" w:eastAsia="Calibri" w:hAnsi="Cambria Math" w:cstheme="minorHAnsi"/>
                <w:lang w:val="en-US"/>
              </w:rPr>
              <m:t>,</m:t>
            </m:r>
            <m:r>
              <w:rPr>
                <w:rFonts w:ascii="Cambria Math" w:eastAsia="Calibri" w:hAnsi="Cambria Math" w:cstheme="minorHAnsi"/>
                <w:lang w:val="en-US"/>
              </w:rPr>
              <m:t>t</m:t>
            </m:r>
          </m:sub>
          <m:sup>
            <m:r>
              <m:rPr>
                <m:sty m:val="p"/>
              </m:rPr>
              <w:rPr>
                <w:rFonts w:ascii="Cambria Math" w:eastAsia="Calibri" w:hAnsi="Cambria Math" w:cstheme="minorHAnsi"/>
                <w:lang w:val="en-US"/>
              </w:rPr>
              <m:t>2</m:t>
            </m:r>
          </m:sup>
        </m:sSubSup>
        <m:r>
          <m:rPr>
            <m:sty m:val="p"/>
          </m:rPr>
          <w:rPr>
            <w:rFonts w:ascii="Cambria Math" w:eastAsia="Calibri" w:hAnsi="Cambria Math" w:cstheme="minorHAnsi"/>
            <w:lang w:val="en-US"/>
          </w:rPr>
          <m:t>+</m:t>
        </m:r>
        <m:sSub>
          <m:sSubPr>
            <m:ctrlPr>
              <w:rPr>
                <w:rFonts w:ascii="Cambria Math" w:eastAsia="Calibri" w:hAnsi="Cambria Math" w:cstheme="minorHAnsi"/>
                <w:lang w:val="en-US"/>
              </w:rPr>
            </m:ctrlPr>
          </m:sSubPr>
          <m:e>
            <m:r>
              <w:rPr>
                <w:rFonts w:ascii="Cambria Math" w:eastAsia="Calibri" w:hAnsi="Cambria Math" w:cstheme="minorHAnsi"/>
                <w:lang w:val="en-US"/>
              </w:rPr>
              <m:t>ε</m:t>
            </m:r>
          </m:e>
          <m:sub>
            <m:r>
              <w:rPr>
                <w:rFonts w:ascii="Cambria Math" w:eastAsia="Calibri" w:hAnsi="Cambria Math" w:cstheme="minorHAnsi"/>
                <w:lang w:val="en-US"/>
              </w:rPr>
              <m:t>t</m:t>
            </m:r>
          </m:sub>
        </m:sSub>
      </m:oMath>
      <w:r w:rsidRPr="004556EC">
        <w:rPr>
          <w:rFonts w:asciiTheme="minorHAnsi" w:eastAsia="Calibri" w:hAnsiTheme="minorHAnsi" w:cstheme="minorHAnsi"/>
          <w:lang w:val="en-US"/>
        </w:rPr>
        <w:tab/>
      </w:r>
      <w:r w:rsidRPr="004556EC">
        <w:rPr>
          <w:rFonts w:asciiTheme="minorHAnsi" w:eastAsia="Calibri" w:hAnsiTheme="minorHAnsi" w:cstheme="minorHAnsi"/>
          <w:lang w:val="en-US"/>
        </w:rPr>
        <w:tab/>
      </w:r>
      <w:r w:rsidRPr="004556EC">
        <w:rPr>
          <w:rFonts w:asciiTheme="minorHAnsi" w:eastAsia="Calibri" w:hAnsiTheme="minorHAnsi" w:cstheme="minorHAnsi"/>
          <w:lang w:val="en-US"/>
        </w:rPr>
        <w:tab/>
      </w:r>
      <w:r w:rsidRPr="004556EC">
        <w:rPr>
          <w:rFonts w:asciiTheme="minorHAnsi" w:eastAsia="Calibri" w:hAnsiTheme="minorHAnsi" w:cstheme="minorHAnsi"/>
          <w:lang w:val="en-US"/>
        </w:rPr>
        <w:tab/>
      </w:r>
      <w:r w:rsidRPr="004556EC">
        <w:rPr>
          <w:rFonts w:asciiTheme="minorHAnsi" w:eastAsia="Calibri" w:hAnsiTheme="minorHAnsi" w:cstheme="minorHAnsi"/>
          <w:lang w:val="en-US"/>
        </w:rPr>
        <w:tab/>
        <w:t xml:space="preserve">                </w:t>
      </w:r>
      <w:r w:rsidR="001D540A" w:rsidRPr="004556EC">
        <w:rPr>
          <w:rFonts w:asciiTheme="minorHAnsi" w:eastAsia="Calibri" w:hAnsiTheme="minorHAnsi" w:cstheme="minorHAnsi"/>
          <w:lang w:val="en-US"/>
        </w:rPr>
        <w:t>(2</w:t>
      </w:r>
      <w:r w:rsidRPr="004556EC">
        <w:rPr>
          <w:rFonts w:asciiTheme="minorHAnsi" w:eastAsia="Calibri" w:hAnsiTheme="minorHAnsi" w:cstheme="minorHAnsi"/>
          <w:lang w:val="en-US"/>
        </w:rPr>
        <w:t xml:space="preserve">)       </w:t>
      </w:r>
    </w:p>
    <w:p w14:paraId="6442F29D" w14:textId="77777777" w:rsidR="00913E44" w:rsidRPr="004556EC" w:rsidRDefault="00913E44" w:rsidP="004558C6">
      <w:pPr>
        <w:spacing w:line="360" w:lineRule="auto"/>
        <w:jc w:val="both"/>
        <w:rPr>
          <w:rFonts w:asciiTheme="minorHAnsi" w:eastAsia="Calibri" w:hAnsiTheme="minorHAnsi" w:cstheme="minorHAnsi"/>
          <w:lang w:val="en-US"/>
        </w:rPr>
      </w:pPr>
      <w:r w:rsidRPr="004556EC">
        <w:rPr>
          <w:rFonts w:asciiTheme="minorHAnsi" w:eastAsia="Calibri" w:hAnsiTheme="minorHAnsi" w:cstheme="minorHAnsi"/>
          <w:lang w:val="en-US"/>
        </w:rPr>
        <w:t>where</w:t>
      </w:r>
      <m:oMath>
        <m:d>
          <m:dPr>
            <m:begChr m:val="|"/>
            <m:endChr m:val="|"/>
            <m:ctrlPr>
              <w:rPr>
                <w:rFonts w:ascii="Cambria Math" w:eastAsia="Calibri" w:hAnsi="Cambria Math" w:cstheme="minorHAnsi"/>
                <w:lang w:val="en-US"/>
              </w:rPr>
            </m:ctrlPr>
          </m:dPr>
          <m:e>
            <m:sSub>
              <m:sSubPr>
                <m:ctrlPr>
                  <w:rPr>
                    <w:rFonts w:ascii="Cambria Math" w:eastAsia="Calibri" w:hAnsi="Cambria Math" w:cstheme="minorHAnsi"/>
                    <w:lang w:val="en-US"/>
                  </w:rPr>
                </m:ctrlPr>
              </m:sSubPr>
              <m:e>
                <m:r>
                  <w:rPr>
                    <w:rFonts w:ascii="Cambria Math" w:eastAsia="Calibri" w:hAnsi="Cambria Math" w:cstheme="minorHAnsi"/>
                    <w:lang w:val="en-US"/>
                  </w:rPr>
                  <m:t>R</m:t>
                </m:r>
              </m:e>
              <m:sub>
                <m:r>
                  <w:rPr>
                    <w:rFonts w:ascii="Cambria Math" w:eastAsia="Calibri" w:hAnsi="Cambria Math" w:cstheme="minorHAnsi"/>
                    <w:lang w:val="en-US"/>
                  </w:rPr>
                  <m:t>m</m:t>
                </m:r>
                <m:r>
                  <m:rPr>
                    <m:sty m:val="p"/>
                  </m:rPr>
                  <w:rPr>
                    <w:rFonts w:ascii="Cambria Math" w:eastAsia="Calibri" w:hAnsi="Cambria Math" w:cstheme="minorHAnsi"/>
                    <w:lang w:val="en-US"/>
                  </w:rPr>
                  <m:t>,</m:t>
                </m:r>
                <m:r>
                  <w:rPr>
                    <w:rFonts w:ascii="Cambria Math" w:eastAsia="Calibri" w:hAnsi="Cambria Math" w:cstheme="minorHAnsi"/>
                    <w:lang w:val="en-US"/>
                  </w:rPr>
                  <m:t>t</m:t>
                </m:r>
              </m:sub>
            </m:sSub>
          </m:e>
        </m:d>
      </m:oMath>
      <w:r w:rsidRPr="004556EC">
        <w:rPr>
          <w:rFonts w:asciiTheme="minorHAnsi" w:eastAsia="Calibri" w:hAnsiTheme="minorHAnsi" w:cstheme="minorHAnsi"/>
          <w:lang w:val="en-US"/>
        </w:rPr>
        <w:t>is the market (sector) return used to capture the nonlinearity in the relationship,</w:t>
      </w:r>
      <m:oMath>
        <m:r>
          <w:rPr>
            <w:rFonts w:ascii="Cambria Math" w:eastAsia="Calibri" w:hAnsi="Cambria Math" w:cstheme="minorHAnsi"/>
            <w:lang w:val="en-US"/>
          </w:rPr>
          <m:t xml:space="preserve"> </m:t>
        </m:r>
        <m:sSubSup>
          <m:sSubSupPr>
            <m:ctrlPr>
              <w:rPr>
                <w:rFonts w:ascii="Cambria Math" w:eastAsia="Calibri" w:hAnsi="Cambria Math" w:cstheme="minorHAnsi"/>
                <w:lang w:val="en-US"/>
              </w:rPr>
            </m:ctrlPr>
          </m:sSubSupPr>
          <m:e>
            <m:r>
              <w:rPr>
                <w:rFonts w:ascii="Cambria Math" w:eastAsia="Calibri" w:hAnsi="Cambria Math" w:cstheme="minorHAnsi"/>
                <w:lang w:val="en-US"/>
              </w:rPr>
              <m:t>R</m:t>
            </m:r>
          </m:e>
          <m:sub>
            <m:r>
              <w:rPr>
                <w:rFonts w:ascii="Cambria Math" w:eastAsia="Calibri" w:hAnsi="Cambria Math" w:cstheme="minorHAnsi"/>
                <w:lang w:val="en-US"/>
              </w:rPr>
              <m:t>m</m:t>
            </m:r>
            <m:r>
              <m:rPr>
                <m:sty m:val="p"/>
              </m:rPr>
              <w:rPr>
                <w:rFonts w:ascii="Cambria Math" w:eastAsia="Calibri" w:hAnsi="Cambria Math" w:cstheme="minorHAnsi"/>
                <w:lang w:val="en-US"/>
              </w:rPr>
              <m:t>,</m:t>
            </m:r>
            <m:r>
              <w:rPr>
                <w:rFonts w:ascii="Cambria Math" w:eastAsia="Calibri" w:hAnsi="Cambria Math" w:cstheme="minorHAnsi"/>
                <w:lang w:val="en-US"/>
              </w:rPr>
              <m:t>t</m:t>
            </m:r>
          </m:sub>
          <m:sup>
            <m:r>
              <m:rPr>
                <m:sty m:val="p"/>
              </m:rPr>
              <w:rPr>
                <w:rFonts w:ascii="Cambria Math" w:eastAsia="Calibri" w:hAnsi="Cambria Math" w:cstheme="minorHAnsi"/>
                <w:lang w:val="en-US"/>
              </w:rPr>
              <m:t>2</m:t>
            </m:r>
          </m:sup>
        </m:sSubSup>
      </m:oMath>
      <w:r w:rsidRPr="004556EC">
        <w:rPr>
          <w:rFonts w:asciiTheme="minorHAnsi" w:eastAsia="Calibri" w:hAnsiTheme="minorHAnsi" w:cstheme="minorHAnsi"/>
          <w:lang w:val="en-US"/>
        </w:rPr>
        <w:t xml:space="preserve"> is the squared market return, α is the constant, γ</w:t>
      </w:r>
      <w:r w:rsidRPr="004556EC">
        <w:rPr>
          <w:rFonts w:asciiTheme="minorHAnsi" w:eastAsia="Calibri" w:hAnsiTheme="minorHAnsi" w:cstheme="minorHAnsi"/>
          <w:vertAlign w:val="subscript"/>
          <w:lang w:val="en-US"/>
        </w:rPr>
        <w:t>1</w:t>
      </w:r>
      <w:r w:rsidRPr="004556EC">
        <w:rPr>
          <w:rFonts w:asciiTheme="minorHAnsi" w:eastAsia="Calibri" w:hAnsiTheme="minorHAnsi" w:cstheme="minorHAnsi"/>
          <w:lang w:val="en-US"/>
        </w:rPr>
        <w:t>, and γ</w:t>
      </w:r>
      <w:r w:rsidRPr="004556EC">
        <w:rPr>
          <w:rFonts w:asciiTheme="minorHAnsi" w:eastAsia="Calibri" w:hAnsiTheme="minorHAnsi" w:cstheme="minorHAnsi"/>
          <w:vertAlign w:val="subscript"/>
          <w:lang w:val="en-US"/>
        </w:rPr>
        <w:t xml:space="preserve">2 </w:t>
      </w:r>
      <w:r w:rsidRPr="004556EC">
        <w:rPr>
          <w:rFonts w:asciiTheme="minorHAnsi" w:eastAsia="Calibri" w:hAnsiTheme="minorHAnsi" w:cstheme="minorHAnsi"/>
          <w:lang w:val="en-US"/>
        </w:rPr>
        <w:t>are coefficients and ε</w:t>
      </w:r>
      <w:r w:rsidRPr="004556EC">
        <w:rPr>
          <w:rFonts w:asciiTheme="minorHAnsi" w:eastAsia="Calibri" w:hAnsiTheme="minorHAnsi" w:cstheme="minorHAnsi"/>
          <w:vertAlign w:val="subscript"/>
          <w:lang w:val="en-US"/>
        </w:rPr>
        <w:t xml:space="preserve">t </w:t>
      </w:r>
      <w:r w:rsidRPr="004556EC">
        <w:rPr>
          <w:rFonts w:asciiTheme="minorHAnsi" w:eastAsia="Calibri" w:hAnsiTheme="minorHAnsi" w:cstheme="minorHAnsi"/>
          <w:lang w:val="en-US"/>
        </w:rPr>
        <w:t>is the error term at time t. Therefore, if herding is absent, then we expect γ</w:t>
      </w:r>
      <w:r w:rsidRPr="004556EC">
        <w:rPr>
          <w:rFonts w:asciiTheme="minorHAnsi" w:eastAsia="Calibri" w:hAnsiTheme="minorHAnsi" w:cstheme="minorHAnsi"/>
          <w:vertAlign w:val="subscript"/>
          <w:lang w:val="en-US"/>
        </w:rPr>
        <w:t>1</w:t>
      </w:r>
      <w:r w:rsidRPr="004556EC">
        <w:rPr>
          <w:rFonts w:asciiTheme="minorHAnsi" w:eastAsia="Calibri" w:hAnsiTheme="minorHAnsi" w:cstheme="minorHAnsi"/>
          <w:lang w:val="en-US"/>
        </w:rPr>
        <w:t xml:space="preserve"> &gt; 0 and γ</w:t>
      </w:r>
      <w:r w:rsidRPr="004556EC">
        <w:rPr>
          <w:rFonts w:asciiTheme="minorHAnsi" w:eastAsia="Calibri" w:hAnsiTheme="minorHAnsi" w:cstheme="minorHAnsi"/>
          <w:vertAlign w:val="subscript"/>
          <w:lang w:val="en-US"/>
        </w:rPr>
        <w:t>2</w:t>
      </w:r>
      <w:r w:rsidRPr="004556EC">
        <w:rPr>
          <w:rFonts w:asciiTheme="minorHAnsi" w:eastAsia="Calibri" w:hAnsiTheme="minorHAnsi" w:cstheme="minorHAnsi"/>
          <w:lang w:val="en-US"/>
        </w:rPr>
        <w:t xml:space="preserve"> &gt; 0 in equation (2). </w:t>
      </w:r>
    </w:p>
    <w:p w14:paraId="77624C12" w14:textId="30B1DE31" w:rsidR="00550478" w:rsidRPr="004556EC" w:rsidRDefault="00550478" w:rsidP="004558C6">
      <w:pPr>
        <w:spacing w:before="240" w:line="360" w:lineRule="auto"/>
        <w:jc w:val="both"/>
        <w:rPr>
          <w:rFonts w:asciiTheme="minorHAnsi" w:eastAsia="Calibri" w:hAnsiTheme="minorHAnsi" w:cstheme="minorHAnsi"/>
          <w:lang w:val="en-US"/>
        </w:rPr>
      </w:pPr>
      <w:r w:rsidRPr="004556EC">
        <w:rPr>
          <w:rFonts w:asciiTheme="minorHAnsi" w:eastAsia="Calibri" w:hAnsiTheme="minorHAnsi" w:cstheme="minorHAnsi"/>
          <w:lang w:val="en-US"/>
        </w:rPr>
        <w:t>To detect herding, the CSAD measures its presence by assessing the observed return of all stocks and the cross-sectional average return; a statistically significant negative (positive) coefficient indicates the presence (absence) of herd</w:t>
      </w:r>
      <w:r w:rsidR="009B6E9C" w:rsidRPr="004556EC">
        <w:rPr>
          <w:rFonts w:asciiTheme="minorHAnsi" w:eastAsia="Calibri" w:hAnsiTheme="minorHAnsi" w:cstheme="minorHAnsi"/>
          <w:lang w:val="en-US"/>
        </w:rPr>
        <w:t>ing</w:t>
      </w:r>
      <w:r w:rsidRPr="004556EC">
        <w:rPr>
          <w:rFonts w:asciiTheme="minorHAnsi" w:eastAsia="Calibri" w:hAnsiTheme="minorHAnsi" w:cstheme="minorHAnsi"/>
          <w:lang w:val="en-US"/>
        </w:rPr>
        <w:t xml:space="preserve"> </w:t>
      </w:r>
      <w:r w:rsidRPr="00BF14FF">
        <w:rPr>
          <w:rFonts w:asciiTheme="minorHAnsi" w:eastAsia="Calibri" w:hAnsiTheme="minorHAnsi" w:cstheme="minorHAnsi"/>
        </w:rPr>
        <w:t>behavi</w:t>
      </w:r>
      <w:r w:rsidR="00F04CDD" w:rsidRPr="00BF14FF">
        <w:rPr>
          <w:rFonts w:asciiTheme="minorHAnsi" w:eastAsia="Calibri" w:hAnsiTheme="minorHAnsi" w:cstheme="minorHAnsi"/>
        </w:rPr>
        <w:t>o</w:t>
      </w:r>
      <w:r w:rsidR="00CB175E" w:rsidRPr="00BF14FF">
        <w:rPr>
          <w:rFonts w:asciiTheme="minorHAnsi" w:eastAsia="Calibri" w:hAnsiTheme="minorHAnsi" w:cstheme="minorHAnsi"/>
        </w:rPr>
        <w:t>u</w:t>
      </w:r>
      <w:r w:rsidRPr="00BF14FF">
        <w:rPr>
          <w:rFonts w:asciiTheme="minorHAnsi" w:eastAsia="Calibri" w:hAnsiTheme="minorHAnsi" w:cstheme="minorHAnsi"/>
        </w:rPr>
        <w:t>r</w:t>
      </w:r>
      <w:r w:rsidRPr="004556EC">
        <w:rPr>
          <w:rFonts w:asciiTheme="minorHAnsi" w:eastAsia="Calibri" w:hAnsiTheme="minorHAnsi" w:cstheme="minorHAnsi"/>
          <w:lang w:val="en-US"/>
        </w:rPr>
        <w:t>. Gebka and Wohar (2013), argue that positive γ</w:t>
      </w:r>
      <w:r w:rsidRPr="004556EC">
        <w:rPr>
          <w:rFonts w:asciiTheme="minorHAnsi" w:eastAsia="Calibri" w:hAnsiTheme="minorHAnsi" w:cstheme="minorHAnsi"/>
          <w:vertAlign w:val="subscript"/>
          <w:lang w:val="en-US"/>
        </w:rPr>
        <w:t xml:space="preserve">2 </w:t>
      </w:r>
      <w:r w:rsidRPr="004556EC">
        <w:rPr>
          <w:rFonts w:asciiTheme="minorHAnsi" w:eastAsia="Calibri" w:hAnsiTheme="minorHAnsi" w:cstheme="minorHAnsi"/>
          <w:lang w:val="en-US"/>
        </w:rPr>
        <w:t xml:space="preserve">coefficients, also suggests the presence of ‘negative herding’ </w:t>
      </w:r>
      <w:r w:rsidR="005E31AB">
        <w:rPr>
          <w:rFonts w:asciiTheme="minorHAnsi" w:eastAsia="Calibri" w:hAnsiTheme="minorHAnsi" w:cstheme="minorHAnsi"/>
          <w:lang w:val="en-US"/>
        </w:rPr>
        <w:t xml:space="preserve">(anti-herding) </w:t>
      </w:r>
      <w:r w:rsidRPr="004556EC">
        <w:rPr>
          <w:rFonts w:asciiTheme="minorHAnsi" w:eastAsia="Calibri" w:hAnsiTheme="minorHAnsi" w:cstheme="minorHAnsi"/>
          <w:lang w:val="en-US"/>
        </w:rPr>
        <w:t>whereby during periods of extreme price movements, the dispersion of returns is lower rather than higher than the predictions of rational asset pricing models</w:t>
      </w:r>
      <w:r w:rsidR="005B2834" w:rsidRPr="004556EC">
        <w:rPr>
          <w:rFonts w:asciiTheme="minorHAnsi" w:eastAsia="Calibri" w:hAnsiTheme="minorHAnsi" w:cstheme="minorHAnsi"/>
          <w:lang w:val="en-US"/>
        </w:rPr>
        <w:t xml:space="preserve">. </w:t>
      </w:r>
      <w:r w:rsidR="00B2771D">
        <w:rPr>
          <w:rFonts w:asciiTheme="minorHAnsi" w:eastAsia="Calibri" w:hAnsiTheme="minorHAnsi" w:cstheme="minorHAnsi"/>
          <w:lang w:val="en-US"/>
        </w:rPr>
        <w:t xml:space="preserve">A number of other studies also find negative herding (Christie and Huang, 1995; </w:t>
      </w:r>
      <w:proofErr w:type="spellStart"/>
      <w:r w:rsidR="00B2771D">
        <w:rPr>
          <w:rFonts w:asciiTheme="minorHAnsi" w:eastAsia="Calibri" w:hAnsiTheme="minorHAnsi" w:cstheme="minorHAnsi"/>
          <w:lang w:val="en-US"/>
        </w:rPr>
        <w:t>Henker</w:t>
      </w:r>
      <w:proofErr w:type="spellEnd"/>
      <w:r w:rsidR="00B2771D">
        <w:rPr>
          <w:rFonts w:asciiTheme="minorHAnsi" w:eastAsia="Calibri" w:hAnsiTheme="minorHAnsi" w:cstheme="minorHAnsi"/>
          <w:lang w:val="en-US"/>
        </w:rPr>
        <w:t xml:space="preserve">, et al., 2006; </w:t>
      </w:r>
      <w:proofErr w:type="spellStart"/>
      <w:r w:rsidR="00B2771D">
        <w:rPr>
          <w:rFonts w:asciiTheme="minorHAnsi" w:eastAsia="Calibri" w:hAnsiTheme="minorHAnsi" w:cstheme="minorHAnsi"/>
          <w:lang w:val="en-US"/>
        </w:rPr>
        <w:t>Babalos</w:t>
      </w:r>
      <w:proofErr w:type="spellEnd"/>
      <w:r w:rsidR="00B2771D">
        <w:rPr>
          <w:rFonts w:asciiTheme="minorHAnsi" w:eastAsia="Calibri" w:hAnsiTheme="minorHAnsi" w:cstheme="minorHAnsi"/>
          <w:lang w:val="en-US"/>
        </w:rPr>
        <w:t xml:space="preserve"> and </w:t>
      </w:r>
      <w:proofErr w:type="spellStart"/>
      <w:r w:rsidR="00B2771D">
        <w:rPr>
          <w:rFonts w:asciiTheme="minorHAnsi" w:eastAsia="Calibri" w:hAnsiTheme="minorHAnsi" w:cstheme="minorHAnsi"/>
          <w:lang w:val="en-US"/>
        </w:rPr>
        <w:t>Stavroyiannis</w:t>
      </w:r>
      <w:proofErr w:type="spellEnd"/>
      <w:r w:rsidR="00B2771D">
        <w:rPr>
          <w:rFonts w:asciiTheme="minorHAnsi" w:eastAsia="Calibri" w:hAnsiTheme="minorHAnsi" w:cstheme="minorHAnsi"/>
          <w:lang w:val="en-US"/>
        </w:rPr>
        <w:t xml:space="preserve">, 2015; </w:t>
      </w:r>
      <w:proofErr w:type="spellStart"/>
      <w:r w:rsidR="00B2771D">
        <w:rPr>
          <w:rFonts w:asciiTheme="minorHAnsi" w:eastAsia="Calibri" w:hAnsiTheme="minorHAnsi" w:cstheme="minorHAnsi"/>
          <w:lang w:val="en-US"/>
        </w:rPr>
        <w:t>Stavroyiannis</w:t>
      </w:r>
      <w:proofErr w:type="spellEnd"/>
      <w:r w:rsidR="00B2771D" w:rsidRPr="00B2771D">
        <w:rPr>
          <w:rFonts w:asciiTheme="minorHAnsi" w:eastAsia="Calibri" w:hAnsiTheme="minorHAnsi" w:cstheme="minorHAnsi"/>
          <w:lang w:val="en-US"/>
        </w:rPr>
        <w:t xml:space="preserve"> </w:t>
      </w:r>
      <w:r w:rsidR="00B2771D">
        <w:rPr>
          <w:rFonts w:asciiTheme="minorHAnsi" w:eastAsia="Calibri" w:hAnsiTheme="minorHAnsi" w:cstheme="minorHAnsi"/>
          <w:lang w:val="en-US"/>
        </w:rPr>
        <w:t xml:space="preserve">and </w:t>
      </w:r>
      <w:proofErr w:type="spellStart"/>
      <w:r w:rsidR="00B2771D">
        <w:rPr>
          <w:rFonts w:asciiTheme="minorHAnsi" w:eastAsia="Calibri" w:hAnsiTheme="minorHAnsi" w:cstheme="minorHAnsi"/>
          <w:lang w:val="en-US"/>
        </w:rPr>
        <w:t>Babalos</w:t>
      </w:r>
      <w:proofErr w:type="spellEnd"/>
      <w:r w:rsidR="00B2771D">
        <w:rPr>
          <w:rFonts w:asciiTheme="minorHAnsi" w:eastAsia="Calibri" w:hAnsiTheme="minorHAnsi" w:cstheme="minorHAnsi"/>
          <w:lang w:val="en-US"/>
        </w:rPr>
        <w:t>, 2</w:t>
      </w:r>
      <w:r w:rsidR="004C648A">
        <w:rPr>
          <w:rFonts w:asciiTheme="minorHAnsi" w:eastAsia="Calibri" w:hAnsiTheme="minorHAnsi" w:cstheme="minorHAnsi"/>
          <w:lang w:val="en-US"/>
        </w:rPr>
        <w:t>020</w:t>
      </w:r>
      <w:r w:rsidR="00B2771D">
        <w:rPr>
          <w:rFonts w:asciiTheme="minorHAnsi" w:eastAsia="Calibri" w:hAnsiTheme="minorHAnsi" w:cstheme="minorHAnsi"/>
          <w:lang w:val="en-US"/>
        </w:rPr>
        <w:t>)</w:t>
      </w:r>
      <w:r w:rsidR="004C648A">
        <w:rPr>
          <w:rFonts w:asciiTheme="minorHAnsi" w:eastAsia="Calibri" w:hAnsiTheme="minorHAnsi" w:cstheme="minorHAnsi"/>
          <w:lang w:val="en-US"/>
        </w:rPr>
        <w:t>.</w:t>
      </w:r>
      <w:r w:rsidR="00B2771D">
        <w:rPr>
          <w:rFonts w:asciiTheme="minorHAnsi" w:eastAsia="Calibri" w:hAnsiTheme="minorHAnsi" w:cstheme="minorHAnsi"/>
          <w:lang w:val="en-US"/>
        </w:rPr>
        <w:t xml:space="preserve"> </w:t>
      </w:r>
      <w:r w:rsidR="00C47BEF" w:rsidRPr="004556EC">
        <w:rPr>
          <w:rFonts w:asciiTheme="minorHAnsi" w:eastAsia="Calibri" w:hAnsiTheme="minorHAnsi" w:cstheme="minorHAnsi"/>
          <w:lang w:val="en-US"/>
        </w:rPr>
        <w:t>T</w:t>
      </w:r>
      <w:r w:rsidRPr="004556EC">
        <w:rPr>
          <w:rFonts w:asciiTheme="minorHAnsi" w:eastAsia="Calibri" w:hAnsiTheme="minorHAnsi" w:cstheme="minorHAnsi"/>
          <w:lang w:val="en-US"/>
        </w:rPr>
        <w:t>he level of dispersion for the model is estimated for each industry sector and the aggregate market. It is reasonable to expect that industry herding may be affected by market conditions characteri</w:t>
      </w:r>
      <w:r w:rsidR="00966181">
        <w:rPr>
          <w:rFonts w:asciiTheme="minorHAnsi" w:eastAsia="Calibri" w:hAnsiTheme="minorHAnsi" w:cstheme="minorHAnsi"/>
          <w:lang w:val="en-US"/>
        </w:rPr>
        <w:t>s</w:t>
      </w:r>
      <w:r w:rsidRPr="004556EC">
        <w:rPr>
          <w:rFonts w:asciiTheme="minorHAnsi" w:eastAsia="Calibri" w:hAnsiTheme="minorHAnsi" w:cstheme="minorHAnsi"/>
          <w:lang w:val="en-US"/>
        </w:rPr>
        <w:t xml:space="preserve">ed by market returns, volatility and trading volume. </w:t>
      </w:r>
      <w:r w:rsidR="007D4D99">
        <w:rPr>
          <w:rFonts w:asciiTheme="minorHAnsi" w:eastAsia="Calibri" w:hAnsiTheme="minorHAnsi" w:cstheme="minorHAnsi"/>
          <w:lang w:val="en-US"/>
        </w:rPr>
        <w:t xml:space="preserve">Consequently, we </w:t>
      </w:r>
      <w:r w:rsidRPr="004556EC">
        <w:rPr>
          <w:rFonts w:asciiTheme="minorHAnsi" w:eastAsia="Calibri" w:hAnsiTheme="minorHAnsi" w:cstheme="minorHAnsi"/>
          <w:lang w:val="en-US"/>
        </w:rPr>
        <w:t>test whether herding is contingent upon high and low market return</w:t>
      </w:r>
      <w:r w:rsidR="009B6E9C" w:rsidRPr="004556EC">
        <w:rPr>
          <w:rFonts w:asciiTheme="minorHAnsi" w:eastAsia="Calibri" w:hAnsiTheme="minorHAnsi" w:cstheme="minorHAnsi"/>
          <w:lang w:val="en-US"/>
        </w:rPr>
        <w:t>s</w:t>
      </w:r>
      <w:r w:rsidRPr="004556EC">
        <w:rPr>
          <w:rFonts w:asciiTheme="minorHAnsi" w:eastAsia="Calibri" w:hAnsiTheme="minorHAnsi" w:cstheme="minorHAnsi"/>
          <w:lang w:val="en-US"/>
        </w:rPr>
        <w:t>, market volatility and volume.</w:t>
      </w:r>
    </w:p>
    <w:p w14:paraId="110D42FB" w14:textId="5ECBC18A" w:rsidR="00550478" w:rsidRDefault="004D67D2" w:rsidP="004558C6">
      <w:pPr>
        <w:spacing w:line="360" w:lineRule="auto"/>
        <w:jc w:val="both"/>
        <w:rPr>
          <w:rFonts w:asciiTheme="minorHAnsi" w:eastAsia="Calibri" w:hAnsiTheme="minorHAnsi" w:cstheme="minorHAnsi"/>
          <w:lang w:val="en-US"/>
        </w:rPr>
      </w:pPr>
      <w:r w:rsidRPr="004556EC">
        <w:rPr>
          <w:rFonts w:asciiTheme="minorHAnsi" w:eastAsia="Calibri" w:hAnsiTheme="minorHAnsi" w:cstheme="minorHAnsi"/>
          <w:lang w:val="en-US" w:eastAsia="en-US"/>
        </w:rPr>
        <w:t>To test if industry herding is contingent upon market/sector returns</w:t>
      </w:r>
      <w:r w:rsidR="00550478" w:rsidRPr="004556EC">
        <w:rPr>
          <w:rFonts w:asciiTheme="minorHAnsi" w:eastAsia="Calibri" w:hAnsiTheme="minorHAnsi" w:cstheme="minorHAnsi"/>
          <w:lang w:val="en-US"/>
        </w:rPr>
        <w:t>, we estimate  model</w:t>
      </w:r>
      <w:r w:rsidR="00033239" w:rsidRPr="004556EC">
        <w:rPr>
          <w:rFonts w:asciiTheme="minorHAnsi" w:eastAsia="Calibri" w:hAnsiTheme="minorHAnsi" w:cstheme="minorHAnsi"/>
          <w:lang w:val="en-US"/>
        </w:rPr>
        <w:t xml:space="preserve"> 2 which is as follows</w:t>
      </w:r>
      <w:r w:rsidR="00550478" w:rsidRPr="004556EC">
        <w:rPr>
          <w:rFonts w:asciiTheme="minorHAnsi" w:eastAsia="Calibri" w:hAnsiTheme="minorHAnsi" w:cstheme="minorHAnsi"/>
          <w:lang w:val="en-US"/>
        </w:rPr>
        <w:t>:</w:t>
      </w:r>
    </w:p>
    <w:p w14:paraId="49CCC471" w14:textId="77777777" w:rsidR="004558C6" w:rsidRPr="004556EC" w:rsidRDefault="004558C6" w:rsidP="004558C6">
      <w:pPr>
        <w:spacing w:line="360" w:lineRule="auto"/>
        <w:jc w:val="both"/>
        <w:rPr>
          <w:rFonts w:asciiTheme="minorHAnsi" w:eastAsia="Calibri" w:hAnsiTheme="minorHAnsi" w:cstheme="minorHAnsi"/>
          <w:lang w:val="en-US"/>
        </w:rPr>
      </w:pPr>
    </w:p>
    <w:p w14:paraId="44CF5526" w14:textId="284B3E43" w:rsidR="00550478" w:rsidRDefault="00550478" w:rsidP="004558C6">
      <w:pPr>
        <w:spacing w:line="360" w:lineRule="auto"/>
        <w:ind w:firstLine="720"/>
        <w:jc w:val="both"/>
        <w:rPr>
          <w:rFonts w:asciiTheme="minorHAnsi" w:eastAsia="Calibri" w:hAnsiTheme="minorHAnsi" w:cstheme="minorHAnsi"/>
          <w:lang w:val="en-US"/>
        </w:rPr>
      </w:pPr>
      <w:r w:rsidRPr="004556EC">
        <w:rPr>
          <w:rFonts w:asciiTheme="minorHAnsi" w:eastAsia="Calibri" w:hAnsiTheme="minorHAnsi" w:cstheme="minorHAnsi"/>
          <w:lang w:val="en-US"/>
        </w:rPr>
        <w:t xml:space="preserve"> </w:t>
      </w:r>
      <m:oMath>
        <m:sSub>
          <m:sSubPr>
            <m:ctrlPr>
              <w:rPr>
                <w:rFonts w:ascii="Cambria Math" w:eastAsia="Calibri" w:hAnsi="Cambria Math" w:cstheme="minorHAnsi"/>
                <w:lang w:val="en-US"/>
              </w:rPr>
            </m:ctrlPr>
          </m:sSubPr>
          <m:e>
            <m:r>
              <w:rPr>
                <w:rFonts w:ascii="Cambria Math" w:eastAsia="Calibri" w:hAnsi="Cambria Math" w:cstheme="minorHAnsi"/>
                <w:lang w:val="en-US"/>
              </w:rPr>
              <m:t>CSAD</m:t>
            </m:r>
          </m:e>
          <m:sub>
            <m:r>
              <w:rPr>
                <w:rFonts w:ascii="Cambria Math" w:eastAsia="Calibri" w:hAnsi="Cambria Math" w:cstheme="minorHAnsi"/>
                <w:lang w:val="en-US"/>
              </w:rPr>
              <m:t>t</m:t>
            </m:r>
          </m:sub>
        </m:sSub>
        <m:r>
          <m:rPr>
            <m:sty m:val="p"/>
          </m:rPr>
          <w:rPr>
            <w:rFonts w:ascii="Cambria Math" w:eastAsia="Calibri" w:hAnsi="Cambria Math" w:cstheme="minorHAnsi"/>
            <w:lang w:val="en-US"/>
          </w:rPr>
          <m:t>=</m:t>
        </m:r>
        <m:r>
          <w:rPr>
            <w:rFonts w:ascii="Cambria Math" w:eastAsia="Calibri" w:hAnsi="Cambria Math" w:cstheme="minorHAnsi"/>
            <w:lang w:val="en-US"/>
          </w:rPr>
          <m:t>α</m:t>
        </m:r>
        <m:r>
          <m:rPr>
            <m:sty m:val="p"/>
          </m:rPr>
          <w:rPr>
            <w:rFonts w:ascii="Cambria Math" w:eastAsia="Calibri" w:hAnsi="Cambria Math" w:cstheme="minorHAnsi"/>
            <w:lang w:val="en-US"/>
          </w:rPr>
          <m:t>+</m:t>
        </m:r>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1</m:t>
            </m:r>
          </m:sub>
        </m:sSub>
        <m:sSup>
          <m:sSupPr>
            <m:ctrlPr>
              <w:rPr>
                <w:rFonts w:ascii="Cambria Math" w:eastAsia="Calibri" w:hAnsi="Cambria Math" w:cstheme="minorHAnsi"/>
                <w:i/>
                <w:lang w:val="en-US"/>
              </w:rPr>
            </m:ctrlPr>
          </m:sSupPr>
          <m:e>
            <m:r>
              <w:rPr>
                <w:rFonts w:ascii="Cambria Math" w:eastAsia="Calibri" w:hAnsi="Cambria Math" w:cstheme="minorHAnsi"/>
                <w:lang w:val="en-US"/>
              </w:rPr>
              <m:t>D</m:t>
            </m:r>
          </m:e>
          <m:sup>
            <m:r>
              <w:rPr>
                <w:rFonts w:ascii="Cambria Math" w:eastAsia="Calibri" w:hAnsi="Cambria Math" w:cstheme="minorHAnsi"/>
                <w:lang w:val="en-US"/>
              </w:rPr>
              <m:t>up</m:t>
            </m:r>
          </m:sup>
        </m:sSup>
        <m:d>
          <m:dPr>
            <m:begChr m:val="|"/>
            <m:endChr m:val="|"/>
            <m:ctrlPr>
              <w:rPr>
                <w:rFonts w:ascii="Cambria Math" w:eastAsia="Calibri" w:hAnsi="Cambria Math" w:cstheme="minorHAnsi"/>
                <w:lang w:val="en-US"/>
              </w:rPr>
            </m:ctrlPr>
          </m:dPr>
          <m:e>
            <m:sSub>
              <m:sSubPr>
                <m:ctrlPr>
                  <w:rPr>
                    <w:rFonts w:ascii="Cambria Math" w:eastAsia="Calibri" w:hAnsi="Cambria Math" w:cstheme="minorHAnsi"/>
                    <w:lang w:val="en-US"/>
                  </w:rPr>
                </m:ctrlPr>
              </m:sSubPr>
              <m:e>
                <m:r>
                  <w:rPr>
                    <w:rFonts w:ascii="Cambria Math" w:eastAsia="Calibri" w:hAnsi="Cambria Math" w:cstheme="minorHAnsi"/>
                    <w:lang w:val="en-US"/>
                  </w:rPr>
                  <m:t>R</m:t>
                </m:r>
              </m:e>
              <m:sub>
                <m:r>
                  <w:rPr>
                    <w:rFonts w:ascii="Cambria Math" w:eastAsia="Calibri" w:hAnsi="Cambria Math" w:cstheme="minorHAnsi"/>
                    <w:lang w:val="en-US"/>
                  </w:rPr>
                  <m:t>m</m:t>
                </m:r>
                <m:r>
                  <m:rPr>
                    <m:sty m:val="p"/>
                  </m:rPr>
                  <w:rPr>
                    <w:rFonts w:ascii="Cambria Math" w:eastAsia="Calibri" w:hAnsi="Cambria Math" w:cstheme="minorHAnsi"/>
                    <w:lang w:val="en-US"/>
                  </w:rPr>
                  <m:t>,</m:t>
                </m:r>
                <m:r>
                  <w:rPr>
                    <w:rFonts w:ascii="Cambria Math" w:eastAsia="Calibri" w:hAnsi="Cambria Math" w:cstheme="minorHAnsi"/>
                    <w:lang w:val="en-US"/>
                  </w:rPr>
                  <m:t>t</m:t>
                </m:r>
              </m:sub>
            </m:sSub>
          </m:e>
        </m:d>
        <m:r>
          <m:rPr>
            <m:sty m:val="p"/>
          </m:rPr>
          <w:rPr>
            <w:rFonts w:ascii="Cambria Math" w:eastAsia="Calibri" w:hAnsi="Cambria Math" w:cstheme="minorHAnsi"/>
            <w:lang w:val="en-US"/>
          </w:rPr>
          <m:t>+</m:t>
        </m:r>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2  </m:t>
            </m:r>
          </m:sub>
        </m:sSub>
        <m:d>
          <m:dPr>
            <m:ctrlPr>
              <w:rPr>
                <w:rFonts w:ascii="Cambria Math" w:eastAsia="Calibri" w:hAnsi="Cambria Math" w:cstheme="minorHAnsi"/>
                <w:lang w:val="en-US"/>
              </w:rPr>
            </m:ctrlPr>
          </m:dPr>
          <m:e>
            <m:r>
              <w:rPr>
                <w:rFonts w:ascii="Cambria Math" w:eastAsia="Calibri" w:hAnsi="Cambria Math" w:cstheme="minorHAnsi"/>
                <w:lang w:val="en-US"/>
              </w:rPr>
              <m:t>1-</m:t>
            </m:r>
            <m:sSup>
              <m:sSupPr>
                <m:ctrlPr>
                  <w:rPr>
                    <w:rFonts w:ascii="Cambria Math" w:eastAsia="Calibri" w:hAnsi="Cambria Math" w:cstheme="minorHAnsi"/>
                    <w:i/>
                    <w:lang w:val="en-US"/>
                  </w:rPr>
                </m:ctrlPr>
              </m:sSupPr>
              <m:e>
                <m:r>
                  <w:rPr>
                    <w:rFonts w:ascii="Cambria Math" w:eastAsia="Calibri" w:hAnsi="Cambria Math" w:cstheme="minorHAnsi"/>
                    <w:lang w:val="en-US"/>
                  </w:rPr>
                  <m:t>D</m:t>
                </m:r>
              </m:e>
              <m:sup>
                <m:r>
                  <w:rPr>
                    <w:rFonts w:ascii="Cambria Math" w:eastAsia="Calibri" w:hAnsi="Cambria Math" w:cstheme="minorHAnsi"/>
                    <w:lang w:val="en-US"/>
                  </w:rPr>
                  <m:t>up</m:t>
                </m:r>
              </m:sup>
            </m:sSup>
          </m:e>
        </m:d>
        <m:d>
          <m:dPr>
            <m:begChr m:val="|"/>
            <m:endChr m:val="|"/>
            <m:ctrlPr>
              <w:rPr>
                <w:rFonts w:ascii="Cambria Math" w:eastAsia="Calibri" w:hAnsi="Cambria Math" w:cstheme="minorHAnsi"/>
                <w:i/>
                <w:lang w:val="en-US"/>
              </w:rPr>
            </m:ctrlPr>
          </m:dPr>
          <m:e>
            <m:sSub>
              <m:sSubPr>
                <m:ctrlPr>
                  <w:rPr>
                    <w:rFonts w:ascii="Cambria Math" w:eastAsia="Calibri" w:hAnsi="Cambria Math" w:cstheme="minorHAnsi"/>
                    <w:i/>
                    <w:lang w:val="en-US"/>
                  </w:rPr>
                </m:ctrlPr>
              </m:sSubPr>
              <m:e>
                <m:r>
                  <w:rPr>
                    <w:rFonts w:ascii="Cambria Math" w:eastAsia="Calibri" w:hAnsi="Cambria Math" w:cstheme="minorHAnsi"/>
                    <w:lang w:val="en-US"/>
                  </w:rPr>
                  <m:t>R</m:t>
                </m:r>
              </m:e>
              <m:sub>
                <m:r>
                  <w:rPr>
                    <w:rFonts w:ascii="Cambria Math" w:eastAsia="Calibri" w:hAnsi="Cambria Math" w:cstheme="minorHAnsi"/>
                    <w:lang w:val="en-US"/>
                  </w:rPr>
                  <m:t>m,t</m:t>
                </m:r>
              </m:sub>
            </m:sSub>
          </m:e>
        </m:d>
        <m:r>
          <m:rPr>
            <m:sty m:val="p"/>
          </m:rPr>
          <w:rPr>
            <w:rFonts w:ascii="Cambria Math" w:eastAsia="Calibri" w:hAnsi="Cambria Math" w:cstheme="minorHAnsi"/>
            <w:lang w:val="en-US"/>
          </w:rPr>
          <m:t>+</m:t>
        </m:r>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3  </m:t>
            </m:r>
          </m:sub>
        </m:sSub>
        <m:sSup>
          <m:sSupPr>
            <m:ctrlPr>
              <w:rPr>
                <w:rFonts w:ascii="Cambria Math" w:eastAsia="Calibri" w:hAnsi="Cambria Math" w:cstheme="minorHAnsi"/>
                <w:i/>
                <w:lang w:val="en-US"/>
              </w:rPr>
            </m:ctrlPr>
          </m:sSupPr>
          <m:e>
            <m:r>
              <w:rPr>
                <w:rFonts w:ascii="Cambria Math" w:eastAsia="Calibri" w:hAnsi="Cambria Math" w:cstheme="minorHAnsi"/>
                <w:lang w:val="en-US"/>
              </w:rPr>
              <m:t>D</m:t>
            </m:r>
          </m:e>
          <m:sup>
            <m:r>
              <w:rPr>
                <w:rFonts w:ascii="Cambria Math" w:eastAsia="Calibri" w:hAnsi="Cambria Math" w:cstheme="minorHAnsi"/>
                <w:lang w:val="en-US"/>
              </w:rPr>
              <m:t>up</m:t>
            </m:r>
          </m:sup>
        </m:sSup>
        <m:sSup>
          <m:sSupPr>
            <m:ctrlPr>
              <w:rPr>
                <w:rFonts w:ascii="Cambria Math" w:eastAsia="Calibri" w:hAnsi="Cambria Math" w:cstheme="minorHAnsi"/>
                <w:i/>
                <w:lang w:val="en-US"/>
              </w:rPr>
            </m:ctrlPr>
          </m:sSupPr>
          <m:e>
            <m:d>
              <m:dPr>
                <m:ctrlPr>
                  <w:rPr>
                    <w:rFonts w:ascii="Cambria Math" w:eastAsia="Calibri" w:hAnsi="Cambria Math" w:cstheme="minorHAnsi"/>
                    <w:i/>
                    <w:lang w:val="en-US"/>
                  </w:rPr>
                </m:ctrlPr>
              </m:dPr>
              <m:e>
                <m:sSub>
                  <m:sSubPr>
                    <m:ctrlPr>
                      <w:rPr>
                        <w:rFonts w:ascii="Cambria Math" w:eastAsia="Calibri" w:hAnsi="Cambria Math" w:cstheme="minorHAnsi"/>
                        <w:i/>
                        <w:lang w:val="en-US"/>
                      </w:rPr>
                    </m:ctrlPr>
                  </m:sSubPr>
                  <m:e>
                    <m:r>
                      <w:rPr>
                        <w:rFonts w:ascii="Cambria Math" w:eastAsia="Calibri" w:hAnsi="Cambria Math" w:cstheme="minorHAnsi"/>
                        <w:lang w:val="en-US"/>
                      </w:rPr>
                      <m:t>R</m:t>
                    </m:r>
                  </m:e>
                  <m:sub>
                    <m:r>
                      <w:rPr>
                        <w:rFonts w:ascii="Cambria Math" w:eastAsia="Calibri" w:hAnsi="Cambria Math" w:cstheme="minorHAnsi"/>
                        <w:lang w:val="en-US"/>
                      </w:rPr>
                      <m:t>m.t</m:t>
                    </m:r>
                  </m:sub>
                </m:sSub>
              </m:e>
            </m:d>
          </m:e>
          <m:sup>
            <m:r>
              <w:rPr>
                <w:rFonts w:ascii="Cambria Math" w:eastAsia="Calibri" w:hAnsi="Cambria Math" w:cstheme="minorHAnsi"/>
                <w:lang w:val="en-US"/>
              </w:rPr>
              <m:t>2</m:t>
            </m:r>
          </m:sup>
        </m:sSup>
        <m:r>
          <w:rPr>
            <w:rFonts w:ascii="Cambria Math" w:eastAsia="Calibri" w:hAnsi="Cambria Math" w:cstheme="minorHAnsi"/>
            <w:lang w:val="en-US"/>
          </w:rPr>
          <m:t xml:space="preserve">   +</m:t>
        </m:r>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4  </m:t>
            </m:r>
          </m:sub>
        </m:sSub>
        <m:d>
          <m:dPr>
            <m:ctrlPr>
              <w:rPr>
                <w:rFonts w:ascii="Cambria Math" w:eastAsia="Calibri" w:hAnsi="Cambria Math" w:cstheme="minorHAnsi"/>
                <w:i/>
                <w:lang w:val="en-US"/>
              </w:rPr>
            </m:ctrlPr>
          </m:dPr>
          <m:e>
            <m:r>
              <w:rPr>
                <w:rFonts w:ascii="Cambria Math" w:eastAsia="Calibri" w:hAnsi="Cambria Math" w:cstheme="minorHAnsi"/>
                <w:lang w:val="en-US"/>
              </w:rPr>
              <m:t>1-</m:t>
            </m:r>
            <m:sSup>
              <m:sSupPr>
                <m:ctrlPr>
                  <w:rPr>
                    <w:rFonts w:ascii="Cambria Math" w:eastAsia="Calibri" w:hAnsi="Cambria Math" w:cstheme="minorHAnsi"/>
                    <w:i/>
                    <w:lang w:val="en-US"/>
                  </w:rPr>
                </m:ctrlPr>
              </m:sSupPr>
              <m:e>
                <m:r>
                  <w:rPr>
                    <w:rFonts w:ascii="Cambria Math" w:eastAsia="Calibri" w:hAnsi="Cambria Math" w:cstheme="minorHAnsi"/>
                    <w:lang w:val="en-US"/>
                  </w:rPr>
                  <m:t>D</m:t>
                </m:r>
              </m:e>
              <m:sup>
                <m:r>
                  <w:rPr>
                    <w:rFonts w:ascii="Cambria Math" w:eastAsia="Calibri" w:hAnsi="Cambria Math" w:cstheme="minorHAnsi"/>
                    <w:lang w:val="en-US"/>
                  </w:rPr>
                  <m:t>up</m:t>
                </m:r>
              </m:sup>
            </m:sSup>
          </m:e>
        </m:d>
        <m:sSup>
          <m:sSupPr>
            <m:ctrlPr>
              <w:rPr>
                <w:rFonts w:ascii="Cambria Math" w:eastAsia="Calibri" w:hAnsi="Cambria Math" w:cstheme="minorHAnsi"/>
                <w:i/>
                <w:lang w:val="en-US"/>
              </w:rPr>
            </m:ctrlPr>
          </m:sSupPr>
          <m:e>
            <m:d>
              <m:dPr>
                <m:ctrlPr>
                  <w:rPr>
                    <w:rFonts w:ascii="Cambria Math" w:eastAsia="Calibri" w:hAnsi="Cambria Math" w:cstheme="minorHAnsi"/>
                    <w:i/>
                    <w:lang w:val="en-US"/>
                  </w:rPr>
                </m:ctrlPr>
              </m:dPr>
              <m:e>
                <m:sSub>
                  <m:sSubPr>
                    <m:ctrlPr>
                      <w:rPr>
                        <w:rFonts w:ascii="Cambria Math" w:eastAsia="Calibri" w:hAnsi="Cambria Math" w:cstheme="minorHAnsi"/>
                        <w:i/>
                        <w:lang w:val="en-US"/>
                      </w:rPr>
                    </m:ctrlPr>
                  </m:sSubPr>
                  <m:e>
                    <m:r>
                      <w:rPr>
                        <w:rFonts w:ascii="Cambria Math" w:eastAsia="Calibri" w:hAnsi="Cambria Math" w:cstheme="minorHAnsi"/>
                        <w:lang w:val="en-US"/>
                      </w:rPr>
                      <m:t>R</m:t>
                    </m:r>
                  </m:e>
                  <m:sub>
                    <m:r>
                      <w:rPr>
                        <w:rFonts w:ascii="Cambria Math" w:eastAsia="Calibri" w:hAnsi="Cambria Math" w:cstheme="minorHAnsi"/>
                        <w:lang w:val="en-US"/>
                      </w:rPr>
                      <m:t>m.t</m:t>
                    </m:r>
                  </m:sub>
                </m:sSub>
              </m:e>
            </m:d>
          </m:e>
          <m:sup>
            <m:r>
              <w:rPr>
                <w:rFonts w:ascii="Cambria Math" w:eastAsia="Calibri" w:hAnsi="Cambria Math" w:cstheme="minorHAnsi"/>
                <w:lang w:val="en-US"/>
              </w:rPr>
              <m:t>2</m:t>
            </m:r>
          </m:sup>
        </m:sSup>
        <m:r>
          <w:rPr>
            <w:rFonts w:ascii="Cambria Math" w:eastAsia="Calibri" w:hAnsi="Cambria Math" w:cstheme="minorHAnsi"/>
            <w:lang w:val="en-US"/>
          </w:rPr>
          <m:t>+</m:t>
        </m:r>
        <m:sSub>
          <m:sSubPr>
            <m:ctrlPr>
              <w:rPr>
                <w:rFonts w:ascii="Cambria Math" w:eastAsia="Calibri" w:hAnsi="Cambria Math" w:cstheme="minorHAnsi"/>
                <w:i/>
                <w:lang w:val="en-US"/>
              </w:rPr>
            </m:ctrlPr>
          </m:sSubPr>
          <m:e>
            <m:r>
              <w:rPr>
                <w:rFonts w:ascii="Cambria Math" w:eastAsia="Calibri" w:hAnsi="Cambria Math" w:cstheme="minorHAnsi"/>
                <w:lang w:val="en-US"/>
              </w:rPr>
              <m:t>ε</m:t>
            </m:r>
          </m:e>
          <m:sub>
            <m:r>
              <w:rPr>
                <w:rFonts w:ascii="Cambria Math" w:eastAsia="Calibri" w:hAnsi="Cambria Math" w:cstheme="minorHAnsi"/>
                <w:lang w:val="en-US"/>
              </w:rPr>
              <m:t>t</m:t>
            </m:r>
          </m:sub>
        </m:sSub>
      </m:oMath>
      <w:r w:rsidRPr="004556EC">
        <w:rPr>
          <w:rFonts w:asciiTheme="minorHAnsi" w:eastAsia="Calibri" w:hAnsiTheme="minorHAnsi" w:cstheme="minorHAnsi"/>
          <w:lang w:val="en-US"/>
        </w:rPr>
        <w:t xml:space="preserve">                 </w:t>
      </w:r>
      <w:r w:rsidRPr="004556EC">
        <w:rPr>
          <w:rFonts w:asciiTheme="minorHAnsi" w:eastAsia="Calibri" w:hAnsiTheme="minorHAnsi" w:cstheme="minorHAnsi"/>
          <w:lang w:val="en-US"/>
        </w:rPr>
        <w:tab/>
      </w:r>
      <w:r w:rsidRPr="004556EC">
        <w:rPr>
          <w:rFonts w:asciiTheme="minorHAnsi" w:eastAsia="Calibri" w:hAnsiTheme="minorHAnsi" w:cstheme="minorHAnsi"/>
          <w:lang w:val="en-US"/>
        </w:rPr>
        <w:tab/>
      </w:r>
      <w:r w:rsidRPr="004556EC">
        <w:rPr>
          <w:rFonts w:asciiTheme="minorHAnsi" w:eastAsia="Calibri" w:hAnsiTheme="minorHAnsi" w:cstheme="minorHAnsi"/>
          <w:lang w:val="en-US"/>
        </w:rPr>
        <w:tab/>
      </w:r>
      <w:r w:rsidRPr="004556EC">
        <w:rPr>
          <w:rFonts w:asciiTheme="minorHAnsi" w:eastAsia="Calibri" w:hAnsiTheme="minorHAnsi" w:cstheme="minorHAnsi"/>
          <w:lang w:val="en-US"/>
        </w:rPr>
        <w:tab/>
      </w:r>
      <w:r w:rsidRPr="004556EC">
        <w:rPr>
          <w:rFonts w:asciiTheme="minorHAnsi" w:eastAsia="Calibri" w:hAnsiTheme="minorHAnsi" w:cstheme="minorHAnsi"/>
          <w:lang w:val="en-US"/>
        </w:rPr>
        <w:tab/>
      </w:r>
      <w:r w:rsidRPr="004556EC">
        <w:rPr>
          <w:rFonts w:asciiTheme="minorHAnsi" w:eastAsia="Calibri" w:hAnsiTheme="minorHAnsi" w:cstheme="minorHAnsi"/>
          <w:lang w:val="en-US"/>
        </w:rPr>
        <w:tab/>
      </w:r>
      <w:r w:rsidRPr="004556EC">
        <w:rPr>
          <w:rFonts w:asciiTheme="minorHAnsi" w:eastAsia="Calibri" w:hAnsiTheme="minorHAnsi" w:cstheme="minorHAnsi"/>
          <w:lang w:val="en-US"/>
        </w:rPr>
        <w:tab/>
      </w:r>
      <w:r w:rsidR="00C47BEF" w:rsidRPr="004556EC">
        <w:rPr>
          <w:rFonts w:asciiTheme="minorHAnsi" w:eastAsia="Calibri" w:hAnsiTheme="minorHAnsi" w:cstheme="minorHAnsi"/>
          <w:lang w:val="en-US"/>
        </w:rPr>
        <w:t xml:space="preserve"> </w:t>
      </w:r>
      <w:r w:rsidR="008D5E7D" w:rsidRPr="004556EC">
        <w:rPr>
          <w:rFonts w:asciiTheme="minorHAnsi" w:eastAsia="Calibri" w:hAnsiTheme="minorHAnsi" w:cstheme="minorHAnsi"/>
          <w:lang w:val="en-US"/>
        </w:rPr>
        <w:t>(3</w:t>
      </w:r>
      <w:r w:rsidRPr="004556EC">
        <w:rPr>
          <w:rFonts w:asciiTheme="minorHAnsi" w:eastAsia="Calibri" w:hAnsiTheme="minorHAnsi" w:cstheme="minorHAnsi"/>
          <w:lang w:val="en-US"/>
        </w:rPr>
        <w:t>)</w:t>
      </w:r>
    </w:p>
    <w:p w14:paraId="3B9AA375" w14:textId="77777777" w:rsidR="004558C6" w:rsidRPr="004556EC" w:rsidRDefault="004558C6" w:rsidP="004558C6">
      <w:pPr>
        <w:spacing w:line="360" w:lineRule="auto"/>
        <w:jc w:val="both"/>
        <w:rPr>
          <w:rFonts w:asciiTheme="minorHAnsi" w:eastAsia="Calibri" w:hAnsiTheme="minorHAnsi" w:cstheme="minorHAnsi"/>
          <w:lang w:val="en-US"/>
        </w:rPr>
      </w:pPr>
    </w:p>
    <w:p w14:paraId="610274F6" w14:textId="032320C4" w:rsidR="001011D3" w:rsidRPr="004556EC" w:rsidRDefault="00895ECF" w:rsidP="004558C6">
      <w:pPr>
        <w:spacing w:line="360" w:lineRule="auto"/>
        <w:jc w:val="both"/>
        <w:rPr>
          <w:rFonts w:asciiTheme="minorHAnsi" w:eastAsia="Calibri" w:hAnsiTheme="minorHAnsi" w:cstheme="minorHAnsi"/>
          <w:lang w:val="en-US"/>
        </w:rPr>
      </w:pPr>
      <m:oMath>
        <m:sSup>
          <m:sSupPr>
            <m:ctrlPr>
              <w:rPr>
                <w:rFonts w:ascii="Cambria Math" w:eastAsia="Calibri" w:hAnsi="Cambria Math" w:cstheme="minorHAnsi"/>
                <w:i/>
                <w:lang w:val="en-US"/>
              </w:rPr>
            </m:ctrlPr>
          </m:sSupPr>
          <m:e>
            <m:r>
              <w:rPr>
                <w:rFonts w:ascii="Cambria Math" w:eastAsia="Calibri" w:hAnsi="Cambria Math" w:cstheme="minorHAnsi"/>
                <w:lang w:val="en-US"/>
              </w:rPr>
              <m:t>D</m:t>
            </m:r>
          </m:e>
          <m:sup>
            <m:r>
              <w:rPr>
                <w:rFonts w:ascii="Cambria Math" w:eastAsia="Calibri" w:hAnsi="Cambria Math" w:cstheme="minorHAnsi"/>
                <w:lang w:val="en-US"/>
              </w:rPr>
              <m:t>up</m:t>
            </m:r>
          </m:sup>
        </m:sSup>
      </m:oMath>
      <w:r w:rsidR="00550478" w:rsidRPr="004556EC">
        <w:rPr>
          <w:rFonts w:asciiTheme="minorHAnsi" w:eastAsia="Calibri" w:hAnsiTheme="minorHAnsi" w:cstheme="minorHAnsi"/>
          <w:vertAlign w:val="superscript"/>
          <w:lang w:val="en-US"/>
        </w:rPr>
        <w:t xml:space="preserve"> </w:t>
      </w:r>
      <w:r w:rsidR="00550478" w:rsidRPr="004556EC">
        <w:rPr>
          <w:rFonts w:asciiTheme="minorHAnsi" w:eastAsia="Calibri" w:hAnsiTheme="minorHAnsi" w:cstheme="minorHAnsi"/>
          <w:lang w:val="en-US"/>
        </w:rPr>
        <w:t>is a dummy variable with a value of 1 for days with positive market returns and a value of 0 for days with negative market returns, α is the constant, γ</w:t>
      </w:r>
      <w:r w:rsidR="00550478" w:rsidRPr="004556EC">
        <w:rPr>
          <w:rFonts w:asciiTheme="minorHAnsi" w:eastAsia="Calibri" w:hAnsiTheme="minorHAnsi" w:cstheme="minorHAnsi"/>
          <w:vertAlign w:val="subscript"/>
          <w:lang w:val="en-US"/>
        </w:rPr>
        <w:t>1</w:t>
      </w:r>
      <w:r w:rsidR="00550478" w:rsidRPr="004556EC">
        <w:rPr>
          <w:rFonts w:asciiTheme="minorHAnsi" w:eastAsia="Calibri" w:hAnsiTheme="minorHAnsi" w:cstheme="minorHAnsi"/>
          <w:lang w:val="en-US"/>
        </w:rPr>
        <w:t>, γ</w:t>
      </w:r>
      <w:r w:rsidR="00550478" w:rsidRPr="004556EC">
        <w:rPr>
          <w:rFonts w:asciiTheme="minorHAnsi" w:eastAsia="Calibri" w:hAnsiTheme="minorHAnsi" w:cstheme="minorHAnsi"/>
          <w:vertAlign w:val="subscript"/>
          <w:lang w:val="en-US"/>
        </w:rPr>
        <w:t>2</w:t>
      </w:r>
      <w:r w:rsidR="00550478" w:rsidRPr="004556EC">
        <w:rPr>
          <w:rFonts w:asciiTheme="minorHAnsi" w:eastAsia="Calibri" w:hAnsiTheme="minorHAnsi" w:cstheme="minorHAnsi"/>
          <w:lang w:val="en-US"/>
        </w:rPr>
        <w:t>, γ</w:t>
      </w:r>
      <w:r w:rsidR="00550478" w:rsidRPr="004556EC">
        <w:rPr>
          <w:rFonts w:asciiTheme="minorHAnsi" w:eastAsia="Calibri" w:hAnsiTheme="minorHAnsi" w:cstheme="minorHAnsi"/>
          <w:vertAlign w:val="subscript"/>
          <w:lang w:val="en-US"/>
        </w:rPr>
        <w:t>3</w:t>
      </w:r>
      <w:r w:rsidR="00550478" w:rsidRPr="004556EC">
        <w:rPr>
          <w:rFonts w:asciiTheme="minorHAnsi" w:eastAsia="Calibri" w:hAnsiTheme="minorHAnsi" w:cstheme="minorHAnsi"/>
          <w:lang w:val="en-US"/>
        </w:rPr>
        <w:t>, γ</w:t>
      </w:r>
      <w:r w:rsidR="00550478" w:rsidRPr="004556EC">
        <w:rPr>
          <w:rFonts w:asciiTheme="minorHAnsi" w:eastAsia="Calibri" w:hAnsiTheme="minorHAnsi" w:cstheme="minorHAnsi"/>
          <w:vertAlign w:val="subscript"/>
          <w:lang w:val="en-US"/>
        </w:rPr>
        <w:t xml:space="preserve">4 </w:t>
      </w:r>
      <w:r w:rsidR="00550478" w:rsidRPr="004556EC">
        <w:rPr>
          <w:rFonts w:asciiTheme="minorHAnsi" w:eastAsia="Calibri" w:hAnsiTheme="minorHAnsi" w:cstheme="minorHAnsi"/>
          <w:lang w:val="en-US"/>
        </w:rPr>
        <w:t>are coefficients. The coefficients of interest are γ</w:t>
      </w:r>
      <w:r w:rsidR="00550478" w:rsidRPr="004556EC">
        <w:rPr>
          <w:rFonts w:asciiTheme="minorHAnsi" w:eastAsia="Calibri" w:hAnsiTheme="minorHAnsi" w:cstheme="minorHAnsi"/>
          <w:vertAlign w:val="subscript"/>
          <w:lang w:val="en-US"/>
        </w:rPr>
        <w:t>3</w:t>
      </w:r>
      <w:r w:rsidR="00550478" w:rsidRPr="004556EC">
        <w:rPr>
          <w:rFonts w:asciiTheme="minorHAnsi" w:eastAsia="Calibri" w:hAnsiTheme="minorHAnsi" w:cstheme="minorHAnsi"/>
          <w:lang w:val="en-US"/>
        </w:rPr>
        <w:t xml:space="preserve"> and γ</w:t>
      </w:r>
      <w:r w:rsidR="00550478" w:rsidRPr="004556EC">
        <w:rPr>
          <w:rFonts w:asciiTheme="minorHAnsi" w:eastAsia="Calibri" w:hAnsiTheme="minorHAnsi" w:cstheme="minorHAnsi"/>
          <w:vertAlign w:val="subscript"/>
          <w:lang w:val="en-US"/>
        </w:rPr>
        <w:t>4</w:t>
      </w:r>
      <w:r w:rsidR="008075EE">
        <w:rPr>
          <w:rStyle w:val="FootnoteReference"/>
          <w:rFonts w:asciiTheme="minorHAnsi" w:eastAsia="Calibri" w:hAnsiTheme="minorHAnsi" w:cstheme="minorHAnsi"/>
          <w:lang w:val="en-US"/>
        </w:rPr>
        <w:footnoteReference w:id="8"/>
      </w:r>
      <w:r w:rsidR="00550478" w:rsidRPr="004556EC">
        <w:rPr>
          <w:rFonts w:asciiTheme="minorHAnsi" w:eastAsia="Calibri" w:hAnsiTheme="minorHAnsi" w:cstheme="minorHAnsi"/>
          <w:vertAlign w:val="subscript"/>
          <w:lang w:val="en-US"/>
        </w:rPr>
        <w:t>.</w:t>
      </w:r>
      <w:r w:rsidR="00550478" w:rsidRPr="004556EC">
        <w:rPr>
          <w:rFonts w:asciiTheme="minorHAnsi" w:eastAsia="Calibri" w:hAnsiTheme="minorHAnsi" w:cstheme="minorHAnsi"/>
          <w:lang w:val="en-US"/>
        </w:rPr>
        <w:t xml:space="preserve"> </w:t>
      </w:r>
    </w:p>
    <w:p w14:paraId="364DD942" w14:textId="40F27BD8" w:rsidR="00550478" w:rsidRPr="004556EC" w:rsidRDefault="00550478" w:rsidP="004558C6">
      <w:pPr>
        <w:spacing w:line="360" w:lineRule="auto"/>
        <w:jc w:val="both"/>
        <w:rPr>
          <w:rFonts w:asciiTheme="minorHAnsi" w:eastAsia="Calibri" w:hAnsiTheme="minorHAnsi" w:cstheme="minorHAnsi"/>
          <w:lang w:val="en-US" w:eastAsia="en-US"/>
        </w:rPr>
      </w:pPr>
      <w:r w:rsidRPr="004556EC">
        <w:rPr>
          <w:rFonts w:asciiTheme="minorHAnsi" w:eastAsia="Calibri" w:hAnsiTheme="minorHAnsi" w:cstheme="minorHAnsi"/>
          <w:lang w:val="en-US"/>
        </w:rPr>
        <w:t xml:space="preserve">To test </w:t>
      </w:r>
      <w:r w:rsidR="004D67D2" w:rsidRPr="004556EC">
        <w:rPr>
          <w:rFonts w:asciiTheme="minorHAnsi" w:eastAsia="Calibri" w:hAnsiTheme="minorHAnsi" w:cstheme="minorHAnsi"/>
          <w:lang w:val="en-US"/>
        </w:rPr>
        <w:t xml:space="preserve">if </w:t>
      </w:r>
      <w:r w:rsidR="004D67D2" w:rsidRPr="004556EC">
        <w:rPr>
          <w:rFonts w:asciiTheme="minorHAnsi" w:eastAsia="Calibri" w:hAnsiTheme="minorHAnsi" w:cstheme="minorHAnsi"/>
          <w:lang w:val="en-US" w:eastAsia="en-US"/>
        </w:rPr>
        <w:t>industry he</w:t>
      </w:r>
      <w:r w:rsidR="009B6E9C" w:rsidRPr="004556EC">
        <w:rPr>
          <w:rFonts w:asciiTheme="minorHAnsi" w:eastAsia="Calibri" w:hAnsiTheme="minorHAnsi" w:cstheme="minorHAnsi"/>
          <w:lang w:val="en-US" w:eastAsia="en-US"/>
        </w:rPr>
        <w:t>rding is contingent upon market</w:t>
      </w:r>
      <w:r w:rsidR="004D67D2" w:rsidRPr="004556EC">
        <w:rPr>
          <w:rFonts w:asciiTheme="minorHAnsi" w:eastAsia="Calibri" w:hAnsiTheme="minorHAnsi" w:cstheme="minorHAnsi"/>
          <w:lang w:val="en-US" w:eastAsia="en-US"/>
        </w:rPr>
        <w:t>/sector volatility</w:t>
      </w:r>
      <w:r w:rsidRPr="004556EC">
        <w:rPr>
          <w:rFonts w:asciiTheme="minorHAnsi" w:eastAsia="Calibri" w:hAnsiTheme="minorHAnsi" w:cstheme="minorHAnsi"/>
          <w:lang w:val="en-US"/>
        </w:rPr>
        <w:t xml:space="preserve">, </w:t>
      </w:r>
      <w:r w:rsidR="00033239" w:rsidRPr="004556EC">
        <w:rPr>
          <w:rFonts w:asciiTheme="minorHAnsi" w:eastAsia="Calibri" w:hAnsiTheme="minorHAnsi" w:cstheme="minorHAnsi"/>
          <w:lang w:val="en-US"/>
        </w:rPr>
        <w:t>we estimate</w:t>
      </w:r>
      <w:r w:rsidR="00925314">
        <w:rPr>
          <w:rFonts w:asciiTheme="minorHAnsi" w:eastAsia="Calibri" w:hAnsiTheme="minorHAnsi" w:cstheme="minorHAnsi"/>
          <w:lang w:val="en-US"/>
        </w:rPr>
        <w:t xml:space="preserve"> </w:t>
      </w:r>
      <w:r w:rsidR="00033239" w:rsidRPr="004556EC">
        <w:rPr>
          <w:rFonts w:asciiTheme="minorHAnsi" w:eastAsia="Calibri" w:hAnsiTheme="minorHAnsi" w:cstheme="minorHAnsi"/>
          <w:lang w:val="en-US"/>
        </w:rPr>
        <w:t>model 3 which is as follows</w:t>
      </w:r>
      <w:r w:rsidRPr="004556EC">
        <w:rPr>
          <w:rFonts w:asciiTheme="minorHAnsi" w:eastAsia="Calibri" w:hAnsiTheme="minorHAnsi" w:cstheme="minorHAnsi"/>
          <w:lang w:val="en-US"/>
        </w:rPr>
        <w:t>:</w:t>
      </w:r>
    </w:p>
    <w:p w14:paraId="63949549" w14:textId="7CEB2993" w:rsidR="00550478" w:rsidRPr="004556EC" w:rsidRDefault="00550478" w:rsidP="004558C6">
      <w:pPr>
        <w:spacing w:line="360" w:lineRule="auto"/>
        <w:ind w:firstLine="720"/>
        <w:jc w:val="both"/>
        <w:rPr>
          <w:rFonts w:asciiTheme="minorHAnsi" w:eastAsia="Calibri" w:hAnsiTheme="minorHAnsi" w:cstheme="minorHAnsi"/>
          <w:lang w:val="en-US"/>
        </w:rPr>
      </w:pPr>
      <w:r w:rsidRPr="004556EC">
        <w:rPr>
          <w:rFonts w:asciiTheme="minorHAnsi" w:eastAsia="Calibri" w:hAnsiTheme="minorHAnsi" w:cstheme="minorHAnsi"/>
          <w:lang w:val="en-US"/>
        </w:rPr>
        <w:t xml:space="preserve"> </w:t>
      </w:r>
      <m:oMath>
        <m:sSub>
          <m:sSubPr>
            <m:ctrlPr>
              <w:rPr>
                <w:rFonts w:ascii="Cambria Math" w:eastAsia="Calibri" w:hAnsi="Cambria Math" w:cstheme="minorHAnsi"/>
                <w:lang w:val="en-US"/>
              </w:rPr>
            </m:ctrlPr>
          </m:sSubPr>
          <m:e>
            <m:r>
              <w:rPr>
                <w:rFonts w:ascii="Cambria Math" w:eastAsia="Calibri" w:hAnsi="Cambria Math" w:cstheme="minorHAnsi"/>
                <w:lang w:val="en-US"/>
              </w:rPr>
              <m:t>CSAD</m:t>
            </m:r>
          </m:e>
          <m:sub>
            <m:r>
              <w:rPr>
                <w:rFonts w:ascii="Cambria Math" w:eastAsia="Calibri" w:hAnsi="Cambria Math" w:cstheme="minorHAnsi"/>
                <w:lang w:val="en-US"/>
              </w:rPr>
              <m:t>t</m:t>
            </m:r>
          </m:sub>
        </m:sSub>
        <m:r>
          <m:rPr>
            <m:sty m:val="p"/>
          </m:rPr>
          <w:rPr>
            <w:rFonts w:ascii="Cambria Math" w:eastAsia="Calibri" w:hAnsi="Cambria Math" w:cstheme="minorHAnsi"/>
            <w:lang w:val="en-US"/>
          </w:rPr>
          <m:t>=</m:t>
        </m:r>
        <m:r>
          <w:rPr>
            <w:rFonts w:ascii="Cambria Math" w:eastAsia="Calibri" w:hAnsi="Cambria Math" w:cstheme="minorHAnsi"/>
            <w:lang w:val="en-US"/>
          </w:rPr>
          <m:t>α</m:t>
        </m:r>
        <m:r>
          <m:rPr>
            <m:sty m:val="p"/>
          </m:rPr>
          <w:rPr>
            <w:rFonts w:ascii="Cambria Math" w:eastAsia="Calibri" w:hAnsi="Cambria Math" w:cstheme="minorHAnsi"/>
            <w:lang w:val="en-US"/>
          </w:rPr>
          <m:t>+</m:t>
        </m:r>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1</m:t>
            </m:r>
          </m:sub>
        </m:sSub>
        <m:sSup>
          <m:sSupPr>
            <m:ctrlPr>
              <w:rPr>
                <w:rFonts w:ascii="Cambria Math" w:eastAsia="Calibri" w:hAnsi="Cambria Math" w:cstheme="minorHAnsi"/>
                <w:lang w:val="en-US"/>
              </w:rPr>
            </m:ctrlPr>
          </m:sSupPr>
          <m:e>
            <m:r>
              <w:rPr>
                <w:rFonts w:ascii="Cambria Math" w:eastAsia="Calibri" w:hAnsi="Cambria Math" w:cstheme="minorHAnsi"/>
                <w:lang w:val="en-US"/>
              </w:rPr>
              <m:t>D</m:t>
            </m:r>
          </m:e>
          <m:sup>
            <m:sSup>
              <m:sSupPr>
                <m:ctrlPr>
                  <w:rPr>
                    <w:rFonts w:ascii="Cambria Math" w:eastAsia="Calibri" w:hAnsi="Cambria Math" w:cstheme="minorHAnsi"/>
                    <w:lang w:val="en-US"/>
                  </w:rPr>
                </m:ctrlPr>
              </m:sSupPr>
              <m:e>
                <m:r>
                  <w:rPr>
                    <w:rFonts w:ascii="Cambria Math" w:eastAsia="Calibri" w:hAnsi="Cambria Math" w:cstheme="minorHAnsi"/>
                    <w:lang w:val="en-US"/>
                  </w:rPr>
                  <m:t>σ</m:t>
                </m:r>
              </m:e>
              <m:sup>
                <m:r>
                  <m:rPr>
                    <m:sty m:val="p"/>
                  </m:rPr>
                  <w:rPr>
                    <w:rFonts w:ascii="Cambria Math" w:eastAsia="Calibri" w:hAnsi="Cambria Math" w:cstheme="minorHAnsi"/>
                    <w:lang w:val="en-US"/>
                  </w:rPr>
                  <m:t>2</m:t>
                </m:r>
              </m:sup>
            </m:sSup>
            <m:r>
              <m:rPr>
                <m:sty m:val="p"/>
              </m:rPr>
              <w:rPr>
                <w:rFonts w:ascii="Cambria Math" w:eastAsia="Calibri" w:hAnsi="Cambria Math" w:cstheme="minorHAnsi"/>
                <w:lang w:val="en-US"/>
              </w:rPr>
              <m:t>-</m:t>
            </m:r>
            <m:r>
              <w:rPr>
                <w:rFonts w:ascii="Cambria Math" w:eastAsia="Calibri" w:hAnsi="Cambria Math" w:cstheme="minorHAnsi"/>
                <w:lang w:val="en-US"/>
              </w:rPr>
              <m:t>High</m:t>
            </m:r>
            <m:r>
              <m:rPr>
                <m:sty m:val="p"/>
              </m:rPr>
              <w:rPr>
                <w:rFonts w:ascii="Cambria Math" w:eastAsia="Calibri" w:hAnsi="Cambria Math" w:cstheme="minorHAnsi"/>
                <w:lang w:val="en-US"/>
              </w:rPr>
              <m:t xml:space="preserve"> </m:t>
            </m:r>
          </m:sup>
        </m:sSup>
        <m:d>
          <m:dPr>
            <m:begChr m:val="|"/>
            <m:endChr m:val="|"/>
            <m:ctrlPr>
              <w:rPr>
                <w:rFonts w:ascii="Cambria Math" w:eastAsia="Calibri" w:hAnsi="Cambria Math" w:cstheme="minorHAnsi"/>
                <w:lang w:val="en-US"/>
              </w:rPr>
            </m:ctrlPr>
          </m:dPr>
          <m:e>
            <m:sSub>
              <m:sSubPr>
                <m:ctrlPr>
                  <w:rPr>
                    <w:rFonts w:ascii="Cambria Math" w:eastAsia="Calibri" w:hAnsi="Cambria Math" w:cstheme="minorHAnsi"/>
                    <w:lang w:val="en-US"/>
                  </w:rPr>
                </m:ctrlPr>
              </m:sSubPr>
              <m:e>
                <m:r>
                  <w:rPr>
                    <w:rFonts w:ascii="Cambria Math" w:eastAsia="Calibri" w:hAnsi="Cambria Math" w:cstheme="minorHAnsi"/>
                    <w:lang w:val="en-US"/>
                  </w:rPr>
                  <m:t>R</m:t>
                </m:r>
              </m:e>
              <m:sub>
                <m:r>
                  <w:rPr>
                    <w:rFonts w:ascii="Cambria Math" w:eastAsia="Calibri" w:hAnsi="Cambria Math" w:cstheme="minorHAnsi"/>
                    <w:lang w:val="en-US"/>
                  </w:rPr>
                  <m:t>m</m:t>
                </m:r>
                <m:r>
                  <m:rPr>
                    <m:sty m:val="p"/>
                  </m:rPr>
                  <w:rPr>
                    <w:rFonts w:ascii="Cambria Math" w:eastAsia="Calibri" w:hAnsi="Cambria Math" w:cstheme="minorHAnsi"/>
                    <w:lang w:val="en-US"/>
                  </w:rPr>
                  <m:t>,</m:t>
                </m:r>
                <m:r>
                  <w:rPr>
                    <w:rFonts w:ascii="Cambria Math" w:eastAsia="Calibri" w:hAnsi="Cambria Math" w:cstheme="minorHAnsi"/>
                    <w:lang w:val="en-US"/>
                  </w:rPr>
                  <m:t>t</m:t>
                </m:r>
              </m:sub>
            </m:sSub>
          </m:e>
        </m:d>
        <m:r>
          <m:rPr>
            <m:sty m:val="p"/>
          </m:rPr>
          <w:rPr>
            <w:rFonts w:ascii="Cambria Math" w:eastAsia="Calibri" w:hAnsi="Cambria Math" w:cstheme="minorHAnsi"/>
            <w:lang w:val="en-US"/>
          </w:rPr>
          <m:t>+</m:t>
        </m:r>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2  </m:t>
            </m:r>
          </m:sub>
        </m:sSub>
        <m:d>
          <m:dPr>
            <m:ctrlPr>
              <w:rPr>
                <w:rFonts w:ascii="Cambria Math" w:eastAsia="Calibri" w:hAnsi="Cambria Math" w:cstheme="minorHAnsi"/>
                <w:lang w:val="en-US"/>
              </w:rPr>
            </m:ctrlPr>
          </m:dPr>
          <m:e>
            <m:r>
              <m:rPr>
                <m:sty m:val="p"/>
              </m:rPr>
              <w:rPr>
                <w:rFonts w:ascii="Cambria Math" w:eastAsia="Calibri" w:hAnsi="Cambria Math" w:cstheme="minorHAnsi"/>
                <w:lang w:val="en-US"/>
              </w:rPr>
              <m:t>1-</m:t>
            </m:r>
            <m:sSup>
              <m:sSupPr>
                <m:ctrlPr>
                  <w:rPr>
                    <w:rFonts w:ascii="Cambria Math" w:eastAsia="Calibri" w:hAnsi="Cambria Math" w:cstheme="minorHAnsi"/>
                    <w:lang w:val="en-US"/>
                  </w:rPr>
                </m:ctrlPr>
              </m:sSupPr>
              <m:e>
                <m:r>
                  <w:rPr>
                    <w:rFonts w:ascii="Cambria Math" w:eastAsia="Calibri" w:hAnsi="Cambria Math" w:cstheme="minorHAnsi"/>
                    <w:lang w:val="en-US"/>
                  </w:rPr>
                  <m:t>D</m:t>
                </m:r>
              </m:e>
              <m:sup>
                <m:sSup>
                  <m:sSupPr>
                    <m:ctrlPr>
                      <w:rPr>
                        <w:rFonts w:ascii="Cambria Math" w:eastAsia="Calibri" w:hAnsi="Cambria Math" w:cstheme="minorHAnsi"/>
                        <w:lang w:val="en-US"/>
                      </w:rPr>
                    </m:ctrlPr>
                  </m:sSupPr>
                  <m:e>
                    <m:r>
                      <w:rPr>
                        <w:rFonts w:ascii="Cambria Math" w:eastAsia="Calibri" w:hAnsi="Cambria Math" w:cstheme="minorHAnsi"/>
                        <w:lang w:val="en-US"/>
                      </w:rPr>
                      <m:t>σ</m:t>
                    </m:r>
                  </m:e>
                  <m:sup>
                    <m:r>
                      <m:rPr>
                        <m:sty m:val="p"/>
                      </m:rPr>
                      <w:rPr>
                        <w:rFonts w:ascii="Cambria Math" w:eastAsia="Calibri" w:hAnsi="Cambria Math" w:cstheme="minorHAnsi"/>
                        <w:lang w:val="en-US"/>
                      </w:rPr>
                      <m:t>2</m:t>
                    </m:r>
                  </m:sup>
                </m:sSup>
                <m:r>
                  <m:rPr>
                    <m:sty m:val="p"/>
                  </m:rPr>
                  <w:rPr>
                    <w:rFonts w:ascii="Cambria Math" w:eastAsia="Calibri" w:hAnsi="Cambria Math" w:cstheme="minorHAnsi"/>
                    <w:lang w:val="en-US"/>
                  </w:rPr>
                  <m:t>-</m:t>
                </m:r>
                <m:r>
                  <w:rPr>
                    <w:rFonts w:ascii="Cambria Math" w:eastAsia="Calibri" w:hAnsi="Cambria Math" w:cstheme="minorHAnsi"/>
                    <w:lang w:val="en-US"/>
                  </w:rPr>
                  <m:t>High</m:t>
                </m:r>
              </m:sup>
            </m:sSup>
          </m:e>
        </m:d>
        <m:d>
          <m:dPr>
            <m:begChr m:val="|"/>
            <m:endChr m:val="|"/>
            <m:ctrlPr>
              <w:rPr>
                <w:rFonts w:ascii="Cambria Math" w:eastAsia="Calibri" w:hAnsi="Cambria Math" w:cstheme="minorHAnsi"/>
                <w:lang w:val="en-US"/>
              </w:rPr>
            </m:ctrlPr>
          </m:dPr>
          <m:e>
            <m:sSub>
              <m:sSubPr>
                <m:ctrlPr>
                  <w:rPr>
                    <w:rFonts w:ascii="Cambria Math" w:eastAsia="Calibri" w:hAnsi="Cambria Math" w:cstheme="minorHAnsi"/>
                    <w:lang w:val="en-US"/>
                  </w:rPr>
                </m:ctrlPr>
              </m:sSubPr>
              <m:e>
                <m:r>
                  <w:rPr>
                    <w:rFonts w:ascii="Cambria Math" w:eastAsia="Calibri" w:hAnsi="Cambria Math" w:cstheme="minorHAnsi"/>
                    <w:lang w:val="en-US"/>
                  </w:rPr>
                  <m:t>R</m:t>
                </m:r>
              </m:e>
              <m:sub>
                <m:r>
                  <w:rPr>
                    <w:rFonts w:ascii="Cambria Math" w:eastAsia="Calibri" w:hAnsi="Cambria Math" w:cstheme="minorHAnsi"/>
                    <w:lang w:val="en-US"/>
                  </w:rPr>
                  <m:t>m</m:t>
                </m:r>
                <m:r>
                  <m:rPr>
                    <m:sty m:val="p"/>
                  </m:rPr>
                  <w:rPr>
                    <w:rFonts w:ascii="Cambria Math" w:eastAsia="Calibri" w:hAnsi="Cambria Math" w:cstheme="minorHAnsi"/>
                    <w:lang w:val="en-US"/>
                  </w:rPr>
                  <m:t>,</m:t>
                </m:r>
                <m:r>
                  <w:rPr>
                    <w:rFonts w:ascii="Cambria Math" w:eastAsia="Calibri" w:hAnsi="Cambria Math" w:cstheme="minorHAnsi"/>
                    <w:lang w:val="en-US"/>
                  </w:rPr>
                  <m:t>t</m:t>
                </m:r>
              </m:sub>
            </m:sSub>
          </m:e>
        </m:d>
        <m:r>
          <m:rPr>
            <m:sty m:val="p"/>
          </m:rPr>
          <w:rPr>
            <w:rFonts w:ascii="Cambria Math" w:eastAsia="Calibri" w:hAnsi="Cambria Math" w:cstheme="minorHAnsi"/>
            <w:lang w:val="en-US"/>
          </w:rPr>
          <m:t>+</m:t>
        </m:r>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3  </m:t>
            </m:r>
          </m:sub>
        </m:sSub>
        <m:sSup>
          <m:sSupPr>
            <m:ctrlPr>
              <w:rPr>
                <w:rFonts w:ascii="Cambria Math" w:eastAsia="Calibri" w:hAnsi="Cambria Math" w:cstheme="minorHAnsi"/>
                <w:lang w:val="en-US"/>
              </w:rPr>
            </m:ctrlPr>
          </m:sSupPr>
          <m:e>
            <m:r>
              <w:rPr>
                <w:rFonts w:ascii="Cambria Math" w:eastAsia="Calibri" w:hAnsi="Cambria Math" w:cstheme="minorHAnsi"/>
                <w:lang w:val="en-US"/>
              </w:rPr>
              <m:t>D</m:t>
            </m:r>
          </m:e>
          <m:sup>
            <m:sSup>
              <m:sSupPr>
                <m:ctrlPr>
                  <w:rPr>
                    <w:rFonts w:ascii="Cambria Math" w:eastAsia="Calibri" w:hAnsi="Cambria Math" w:cstheme="minorHAnsi"/>
                    <w:lang w:val="en-US"/>
                  </w:rPr>
                </m:ctrlPr>
              </m:sSupPr>
              <m:e>
                <m:r>
                  <w:rPr>
                    <w:rFonts w:ascii="Cambria Math" w:eastAsia="Calibri" w:hAnsi="Cambria Math" w:cstheme="minorHAnsi"/>
                    <w:lang w:val="en-US"/>
                  </w:rPr>
                  <m:t>σ</m:t>
                </m:r>
              </m:e>
              <m:sup>
                <m:r>
                  <m:rPr>
                    <m:sty m:val="p"/>
                  </m:rPr>
                  <w:rPr>
                    <w:rFonts w:ascii="Cambria Math" w:eastAsia="Calibri" w:hAnsi="Cambria Math" w:cstheme="minorHAnsi"/>
                    <w:lang w:val="en-US"/>
                  </w:rPr>
                  <m:t>2</m:t>
                </m:r>
              </m:sup>
            </m:sSup>
            <m:r>
              <m:rPr>
                <m:sty m:val="p"/>
              </m:rPr>
              <w:rPr>
                <w:rFonts w:ascii="Cambria Math" w:eastAsia="Calibri" w:hAnsi="Cambria Math" w:cstheme="minorHAnsi"/>
                <w:lang w:val="en-US"/>
              </w:rPr>
              <m:t>-</m:t>
            </m:r>
            <m:r>
              <w:rPr>
                <w:rFonts w:ascii="Cambria Math" w:eastAsia="Calibri" w:hAnsi="Cambria Math" w:cstheme="minorHAnsi"/>
                <w:lang w:val="en-US"/>
              </w:rPr>
              <m:t>High</m:t>
            </m:r>
          </m:sup>
        </m:sSup>
        <m:sSup>
          <m:sSupPr>
            <m:ctrlPr>
              <w:rPr>
                <w:rFonts w:ascii="Cambria Math" w:eastAsia="Calibri" w:hAnsi="Cambria Math" w:cstheme="minorHAnsi"/>
                <w:lang w:val="en-US"/>
              </w:rPr>
            </m:ctrlPr>
          </m:sSupPr>
          <m:e>
            <m:d>
              <m:dPr>
                <m:ctrlPr>
                  <w:rPr>
                    <w:rFonts w:ascii="Cambria Math" w:eastAsia="Calibri" w:hAnsi="Cambria Math" w:cstheme="minorHAnsi"/>
                    <w:lang w:val="en-US"/>
                  </w:rPr>
                </m:ctrlPr>
              </m:dPr>
              <m:e>
                <m:sSub>
                  <m:sSubPr>
                    <m:ctrlPr>
                      <w:rPr>
                        <w:rFonts w:ascii="Cambria Math" w:eastAsia="Calibri" w:hAnsi="Cambria Math" w:cstheme="minorHAnsi"/>
                        <w:lang w:val="en-US"/>
                      </w:rPr>
                    </m:ctrlPr>
                  </m:sSubPr>
                  <m:e>
                    <m:r>
                      <w:rPr>
                        <w:rFonts w:ascii="Cambria Math" w:eastAsia="Calibri" w:hAnsi="Cambria Math" w:cstheme="minorHAnsi"/>
                        <w:lang w:val="en-US"/>
                      </w:rPr>
                      <m:t>R</m:t>
                    </m:r>
                  </m:e>
                  <m:sub>
                    <m:r>
                      <w:rPr>
                        <w:rFonts w:ascii="Cambria Math" w:eastAsia="Calibri" w:hAnsi="Cambria Math" w:cstheme="minorHAnsi"/>
                        <w:lang w:val="en-US"/>
                      </w:rPr>
                      <m:t>m</m:t>
                    </m:r>
                    <m:r>
                      <m:rPr>
                        <m:sty m:val="p"/>
                      </m:rPr>
                      <w:rPr>
                        <w:rFonts w:ascii="Cambria Math" w:eastAsia="Calibri" w:hAnsi="Cambria Math" w:cstheme="minorHAnsi"/>
                        <w:lang w:val="en-US"/>
                      </w:rPr>
                      <m:t>.</m:t>
                    </m:r>
                    <m:r>
                      <w:rPr>
                        <w:rFonts w:ascii="Cambria Math" w:eastAsia="Calibri" w:hAnsi="Cambria Math" w:cstheme="minorHAnsi"/>
                        <w:lang w:val="en-US"/>
                      </w:rPr>
                      <m:t>t</m:t>
                    </m:r>
                  </m:sub>
                </m:sSub>
              </m:e>
            </m:d>
          </m:e>
          <m:sup>
            <m:r>
              <m:rPr>
                <m:sty m:val="p"/>
              </m:rPr>
              <w:rPr>
                <w:rFonts w:ascii="Cambria Math" w:eastAsia="Calibri" w:hAnsi="Cambria Math" w:cstheme="minorHAnsi"/>
                <w:lang w:val="en-US"/>
              </w:rPr>
              <m:t>2</m:t>
            </m:r>
          </m:sup>
        </m:sSup>
        <m:r>
          <m:rPr>
            <m:sty m:val="p"/>
          </m:rPr>
          <w:rPr>
            <w:rFonts w:ascii="Cambria Math" w:eastAsia="Calibri" w:hAnsi="Cambria Math" w:cstheme="minorHAnsi"/>
            <w:lang w:val="en-US"/>
          </w:rPr>
          <m:t>+</m:t>
        </m:r>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4  </m:t>
            </m:r>
          </m:sub>
        </m:sSub>
        <m:d>
          <m:dPr>
            <m:ctrlPr>
              <w:rPr>
                <w:rFonts w:ascii="Cambria Math" w:eastAsia="Calibri" w:hAnsi="Cambria Math" w:cstheme="minorHAnsi"/>
                <w:lang w:val="en-US"/>
              </w:rPr>
            </m:ctrlPr>
          </m:dPr>
          <m:e>
            <m:r>
              <m:rPr>
                <m:sty m:val="p"/>
              </m:rPr>
              <w:rPr>
                <w:rFonts w:ascii="Cambria Math" w:eastAsia="Calibri" w:hAnsi="Cambria Math" w:cstheme="minorHAnsi"/>
                <w:lang w:val="en-US"/>
              </w:rPr>
              <m:t>1-</m:t>
            </m:r>
            <m:sSup>
              <m:sSupPr>
                <m:ctrlPr>
                  <w:rPr>
                    <w:rFonts w:ascii="Cambria Math" w:eastAsia="Calibri" w:hAnsi="Cambria Math" w:cstheme="minorHAnsi"/>
                    <w:lang w:val="en-US"/>
                  </w:rPr>
                </m:ctrlPr>
              </m:sSupPr>
              <m:e>
                <m:r>
                  <w:rPr>
                    <w:rFonts w:ascii="Cambria Math" w:eastAsia="Calibri" w:hAnsi="Cambria Math" w:cstheme="minorHAnsi"/>
                    <w:lang w:val="en-US"/>
                  </w:rPr>
                  <m:t>D</m:t>
                </m:r>
              </m:e>
              <m:sup>
                <m:sSup>
                  <m:sSupPr>
                    <m:ctrlPr>
                      <w:rPr>
                        <w:rFonts w:ascii="Cambria Math" w:eastAsia="Calibri" w:hAnsi="Cambria Math" w:cstheme="minorHAnsi"/>
                        <w:lang w:val="en-US"/>
                      </w:rPr>
                    </m:ctrlPr>
                  </m:sSupPr>
                  <m:e>
                    <m:r>
                      <w:rPr>
                        <w:rFonts w:ascii="Cambria Math" w:eastAsia="Calibri" w:hAnsi="Cambria Math" w:cstheme="minorHAnsi"/>
                        <w:lang w:val="en-US"/>
                      </w:rPr>
                      <m:t>σ</m:t>
                    </m:r>
                  </m:e>
                  <m:sup>
                    <m:r>
                      <m:rPr>
                        <m:sty m:val="p"/>
                      </m:rPr>
                      <w:rPr>
                        <w:rFonts w:ascii="Cambria Math" w:eastAsia="Calibri" w:hAnsi="Cambria Math" w:cstheme="minorHAnsi"/>
                        <w:lang w:val="en-US"/>
                      </w:rPr>
                      <m:t>2</m:t>
                    </m:r>
                  </m:sup>
                </m:sSup>
                <m:r>
                  <m:rPr>
                    <m:sty m:val="p"/>
                  </m:rPr>
                  <w:rPr>
                    <w:rFonts w:ascii="Cambria Math" w:eastAsia="Calibri" w:hAnsi="Cambria Math" w:cstheme="minorHAnsi"/>
                    <w:lang w:val="en-US"/>
                  </w:rPr>
                  <m:t>-</m:t>
                </m:r>
                <m:r>
                  <w:rPr>
                    <w:rFonts w:ascii="Cambria Math" w:eastAsia="Calibri" w:hAnsi="Cambria Math" w:cstheme="minorHAnsi"/>
                    <w:lang w:val="en-US"/>
                  </w:rPr>
                  <m:t>High</m:t>
                </m:r>
              </m:sup>
            </m:sSup>
          </m:e>
        </m:d>
        <m:sSup>
          <m:sSupPr>
            <m:ctrlPr>
              <w:rPr>
                <w:rFonts w:ascii="Cambria Math" w:eastAsia="Calibri" w:hAnsi="Cambria Math" w:cstheme="minorHAnsi"/>
                <w:lang w:val="en-US"/>
              </w:rPr>
            </m:ctrlPr>
          </m:sSupPr>
          <m:e>
            <m:d>
              <m:dPr>
                <m:ctrlPr>
                  <w:rPr>
                    <w:rFonts w:ascii="Cambria Math" w:eastAsia="Calibri" w:hAnsi="Cambria Math" w:cstheme="minorHAnsi"/>
                    <w:lang w:val="en-US"/>
                  </w:rPr>
                </m:ctrlPr>
              </m:dPr>
              <m:e>
                <m:sSub>
                  <m:sSubPr>
                    <m:ctrlPr>
                      <w:rPr>
                        <w:rFonts w:ascii="Cambria Math" w:eastAsia="Calibri" w:hAnsi="Cambria Math" w:cstheme="minorHAnsi"/>
                        <w:lang w:val="en-US"/>
                      </w:rPr>
                    </m:ctrlPr>
                  </m:sSubPr>
                  <m:e>
                    <m:r>
                      <w:rPr>
                        <w:rFonts w:ascii="Cambria Math" w:eastAsia="Calibri" w:hAnsi="Cambria Math" w:cstheme="minorHAnsi"/>
                        <w:lang w:val="en-US"/>
                      </w:rPr>
                      <m:t>R</m:t>
                    </m:r>
                  </m:e>
                  <m:sub>
                    <m:r>
                      <w:rPr>
                        <w:rFonts w:ascii="Cambria Math" w:eastAsia="Calibri" w:hAnsi="Cambria Math" w:cstheme="minorHAnsi"/>
                        <w:lang w:val="en-US"/>
                      </w:rPr>
                      <m:t>m</m:t>
                    </m:r>
                    <m:r>
                      <m:rPr>
                        <m:sty m:val="p"/>
                      </m:rPr>
                      <w:rPr>
                        <w:rFonts w:ascii="Cambria Math" w:eastAsia="Calibri" w:hAnsi="Cambria Math" w:cstheme="minorHAnsi"/>
                        <w:lang w:val="en-US"/>
                      </w:rPr>
                      <m:t>.</m:t>
                    </m:r>
                    <m:r>
                      <w:rPr>
                        <w:rFonts w:ascii="Cambria Math" w:eastAsia="Calibri" w:hAnsi="Cambria Math" w:cstheme="minorHAnsi"/>
                        <w:lang w:val="en-US"/>
                      </w:rPr>
                      <m:t>t</m:t>
                    </m:r>
                  </m:sub>
                </m:sSub>
              </m:e>
            </m:d>
          </m:e>
          <m:sup>
            <m:r>
              <m:rPr>
                <m:sty m:val="p"/>
              </m:rPr>
              <w:rPr>
                <w:rFonts w:ascii="Cambria Math" w:eastAsia="Calibri" w:hAnsi="Cambria Math" w:cstheme="minorHAnsi"/>
                <w:lang w:val="en-US"/>
              </w:rPr>
              <m:t>2</m:t>
            </m:r>
          </m:sup>
        </m:sSup>
        <m:r>
          <m:rPr>
            <m:sty m:val="p"/>
          </m:rPr>
          <w:rPr>
            <w:rFonts w:ascii="Cambria Math" w:eastAsia="Calibri" w:hAnsi="Cambria Math" w:cstheme="minorHAnsi"/>
            <w:lang w:val="en-US"/>
          </w:rPr>
          <m:t>+</m:t>
        </m:r>
        <m:sSub>
          <m:sSubPr>
            <m:ctrlPr>
              <w:rPr>
                <w:rFonts w:ascii="Cambria Math" w:eastAsia="Calibri" w:hAnsi="Cambria Math" w:cstheme="minorHAnsi"/>
                <w:lang w:val="en-US"/>
              </w:rPr>
            </m:ctrlPr>
          </m:sSubPr>
          <m:e>
            <m:r>
              <w:rPr>
                <w:rFonts w:ascii="Cambria Math" w:eastAsia="Calibri" w:hAnsi="Cambria Math" w:cstheme="minorHAnsi"/>
                <w:lang w:val="en-US"/>
              </w:rPr>
              <m:t>ε</m:t>
            </m:r>
          </m:e>
          <m:sub>
            <m:r>
              <w:rPr>
                <w:rFonts w:ascii="Cambria Math" w:eastAsia="Calibri" w:hAnsi="Cambria Math" w:cstheme="minorHAnsi"/>
                <w:lang w:val="en-US"/>
              </w:rPr>
              <m:t>t</m:t>
            </m:r>
          </m:sub>
        </m:sSub>
      </m:oMath>
      <w:r w:rsidRPr="004556EC">
        <w:rPr>
          <w:rFonts w:asciiTheme="minorHAnsi" w:eastAsia="Calibri" w:hAnsiTheme="minorHAnsi" w:cstheme="minorHAnsi"/>
          <w:lang w:val="en-US"/>
        </w:rPr>
        <w:t xml:space="preserve">                                  </w:t>
      </w:r>
      <w:r w:rsidR="004558C6">
        <w:rPr>
          <w:rFonts w:asciiTheme="minorHAnsi" w:eastAsia="Calibri" w:hAnsiTheme="minorHAnsi" w:cstheme="minorHAnsi"/>
          <w:lang w:val="en-US"/>
        </w:rPr>
        <w:t xml:space="preserve">                  </w:t>
      </w:r>
      <w:r w:rsidR="008D5E7D" w:rsidRPr="004556EC">
        <w:rPr>
          <w:rFonts w:asciiTheme="minorHAnsi" w:eastAsia="Calibri" w:hAnsiTheme="minorHAnsi" w:cstheme="minorHAnsi"/>
          <w:lang w:val="en-US"/>
        </w:rPr>
        <w:t xml:space="preserve"> (4</w:t>
      </w:r>
      <w:r w:rsidRPr="004556EC">
        <w:rPr>
          <w:rFonts w:asciiTheme="minorHAnsi" w:eastAsia="Calibri" w:hAnsiTheme="minorHAnsi" w:cstheme="minorHAnsi"/>
          <w:lang w:val="en-US"/>
        </w:rPr>
        <w:t>)</w:t>
      </w:r>
    </w:p>
    <w:p w14:paraId="56300954" w14:textId="797DAC1D" w:rsidR="00550478" w:rsidRPr="004556EC" w:rsidRDefault="00550478" w:rsidP="004558C6">
      <w:pPr>
        <w:spacing w:line="360" w:lineRule="auto"/>
        <w:jc w:val="both"/>
        <w:rPr>
          <w:rFonts w:asciiTheme="minorHAnsi" w:eastAsia="Calibri" w:hAnsiTheme="minorHAnsi" w:cstheme="minorHAnsi"/>
          <w:lang w:val="en-US"/>
        </w:rPr>
      </w:pPr>
      <w:r w:rsidRPr="004556EC">
        <w:rPr>
          <w:rFonts w:asciiTheme="minorHAnsi" w:eastAsia="Calibri" w:hAnsiTheme="minorHAnsi" w:cstheme="minorHAnsi"/>
          <w:lang w:val="en-US"/>
        </w:rPr>
        <w:t>Where</w:t>
      </w:r>
      <m:oMath>
        <m:sSup>
          <m:sSupPr>
            <m:ctrlPr>
              <w:rPr>
                <w:rFonts w:ascii="Cambria Math" w:eastAsia="Calibri" w:hAnsi="Cambria Math" w:cstheme="minorHAnsi"/>
                <w:lang w:val="en-US"/>
              </w:rPr>
            </m:ctrlPr>
          </m:sSupPr>
          <m:e>
            <m:r>
              <w:rPr>
                <w:rFonts w:ascii="Cambria Math" w:eastAsia="Calibri" w:hAnsi="Cambria Math" w:cstheme="minorHAnsi"/>
                <w:lang w:val="en-US"/>
              </w:rPr>
              <m:t>D</m:t>
            </m:r>
          </m:e>
          <m:sup>
            <m:sSup>
              <m:sSupPr>
                <m:ctrlPr>
                  <w:rPr>
                    <w:rFonts w:ascii="Cambria Math" w:eastAsia="Calibri" w:hAnsi="Cambria Math" w:cstheme="minorHAnsi"/>
                    <w:lang w:val="en-US"/>
                  </w:rPr>
                </m:ctrlPr>
              </m:sSupPr>
              <m:e>
                <m:r>
                  <w:rPr>
                    <w:rFonts w:ascii="Cambria Math" w:eastAsia="Calibri" w:hAnsi="Cambria Math" w:cstheme="minorHAnsi"/>
                    <w:lang w:val="en-US"/>
                  </w:rPr>
                  <m:t>σ</m:t>
                </m:r>
              </m:e>
              <m:sup>
                <m:r>
                  <m:rPr>
                    <m:sty m:val="p"/>
                  </m:rPr>
                  <w:rPr>
                    <w:rFonts w:ascii="Cambria Math" w:eastAsia="Calibri" w:hAnsi="Cambria Math" w:cstheme="minorHAnsi"/>
                    <w:lang w:val="en-US"/>
                  </w:rPr>
                  <m:t>2</m:t>
                </m:r>
              </m:sup>
            </m:sSup>
            <m:r>
              <m:rPr>
                <m:sty m:val="p"/>
              </m:rPr>
              <w:rPr>
                <w:rFonts w:ascii="Cambria Math" w:eastAsia="Calibri" w:hAnsi="Cambria Math" w:cstheme="minorHAnsi"/>
                <w:lang w:val="en-US"/>
              </w:rPr>
              <m:t>-</m:t>
            </m:r>
            <m:r>
              <w:rPr>
                <w:rFonts w:ascii="Cambria Math" w:eastAsia="Calibri" w:hAnsi="Cambria Math" w:cstheme="minorHAnsi"/>
                <w:lang w:val="en-US"/>
              </w:rPr>
              <m:t>High</m:t>
            </m:r>
            <m:r>
              <m:rPr>
                <m:sty m:val="p"/>
              </m:rPr>
              <w:rPr>
                <w:rFonts w:ascii="Cambria Math" w:eastAsia="Calibri" w:hAnsi="Cambria Math" w:cstheme="minorHAnsi"/>
                <w:lang w:val="en-US"/>
              </w:rPr>
              <m:t xml:space="preserve"> </m:t>
            </m:r>
          </m:sup>
        </m:sSup>
      </m:oMath>
      <w:r w:rsidRPr="004556EC">
        <w:rPr>
          <w:rFonts w:asciiTheme="minorHAnsi" w:eastAsia="Calibri" w:hAnsiTheme="minorHAnsi" w:cstheme="minorHAnsi"/>
          <w:lang w:val="en-US"/>
        </w:rPr>
        <w:t>is 1 for days with high market volatility and 0 otherwise. Volatility is defined as high (low) if it is greater (lower) than the previous 30</w:t>
      </w:r>
      <w:r w:rsidR="00620F75" w:rsidRPr="004556EC">
        <w:rPr>
          <w:rFonts w:asciiTheme="minorHAnsi" w:eastAsia="Calibri" w:hAnsiTheme="minorHAnsi" w:cstheme="minorHAnsi"/>
          <w:lang w:val="en-US"/>
        </w:rPr>
        <w:t>-</w:t>
      </w:r>
      <w:r w:rsidRPr="004556EC">
        <w:rPr>
          <w:rFonts w:asciiTheme="minorHAnsi" w:eastAsia="Calibri" w:hAnsiTheme="minorHAnsi" w:cstheme="minorHAnsi"/>
          <w:lang w:val="en-US"/>
        </w:rPr>
        <w:t>day moving average.</w:t>
      </w:r>
    </w:p>
    <w:p w14:paraId="15E0B860" w14:textId="6EDFE196" w:rsidR="00550478" w:rsidRPr="004556EC" w:rsidRDefault="008D5E7D" w:rsidP="004558C6">
      <w:pPr>
        <w:spacing w:line="360" w:lineRule="auto"/>
        <w:jc w:val="both"/>
        <w:rPr>
          <w:rFonts w:asciiTheme="minorHAnsi" w:eastAsia="Calibri" w:hAnsiTheme="minorHAnsi" w:cstheme="minorHAnsi"/>
          <w:lang w:val="en-US"/>
        </w:rPr>
      </w:pPr>
      <w:r w:rsidRPr="004556EC">
        <w:rPr>
          <w:rFonts w:asciiTheme="minorHAnsi" w:eastAsia="Calibri" w:hAnsiTheme="minorHAnsi" w:cstheme="minorHAnsi"/>
          <w:lang w:val="en-US"/>
        </w:rPr>
        <w:t>To test if industry herding is contingent upon market /sector volume</w:t>
      </w:r>
      <w:r w:rsidR="00033239" w:rsidRPr="004556EC">
        <w:rPr>
          <w:rFonts w:asciiTheme="minorHAnsi" w:eastAsia="Calibri" w:hAnsiTheme="minorHAnsi" w:cstheme="minorHAnsi"/>
          <w:lang w:val="en-US"/>
        </w:rPr>
        <w:t xml:space="preserve"> we estimate model 4 which is as follows</w:t>
      </w:r>
      <w:r w:rsidR="00550478" w:rsidRPr="004556EC">
        <w:rPr>
          <w:rFonts w:asciiTheme="minorHAnsi" w:eastAsia="Calibri" w:hAnsiTheme="minorHAnsi" w:cstheme="minorHAnsi"/>
          <w:lang w:val="en-US"/>
        </w:rPr>
        <w:t>:</w:t>
      </w:r>
    </w:p>
    <w:p w14:paraId="690E0580" w14:textId="6C4E4F03" w:rsidR="00550478" w:rsidRPr="004556EC" w:rsidRDefault="00895ECF" w:rsidP="004558C6">
      <w:pPr>
        <w:spacing w:line="360" w:lineRule="auto"/>
        <w:ind w:firstLine="720"/>
        <w:jc w:val="both"/>
        <w:rPr>
          <w:rFonts w:asciiTheme="minorHAnsi" w:eastAsia="Calibri" w:hAnsiTheme="minorHAnsi" w:cstheme="minorHAnsi"/>
          <w:lang w:val="en-US"/>
        </w:rPr>
      </w:pPr>
      <m:oMath>
        <m:sSub>
          <m:sSubPr>
            <m:ctrlPr>
              <w:rPr>
                <w:rFonts w:ascii="Cambria Math" w:eastAsia="Calibri" w:hAnsi="Cambria Math" w:cstheme="minorHAnsi"/>
                <w:lang w:val="en-US"/>
              </w:rPr>
            </m:ctrlPr>
          </m:sSubPr>
          <m:e>
            <m:r>
              <w:rPr>
                <w:rFonts w:ascii="Cambria Math" w:eastAsia="Calibri" w:hAnsi="Cambria Math" w:cstheme="minorHAnsi"/>
                <w:lang w:val="en-US"/>
              </w:rPr>
              <m:t>CSAD</m:t>
            </m:r>
          </m:e>
          <m:sub>
            <m:r>
              <w:rPr>
                <w:rFonts w:ascii="Cambria Math" w:eastAsia="Calibri" w:hAnsi="Cambria Math" w:cstheme="minorHAnsi"/>
                <w:lang w:val="en-US"/>
              </w:rPr>
              <m:t>t</m:t>
            </m:r>
          </m:sub>
        </m:sSub>
        <m:r>
          <m:rPr>
            <m:sty m:val="p"/>
          </m:rPr>
          <w:rPr>
            <w:rFonts w:ascii="Cambria Math" w:eastAsia="Calibri" w:hAnsi="Cambria Math" w:cstheme="minorHAnsi"/>
            <w:lang w:val="en-US"/>
          </w:rPr>
          <m:t>=</m:t>
        </m:r>
        <m:r>
          <w:rPr>
            <w:rFonts w:ascii="Cambria Math" w:eastAsia="Calibri" w:hAnsi="Cambria Math" w:cstheme="minorHAnsi"/>
            <w:lang w:val="en-US"/>
          </w:rPr>
          <m:t>α</m:t>
        </m:r>
        <m:r>
          <m:rPr>
            <m:sty m:val="p"/>
          </m:rPr>
          <w:rPr>
            <w:rFonts w:ascii="Cambria Math" w:eastAsia="Calibri" w:hAnsi="Cambria Math" w:cstheme="minorHAnsi"/>
            <w:lang w:val="en-US"/>
          </w:rPr>
          <m:t>+</m:t>
        </m:r>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1</m:t>
            </m:r>
          </m:sub>
        </m:sSub>
        <m:sSup>
          <m:sSupPr>
            <m:ctrlPr>
              <w:rPr>
                <w:rFonts w:ascii="Cambria Math" w:eastAsia="Calibri" w:hAnsi="Cambria Math" w:cstheme="minorHAnsi"/>
                <w:lang w:val="en-US"/>
              </w:rPr>
            </m:ctrlPr>
          </m:sSupPr>
          <m:e>
            <m:r>
              <w:rPr>
                <w:rFonts w:ascii="Cambria Math" w:eastAsia="Calibri" w:hAnsi="Cambria Math" w:cstheme="minorHAnsi"/>
                <w:lang w:val="en-US"/>
              </w:rPr>
              <m:t>D</m:t>
            </m:r>
          </m:e>
          <m:sup>
            <m:r>
              <w:rPr>
                <w:rFonts w:ascii="Cambria Math" w:eastAsia="Calibri" w:hAnsi="Cambria Math" w:cstheme="minorHAnsi"/>
                <w:lang w:val="en-US"/>
              </w:rPr>
              <m:t>vol</m:t>
            </m:r>
            <m:r>
              <m:rPr>
                <m:sty m:val="p"/>
              </m:rPr>
              <w:rPr>
                <w:rFonts w:ascii="Cambria Math" w:eastAsia="Calibri" w:hAnsi="Cambria Math" w:cstheme="minorHAnsi"/>
                <w:lang w:val="en-US"/>
              </w:rPr>
              <m:t>-</m:t>
            </m:r>
            <m:r>
              <w:rPr>
                <w:rFonts w:ascii="Cambria Math" w:eastAsia="Calibri" w:hAnsi="Cambria Math" w:cstheme="minorHAnsi"/>
                <w:lang w:val="en-US"/>
              </w:rPr>
              <m:t>High</m:t>
            </m:r>
            <m:r>
              <m:rPr>
                <m:sty m:val="p"/>
              </m:rPr>
              <w:rPr>
                <w:rFonts w:ascii="Cambria Math" w:eastAsia="Calibri" w:hAnsi="Cambria Math" w:cstheme="minorHAnsi"/>
                <w:lang w:val="en-US"/>
              </w:rPr>
              <m:t xml:space="preserve"> </m:t>
            </m:r>
          </m:sup>
        </m:sSup>
        <m:d>
          <m:dPr>
            <m:begChr m:val="|"/>
            <m:endChr m:val="|"/>
            <m:ctrlPr>
              <w:rPr>
                <w:rFonts w:ascii="Cambria Math" w:eastAsia="Calibri" w:hAnsi="Cambria Math" w:cstheme="minorHAnsi"/>
                <w:lang w:val="en-US"/>
              </w:rPr>
            </m:ctrlPr>
          </m:dPr>
          <m:e>
            <m:sSub>
              <m:sSubPr>
                <m:ctrlPr>
                  <w:rPr>
                    <w:rFonts w:ascii="Cambria Math" w:eastAsia="Calibri" w:hAnsi="Cambria Math" w:cstheme="minorHAnsi"/>
                    <w:lang w:val="en-US"/>
                  </w:rPr>
                </m:ctrlPr>
              </m:sSubPr>
              <m:e>
                <m:r>
                  <w:rPr>
                    <w:rFonts w:ascii="Cambria Math" w:eastAsia="Calibri" w:hAnsi="Cambria Math" w:cstheme="minorHAnsi"/>
                    <w:lang w:val="en-US"/>
                  </w:rPr>
                  <m:t>R</m:t>
                </m:r>
              </m:e>
              <m:sub>
                <m:r>
                  <w:rPr>
                    <w:rFonts w:ascii="Cambria Math" w:eastAsia="Calibri" w:hAnsi="Cambria Math" w:cstheme="minorHAnsi"/>
                    <w:lang w:val="en-US"/>
                  </w:rPr>
                  <m:t>m</m:t>
                </m:r>
                <m:r>
                  <m:rPr>
                    <m:sty m:val="p"/>
                  </m:rPr>
                  <w:rPr>
                    <w:rFonts w:ascii="Cambria Math" w:eastAsia="Calibri" w:hAnsi="Cambria Math" w:cstheme="minorHAnsi"/>
                    <w:lang w:val="en-US"/>
                  </w:rPr>
                  <m:t>,</m:t>
                </m:r>
                <m:r>
                  <w:rPr>
                    <w:rFonts w:ascii="Cambria Math" w:eastAsia="Calibri" w:hAnsi="Cambria Math" w:cstheme="minorHAnsi"/>
                    <w:lang w:val="en-US"/>
                  </w:rPr>
                  <m:t>t</m:t>
                </m:r>
              </m:sub>
            </m:sSub>
          </m:e>
        </m:d>
        <m:r>
          <m:rPr>
            <m:sty m:val="p"/>
          </m:rPr>
          <w:rPr>
            <w:rFonts w:ascii="Cambria Math" w:eastAsia="Calibri" w:hAnsi="Cambria Math" w:cstheme="minorHAnsi"/>
            <w:lang w:val="en-US"/>
          </w:rPr>
          <m:t>+</m:t>
        </m:r>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2  </m:t>
            </m:r>
          </m:sub>
        </m:sSub>
        <m:d>
          <m:dPr>
            <m:ctrlPr>
              <w:rPr>
                <w:rFonts w:ascii="Cambria Math" w:eastAsia="Calibri" w:hAnsi="Cambria Math" w:cstheme="minorHAnsi"/>
                <w:lang w:val="en-US"/>
              </w:rPr>
            </m:ctrlPr>
          </m:dPr>
          <m:e>
            <m:r>
              <m:rPr>
                <m:sty m:val="p"/>
              </m:rPr>
              <w:rPr>
                <w:rFonts w:ascii="Cambria Math" w:eastAsia="Calibri" w:hAnsi="Cambria Math" w:cstheme="minorHAnsi"/>
                <w:lang w:val="en-US"/>
              </w:rPr>
              <m:t>1-</m:t>
            </m:r>
            <m:sSup>
              <m:sSupPr>
                <m:ctrlPr>
                  <w:rPr>
                    <w:rFonts w:ascii="Cambria Math" w:eastAsia="Calibri" w:hAnsi="Cambria Math" w:cstheme="minorHAnsi"/>
                    <w:lang w:val="en-US"/>
                  </w:rPr>
                </m:ctrlPr>
              </m:sSupPr>
              <m:e>
                <m:r>
                  <w:rPr>
                    <w:rFonts w:ascii="Cambria Math" w:eastAsia="Calibri" w:hAnsi="Cambria Math" w:cstheme="minorHAnsi"/>
                    <w:lang w:val="en-US"/>
                  </w:rPr>
                  <m:t>D</m:t>
                </m:r>
              </m:e>
              <m:sup>
                <m:r>
                  <w:rPr>
                    <w:rFonts w:ascii="Cambria Math" w:eastAsia="Calibri" w:hAnsi="Cambria Math" w:cstheme="minorHAnsi"/>
                    <w:lang w:val="en-US"/>
                  </w:rPr>
                  <m:t>vol-High</m:t>
                </m:r>
              </m:sup>
            </m:sSup>
          </m:e>
        </m:d>
        <m:d>
          <m:dPr>
            <m:begChr m:val="|"/>
            <m:endChr m:val="|"/>
            <m:ctrlPr>
              <w:rPr>
                <w:rFonts w:ascii="Cambria Math" w:eastAsia="Calibri" w:hAnsi="Cambria Math" w:cstheme="minorHAnsi"/>
                <w:lang w:val="en-US"/>
              </w:rPr>
            </m:ctrlPr>
          </m:dPr>
          <m:e>
            <m:sSub>
              <m:sSubPr>
                <m:ctrlPr>
                  <w:rPr>
                    <w:rFonts w:ascii="Cambria Math" w:eastAsia="Calibri" w:hAnsi="Cambria Math" w:cstheme="minorHAnsi"/>
                    <w:lang w:val="en-US"/>
                  </w:rPr>
                </m:ctrlPr>
              </m:sSubPr>
              <m:e>
                <m:r>
                  <w:rPr>
                    <w:rFonts w:ascii="Cambria Math" w:eastAsia="Calibri" w:hAnsi="Cambria Math" w:cstheme="minorHAnsi"/>
                    <w:lang w:val="en-US"/>
                  </w:rPr>
                  <m:t>R</m:t>
                </m:r>
              </m:e>
              <m:sub>
                <m:r>
                  <w:rPr>
                    <w:rFonts w:ascii="Cambria Math" w:eastAsia="Calibri" w:hAnsi="Cambria Math" w:cstheme="minorHAnsi"/>
                    <w:lang w:val="en-US"/>
                  </w:rPr>
                  <m:t>m</m:t>
                </m:r>
                <m:r>
                  <m:rPr>
                    <m:sty m:val="p"/>
                  </m:rPr>
                  <w:rPr>
                    <w:rFonts w:ascii="Cambria Math" w:eastAsia="Calibri" w:hAnsi="Cambria Math" w:cstheme="minorHAnsi"/>
                    <w:lang w:val="en-US"/>
                  </w:rPr>
                  <m:t>,</m:t>
                </m:r>
                <m:r>
                  <w:rPr>
                    <w:rFonts w:ascii="Cambria Math" w:eastAsia="Calibri" w:hAnsi="Cambria Math" w:cstheme="minorHAnsi"/>
                    <w:lang w:val="en-US"/>
                  </w:rPr>
                  <m:t>t</m:t>
                </m:r>
              </m:sub>
            </m:sSub>
          </m:e>
        </m:d>
        <m:r>
          <m:rPr>
            <m:sty m:val="p"/>
          </m:rPr>
          <w:rPr>
            <w:rFonts w:ascii="Cambria Math" w:eastAsia="Calibri" w:hAnsi="Cambria Math" w:cstheme="minorHAnsi"/>
            <w:lang w:val="en-US"/>
          </w:rPr>
          <m:t>+</m:t>
        </m:r>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3  </m:t>
            </m:r>
          </m:sub>
        </m:sSub>
        <m:sSup>
          <m:sSupPr>
            <m:ctrlPr>
              <w:rPr>
                <w:rFonts w:ascii="Cambria Math" w:eastAsia="Calibri" w:hAnsi="Cambria Math" w:cstheme="minorHAnsi"/>
                <w:lang w:val="en-US"/>
              </w:rPr>
            </m:ctrlPr>
          </m:sSupPr>
          <m:e>
            <m:r>
              <w:rPr>
                <w:rFonts w:ascii="Cambria Math" w:eastAsia="Calibri" w:hAnsi="Cambria Math" w:cstheme="minorHAnsi"/>
                <w:lang w:val="en-US"/>
              </w:rPr>
              <m:t>D</m:t>
            </m:r>
          </m:e>
          <m:sup>
            <m:r>
              <w:rPr>
                <w:rFonts w:ascii="Cambria Math" w:eastAsia="Calibri" w:hAnsi="Cambria Math" w:cstheme="minorHAnsi"/>
                <w:lang w:val="en-US"/>
              </w:rPr>
              <m:t>vol</m:t>
            </m:r>
            <m:r>
              <m:rPr>
                <m:sty m:val="p"/>
              </m:rPr>
              <w:rPr>
                <w:rFonts w:ascii="Cambria Math" w:eastAsia="Calibri" w:hAnsi="Cambria Math" w:cstheme="minorHAnsi"/>
                <w:lang w:val="en-US"/>
              </w:rPr>
              <m:t>-</m:t>
            </m:r>
            <m:r>
              <w:rPr>
                <w:rFonts w:ascii="Cambria Math" w:eastAsia="Calibri" w:hAnsi="Cambria Math" w:cstheme="minorHAnsi"/>
                <w:lang w:val="en-US"/>
              </w:rPr>
              <m:t>High</m:t>
            </m:r>
          </m:sup>
        </m:sSup>
        <m:sSup>
          <m:sSupPr>
            <m:ctrlPr>
              <w:rPr>
                <w:rFonts w:ascii="Cambria Math" w:eastAsia="Calibri" w:hAnsi="Cambria Math" w:cstheme="minorHAnsi"/>
                <w:lang w:val="en-US"/>
              </w:rPr>
            </m:ctrlPr>
          </m:sSupPr>
          <m:e>
            <m:d>
              <m:dPr>
                <m:ctrlPr>
                  <w:rPr>
                    <w:rFonts w:ascii="Cambria Math" w:eastAsia="Calibri" w:hAnsi="Cambria Math" w:cstheme="minorHAnsi"/>
                    <w:lang w:val="en-US"/>
                  </w:rPr>
                </m:ctrlPr>
              </m:dPr>
              <m:e>
                <m:sSub>
                  <m:sSubPr>
                    <m:ctrlPr>
                      <w:rPr>
                        <w:rFonts w:ascii="Cambria Math" w:eastAsia="Calibri" w:hAnsi="Cambria Math" w:cstheme="minorHAnsi"/>
                        <w:lang w:val="en-US"/>
                      </w:rPr>
                    </m:ctrlPr>
                  </m:sSubPr>
                  <m:e>
                    <m:r>
                      <w:rPr>
                        <w:rFonts w:ascii="Cambria Math" w:eastAsia="Calibri" w:hAnsi="Cambria Math" w:cstheme="minorHAnsi"/>
                        <w:lang w:val="en-US"/>
                      </w:rPr>
                      <m:t>R</m:t>
                    </m:r>
                  </m:e>
                  <m:sub>
                    <m:r>
                      <w:rPr>
                        <w:rFonts w:ascii="Cambria Math" w:eastAsia="Calibri" w:hAnsi="Cambria Math" w:cstheme="minorHAnsi"/>
                        <w:lang w:val="en-US"/>
                      </w:rPr>
                      <m:t>m</m:t>
                    </m:r>
                    <m:r>
                      <m:rPr>
                        <m:sty m:val="p"/>
                      </m:rPr>
                      <w:rPr>
                        <w:rFonts w:ascii="Cambria Math" w:eastAsia="Calibri" w:hAnsi="Cambria Math" w:cstheme="minorHAnsi"/>
                        <w:lang w:val="en-US"/>
                      </w:rPr>
                      <m:t>.</m:t>
                    </m:r>
                    <m:r>
                      <w:rPr>
                        <w:rFonts w:ascii="Cambria Math" w:eastAsia="Calibri" w:hAnsi="Cambria Math" w:cstheme="minorHAnsi"/>
                        <w:lang w:val="en-US"/>
                      </w:rPr>
                      <m:t>t</m:t>
                    </m:r>
                  </m:sub>
                </m:sSub>
              </m:e>
            </m:d>
          </m:e>
          <m:sup>
            <m:r>
              <m:rPr>
                <m:sty m:val="p"/>
              </m:rPr>
              <w:rPr>
                <w:rFonts w:ascii="Cambria Math" w:eastAsia="Calibri" w:hAnsi="Cambria Math" w:cstheme="minorHAnsi"/>
                <w:lang w:val="en-US"/>
              </w:rPr>
              <m:t>2</m:t>
            </m:r>
          </m:sup>
        </m:sSup>
        <m:r>
          <m:rPr>
            <m:sty m:val="p"/>
          </m:rPr>
          <w:rPr>
            <w:rFonts w:ascii="Cambria Math" w:eastAsia="Calibri" w:hAnsi="Cambria Math" w:cstheme="minorHAnsi"/>
            <w:lang w:val="en-US"/>
          </w:rPr>
          <m:t>+</m:t>
        </m:r>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4  </m:t>
            </m:r>
          </m:sub>
        </m:sSub>
        <m:d>
          <m:dPr>
            <m:ctrlPr>
              <w:rPr>
                <w:rFonts w:ascii="Cambria Math" w:eastAsia="Calibri" w:hAnsi="Cambria Math" w:cstheme="minorHAnsi"/>
                <w:lang w:val="en-US"/>
              </w:rPr>
            </m:ctrlPr>
          </m:dPr>
          <m:e>
            <m:r>
              <m:rPr>
                <m:sty m:val="p"/>
              </m:rPr>
              <w:rPr>
                <w:rFonts w:ascii="Cambria Math" w:eastAsia="Calibri" w:hAnsi="Cambria Math" w:cstheme="minorHAnsi"/>
                <w:lang w:val="en-US"/>
              </w:rPr>
              <m:t>1-</m:t>
            </m:r>
            <m:sSup>
              <m:sSupPr>
                <m:ctrlPr>
                  <w:rPr>
                    <w:rFonts w:ascii="Cambria Math" w:eastAsia="Calibri" w:hAnsi="Cambria Math" w:cstheme="minorHAnsi"/>
                    <w:lang w:val="en-US"/>
                  </w:rPr>
                </m:ctrlPr>
              </m:sSupPr>
              <m:e>
                <m:r>
                  <w:rPr>
                    <w:rFonts w:ascii="Cambria Math" w:eastAsia="Calibri" w:hAnsi="Cambria Math" w:cstheme="minorHAnsi"/>
                    <w:lang w:val="en-US"/>
                  </w:rPr>
                  <m:t>D</m:t>
                </m:r>
              </m:e>
              <m:sup>
                <m:r>
                  <w:rPr>
                    <w:rFonts w:ascii="Cambria Math" w:eastAsia="Calibri" w:hAnsi="Cambria Math" w:cstheme="minorHAnsi"/>
                    <w:lang w:val="en-US"/>
                  </w:rPr>
                  <m:t>vol</m:t>
                </m:r>
                <m:r>
                  <m:rPr>
                    <m:sty m:val="p"/>
                  </m:rPr>
                  <w:rPr>
                    <w:rFonts w:ascii="Cambria Math" w:eastAsia="Calibri" w:hAnsi="Cambria Math" w:cstheme="minorHAnsi"/>
                    <w:lang w:val="en-US"/>
                  </w:rPr>
                  <m:t>-</m:t>
                </m:r>
                <m:r>
                  <w:rPr>
                    <w:rFonts w:ascii="Cambria Math" w:eastAsia="Calibri" w:hAnsi="Cambria Math" w:cstheme="minorHAnsi"/>
                    <w:lang w:val="en-US"/>
                  </w:rPr>
                  <m:t>High</m:t>
                </m:r>
              </m:sup>
            </m:sSup>
          </m:e>
        </m:d>
        <m:sSup>
          <m:sSupPr>
            <m:ctrlPr>
              <w:rPr>
                <w:rFonts w:ascii="Cambria Math" w:eastAsia="Calibri" w:hAnsi="Cambria Math" w:cstheme="minorHAnsi"/>
                <w:lang w:val="en-US"/>
              </w:rPr>
            </m:ctrlPr>
          </m:sSupPr>
          <m:e>
            <m:d>
              <m:dPr>
                <m:ctrlPr>
                  <w:rPr>
                    <w:rFonts w:ascii="Cambria Math" w:eastAsia="Calibri" w:hAnsi="Cambria Math" w:cstheme="minorHAnsi"/>
                    <w:lang w:val="en-US"/>
                  </w:rPr>
                </m:ctrlPr>
              </m:dPr>
              <m:e>
                <m:sSub>
                  <m:sSubPr>
                    <m:ctrlPr>
                      <w:rPr>
                        <w:rFonts w:ascii="Cambria Math" w:eastAsia="Calibri" w:hAnsi="Cambria Math" w:cstheme="minorHAnsi"/>
                        <w:lang w:val="en-US"/>
                      </w:rPr>
                    </m:ctrlPr>
                  </m:sSubPr>
                  <m:e>
                    <m:r>
                      <w:rPr>
                        <w:rFonts w:ascii="Cambria Math" w:eastAsia="Calibri" w:hAnsi="Cambria Math" w:cstheme="minorHAnsi"/>
                        <w:lang w:val="en-US"/>
                      </w:rPr>
                      <m:t>R</m:t>
                    </m:r>
                  </m:e>
                  <m:sub>
                    <m:r>
                      <w:rPr>
                        <w:rFonts w:ascii="Cambria Math" w:eastAsia="Calibri" w:hAnsi="Cambria Math" w:cstheme="minorHAnsi"/>
                        <w:lang w:val="en-US"/>
                      </w:rPr>
                      <m:t>m</m:t>
                    </m:r>
                    <m:r>
                      <m:rPr>
                        <m:sty m:val="p"/>
                      </m:rPr>
                      <w:rPr>
                        <w:rFonts w:ascii="Cambria Math" w:eastAsia="Calibri" w:hAnsi="Cambria Math" w:cstheme="minorHAnsi"/>
                        <w:lang w:val="en-US"/>
                      </w:rPr>
                      <m:t>.</m:t>
                    </m:r>
                    <m:r>
                      <w:rPr>
                        <w:rFonts w:ascii="Cambria Math" w:eastAsia="Calibri" w:hAnsi="Cambria Math" w:cstheme="minorHAnsi"/>
                        <w:lang w:val="en-US"/>
                      </w:rPr>
                      <m:t>t</m:t>
                    </m:r>
                  </m:sub>
                </m:sSub>
              </m:e>
            </m:d>
          </m:e>
          <m:sup>
            <m:r>
              <m:rPr>
                <m:sty m:val="p"/>
              </m:rPr>
              <w:rPr>
                <w:rFonts w:ascii="Cambria Math" w:eastAsia="Calibri" w:hAnsi="Cambria Math" w:cstheme="minorHAnsi"/>
                <w:lang w:val="en-US"/>
              </w:rPr>
              <m:t>2</m:t>
            </m:r>
          </m:sup>
        </m:sSup>
        <m:r>
          <m:rPr>
            <m:sty m:val="p"/>
          </m:rPr>
          <w:rPr>
            <w:rFonts w:ascii="Cambria Math" w:eastAsia="Calibri" w:hAnsi="Cambria Math" w:cstheme="minorHAnsi"/>
            <w:lang w:val="en-US"/>
          </w:rPr>
          <m:t>+</m:t>
        </m:r>
        <m:sSub>
          <m:sSubPr>
            <m:ctrlPr>
              <w:rPr>
                <w:rFonts w:ascii="Cambria Math" w:eastAsia="Calibri" w:hAnsi="Cambria Math" w:cstheme="minorHAnsi"/>
                <w:lang w:val="en-US"/>
              </w:rPr>
            </m:ctrlPr>
          </m:sSubPr>
          <m:e>
            <m:r>
              <w:rPr>
                <w:rFonts w:ascii="Cambria Math" w:eastAsia="Calibri" w:hAnsi="Cambria Math" w:cstheme="minorHAnsi"/>
                <w:lang w:val="en-US"/>
              </w:rPr>
              <m:t>ε</m:t>
            </m:r>
          </m:e>
          <m:sub>
            <m:r>
              <w:rPr>
                <w:rFonts w:ascii="Cambria Math" w:eastAsia="Calibri" w:hAnsi="Cambria Math" w:cstheme="minorHAnsi"/>
                <w:lang w:val="en-US"/>
              </w:rPr>
              <m:t>t</m:t>
            </m:r>
          </m:sub>
        </m:sSub>
      </m:oMath>
      <w:r w:rsidR="00550478" w:rsidRPr="004556EC">
        <w:rPr>
          <w:rFonts w:asciiTheme="minorHAnsi" w:eastAsia="Calibri" w:hAnsiTheme="minorHAnsi" w:cstheme="minorHAnsi"/>
          <w:lang w:val="en-US"/>
        </w:rPr>
        <w:t xml:space="preserve">          </w:t>
      </w:r>
      <w:r w:rsidR="008D5E7D" w:rsidRPr="004556EC">
        <w:rPr>
          <w:rFonts w:asciiTheme="minorHAnsi" w:eastAsia="Calibri" w:hAnsiTheme="minorHAnsi" w:cstheme="minorHAnsi"/>
          <w:lang w:val="en-US"/>
        </w:rPr>
        <w:t xml:space="preserve">                                </w:t>
      </w:r>
      <w:r w:rsidR="004558C6">
        <w:rPr>
          <w:rFonts w:asciiTheme="minorHAnsi" w:eastAsia="Calibri" w:hAnsiTheme="minorHAnsi" w:cstheme="minorHAnsi"/>
          <w:lang w:val="en-US"/>
        </w:rPr>
        <w:t xml:space="preserve">       </w:t>
      </w:r>
      <w:r w:rsidR="008D5E7D" w:rsidRPr="004556EC">
        <w:rPr>
          <w:rFonts w:asciiTheme="minorHAnsi" w:eastAsia="Calibri" w:hAnsiTheme="minorHAnsi" w:cstheme="minorHAnsi"/>
          <w:lang w:val="en-US"/>
        </w:rPr>
        <w:t xml:space="preserve">   (5)</w:t>
      </w:r>
      <w:r w:rsidR="00550478" w:rsidRPr="004556EC">
        <w:rPr>
          <w:rFonts w:asciiTheme="minorHAnsi" w:eastAsia="Calibri" w:hAnsiTheme="minorHAnsi" w:cstheme="minorHAnsi"/>
          <w:lang w:val="en-US"/>
        </w:rPr>
        <w:t xml:space="preserve"> </w:t>
      </w:r>
    </w:p>
    <w:p w14:paraId="59F5FC67" w14:textId="0D9D075B" w:rsidR="00550478" w:rsidRPr="004556EC" w:rsidRDefault="00895ECF" w:rsidP="004558C6">
      <w:pPr>
        <w:spacing w:line="360" w:lineRule="auto"/>
        <w:jc w:val="both"/>
        <w:rPr>
          <w:rFonts w:asciiTheme="minorHAnsi" w:eastAsia="Calibri" w:hAnsiTheme="minorHAnsi" w:cstheme="minorHAnsi"/>
          <w:lang w:val="en-US"/>
        </w:rPr>
      </w:pPr>
      <m:oMath>
        <m:sSup>
          <m:sSupPr>
            <m:ctrlPr>
              <w:rPr>
                <w:rFonts w:ascii="Cambria Math" w:eastAsia="Calibri" w:hAnsi="Cambria Math" w:cstheme="minorHAnsi"/>
                <w:lang w:val="en-US"/>
              </w:rPr>
            </m:ctrlPr>
          </m:sSupPr>
          <m:e>
            <m:r>
              <w:rPr>
                <w:rFonts w:ascii="Cambria Math" w:eastAsia="Calibri" w:hAnsi="Cambria Math" w:cstheme="minorHAnsi"/>
                <w:lang w:val="en-US"/>
              </w:rPr>
              <m:t>D</m:t>
            </m:r>
          </m:e>
          <m:sup>
            <m:r>
              <w:rPr>
                <w:rFonts w:ascii="Cambria Math" w:eastAsia="Calibri" w:hAnsi="Cambria Math" w:cstheme="minorHAnsi"/>
                <w:lang w:val="en-US"/>
              </w:rPr>
              <m:t>vol</m:t>
            </m:r>
            <m:r>
              <m:rPr>
                <m:sty m:val="p"/>
              </m:rPr>
              <w:rPr>
                <w:rFonts w:ascii="Cambria Math" w:eastAsia="Calibri" w:hAnsi="Cambria Math" w:cstheme="minorHAnsi"/>
                <w:lang w:val="en-US"/>
              </w:rPr>
              <m:t>-</m:t>
            </m:r>
            <m:r>
              <w:rPr>
                <w:rFonts w:ascii="Cambria Math" w:eastAsia="Calibri" w:hAnsi="Cambria Math" w:cstheme="minorHAnsi"/>
                <w:lang w:val="en-US"/>
              </w:rPr>
              <m:t>High</m:t>
            </m:r>
            <m:r>
              <m:rPr>
                <m:sty m:val="p"/>
              </m:rPr>
              <w:rPr>
                <w:rFonts w:ascii="Cambria Math" w:eastAsia="Calibri" w:hAnsi="Cambria Math" w:cstheme="minorHAnsi"/>
                <w:lang w:val="en-US"/>
              </w:rPr>
              <m:t xml:space="preserve"> </m:t>
            </m:r>
          </m:sup>
        </m:sSup>
      </m:oMath>
      <w:r w:rsidR="00550478" w:rsidRPr="004556EC">
        <w:rPr>
          <w:rFonts w:asciiTheme="minorHAnsi" w:eastAsia="Calibri" w:hAnsiTheme="minorHAnsi" w:cstheme="minorHAnsi"/>
          <w:lang w:val="en-US"/>
        </w:rPr>
        <w:t xml:space="preserve"> is 1 for days with a high trading volume and 0 otherwise. Trading volume is defined as high (low) if it is greater (lower) than the previous 30</w:t>
      </w:r>
      <w:r w:rsidR="0017589B" w:rsidRPr="004556EC">
        <w:rPr>
          <w:rFonts w:asciiTheme="minorHAnsi" w:eastAsia="Calibri" w:hAnsiTheme="minorHAnsi" w:cstheme="minorHAnsi"/>
          <w:lang w:val="en-US"/>
        </w:rPr>
        <w:t>-</w:t>
      </w:r>
      <w:r w:rsidR="00550478" w:rsidRPr="004556EC">
        <w:rPr>
          <w:rFonts w:asciiTheme="minorHAnsi" w:eastAsia="Calibri" w:hAnsiTheme="minorHAnsi" w:cstheme="minorHAnsi"/>
          <w:lang w:val="en-US"/>
        </w:rPr>
        <w:t>day moving average.</w:t>
      </w:r>
    </w:p>
    <w:p w14:paraId="092BCFF3" w14:textId="77777777" w:rsidR="009D089F" w:rsidRPr="004556EC" w:rsidRDefault="009B6E9C" w:rsidP="004558C6">
      <w:pPr>
        <w:pStyle w:val="Heading1"/>
        <w:rPr>
          <w:rFonts w:asciiTheme="minorHAnsi" w:hAnsiTheme="minorHAnsi" w:cstheme="minorHAnsi"/>
        </w:rPr>
      </w:pPr>
      <w:r w:rsidRPr="004556EC">
        <w:rPr>
          <w:rFonts w:asciiTheme="minorHAnsi" w:hAnsiTheme="minorHAnsi" w:cstheme="minorHAnsi"/>
        </w:rPr>
        <w:t>3.</w:t>
      </w:r>
      <w:r w:rsidR="00604129" w:rsidRPr="004556EC">
        <w:rPr>
          <w:rFonts w:asciiTheme="minorHAnsi" w:hAnsiTheme="minorHAnsi" w:cstheme="minorHAnsi"/>
        </w:rPr>
        <w:t>Empirical results</w:t>
      </w:r>
    </w:p>
    <w:p w14:paraId="4CE0F3C1" w14:textId="4B526D06" w:rsidR="00604129" w:rsidRPr="004556EC" w:rsidRDefault="00033239" w:rsidP="004558C6">
      <w:pPr>
        <w:pStyle w:val="Heading3"/>
        <w:rPr>
          <w:rFonts w:asciiTheme="minorHAnsi" w:hAnsiTheme="minorHAnsi" w:cstheme="minorHAnsi"/>
        </w:rPr>
      </w:pPr>
      <w:r w:rsidRPr="004556EC">
        <w:rPr>
          <w:rFonts w:asciiTheme="minorHAnsi" w:hAnsiTheme="minorHAnsi" w:cstheme="minorHAnsi"/>
        </w:rPr>
        <w:t xml:space="preserve">3.1. </w:t>
      </w:r>
      <w:r w:rsidR="009D089F" w:rsidRPr="004556EC">
        <w:rPr>
          <w:rFonts w:asciiTheme="minorHAnsi" w:hAnsiTheme="minorHAnsi" w:cstheme="minorHAnsi"/>
        </w:rPr>
        <w:t>Empirical results for market herding</w:t>
      </w:r>
    </w:p>
    <w:p w14:paraId="6CF40203" w14:textId="3FE8EE46" w:rsidR="00692F1C" w:rsidRDefault="00E47461" w:rsidP="004558C6">
      <w:pPr>
        <w:spacing w:line="360" w:lineRule="auto"/>
        <w:jc w:val="both"/>
        <w:rPr>
          <w:rFonts w:asciiTheme="minorHAnsi" w:eastAsia="Calibri" w:hAnsiTheme="minorHAnsi" w:cstheme="minorHAnsi"/>
          <w:bCs/>
          <w:lang w:val="en-US" w:eastAsia="en-US"/>
        </w:rPr>
      </w:pPr>
      <w:r w:rsidRPr="004556EC">
        <w:rPr>
          <w:rFonts w:asciiTheme="minorHAnsi" w:eastAsia="Calibri" w:hAnsiTheme="minorHAnsi" w:cstheme="minorHAnsi"/>
          <w:bCs/>
          <w:lang w:val="en-US" w:eastAsia="en-US"/>
        </w:rPr>
        <w:t xml:space="preserve">Table </w:t>
      </w:r>
      <w:r w:rsidR="00033239" w:rsidRPr="004556EC">
        <w:rPr>
          <w:rFonts w:asciiTheme="minorHAnsi" w:eastAsia="Calibri" w:hAnsiTheme="minorHAnsi" w:cstheme="minorHAnsi"/>
          <w:bCs/>
          <w:lang w:val="en-US" w:eastAsia="en-US"/>
        </w:rPr>
        <w:t>3.</w:t>
      </w:r>
      <w:r w:rsidRPr="004556EC">
        <w:rPr>
          <w:rFonts w:asciiTheme="minorHAnsi" w:eastAsia="Calibri" w:hAnsiTheme="minorHAnsi" w:cstheme="minorHAnsi"/>
          <w:bCs/>
          <w:lang w:val="en-US" w:eastAsia="en-US"/>
        </w:rPr>
        <w:t>1</w:t>
      </w:r>
      <w:r w:rsidR="00692F1C" w:rsidRPr="004556EC">
        <w:rPr>
          <w:rFonts w:asciiTheme="minorHAnsi" w:eastAsia="Calibri" w:hAnsiTheme="minorHAnsi" w:cstheme="minorHAnsi"/>
          <w:bCs/>
          <w:lang w:val="en-US" w:eastAsia="en-US"/>
        </w:rPr>
        <w:t xml:space="preserve"> presents the results fr</w:t>
      </w:r>
      <w:r w:rsidRPr="004556EC">
        <w:rPr>
          <w:rFonts w:asciiTheme="minorHAnsi" w:eastAsia="Calibri" w:hAnsiTheme="minorHAnsi" w:cstheme="minorHAnsi"/>
          <w:bCs/>
          <w:lang w:val="en-US" w:eastAsia="en-US"/>
        </w:rPr>
        <w:t>om the estimation of equation (2</w:t>
      </w:r>
      <w:r w:rsidR="00692F1C" w:rsidRPr="004556EC">
        <w:rPr>
          <w:rFonts w:asciiTheme="minorHAnsi" w:eastAsia="Calibri" w:hAnsiTheme="minorHAnsi" w:cstheme="minorHAnsi"/>
          <w:bCs/>
          <w:lang w:val="en-US" w:eastAsia="en-US"/>
        </w:rPr>
        <w:t>).</w:t>
      </w:r>
      <w:r w:rsidRPr="004556EC">
        <w:rPr>
          <w:rFonts w:asciiTheme="minorHAnsi" w:eastAsia="Calibri" w:hAnsiTheme="minorHAnsi" w:cstheme="minorHAnsi"/>
          <w:bCs/>
          <w:lang w:val="en-US" w:eastAsia="en-US"/>
        </w:rPr>
        <w:t xml:space="preserve"> </w:t>
      </w:r>
      <w:r w:rsidR="00692F1C" w:rsidRPr="004556EC">
        <w:rPr>
          <w:rFonts w:asciiTheme="minorHAnsi" w:eastAsia="Calibri" w:hAnsiTheme="minorHAnsi" w:cstheme="minorHAnsi"/>
          <w:bCs/>
          <w:lang w:val="en-US" w:eastAsia="en-US"/>
        </w:rPr>
        <w:t xml:space="preserve">The results of the analysis show that the value of </w:t>
      </w:r>
      <m:oMath>
        <m:sSub>
          <m:sSubPr>
            <m:ctrlPr>
              <w:rPr>
                <w:rFonts w:ascii="Cambria Math" w:eastAsia="Calibri" w:hAnsi="Cambria Math" w:cstheme="minorHAnsi"/>
                <w:bCs/>
                <w:i/>
                <w:lang w:val="en-US" w:eastAsia="en-US"/>
              </w:rPr>
            </m:ctrlPr>
          </m:sSubPr>
          <m:e>
            <m:r>
              <w:rPr>
                <w:rFonts w:ascii="Cambria Math" w:eastAsia="Calibri" w:hAnsi="Cambria Math" w:cstheme="minorHAnsi"/>
                <w:lang w:val="en-US" w:eastAsia="en-US"/>
              </w:rPr>
              <m:t>γ</m:t>
            </m:r>
          </m:e>
          <m:sub>
            <m:r>
              <w:rPr>
                <w:rFonts w:ascii="Cambria Math" w:eastAsia="Calibri" w:hAnsi="Cambria Math" w:cstheme="minorHAnsi"/>
                <w:lang w:val="en-US" w:eastAsia="en-US"/>
              </w:rPr>
              <m:t>2</m:t>
            </m:r>
          </m:sub>
        </m:sSub>
      </m:oMath>
      <w:r w:rsidR="00692F1C" w:rsidRPr="004556EC">
        <w:rPr>
          <w:rFonts w:asciiTheme="minorHAnsi" w:eastAsia="Calibri" w:hAnsiTheme="minorHAnsi" w:cstheme="minorHAnsi"/>
          <w:bCs/>
          <w:vertAlign w:val="subscript"/>
          <w:lang w:eastAsia="en-US"/>
        </w:rPr>
        <w:t xml:space="preserve"> </w:t>
      </w:r>
      <w:r w:rsidR="00692F1C" w:rsidRPr="004556EC">
        <w:rPr>
          <w:rFonts w:asciiTheme="minorHAnsi" w:eastAsia="Calibri" w:hAnsiTheme="minorHAnsi" w:cstheme="minorHAnsi"/>
          <w:bCs/>
          <w:lang w:val="en-US" w:eastAsia="en-US"/>
        </w:rPr>
        <w:t xml:space="preserve">is positive and statistically significant. </w:t>
      </w:r>
      <w:r w:rsidR="00DA2B40" w:rsidRPr="004556EC">
        <w:rPr>
          <w:rFonts w:asciiTheme="minorHAnsi" w:eastAsia="Calibri" w:hAnsiTheme="minorHAnsi" w:cstheme="minorHAnsi"/>
          <w:bCs/>
          <w:lang w:val="en-US" w:eastAsia="en-US"/>
        </w:rPr>
        <w:t xml:space="preserve">Thus, </w:t>
      </w:r>
      <w:r w:rsidR="00692F1C" w:rsidRPr="004556EC">
        <w:rPr>
          <w:rFonts w:asciiTheme="minorHAnsi" w:eastAsia="Calibri" w:hAnsiTheme="minorHAnsi" w:cstheme="minorHAnsi"/>
          <w:bCs/>
          <w:lang w:val="en-US" w:eastAsia="en-US"/>
        </w:rPr>
        <w:t xml:space="preserve">there is no herding effect in the US market. </w:t>
      </w:r>
      <w:r w:rsidR="001011D3" w:rsidRPr="004556EC">
        <w:rPr>
          <w:rFonts w:asciiTheme="minorHAnsi" w:eastAsia="Calibri" w:hAnsiTheme="minorHAnsi" w:cstheme="minorHAnsi"/>
          <w:bCs/>
          <w:lang w:val="en-US" w:eastAsia="en-US"/>
        </w:rPr>
        <w:t>Our results are consistent</w:t>
      </w:r>
      <w:r w:rsidR="00692F1C" w:rsidRPr="004556EC">
        <w:rPr>
          <w:rFonts w:asciiTheme="minorHAnsi" w:eastAsia="Calibri" w:hAnsiTheme="minorHAnsi" w:cstheme="minorHAnsi"/>
          <w:bCs/>
          <w:lang w:val="en-US" w:eastAsia="en-US"/>
        </w:rPr>
        <w:t xml:space="preserve"> with recent evidence by</w:t>
      </w:r>
      <w:r w:rsidR="001011D3" w:rsidRPr="004556EC">
        <w:rPr>
          <w:rFonts w:asciiTheme="minorHAnsi" w:eastAsia="Calibri" w:hAnsiTheme="minorHAnsi" w:cstheme="minorHAnsi"/>
          <w:bCs/>
          <w:lang w:val="en-US" w:eastAsia="en-US"/>
        </w:rPr>
        <w:t xml:space="preserve"> </w:t>
      </w:r>
      <w:r w:rsidR="00692F1C" w:rsidRPr="004556EC">
        <w:rPr>
          <w:rFonts w:asciiTheme="minorHAnsi" w:eastAsia="Calibri" w:hAnsiTheme="minorHAnsi" w:cstheme="minorHAnsi"/>
          <w:bCs/>
          <w:lang w:val="en-US" w:eastAsia="en-US"/>
        </w:rPr>
        <w:t>BenMabrouk and Litimi (2018)</w:t>
      </w:r>
      <w:r w:rsidR="009B6E9C" w:rsidRPr="004556EC">
        <w:rPr>
          <w:rFonts w:asciiTheme="minorHAnsi" w:eastAsia="Calibri" w:hAnsiTheme="minorHAnsi" w:cstheme="minorHAnsi"/>
          <w:bCs/>
          <w:lang w:val="en-US" w:eastAsia="en-US"/>
        </w:rPr>
        <w:t>,</w:t>
      </w:r>
      <w:r w:rsidR="00692F1C" w:rsidRPr="004556EC">
        <w:rPr>
          <w:rFonts w:asciiTheme="minorHAnsi" w:eastAsia="Calibri" w:hAnsiTheme="minorHAnsi" w:cstheme="minorHAnsi"/>
          <w:bCs/>
          <w:lang w:val="en-US" w:eastAsia="en-US"/>
        </w:rPr>
        <w:t xml:space="preserve"> </w:t>
      </w:r>
      <w:r w:rsidR="009B6E9C" w:rsidRPr="004556EC">
        <w:rPr>
          <w:rFonts w:asciiTheme="minorHAnsi" w:eastAsia="Calibri" w:hAnsiTheme="minorHAnsi" w:cstheme="minorHAnsi"/>
          <w:bCs/>
          <w:lang w:val="en-US" w:eastAsia="en-US"/>
        </w:rPr>
        <w:t xml:space="preserve">Lee (2017), Galariotis, et al., (2015), and Chiang and Zheng (2010) </w:t>
      </w:r>
      <w:r w:rsidR="00692F1C" w:rsidRPr="004556EC">
        <w:rPr>
          <w:rFonts w:asciiTheme="minorHAnsi" w:eastAsia="Calibri" w:hAnsiTheme="minorHAnsi" w:cstheme="minorHAnsi"/>
          <w:bCs/>
          <w:lang w:val="en-US" w:eastAsia="en-US"/>
        </w:rPr>
        <w:t xml:space="preserve">that use the CSAD model and find no evidence of herding in the US market.  </w:t>
      </w:r>
      <w:r w:rsidR="004C648A">
        <w:rPr>
          <w:rFonts w:asciiTheme="minorHAnsi" w:eastAsia="Calibri" w:hAnsiTheme="minorHAnsi" w:cstheme="minorHAnsi"/>
          <w:bCs/>
          <w:lang w:val="en-US" w:eastAsia="en-US"/>
        </w:rPr>
        <w:t>It is, however, interesting that the market exhibits anti-herding, which implies that CSAD is extremely high. A possible explanation for this herding is th</w:t>
      </w:r>
      <w:r w:rsidR="000C2CBA">
        <w:rPr>
          <w:rFonts w:asciiTheme="minorHAnsi" w:eastAsia="Calibri" w:hAnsiTheme="minorHAnsi" w:cstheme="minorHAnsi"/>
          <w:bCs/>
          <w:lang w:val="en-US" w:eastAsia="en-US"/>
        </w:rPr>
        <w:t>at investors in the US market are overconfident</w:t>
      </w:r>
      <w:r w:rsidR="00860D88">
        <w:rPr>
          <w:rFonts w:asciiTheme="minorHAnsi" w:eastAsia="Calibri" w:hAnsiTheme="minorHAnsi" w:cstheme="minorHAnsi"/>
          <w:bCs/>
          <w:lang w:val="en-US" w:eastAsia="en-US"/>
        </w:rPr>
        <w:t xml:space="preserve"> (Barber and </w:t>
      </w:r>
      <w:proofErr w:type="spellStart"/>
      <w:r w:rsidR="00860D88">
        <w:rPr>
          <w:rFonts w:asciiTheme="minorHAnsi" w:eastAsia="Calibri" w:hAnsiTheme="minorHAnsi" w:cstheme="minorHAnsi"/>
          <w:bCs/>
          <w:lang w:val="en-US" w:eastAsia="en-US"/>
        </w:rPr>
        <w:t>Odean</w:t>
      </w:r>
      <w:proofErr w:type="spellEnd"/>
      <w:r w:rsidR="00860D88">
        <w:rPr>
          <w:rFonts w:asciiTheme="minorHAnsi" w:eastAsia="Calibri" w:hAnsiTheme="minorHAnsi" w:cstheme="minorHAnsi"/>
          <w:bCs/>
          <w:lang w:val="en-US" w:eastAsia="en-US"/>
        </w:rPr>
        <w:t>, 1999)</w:t>
      </w:r>
      <w:r w:rsidR="000C2CBA">
        <w:rPr>
          <w:rFonts w:asciiTheme="minorHAnsi" w:eastAsia="Calibri" w:hAnsiTheme="minorHAnsi" w:cstheme="minorHAnsi"/>
          <w:bCs/>
          <w:lang w:val="en-US" w:eastAsia="en-US"/>
        </w:rPr>
        <w:t xml:space="preserve"> hence, they may attribute positive returns </w:t>
      </w:r>
      <w:r w:rsidR="00860D88">
        <w:rPr>
          <w:rFonts w:asciiTheme="minorHAnsi" w:eastAsia="Calibri" w:hAnsiTheme="minorHAnsi" w:cstheme="minorHAnsi"/>
          <w:bCs/>
          <w:lang w:val="en-US" w:eastAsia="en-US"/>
        </w:rPr>
        <w:t>to</w:t>
      </w:r>
      <w:r w:rsidR="000C2CBA">
        <w:rPr>
          <w:rFonts w:asciiTheme="minorHAnsi" w:eastAsia="Calibri" w:hAnsiTheme="minorHAnsi" w:cstheme="minorHAnsi"/>
          <w:bCs/>
          <w:lang w:val="en-US" w:eastAsia="en-US"/>
        </w:rPr>
        <w:t xml:space="preserve"> their stock-picking skills rather than the prevalent market conditions (</w:t>
      </w:r>
      <w:proofErr w:type="spellStart"/>
      <w:r w:rsidR="000C2CBA">
        <w:rPr>
          <w:rFonts w:asciiTheme="minorHAnsi" w:eastAsia="Calibri" w:hAnsiTheme="minorHAnsi" w:cstheme="minorHAnsi"/>
          <w:bCs/>
          <w:lang w:val="en-US" w:eastAsia="en-US"/>
        </w:rPr>
        <w:t>Gebka</w:t>
      </w:r>
      <w:proofErr w:type="spellEnd"/>
      <w:r w:rsidR="00A47CA5">
        <w:rPr>
          <w:rFonts w:asciiTheme="minorHAnsi" w:eastAsia="Calibri" w:hAnsiTheme="minorHAnsi" w:cstheme="minorHAnsi"/>
          <w:bCs/>
          <w:lang w:val="en-US" w:eastAsia="en-US"/>
        </w:rPr>
        <w:t xml:space="preserve"> </w:t>
      </w:r>
      <w:r w:rsidR="000C2CBA">
        <w:rPr>
          <w:rFonts w:asciiTheme="minorHAnsi" w:eastAsia="Calibri" w:hAnsiTheme="minorHAnsi" w:cstheme="minorHAnsi"/>
          <w:bCs/>
          <w:lang w:val="en-US" w:eastAsia="en-US"/>
        </w:rPr>
        <w:lastRenderedPageBreak/>
        <w:t xml:space="preserve">and </w:t>
      </w:r>
      <w:proofErr w:type="spellStart"/>
      <w:r w:rsidR="000C2CBA">
        <w:rPr>
          <w:rFonts w:asciiTheme="minorHAnsi" w:eastAsia="Calibri" w:hAnsiTheme="minorHAnsi" w:cstheme="minorHAnsi"/>
          <w:bCs/>
          <w:lang w:val="en-US" w:eastAsia="en-US"/>
        </w:rPr>
        <w:t>Wohar</w:t>
      </w:r>
      <w:proofErr w:type="spellEnd"/>
      <w:r w:rsidR="000C2CBA">
        <w:rPr>
          <w:rFonts w:asciiTheme="minorHAnsi" w:eastAsia="Calibri" w:hAnsiTheme="minorHAnsi" w:cstheme="minorHAnsi"/>
          <w:bCs/>
          <w:lang w:val="en-US" w:eastAsia="en-US"/>
        </w:rPr>
        <w:t xml:space="preserve">, 2013). Consequently, they trade based on their own assessment </w:t>
      </w:r>
      <w:r w:rsidR="00177D09">
        <w:rPr>
          <w:rFonts w:asciiTheme="minorHAnsi" w:eastAsia="Calibri" w:hAnsiTheme="minorHAnsi" w:cstheme="minorHAnsi"/>
          <w:bCs/>
          <w:lang w:val="en-US" w:eastAsia="en-US"/>
        </w:rPr>
        <w:t xml:space="preserve">reducing the likelihood of </w:t>
      </w:r>
      <w:r w:rsidR="0002241A">
        <w:rPr>
          <w:rFonts w:asciiTheme="minorHAnsi" w:eastAsia="Calibri" w:hAnsiTheme="minorHAnsi" w:cstheme="minorHAnsi"/>
          <w:bCs/>
          <w:lang w:val="en-US" w:eastAsia="en-US"/>
        </w:rPr>
        <w:t>herd formation</w:t>
      </w:r>
      <w:r w:rsidR="000C2CBA">
        <w:rPr>
          <w:rFonts w:asciiTheme="minorHAnsi" w:eastAsia="Calibri" w:hAnsiTheme="minorHAnsi" w:cstheme="minorHAnsi"/>
          <w:bCs/>
          <w:lang w:val="en-US" w:eastAsia="en-US"/>
        </w:rPr>
        <w:t xml:space="preserve">. </w:t>
      </w:r>
    </w:p>
    <w:p w14:paraId="359482C2" w14:textId="77777777" w:rsidR="004558C6" w:rsidRPr="004556EC" w:rsidRDefault="004558C6" w:rsidP="004558C6">
      <w:pPr>
        <w:spacing w:line="360" w:lineRule="auto"/>
        <w:jc w:val="both"/>
        <w:rPr>
          <w:rFonts w:asciiTheme="minorHAnsi" w:eastAsia="Calibri" w:hAnsiTheme="minorHAnsi" w:cstheme="minorHAnsi"/>
          <w:bCs/>
          <w:lang w:val="en-US" w:eastAsia="en-US"/>
        </w:rPr>
      </w:pPr>
    </w:p>
    <w:p w14:paraId="26BD87EC" w14:textId="20E4994A" w:rsidR="00777512" w:rsidRPr="004556EC" w:rsidRDefault="00777512" w:rsidP="004558C6">
      <w:pPr>
        <w:spacing w:after="200" w:line="360" w:lineRule="auto"/>
        <w:jc w:val="center"/>
        <w:rPr>
          <w:rFonts w:asciiTheme="minorHAnsi" w:eastAsia="Calibri" w:hAnsiTheme="minorHAnsi" w:cstheme="minorHAnsi"/>
          <w:b/>
          <w:iCs/>
          <w:szCs w:val="18"/>
          <w:lang w:eastAsia="en-US"/>
        </w:rPr>
      </w:pPr>
      <w:bookmarkStart w:id="0" w:name="_Toc534716699"/>
      <w:r w:rsidRPr="004556EC">
        <w:rPr>
          <w:rFonts w:asciiTheme="minorHAnsi" w:eastAsia="Calibri" w:hAnsiTheme="minorHAnsi" w:cstheme="minorHAnsi"/>
          <w:b/>
          <w:iCs/>
          <w:szCs w:val="18"/>
          <w:lang w:eastAsia="en-US"/>
        </w:rPr>
        <w:t xml:space="preserve">Table </w:t>
      </w:r>
      <w:r w:rsidR="00033239" w:rsidRPr="004556EC">
        <w:rPr>
          <w:rFonts w:asciiTheme="minorHAnsi" w:eastAsia="Calibri" w:hAnsiTheme="minorHAnsi" w:cstheme="minorHAnsi"/>
          <w:b/>
          <w:iCs/>
          <w:szCs w:val="18"/>
          <w:lang w:eastAsia="en-US"/>
        </w:rPr>
        <w:t>3.</w:t>
      </w:r>
      <w:r w:rsidRPr="004556EC">
        <w:rPr>
          <w:rFonts w:asciiTheme="minorHAnsi" w:eastAsia="Calibri" w:hAnsiTheme="minorHAnsi" w:cstheme="minorHAnsi"/>
          <w:b/>
          <w:iCs/>
          <w:szCs w:val="18"/>
          <w:lang w:eastAsia="en-US"/>
        </w:rPr>
        <w:t>1. Estimates of herding for the overall US market</w:t>
      </w:r>
      <w:bookmarkEnd w:id="0"/>
    </w:p>
    <w:tbl>
      <w:tblPr>
        <w:tblW w:w="6249" w:type="dxa"/>
        <w:jc w:val="center"/>
        <w:tblLook w:val="04A0" w:firstRow="1" w:lastRow="0" w:firstColumn="1" w:lastColumn="0" w:noHBand="0" w:noVBand="1"/>
      </w:tblPr>
      <w:tblGrid>
        <w:gridCol w:w="1269"/>
        <w:gridCol w:w="1540"/>
        <w:gridCol w:w="1444"/>
        <w:gridCol w:w="963"/>
        <w:gridCol w:w="1060"/>
      </w:tblGrid>
      <w:tr w:rsidR="00777512" w:rsidRPr="004556EC" w14:paraId="76EC0EFD" w14:textId="77777777" w:rsidTr="00361409">
        <w:trPr>
          <w:trHeight w:val="300"/>
          <w:jc w:val="center"/>
        </w:trPr>
        <w:tc>
          <w:tcPr>
            <w:tcW w:w="1269" w:type="dxa"/>
            <w:tcBorders>
              <w:top w:val="single" w:sz="4" w:space="0" w:color="auto"/>
              <w:left w:val="nil"/>
              <w:bottom w:val="single" w:sz="4" w:space="0" w:color="auto"/>
              <w:right w:val="nil"/>
            </w:tcBorders>
            <w:shd w:val="clear" w:color="auto" w:fill="auto"/>
            <w:noWrap/>
            <w:vAlign w:val="bottom"/>
            <w:hideMark/>
          </w:tcPr>
          <w:p w14:paraId="501426A0" w14:textId="5806CD12" w:rsidR="00777512" w:rsidRPr="004556EC" w:rsidRDefault="00777512" w:rsidP="004558C6">
            <w:pPr>
              <w:spacing w:line="360" w:lineRule="auto"/>
              <w:jc w:val="center"/>
              <w:rPr>
                <w:rFonts w:asciiTheme="minorHAnsi" w:hAnsiTheme="minorHAnsi" w:cstheme="minorHAnsi"/>
                <w:sz w:val="22"/>
                <w:szCs w:val="22"/>
                <w:lang w:val="en-US"/>
              </w:rPr>
            </w:pPr>
            <w:r w:rsidRPr="004556EC">
              <w:rPr>
                <w:rFonts w:asciiTheme="minorHAnsi" w:hAnsiTheme="minorHAnsi" w:cstheme="minorHAnsi"/>
                <w:sz w:val="22"/>
                <w:szCs w:val="22"/>
                <w:lang w:val="en-US"/>
              </w:rPr>
              <w:t>Estimated parameters</w:t>
            </w:r>
          </w:p>
        </w:tc>
        <w:tc>
          <w:tcPr>
            <w:tcW w:w="1540" w:type="dxa"/>
            <w:tcBorders>
              <w:top w:val="single" w:sz="4" w:space="0" w:color="auto"/>
              <w:left w:val="nil"/>
              <w:bottom w:val="single" w:sz="4" w:space="0" w:color="auto"/>
              <w:right w:val="nil"/>
            </w:tcBorders>
            <w:shd w:val="clear" w:color="auto" w:fill="auto"/>
            <w:noWrap/>
            <w:vAlign w:val="center"/>
            <w:hideMark/>
          </w:tcPr>
          <w:p w14:paraId="301AA350" w14:textId="77777777" w:rsidR="00777512" w:rsidRPr="004556EC" w:rsidRDefault="00777512" w:rsidP="00361409">
            <w:pPr>
              <w:spacing w:line="360" w:lineRule="auto"/>
              <w:jc w:val="center"/>
              <w:rPr>
                <w:rFonts w:asciiTheme="minorHAnsi" w:hAnsiTheme="minorHAnsi" w:cstheme="minorHAnsi"/>
                <w:sz w:val="22"/>
                <w:szCs w:val="22"/>
                <w:lang w:val="en-US"/>
              </w:rPr>
            </w:pPr>
            <w:r w:rsidRPr="004556EC">
              <w:rPr>
                <w:rFonts w:asciiTheme="minorHAnsi" w:hAnsiTheme="minorHAnsi" w:cstheme="minorHAnsi"/>
                <w:sz w:val="22"/>
                <w:szCs w:val="22"/>
                <w:lang w:val="en-US"/>
              </w:rPr>
              <w:t>α</w:t>
            </w:r>
          </w:p>
        </w:tc>
        <w:tc>
          <w:tcPr>
            <w:tcW w:w="1444" w:type="dxa"/>
            <w:tcBorders>
              <w:top w:val="single" w:sz="4" w:space="0" w:color="auto"/>
              <w:left w:val="nil"/>
              <w:bottom w:val="single" w:sz="4" w:space="0" w:color="auto"/>
              <w:right w:val="nil"/>
            </w:tcBorders>
            <w:shd w:val="clear" w:color="auto" w:fill="auto"/>
            <w:noWrap/>
            <w:vAlign w:val="center"/>
            <w:hideMark/>
          </w:tcPr>
          <w:p w14:paraId="08F81014" w14:textId="589A3979" w:rsidR="00777512" w:rsidRPr="004556EC" w:rsidRDefault="00895ECF" w:rsidP="00361409">
            <w:pPr>
              <w:spacing w:line="360" w:lineRule="auto"/>
              <w:jc w:val="center"/>
              <w:rPr>
                <w:rFonts w:asciiTheme="minorHAnsi" w:hAnsiTheme="minorHAnsi" w:cstheme="minorHAnsi"/>
                <w:sz w:val="22"/>
                <w:szCs w:val="22"/>
                <w:lang w:val="en-US"/>
              </w:rPr>
            </w:pPr>
            <m:oMathPara>
              <m:oMath>
                <m:sSub>
                  <m:sSubPr>
                    <m:ctrlPr>
                      <w:rPr>
                        <w:rFonts w:ascii="Cambria Math" w:eastAsia="Calibri" w:hAnsi="Cambria Math" w:cstheme="minorHAnsi"/>
                        <w:i/>
                        <w:sz w:val="22"/>
                        <w:szCs w:val="22"/>
                        <w:lang w:val="en-US" w:eastAsia="en-US"/>
                      </w:rPr>
                    </m:ctrlPr>
                  </m:sSubPr>
                  <m:e>
                    <m:r>
                      <w:rPr>
                        <w:rFonts w:ascii="Cambria Math" w:eastAsia="Calibri" w:hAnsi="Cambria Math" w:cstheme="minorHAnsi"/>
                        <w:sz w:val="22"/>
                        <w:szCs w:val="22"/>
                        <w:lang w:val="en-US" w:eastAsia="en-US"/>
                      </w:rPr>
                      <m:t>γ</m:t>
                    </m:r>
                  </m:e>
                  <m:sub>
                    <m:r>
                      <w:rPr>
                        <w:rFonts w:ascii="Cambria Math" w:eastAsia="Calibri" w:hAnsi="Cambria Math" w:cstheme="minorHAnsi"/>
                        <w:sz w:val="22"/>
                        <w:szCs w:val="22"/>
                        <w:lang w:val="en-US" w:eastAsia="en-US"/>
                      </w:rPr>
                      <m:t>1</m:t>
                    </m:r>
                  </m:sub>
                </m:sSub>
              </m:oMath>
            </m:oMathPara>
          </w:p>
        </w:tc>
        <w:tc>
          <w:tcPr>
            <w:tcW w:w="936" w:type="dxa"/>
            <w:tcBorders>
              <w:top w:val="single" w:sz="4" w:space="0" w:color="auto"/>
              <w:left w:val="nil"/>
              <w:bottom w:val="single" w:sz="4" w:space="0" w:color="auto"/>
              <w:right w:val="nil"/>
            </w:tcBorders>
            <w:shd w:val="clear" w:color="auto" w:fill="auto"/>
            <w:noWrap/>
            <w:vAlign w:val="center"/>
            <w:hideMark/>
          </w:tcPr>
          <w:p w14:paraId="2F8D84D7" w14:textId="2F9BB465" w:rsidR="00777512" w:rsidRPr="004556EC" w:rsidRDefault="00895ECF" w:rsidP="00361409">
            <w:pPr>
              <w:spacing w:line="360" w:lineRule="auto"/>
              <w:jc w:val="center"/>
              <w:rPr>
                <w:rFonts w:asciiTheme="minorHAnsi" w:hAnsiTheme="minorHAnsi" w:cstheme="minorHAnsi"/>
                <w:sz w:val="22"/>
                <w:szCs w:val="22"/>
                <w:lang w:val="en-US"/>
              </w:rPr>
            </w:pPr>
            <m:oMathPara>
              <m:oMath>
                <m:sSub>
                  <m:sSubPr>
                    <m:ctrlPr>
                      <w:rPr>
                        <w:rFonts w:ascii="Cambria Math" w:eastAsia="Calibri" w:hAnsi="Cambria Math" w:cstheme="minorHAnsi"/>
                        <w:i/>
                        <w:sz w:val="22"/>
                        <w:szCs w:val="22"/>
                        <w:lang w:val="en-US" w:eastAsia="en-US"/>
                      </w:rPr>
                    </m:ctrlPr>
                  </m:sSubPr>
                  <m:e>
                    <m:r>
                      <w:rPr>
                        <w:rFonts w:ascii="Cambria Math" w:eastAsia="Calibri" w:hAnsi="Cambria Math" w:cstheme="minorHAnsi"/>
                        <w:sz w:val="22"/>
                        <w:szCs w:val="22"/>
                        <w:lang w:val="en-US" w:eastAsia="en-US"/>
                      </w:rPr>
                      <m:t>γ</m:t>
                    </m:r>
                  </m:e>
                  <m:sub>
                    <m:r>
                      <w:rPr>
                        <w:rFonts w:ascii="Cambria Math" w:eastAsia="Calibri" w:hAnsi="Cambria Math" w:cstheme="minorHAnsi"/>
                        <w:sz w:val="22"/>
                        <w:szCs w:val="22"/>
                        <w:lang w:val="en-US" w:eastAsia="en-US"/>
                      </w:rPr>
                      <m:t>2</m:t>
                    </m:r>
                  </m:sub>
                </m:sSub>
              </m:oMath>
            </m:oMathPara>
          </w:p>
        </w:tc>
        <w:tc>
          <w:tcPr>
            <w:tcW w:w="1060" w:type="dxa"/>
            <w:tcBorders>
              <w:top w:val="single" w:sz="4" w:space="0" w:color="auto"/>
              <w:left w:val="nil"/>
              <w:bottom w:val="single" w:sz="4" w:space="0" w:color="auto"/>
              <w:right w:val="nil"/>
            </w:tcBorders>
            <w:shd w:val="clear" w:color="auto" w:fill="auto"/>
            <w:noWrap/>
            <w:vAlign w:val="center"/>
            <w:hideMark/>
          </w:tcPr>
          <w:p w14:paraId="632E0113" w14:textId="77777777" w:rsidR="00777512" w:rsidRPr="004556EC" w:rsidRDefault="00777512" w:rsidP="00361409">
            <w:pPr>
              <w:spacing w:line="360" w:lineRule="auto"/>
              <w:jc w:val="center"/>
              <w:rPr>
                <w:rFonts w:asciiTheme="minorHAnsi" w:hAnsiTheme="minorHAnsi" w:cstheme="minorHAnsi"/>
                <w:sz w:val="22"/>
                <w:szCs w:val="22"/>
                <w:lang w:val="en-US"/>
              </w:rPr>
            </w:pPr>
            <w:r w:rsidRPr="004556EC">
              <w:rPr>
                <w:rFonts w:asciiTheme="minorHAnsi" w:hAnsiTheme="minorHAnsi" w:cstheme="minorHAnsi"/>
                <w:sz w:val="22"/>
                <w:szCs w:val="22"/>
                <w:lang w:val="en-US"/>
              </w:rPr>
              <w:t>Adj. R</w:t>
            </w:r>
            <w:r w:rsidRPr="004556EC">
              <w:rPr>
                <w:rFonts w:asciiTheme="minorHAnsi" w:hAnsiTheme="minorHAnsi" w:cstheme="minorHAnsi"/>
                <w:sz w:val="22"/>
                <w:szCs w:val="22"/>
                <w:vertAlign w:val="superscript"/>
                <w:lang w:val="en-US"/>
              </w:rPr>
              <w:t>2</w:t>
            </w:r>
          </w:p>
        </w:tc>
      </w:tr>
      <w:tr w:rsidR="00777512" w:rsidRPr="004556EC" w14:paraId="5C917041" w14:textId="77777777" w:rsidTr="004558C6">
        <w:trPr>
          <w:trHeight w:val="300"/>
          <w:jc w:val="center"/>
        </w:trPr>
        <w:tc>
          <w:tcPr>
            <w:tcW w:w="1269" w:type="dxa"/>
            <w:tcBorders>
              <w:top w:val="nil"/>
              <w:left w:val="nil"/>
              <w:bottom w:val="nil"/>
              <w:right w:val="nil"/>
            </w:tcBorders>
            <w:shd w:val="clear" w:color="auto" w:fill="auto"/>
            <w:noWrap/>
            <w:vAlign w:val="bottom"/>
            <w:hideMark/>
          </w:tcPr>
          <w:p w14:paraId="5907FEFD" w14:textId="03644D94" w:rsidR="00777512" w:rsidRPr="004556EC" w:rsidRDefault="00777512" w:rsidP="004558C6">
            <w:pPr>
              <w:spacing w:line="360" w:lineRule="auto"/>
              <w:jc w:val="center"/>
              <w:rPr>
                <w:rFonts w:asciiTheme="minorHAnsi" w:hAnsiTheme="minorHAnsi" w:cstheme="minorHAnsi"/>
                <w:sz w:val="22"/>
                <w:szCs w:val="22"/>
                <w:lang w:val="en-US"/>
              </w:rPr>
            </w:pPr>
          </w:p>
        </w:tc>
        <w:tc>
          <w:tcPr>
            <w:tcW w:w="1540" w:type="dxa"/>
            <w:tcBorders>
              <w:top w:val="nil"/>
              <w:left w:val="nil"/>
              <w:bottom w:val="nil"/>
              <w:right w:val="nil"/>
            </w:tcBorders>
            <w:shd w:val="clear" w:color="auto" w:fill="auto"/>
            <w:noWrap/>
            <w:vAlign w:val="bottom"/>
            <w:hideMark/>
          </w:tcPr>
          <w:p w14:paraId="22CE0C26" w14:textId="57CB95DD" w:rsidR="00777512" w:rsidRPr="004556EC" w:rsidRDefault="00895ECF" w:rsidP="004558C6">
            <w:pPr>
              <w:spacing w:line="360" w:lineRule="auto"/>
              <w:jc w:val="center"/>
              <w:rPr>
                <w:rFonts w:asciiTheme="minorHAnsi" w:hAnsiTheme="minorHAnsi" w:cstheme="minorHAnsi"/>
                <w:sz w:val="22"/>
                <w:szCs w:val="22"/>
                <w:lang w:val="en-US"/>
              </w:rPr>
            </w:pPr>
            <w:r w:rsidRPr="00895ECF">
              <w:rPr>
                <w:rFonts w:asciiTheme="minorHAnsi" w:hAnsiTheme="minorHAnsi" w:cstheme="minorHAnsi"/>
                <w:sz w:val="22"/>
                <w:szCs w:val="22"/>
              </w:rPr>
              <w:t>0.0095</w:t>
            </w:r>
          </w:p>
        </w:tc>
        <w:tc>
          <w:tcPr>
            <w:tcW w:w="1444" w:type="dxa"/>
            <w:tcBorders>
              <w:top w:val="nil"/>
              <w:left w:val="nil"/>
              <w:bottom w:val="nil"/>
              <w:right w:val="nil"/>
            </w:tcBorders>
            <w:shd w:val="clear" w:color="auto" w:fill="auto"/>
            <w:noWrap/>
            <w:vAlign w:val="bottom"/>
            <w:hideMark/>
          </w:tcPr>
          <w:p w14:paraId="55B4D848" w14:textId="17AA83AC" w:rsidR="00777512" w:rsidRPr="004556EC" w:rsidRDefault="00895ECF" w:rsidP="00895ECF">
            <w:pPr>
              <w:spacing w:line="360" w:lineRule="auto"/>
              <w:rPr>
                <w:rFonts w:asciiTheme="minorHAnsi" w:hAnsiTheme="minorHAnsi" w:cstheme="minorHAnsi"/>
                <w:sz w:val="22"/>
                <w:szCs w:val="22"/>
                <w:lang w:val="en-US"/>
              </w:rPr>
            </w:pPr>
            <w:r>
              <w:rPr>
                <w:rFonts w:asciiTheme="minorHAnsi" w:hAnsiTheme="minorHAnsi" w:cstheme="minorHAnsi"/>
                <w:sz w:val="22"/>
                <w:szCs w:val="22"/>
              </w:rPr>
              <w:t xml:space="preserve"> </w:t>
            </w:r>
            <w:r>
              <w:rPr>
                <w:rFonts w:asciiTheme="minorHAnsi" w:hAnsiTheme="minorHAnsi" w:cstheme="minorHAnsi"/>
              </w:rPr>
              <w:t xml:space="preserve">  </w:t>
            </w:r>
            <w:r w:rsidRPr="00895ECF">
              <w:rPr>
                <w:rFonts w:asciiTheme="minorHAnsi" w:hAnsiTheme="minorHAnsi" w:cstheme="minorHAnsi"/>
                <w:sz w:val="22"/>
                <w:szCs w:val="22"/>
              </w:rPr>
              <w:t>0.5725</w:t>
            </w:r>
          </w:p>
        </w:tc>
        <w:tc>
          <w:tcPr>
            <w:tcW w:w="936" w:type="dxa"/>
            <w:tcBorders>
              <w:top w:val="nil"/>
              <w:left w:val="nil"/>
              <w:bottom w:val="nil"/>
              <w:right w:val="nil"/>
            </w:tcBorders>
            <w:shd w:val="clear" w:color="auto" w:fill="auto"/>
            <w:noWrap/>
            <w:vAlign w:val="bottom"/>
            <w:hideMark/>
          </w:tcPr>
          <w:p w14:paraId="15DA3121" w14:textId="6F6DC2CA" w:rsidR="00777512" w:rsidRPr="004556EC" w:rsidRDefault="00895ECF" w:rsidP="004558C6">
            <w:pPr>
              <w:spacing w:line="360" w:lineRule="auto"/>
              <w:jc w:val="center"/>
              <w:rPr>
                <w:rFonts w:asciiTheme="minorHAnsi" w:hAnsiTheme="minorHAnsi" w:cstheme="minorHAnsi"/>
                <w:sz w:val="22"/>
                <w:szCs w:val="22"/>
                <w:lang w:val="en-US"/>
              </w:rPr>
            </w:pPr>
            <w:r w:rsidRPr="00895ECF">
              <w:rPr>
                <w:rFonts w:asciiTheme="minorHAnsi" w:hAnsiTheme="minorHAnsi" w:cstheme="minorHAnsi"/>
                <w:sz w:val="22"/>
                <w:szCs w:val="22"/>
              </w:rPr>
              <w:t>4.4819</w:t>
            </w:r>
          </w:p>
        </w:tc>
        <w:tc>
          <w:tcPr>
            <w:tcW w:w="1060" w:type="dxa"/>
            <w:tcBorders>
              <w:top w:val="nil"/>
              <w:left w:val="nil"/>
              <w:bottom w:val="nil"/>
              <w:right w:val="nil"/>
            </w:tcBorders>
            <w:shd w:val="clear" w:color="auto" w:fill="auto"/>
            <w:noWrap/>
            <w:vAlign w:val="bottom"/>
            <w:hideMark/>
          </w:tcPr>
          <w:p w14:paraId="6E9B72D6" w14:textId="58B22E6E" w:rsidR="00777512" w:rsidRPr="004556EC" w:rsidRDefault="00895ECF" w:rsidP="004558C6">
            <w:pPr>
              <w:spacing w:line="360" w:lineRule="auto"/>
              <w:jc w:val="center"/>
              <w:rPr>
                <w:rFonts w:asciiTheme="minorHAnsi" w:hAnsiTheme="minorHAnsi" w:cstheme="minorHAnsi"/>
                <w:sz w:val="22"/>
                <w:szCs w:val="22"/>
                <w:lang w:val="en-US"/>
              </w:rPr>
            </w:pPr>
            <w:r w:rsidRPr="00895ECF">
              <w:rPr>
                <w:rFonts w:asciiTheme="minorHAnsi" w:hAnsiTheme="minorHAnsi" w:cstheme="minorHAnsi"/>
                <w:sz w:val="22"/>
                <w:szCs w:val="22"/>
              </w:rPr>
              <w:t>58.23%</w:t>
            </w:r>
          </w:p>
        </w:tc>
      </w:tr>
      <w:tr w:rsidR="00777512" w:rsidRPr="004556EC" w14:paraId="5D7E5794" w14:textId="77777777" w:rsidTr="004558C6">
        <w:trPr>
          <w:trHeight w:val="300"/>
          <w:jc w:val="center"/>
        </w:trPr>
        <w:tc>
          <w:tcPr>
            <w:tcW w:w="1269" w:type="dxa"/>
            <w:tcBorders>
              <w:top w:val="nil"/>
              <w:left w:val="nil"/>
              <w:bottom w:val="single" w:sz="4" w:space="0" w:color="auto"/>
              <w:right w:val="nil"/>
            </w:tcBorders>
            <w:shd w:val="clear" w:color="auto" w:fill="auto"/>
            <w:noWrap/>
            <w:vAlign w:val="bottom"/>
            <w:hideMark/>
          </w:tcPr>
          <w:p w14:paraId="528C58D6" w14:textId="3A00D3CC" w:rsidR="00777512" w:rsidRPr="004556EC" w:rsidRDefault="00777512" w:rsidP="004558C6">
            <w:pPr>
              <w:spacing w:line="360" w:lineRule="auto"/>
              <w:jc w:val="center"/>
              <w:rPr>
                <w:rFonts w:asciiTheme="minorHAnsi" w:hAnsiTheme="minorHAnsi" w:cstheme="minorHAnsi"/>
                <w:sz w:val="22"/>
                <w:szCs w:val="22"/>
                <w:lang w:val="en-US"/>
              </w:rPr>
            </w:pPr>
          </w:p>
        </w:tc>
        <w:tc>
          <w:tcPr>
            <w:tcW w:w="1540" w:type="dxa"/>
            <w:tcBorders>
              <w:top w:val="nil"/>
              <w:left w:val="nil"/>
              <w:bottom w:val="single" w:sz="4" w:space="0" w:color="auto"/>
              <w:right w:val="nil"/>
            </w:tcBorders>
            <w:shd w:val="clear" w:color="auto" w:fill="auto"/>
            <w:noWrap/>
            <w:hideMark/>
          </w:tcPr>
          <w:p w14:paraId="6D38E0CE" w14:textId="6416980B" w:rsidR="00777512" w:rsidRPr="004556EC" w:rsidRDefault="00895ECF" w:rsidP="004558C6">
            <w:pPr>
              <w:spacing w:line="36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00415EDD">
              <w:rPr>
                <w:rFonts w:asciiTheme="minorHAnsi" w:hAnsiTheme="minorHAnsi" w:cstheme="minorHAnsi"/>
                <w:sz w:val="22"/>
                <w:szCs w:val="22"/>
                <w:lang w:val="en-US"/>
              </w:rPr>
              <w:t>(</w:t>
            </w:r>
            <w:r w:rsidR="00E71683">
              <w:rPr>
                <w:rFonts w:asciiTheme="minorHAnsi" w:hAnsiTheme="minorHAnsi" w:cstheme="minorHAnsi"/>
                <w:sz w:val="22"/>
                <w:szCs w:val="22"/>
                <w:lang w:val="en-US"/>
              </w:rPr>
              <w:t>0</w:t>
            </w:r>
            <w:r w:rsidR="00E71683">
              <w:rPr>
                <w:rFonts w:asciiTheme="minorHAnsi" w:hAnsiTheme="minorHAnsi" w:cstheme="minorHAnsi"/>
                <w:lang w:val="en-US"/>
              </w:rPr>
              <w:t>.0000</w:t>
            </w:r>
            <w:r w:rsidR="00415EDD">
              <w:rPr>
                <w:rFonts w:asciiTheme="minorHAnsi" w:hAnsiTheme="minorHAnsi" w:cstheme="minorHAnsi"/>
                <w:lang w:val="en-US"/>
              </w:rPr>
              <w:t>)</w:t>
            </w:r>
          </w:p>
        </w:tc>
        <w:tc>
          <w:tcPr>
            <w:tcW w:w="1444" w:type="dxa"/>
            <w:tcBorders>
              <w:top w:val="nil"/>
              <w:left w:val="nil"/>
              <w:bottom w:val="single" w:sz="4" w:space="0" w:color="auto"/>
              <w:right w:val="nil"/>
            </w:tcBorders>
            <w:shd w:val="clear" w:color="auto" w:fill="auto"/>
            <w:noWrap/>
            <w:vAlign w:val="bottom"/>
            <w:hideMark/>
          </w:tcPr>
          <w:p w14:paraId="3A154196" w14:textId="47DABDE1" w:rsidR="00777512" w:rsidRPr="004556EC" w:rsidRDefault="00E71683" w:rsidP="00E71683">
            <w:pPr>
              <w:spacing w:line="36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Pr>
                <w:rFonts w:asciiTheme="minorHAnsi" w:hAnsiTheme="minorHAnsi" w:cstheme="minorHAnsi"/>
                <w:lang w:val="en-US"/>
              </w:rPr>
              <w:t xml:space="preserve">  </w:t>
            </w:r>
            <w:r w:rsidR="00415EDD">
              <w:rPr>
                <w:rFonts w:asciiTheme="minorHAnsi" w:hAnsiTheme="minorHAnsi" w:cstheme="minorHAnsi"/>
                <w:lang w:val="en-US"/>
              </w:rPr>
              <w:t>(</w:t>
            </w:r>
            <w:r>
              <w:rPr>
                <w:rFonts w:asciiTheme="minorHAnsi" w:hAnsiTheme="minorHAnsi" w:cstheme="minorHAnsi"/>
                <w:sz w:val="22"/>
                <w:szCs w:val="22"/>
                <w:lang w:val="en-US"/>
              </w:rPr>
              <w:t>0</w:t>
            </w:r>
            <w:r>
              <w:rPr>
                <w:rFonts w:asciiTheme="minorHAnsi" w:hAnsiTheme="minorHAnsi" w:cstheme="minorHAnsi"/>
                <w:lang w:val="en-US"/>
              </w:rPr>
              <w:t>.0000</w:t>
            </w:r>
            <w:r w:rsidR="00415EDD">
              <w:rPr>
                <w:rFonts w:asciiTheme="minorHAnsi" w:hAnsiTheme="minorHAnsi" w:cstheme="minorHAnsi"/>
                <w:lang w:val="en-US"/>
              </w:rPr>
              <w:t>)</w:t>
            </w:r>
          </w:p>
        </w:tc>
        <w:tc>
          <w:tcPr>
            <w:tcW w:w="936" w:type="dxa"/>
            <w:tcBorders>
              <w:top w:val="nil"/>
              <w:left w:val="nil"/>
              <w:bottom w:val="single" w:sz="4" w:space="0" w:color="auto"/>
              <w:right w:val="nil"/>
            </w:tcBorders>
            <w:shd w:val="clear" w:color="auto" w:fill="auto"/>
            <w:noWrap/>
            <w:vAlign w:val="bottom"/>
            <w:hideMark/>
          </w:tcPr>
          <w:p w14:paraId="5C81EFFB" w14:textId="521157F6" w:rsidR="00777512" w:rsidRPr="004556EC" w:rsidRDefault="00415EDD" w:rsidP="004558C6">
            <w:pPr>
              <w:spacing w:line="36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w:t>
            </w:r>
            <w:r w:rsidR="00E71683">
              <w:rPr>
                <w:rFonts w:asciiTheme="minorHAnsi" w:hAnsiTheme="minorHAnsi" w:cstheme="minorHAnsi"/>
                <w:sz w:val="22"/>
                <w:szCs w:val="22"/>
                <w:lang w:val="en-US"/>
              </w:rPr>
              <w:t>0.0000</w:t>
            </w:r>
            <w:r>
              <w:rPr>
                <w:rFonts w:asciiTheme="minorHAnsi" w:hAnsiTheme="minorHAnsi" w:cstheme="minorHAnsi"/>
                <w:sz w:val="22"/>
                <w:szCs w:val="22"/>
                <w:lang w:val="en-US"/>
              </w:rPr>
              <w:t>)</w:t>
            </w:r>
          </w:p>
        </w:tc>
        <w:tc>
          <w:tcPr>
            <w:tcW w:w="1060" w:type="dxa"/>
            <w:tcBorders>
              <w:top w:val="nil"/>
              <w:left w:val="nil"/>
              <w:bottom w:val="single" w:sz="4" w:space="0" w:color="auto"/>
              <w:right w:val="nil"/>
            </w:tcBorders>
            <w:shd w:val="clear" w:color="auto" w:fill="auto"/>
            <w:noWrap/>
            <w:vAlign w:val="bottom"/>
            <w:hideMark/>
          </w:tcPr>
          <w:p w14:paraId="7FE05DE0" w14:textId="003A1AF6" w:rsidR="00777512" w:rsidRPr="004556EC" w:rsidRDefault="00777512" w:rsidP="004558C6">
            <w:pPr>
              <w:spacing w:line="360" w:lineRule="auto"/>
              <w:jc w:val="center"/>
              <w:rPr>
                <w:rFonts w:asciiTheme="minorHAnsi" w:hAnsiTheme="minorHAnsi" w:cstheme="minorHAnsi"/>
                <w:sz w:val="22"/>
                <w:szCs w:val="22"/>
                <w:lang w:val="en-US"/>
              </w:rPr>
            </w:pPr>
          </w:p>
        </w:tc>
      </w:tr>
    </w:tbl>
    <w:p w14:paraId="52F2B6AF" w14:textId="5028FD5F" w:rsidR="00777512" w:rsidRPr="004556EC" w:rsidRDefault="00777512" w:rsidP="004558C6">
      <w:pPr>
        <w:tabs>
          <w:tab w:val="left" w:pos="7665"/>
        </w:tabs>
        <w:spacing w:line="360" w:lineRule="auto"/>
        <w:jc w:val="center"/>
        <w:rPr>
          <w:rFonts w:asciiTheme="minorHAnsi" w:eastAsia="Calibri" w:hAnsiTheme="minorHAnsi" w:cstheme="minorHAnsi"/>
          <w:lang w:val="en-US" w:eastAsia="en-US"/>
        </w:rPr>
      </w:pPr>
    </w:p>
    <w:p w14:paraId="3183E804" w14:textId="7D344F60" w:rsidR="00777512" w:rsidRPr="004556EC" w:rsidRDefault="00777512" w:rsidP="004558C6">
      <w:pPr>
        <w:tabs>
          <w:tab w:val="left" w:pos="7665"/>
        </w:tabs>
        <w:spacing w:line="240" w:lineRule="auto"/>
        <w:jc w:val="both"/>
        <w:rPr>
          <w:rFonts w:asciiTheme="minorHAnsi" w:eastAsia="Calibri" w:hAnsiTheme="minorHAnsi" w:cstheme="minorHAnsi"/>
          <w:sz w:val="22"/>
          <w:szCs w:val="22"/>
          <w:lang w:val="en-US" w:eastAsia="en-US"/>
        </w:rPr>
      </w:pPr>
      <w:r w:rsidRPr="004558C6">
        <w:rPr>
          <w:rFonts w:asciiTheme="minorHAnsi" w:eastAsia="Calibri" w:hAnsiTheme="minorHAnsi" w:cstheme="minorHAnsi"/>
          <w:i/>
          <w:iCs/>
          <w:sz w:val="22"/>
          <w:szCs w:val="22"/>
          <w:lang w:val="en-US" w:eastAsia="en-US"/>
        </w:rPr>
        <w:t>Note:</w:t>
      </w:r>
      <w:r w:rsidRPr="004556EC">
        <w:rPr>
          <w:rFonts w:asciiTheme="minorHAnsi" w:eastAsia="Calibri" w:hAnsiTheme="minorHAnsi" w:cstheme="minorHAnsi"/>
          <w:sz w:val="22"/>
          <w:szCs w:val="22"/>
          <w:lang w:val="en-US" w:eastAsia="en-US"/>
        </w:rPr>
        <w:t xml:space="preserve"> Table </w:t>
      </w:r>
      <w:r w:rsidR="00033239" w:rsidRPr="004556EC">
        <w:rPr>
          <w:rFonts w:asciiTheme="minorHAnsi" w:eastAsia="Calibri" w:hAnsiTheme="minorHAnsi" w:cstheme="minorHAnsi"/>
          <w:sz w:val="22"/>
          <w:szCs w:val="22"/>
          <w:lang w:val="en-US" w:eastAsia="en-US"/>
        </w:rPr>
        <w:t>3.</w:t>
      </w:r>
      <w:r w:rsidRPr="004556EC">
        <w:rPr>
          <w:rFonts w:asciiTheme="minorHAnsi" w:eastAsia="Calibri" w:hAnsiTheme="minorHAnsi" w:cstheme="minorHAnsi"/>
          <w:sz w:val="22"/>
          <w:szCs w:val="22"/>
          <w:lang w:val="en-US" w:eastAsia="en-US"/>
        </w:rPr>
        <w:t xml:space="preserve">1. reports the </w:t>
      </w:r>
      <w:r w:rsidR="00925314">
        <w:rPr>
          <w:rFonts w:asciiTheme="minorHAnsi" w:eastAsia="Calibri" w:hAnsiTheme="minorHAnsi" w:cstheme="minorHAnsi"/>
          <w:sz w:val="22"/>
          <w:szCs w:val="22"/>
          <w:lang w:val="en-US" w:eastAsia="en-US"/>
        </w:rPr>
        <w:t>results from model 1.</w:t>
      </w:r>
      <w:r w:rsidRPr="004556EC">
        <w:rPr>
          <w:rFonts w:asciiTheme="minorHAnsi" w:eastAsia="Calibri" w:hAnsiTheme="minorHAnsi" w:cstheme="minorHAnsi"/>
          <w:sz w:val="22"/>
          <w:szCs w:val="22"/>
          <w:lang w:val="en-US" w:eastAsia="en-US"/>
        </w:rPr>
        <w:t xml:space="preserve"> </w:t>
      </w:r>
      <w:r w:rsidR="00415EDD">
        <w:rPr>
          <w:rFonts w:asciiTheme="minorHAnsi" w:eastAsia="Calibri" w:hAnsiTheme="minorHAnsi" w:cstheme="minorHAnsi"/>
          <w:sz w:val="22"/>
          <w:szCs w:val="22"/>
          <w:lang w:val="en-US" w:eastAsia="en-US"/>
        </w:rPr>
        <w:t xml:space="preserve">The </w:t>
      </w:r>
      <w:r w:rsidR="00415EDD" w:rsidRPr="00415EDD">
        <w:rPr>
          <w:rFonts w:asciiTheme="minorHAnsi" w:eastAsia="Calibri" w:hAnsiTheme="minorHAnsi" w:cstheme="minorHAnsi"/>
          <w:sz w:val="22"/>
          <w:szCs w:val="22"/>
          <w:lang w:val="en-US" w:eastAsia="en-US"/>
        </w:rPr>
        <w:t xml:space="preserve">associated p-values </w:t>
      </w:r>
      <w:r w:rsidR="00415EDD" w:rsidRPr="004556EC">
        <w:rPr>
          <w:rFonts w:asciiTheme="minorHAnsi" w:eastAsia="Calibri" w:hAnsiTheme="minorHAnsi" w:cstheme="minorHAnsi"/>
          <w:sz w:val="22"/>
          <w:szCs w:val="22"/>
          <w:lang w:val="en-US" w:eastAsia="en-US"/>
        </w:rPr>
        <w:t>are reported in parentheses</w:t>
      </w:r>
      <w:r w:rsidR="00415EDD">
        <w:rPr>
          <w:rFonts w:asciiTheme="minorHAnsi" w:eastAsia="Calibri" w:hAnsiTheme="minorHAnsi" w:cstheme="minorHAnsi"/>
          <w:sz w:val="22"/>
          <w:szCs w:val="22"/>
          <w:lang w:val="en-US" w:eastAsia="en-US"/>
        </w:rPr>
        <w:t>.</w:t>
      </w:r>
    </w:p>
    <w:p w14:paraId="746829F3" w14:textId="52B877EC" w:rsidR="009D089F" w:rsidRPr="004556EC" w:rsidRDefault="00C8790E" w:rsidP="004558C6">
      <w:pPr>
        <w:pStyle w:val="Heading3"/>
        <w:rPr>
          <w:rFonts w:asciiTheme="minorHAnsi" w:eastAsia="Calibri" w:hAnsiTheme="minorHAnsi" w:cstheme="minorHAnsi"/>
          <w:lang w:val="en-US" w:eastAsia="en-US"/>
        </w:rPr>
      </w:pPr>
      <w:r w:rsidRPr="004556EC">
        <w:rPr>
          <w:rFonts w:asciiTheme="minorHAnsi" w:eastAsia="Calibri" w:hAnsiTheme="minorHAnsi" w:cstheme="minorHAnsi"/>
          <w:lang w:val="en-US" w:eastAsia="en-US"/>
        </w:rPr>
        <w:t>3.</w:t>
      </w:r>
      <w:r w:rsidR="008502D1" w:rsidRPr="004556EC">
        <w:rPr>
          <w:rFonts w:asciiTheme="minorHAnsi" w:eastAsia="Calibri" w:hAnsiTheme="minorHAnsi" w:cstheme="minorHAnsi"/>
          <w:lang w:val="en-US" w:eastAsia="en-US"/>
        </w:rPr>
        <w:t>2. Empirical</w:t>
      </w:r>
      <w:r w:rsidR="009D089F" w:rsidRPr="004556EC">
        <w:rPr>
          <w:rFonts w:asciiTheme="minorHAnsi" w:eastAsia="Calibri" w:hAnsiTheme="minorHAnsi" w:cstheme="minorHAnsi"/>
          <w:lang w:val="en-US" w:eastAsia="en-US"/>
        </w:rPr>
        <w:t xml:space="preserve"> results for industry herding </w:t>
      </w:r>
    </w:p>
    <w:p w14:paraId="67FE1131" w14:textId="184C9A65" w:rsidR="00E47461" w:rsidRPr="004556EC" w:rsidRDefault="00E47461" w:rsidP="004558C6">
      <w:pPr>
        <w:spacing w:before="240" w:line="360" w:lineRule="auto"/>
        <w:jc w:val="both"/>
        <w:rPr>
          <w:rFonts w:asciiTheme="minorHAnsi" w:eastAsia="Calibri" w:hAnsiTheme="minorHAnsi" w:cstheme="minorHAnsi"/>
          <w:lang w:val="en-US"/>
        </w:rPr>
      </w:pPr>
      <w:r w:rsidRPr="004556EC">
        <w:rPr>
          <w:rFonts w:asciiTheme="minorHAnsi" w:eastAsia="Calibri" w:hAnsiTheme="minorHAnsi" w:cstheme="minorHAnsi"/>
          <w:lang w:val="en-US"/>
        </w:rPr>
        <w:t xml:space="preserve">On analysis of sector level data, </w:t>
      </w:r>
      <w:r w:rsidR="008952E1" w:rsidRPr="004556EC">
        <w:rPr>
          <w:rFonts w:asciiTheme="minorHAnsi" w:eastAsia="Calibri" w:hAnsiTheme="minorHAnsi" w:cstheme="minorHAnsi"/>
          <w:lang w:val="en-US"/>
        </w:rPr>
        <w:t>Equation (3</w:t>
      </w:r>
      <w:r w:rsidRPr="004556EC">
        <w:rPr>
          <w:rFonts w:asciiTheme="minorHAnsi" w:eastAsia="Calibri" w:hAnsiTheme="minorHAnsi" w:cstheme="minorHAnsi"/>
          <w:lang w:val="en-US"/>
        </w:rPr>
        <w:t xml:space="preserve">) is used to examine whether US investors herd </w:t>
      </w:r>
      <w:r w:rsidR="00883FCF" w:rsidRPr="004556EC">
        <w:rPr>
          <w:rFonts w:asciiTheme="minorHAnsi" w:eastAsia="Calibri" w:hAnsiTheme="minorHAnsi" w:cstheme="minorHAnsi"/>
          <w:lang w:val="en-US"/>
        </w:rPr>
        <w:t>at the sector level.</w:t>
      </w:r>
      <w:r w:rsidRPr="004556EC">
        <w:rPr>
          <w:rFonts w:asciiTheme="minorHAnsi" w:eastAsia="Calibri" w:hAnsiTheme="minorHAnsi" w:cstheme="minorHAnsi"/>
          <w:lang w:val="en-US"/>
        </w:rPr>
        <w:t xml:space="preserve"> An analysis of the regress</w:t>
      </w:r>
      <w:r w:rsidR="008952E1" w:rsidRPr="004556EC">
        <w:rPr>
          <w:rFonts w:asciiTheme="minorHAnsi" w:eastAsia="Calibri" w:hAnsiTheme="minorHAnsi" w:cstheme="minorHAnsi"/>
          <w:lang w:val="en-US"/>
        </w:rPr>
        <w:t xml:space="preserve">ion results presented in Table </w:t>
      </w:r>
      <w:r w:rsidR="00C8790E" w:rsidRPr="004556EC">
        <w:rPr>
          <w:rFonts w:asciiTheme="minorHAnsi" w:eastAsia="Calibri" w:hAnsiTheme="minorHAnsi" w:cstheme="minorHAnsi"/>
          <w:lang w:val="en-US"/>
        </w:rPr>
        <w:t>3.</w:t>
      </w:r>
      <w:r w:rsidR="008952E1" w:rsidRPr="004556EC">
        <w:rPr>
          <w:rFonts w:asciiTheme="minorHAnsi" w:eastAsia="Calibri" w:hAnsiTheme="minorHAnsi" w:cstheme="minorHAnsi"/>
          <w:lang w:val="en-US"/>
        </w:rPr>
        <w:t>2</w:t>
      </w:r>
      <w:r w:rsidRPr="004556EC">
        <w:rPr>
          <w:rFonts w:asciiTheme="minorHAnsi" w:eastAsia="Calibri" w:hAnsiTheme="minorHAnsi" w:cstheme="minorHAnsi"/>
          <w:lang w:val="en-US"/>
        </w:rPr>
        <w:t xml:space="preserve"> shows </w:t>
      </w:r>
      <w:r w:rsidR="00DF0B46">
        <w:rPr>
          <w:rFonts w:asciiTheme="minorHAnsi" w:eastAsia="Calibri" w:hAnsiTheme="minorHAnsi" w:cstheme="minorHAnsi"/>
          <w:lang w:val="en-US"/>
        </w:rPr>
        <w:t>limited evidence</w:t>
      </w:r>
      <w:r w:rsidRPr="004556EC">
        <w:rPr>
          <w:rFonts w:asciiTheme="minorHAnsi" w:eastAsia="Calibri" w:hAnsiTheme="minorHAnsi" w:cstheme="minorHAnsi"/>
          <w:lang w:val="en-US"/>
        </w:rPr>
        <w:t xml:space="preserve"> of herding at the sector level. </w:t>
      </w:r>
      <w:r w:rsidR="00DF0B46">
        <w:rPr>
          <w:rFonts w:asciiTheme="minorHAnsi" w:eastAsia="Calibri" w:hAnsiTheme="minorHAnsi" w:cstheme="minorHAnsi"/>
          <w:lang w:val="en-US"/>
        </w:rPr>
        <w:t xml:space="preserve">Financials, Industrials </w:t>
      </w:r>
      <w:r w:rsidRPr="004556EC">
        <w:rPr>
          <w:rFonts w:asciiTheme="minorHAnsi" w:eastAsia="Calibri" w:hAnsiTheme="minorHAnsi" w:cstheme="minorHAnsi"/>
          <w:lang w:val="en-US"/>
        </w:rPr>
        <w:t xml:space="preserve">and </w:t>
      </w:r>
      <w:r w:rsidR="00DF0B46">
        <w:rPr>
          <w:rFonts w:asciiTheme="minorHAnsi" w:eastAsia="Calibri" w:hAnsiTheme="minorHAnsi" w:cstheme="minorHAnsi"/>
          <w:lang w:val="en-US"/>
        </w:rPr>
        <w:t>Real Estate</w:t>
      </w:r>
      <w:r w:rsidRPr="004556EC">
        <w:rPr>
          <w:rFonts w:asciiTheme="minorHAnsi" w:eastAsia="Calibri" w:hAnsiTheme="minorHAnsi" w:cstheme="minorHAnsi"/>
          <w:lang w:val="en-US"/>
        </w:rPr>
        <w:t xml:space="preserve"> sectors </w:t>
      </w:r>
      <w:r w:rsidR="009C6D94" w:rsidRPr="004556EC">
        <w:rPr>
          <w:rFonts w:asciiTheme="minorHAnsi" w:eastAsia="Calibri" w:hAnsiTheme="minorHAnsi" w:cstheme="minorHAnsi"/>
          <w:lang w:val="en-US"/>
        </w:rPr>
        <w:t>show negative and significant</w:t>
      </w:r>
      <m:oMath>
        <m:r>
          <w:rPr>
            <w:rFonts w:ascii="Cambria Math" w:eastAsia="Calibri" w:hAnsi="Cambria Math" w:cstheme="minorHAnsi"/>
            <w:lang w:val="en-US"/>
          </w:rPr>
          <m:t xml:space="preserve"> </m:t>
        </m:r>
        <m:sSub>
          <m:sSubPr>
            <m:ctrlPr>
              <w:rPr>
                <w:rFonts w:ascii="Cambria Math" w:eastAsia="Calibri" w:hAnsi="Cambria Math" w:cstheme="minorHAnsi"/>
                <w:i/>
                <w:lang w:val="en-US"/>
              </w:rPr>
            </m:ctrlPr>
          </m:sSubPr>
          <m:e>
            <m:r>
              <w:rPr>
                <w:rFonts w:ascii="Cambria Math" w:eastAsia="Calibri" w:hAnsi="Cambria Math" w:cstheme="minorHAnsi"/>
                <w:lang w:val="en-US"/>
              </w:rPr>
              <m:t>γ</m:t>
            </m:r>
          </m:e>
          <m:sub>
            <m:r>
              <w:rPr>
                <w:rFonts w:ascii="Cambria Math" w:eastAsia="Calibri" w:hAnsi="Cambria Math" w:cstheme="minorHAnsi"/>
                <w:lang w:val="en-US"/>
              </w:rPr>
              <m:t>2</m:t>
            </m:r>
          </m:sub>
        </m:sSub>
      </m:oMath>
      <w:r w:rsidR="009C6D94" w:rsidRPr="004556EC">
        <w:rPr>
          <w:rFonts w:asciiTheme="minorHAnsi" w:eastAsia="Calibri" w:hAnsiTheme="minorHAnsi" w:cstheme="minorHAnsi"/>
          <w:lang w:val="en-US"/>
        </w:rPr>
        <w:t xml:space="preserve"> coefficients; </w:t>
      </w:r>
      <w:r w:rsidRPr="004556EC">
        <w:rPr>
          <w:rFonts w:asciiTheme="minorHAnsi" w:eastAsia="Calibri" w:hAnsiTheme="minorHAnsi" w:cstheme="minorHAnsi"/>
          <w:lang w:val="en-US"/>
        </w:rPr>
        <w:t xml:space="preserve">indicating that the CSAD decreases with the size of the market return. </w:t>
      </w:r>
      <w:r w:rsidR="00250183">
        <w:rPr>
          <w:rFonts w:asciiTheme="minorHAnsi" w:eastAsia="Calibri" w:hAnsiTheme="minorHAnsi" w:cstheme="minorHAnsi"/>
          <w:lang w:val="en-US"/>
        </w:rPr>
        <w:t xml:space="preserve">However, the coefficients for the other 7 sectors are positive and statistically significant, indicating the presence of </w:t>
      </w:r>
      <w:r w:rsidR="00140856">
        <w:rPr>
          <w:rFonts w:asciiTheme="minorHAnsi" w:eastAsia="Calibri" w:hAnsiTheme="minorHAnsi" w:cstheme="minorHAnsi"/>
          <w:lang w:val="en-US"/>
        </w:rPr>
        <w:t>anti-</w:t>
      </w:r>
      <w:r w:rsidR="00250183">
        <w:rPr>
          <w:rFonts w:asciiTheme="minorHAnsi" w:eastAsia="Calibri" w:hAnsiTheme="minorHAnsi" w:cstheme="minorHAnsi"/>
          <w:lang w:val="en-US"/>
        </w:rPr>
        <w:t xml:space="preserve">herding. </w:t>
      </w:r>
      <w:r w:rsidR="005C3789">
        <w:rPr>
          <w:rFonts w:asciiTheme="minorHAnsi" w:eastAsia="Calibri" w:hAnsiTheme="minorHAnsi" w:cstheme="minorHAnsi"/>
          <w:lang w:val="en-US"/>
        </w:rPr>
        <w:t xml:space="preserve">In general, our results are consistent with those of </w:t>
      </w:r>
      <w:proofErr w:type="spellStart"/>
      <w:r w:rsidR="005C3789">
        <w:rPr>
          <w:rFonts w:asciiTheme="minorHAnsi" w:eastAsia="Calibri" w:hAnsiTheme="minorHAnsi" w:cstheme="minorHAnsi"/>
          <w:lang w:val="en-US"/>
        </w:rPr>
        <w:t>Gebka</w:t>
      </w:r>
      <w:proofErr w:type="spellEnd"/>
      <w:r w:rsidR="005C3789">
        <w:rPr>
          <w:rFonts w:asciiTheme="minorHAnsi" w:eastAsia="Calibri" w:hAnsiTheme="minorHAnsi" w:cstheme="minorHAnsi"/>
          <w:lang w:val="en-US"/>
        </w:rPr>
        <w:t xml:space="preserve"> and </w:t>
      </w:r>
      <w:proofErr w:type="spellStart"/>
      <w:r w:rsidR="005C3789">
        <w:rPr>
          <w:rFonts w:asciiTheme="minorHAnsi" w:eastAsia="Calibri" w:hAnsiTheme="minorHAnsi" w:cstheme="minorHAnsi"/>
          <w:lang w:val="en-US"/>
        </w:rPr>
        <w:t>Wohar</w:t>
      </w:r>
      <w:proofErr w:type="spellEnd"/>
      <w:r w:rsidR="005C3789">
        <w:rPr>
          <w:rFonts w:asciiTheme="minorHAnsi" w:eastAsia="Calibri" w:hAnsiTheme="minorHAnsi" w:cstheme="minorHAnsi"/>
          <w:lang w:val="en-US"/>
        </w:rPr>
        <w:t xml:space="preserve"> (2013), who document evidence of anti-herding at the sector level.</w:t>
      </w:r>
      <w:r w:rsidR="00250183">
        <w:rPr>
          <w:rFonts w:asciiTheme="minorHAnsi" w:eastAsia="Calibri" w:hAnsiTheme="minorHAnsi" w:cstheme="minorHAnsi"/>
          <w:lang w:val="en-US"/>
        </w:rPr>
        <w:t xml:space="preserve"> </w:t>
      </w:r>
    </w:p>
    <w:p w14:paraId="5EB9E234" w14:textId="77777777" w:rsidR="00A47CA5" w:rsidRDefault="00A47CA5" w:rsidP="004558C6">
      <w:pPr>
        <w:spacing w:after="200" w:line="360" w:lineRule="auto"/>
        <w:jc w:val="center"/>
        <w:rPr>
          <w:rFonts w:asciiTheme="minorHAnsi" w:eastAsia="Calibri" w:hAnsiTheme="minorHAnsi" w:cstheme="minorHAnsi"/>
          <w:b/>
          <w:iCs/>
          <w:szCs w:val="18"/>
          <w:lang w:eastAsia="en-US"/>
        </w:rPr>
      </w:pPr>
      <w:bookmarkStart w:id="1" w:name="_Toc534716700"/>
    </w:p>
    <w:p w14:paraId="13FED028" w14:textId="7BF69AA3" w:rsidR="00777512" w:rsidRPr="004556EC" w:rsidRDefault="00777512" w:rsidP="004558C6">
      <w:pPr>
        <w:spacing w:after="200" w:line="360" w:lineRule="auto"/>
        <w:jc w:val="center"/>
        <w:rPr>
          <w:rFonts w:asciiTheme="minorHAnsi" w:eastAsia="Calibri" w:hAnsiTheme="minorHAnsi" w:cstheme="minorHAnsi"/>
          <w:b/>
          <w:iCs/>
          <w:lang w:eastAsia="en-US"/>
        </w:rPr>
      </w:pPr>
      <w:r w:rsidRPr="004556EC">
        <w:rPr>
          <w:rFonts w:asciiTheme="minorHAnsi" w:eastAsia="Calibri" w:hAnsiTheme="minorHAnsi" w:cstheme="minorHAnsi"/>
          <w:b/>
          <w:iCs/>
          <w:szCs w:val="18"/>
          <w:lang w:eastAsia="en-US"/>
        </w:rPr>
        <w:t xml:space="preserve">Table </w:t>
      </w:r>
      <w:r w:rsidR="00C8790E" w:rsidRPr="004556EC">
        <w:rPr>
          <w:rFonts w:asciiTheme="minorHAnsi" w:eastAsia="Calibri" w:hAnsiTheme="minorHAnsi" w:cstheme="minorHAnsi"/>
          <w:b/>
          <w:iCs/>
          <w:szCs w:val="18"/>
          <w:lang w:eastAsia="en-US"/>
        </w:rPr>
        <w:t>3.</w:t>
      </w:r>
      <w:r w:rsidRPr="004556EC">
        <w:rPr>
          <w:rFonts w:asciiTheme="minorHAnsi" w:eastAsia="Calibri" w:hAnsiTheme="minorHAnsi" w:cstheme="minorHAnsi"/>
          <w:b/>
          <w:iCs/>
          <w:szCs w:val="18"/>
          <w:lang w:eastAsia="en-US"/>
        </w:rPr>
        <w:t>2. Estimates of herding in US sectors</w:t>
      </w:r>
      <w:bookmarkEnd w:id="1"/>
    </w:p>
    <w:tbl>
      <w:tblPr>
        <w:tblW w:w="31680" w:type="dxa"/>
        <w:tblInd w:w="-284" w:type="dxa"/>
        <w:tblLook w:val="04A0" w:firstRow="1" w:lastRow="0" w:firstColumn="1" w:lastColumn="0" w:noHBand="0" w:noVBand="1"/>
      </w:tblPr>
      <w:tblGrid>
        <w:gridCol w:w="31680"/>
      </w:tblGrid>
      <w:tr w:rsidR="00777512" w:rsidRPr="004556EC" w14:paraId="0375BD47" w14:textId="77777777" w:rsidTr="00ED52FF">
        <w:trPr>
          <w:trHeight w:val="300"/>
        </w:trPr>
        <w:tc>
          <w:tcPr>
            <w:tcW w:w="11197" w:type="dxa"/>
            <w:tcBorders>
              <w:top w:val="nil"/>
              <w:left w:val="nil"/>
              <w:bottom w:val="nil"/>
              <w:right w:val="nil"/>
            </w:tcBorders>
            <w:shd w:val="clear" w:color="auto" w:fill="auto"/>
            <w:noWrap/>
            <w:vAlign w:val="bottom"/>
            <w:hideMark/>
          </w:tcPr>
          <w:tbl>
            <w:tblPr>
              <w:tblW w:w="8521" w:type="dxa"/>
              <w:tblLook w:val="04A0" w:firstRow="1" w:lastRow="0" w:firstColumn="1" w:lastColumn="0" w:noHBand="0" w:noVBand="1"/>
            </w:tblPr>
            <w:tblGrid>
              <w:gridCol w:w="2340"/>
              <w:gridCol w:w="1437"/>
              <w:gridCol w:w="1581"/>
              <w:gridCol w:w="1582"/>
              <w:gridCol w:w="143"/>
              <w:gridCol w:w="1438"/>
            </w:tblGrid>
            <w:tr w:rsidR="00777512" w:rsidRPr="004556EC" w14:paraId="5A50D6FC" w14:textId="77777777" w:rsidTr="00204FB8">
              <w:trPr>
                <w:trHeight w:val="359"/>
              </w:trPr>
              <w:tc>
                <w:tcPr>
                  <w:tcW w:w="7083" w:type="dxa"/>
                  <w:gridSpan w:val="5"/>
                  <w:tcBorders>
                    <w:top w:val="single" w:sz="4" w:space="0" w:color="auto"/>
                    <w:left w:val="nil"/>
                    <w:bottom w:val="single" w:sz="4" w:space="0" w:color="auto"/>
                    <w:right w:val="nil"/>
                  </w:tcBorders>
                  <w:shd w:val="clear" w:color="auto" w:fill="auto"/>
                  <w:noWrap/>
                  <w:vAlign w:val="bottom"/>
                  <w:hideMark/>
                </w:tcPr>
                <w:p w14:paraId="3184380B" w14:textId="724C1BD0" w:rsidR="00777512" w:rsidRPr="004556EC" w:rsidRDefault="00777512" w:rsidP="004558C6">
                  <w:pPr>
                    <w:spacing w:line="240" w:lineRule="auto"/>
                    <w:jc w:val="center"/>
                    <w:rPr>
                      <w:rFonts w:asciiTheme="minorHAnsi" w:eastAsia="Calibri" w:hAnsiTheme="minorHAnsi" w:cstheme="minorHAnsi"/>
                      <w:sz w:val="22"/>
                      <w:szCs w:val="22"/>
                      <w:lang w:val="en-US" w:eastAsia="en-US"/>
                    </w:rPr>
                  </w:pPr>
                  <w:r w:rsidRPr="004556EC">
                    <w:rPr>
                      <w:rFonts w:asciiTheme="minorHAnsi" w:eastAsia="Calibri" w:hAnsiTheme="minorHAnsi" w:cstheme="minorHAnsi"/>
                      <w:sz w:val="22"/>
                      <w:szCs w:val="22"/>
                      <w:lang w:val="en-US" w:eastAsia="en-US"/>
                    </w:rPr>
                    <w:t>Industry</w:t>
                  </w:r>
                  <w:r w:rsidRPr="004556EC">
                    <w:rPr>
                      <w:rFonts w:asciiTheme="minorHAnsi" w:eastAsia="Calibri" w:hAnsiTheme="minorHAnsi" w:cstheme="minorHAnsi"/>
                      <w:sz w:val="22"/>
                      <w:szCs w:val="22"/>
                      <w:lang w:val="en-US" w:eastAsia="en-US"/>
                    </w:rPr>
                    <w:tab/>
                    <w:t xml:space="preserve">                 α   </w:t>
                  </w:r>
                  <w:r w:rsidRPr="004556EC">
                    <w:rPr>
                      <w:rFonts w:asciiTheme="minorHAnsi" w:eastAsia="Calibri" w:hAnsiTheme="minorHAnsi" w:cstheme="minorHAnsi"/>
                      <w:sz w:val="22"/>
                      <w:szCs w:val="22"/>
                      <w:lang w:val="en-US" w:eastAsia="en-US"/>
                    </w:rPr>
                    <w:tab/>
                    <w:t xml:space="preserve">     </w:t>
                  </w:r>
                  <w:r w:rsidR="0054021D" w:rsidRPr="004556EC">
                    <w:rPr>
                      <w:rFonts w:asciiTheme="minorHAnsi" w:eastAsia="Calibri" w:hAnsiTheme="minorHAnsi" w:cstheme="minorHAnsi"/>
                      <w:sz w:val="22"/>
                      <w:szCs w:val="22"/>
                      <w:lang w:val="en-US" w:eastAsia="en-US"/>
                    </w:rPr>
                    <w:t xml:space="preserve">              </w:t>
                  </w:r>
                  <w:r w:rsidRPr="004556EC">
                    <w:rPr>
                      <w:rFonts w:asciiTheme="minorHAnsi" w:eastAsia="Calibri" w:hAnsiTheme="minorHAnsi" w:cstheme="minorHAnsi"/>
                      <w:sz w:val="22"/>
                      <w:szCs w:val="22"/>
                      <w:lang w:val="en-US" w:eastAsia="en-US"/>
                    </w:rPr>
                    <w:t xml:space="preserve"> </w:t>
                  </w:r>
                  <m:oMath>
                    <m:sSub>
                      <m:sSubPr>
                        <m:ctrlPr>
                          <w:rPr>
                            <w:rFonts w:ascii="Cambria Math" w:eastAsia="Calibri" w:hAnsi="Cambria Math" w:cstheme="minorHAnsi"/>
                            <w:i/>
                            <w:sz w:val="22"/>
                            <w:szCs w:val="22"/>
                            <w:lang w:val="en-US" w:eastAsia="en-US"/>
                          </w:rPr>
                        </m:ctrlPr>
                      </m:sSubPr>
                      <m:e>
                        <m:r>
                          <w:rPr>
                            <w:rFonts w:ascii="Cambria Math" w:eastAsia="Calibri" w:hAnsi="Cambria Math" w:cstheme="minorHAnsi"/>
                            <w:sz w:val="22"/>
                            <w:szCs w:val="22"/>
                            <w:lang w:val="en-US" w:eastAsia="en-US"/>
                          </w:rPr>
                          <m:t>γ</m:t>
                        </m:r>
                      </m:e>
                      <m:sub>
                        <m:r>
                          <w:rPr>
                            <w:rFonts w:ascii="Cambria Math" w:eastAsia="Calibri" w:hAnsi="Cambria Math" w:cstheme="minorHAnsi"/>
                            <w:sz w:val="22"/>
                            <w:szCs w:val="22"/>
                            <w:lang w:val="en-US" w:eastAsia="en-US"/>
                          </w:rPr>
                          <m:t>1</m:t>
                        </m:r>
                      </m:sub>
                    </m:sSub>
                  </m:oMath>
                  <w:r w:rsidRPr="004556EC">
                    <w:rPr>
                      <w:rFonts w:asciiTheme="minorHAnsi" w:eastAsia="Calibri" w:hAnsiTheme="minorHAnsi" w:cstheme="minorHAnsi"/>
                      <w:sz w:val="22"/>
                      <w:szCs w:val="22"/>
                      <w:lang w:val="en-US" w:eastAsia="en-US"/>
                    </w:rPr>
                    <w:t xml:space="preserve">             </w:t>
                  </w:r>
                  <m:oMath>
                    <m:r>
                      <w:rPr>
                        <w:rFonts w:ascii="Cambria Math" w:eastAsia="Calibri" w:hAnsi="Cambria Math" w:cstheme="minorHAnsi"/>
                        <w:sz w:val="22"/>
                        <w:szCs w:val="22"/>
                        <w:lang w:val="en-US" w:eastAsia="en-US"/>
                      </w:rPr>
                      <m:t xml:space="preserve">            </m:t>
                    </m:r>
                    <m:sSub>
                      <m:sSubPr>
                        <m:ctrlPr>
                          <w:rPr>
                            <w:rFonts w:ascii="Cambria Math" w:eastAsia="Calibri" w:hAnsi="Cambria Math" w:cstheme="minorHAnsi"/>
                            <w:i/>
                            <w:sz w:val="22"/>
                            <w:szCs w:val="22"/>
                            <w:lang w:val="en-US" w:eastAsia="en-US"/>
                          </w:rPr>
                        </m:ctrlPr>
                      </m:sSubPr>
                      <m:e>
                        <m:r>
                          <w:rPr>
                            <w:rFonts w:ascii="Cambria Math" w:eastAsia="Calibri" w:hAnsi="Cambria Math" w:cstheme="minorHAnsi"/>
                            <w:sz w:val="22"/>
                            <w:szCs w:val="22"/>
                            <w:lang w:val="en-US" w:eastAsia="en-US"/>
                          </w:rPr>
                          <m:t>γ</m:t>
                        </m:r>
                      </m:e>
                      <m:sub>
                        <m:r>
                          <w:rPr>
                            <w:rFonts w:ascii="Cambria Math" w:eastAsia="Calibri" w:hAnsi="Cambria Math" w:cstheme="minorHAnsi"/>
                            <w:sz w:val="22"/>
                            <w:szCs w:val="22"/>
                            <w:lang w:val="en-US" w:eastAsia="en-US"/>
                          </w:rPr>
                          <m:t>2</m:t>
                        </m:r>
                      </m:sub>
                    </m:sSub>
                  </m:oMath>
                </w:p>
              </w:tc>
              <w:tc>
                <w:tcPr>
                  <w:tcW w:w="1438" w:type="dxa"/>
                  <w:tcBorders>
                    <w:top w:val="single" w:sz="4" w:space="0" w:color="auto"/>
                    <w:left w:val="nil"/>
                    <w:bottom w:val="single" w:sz="4" w:space="0" w:color="auto"/>
                    <w:right w:val="nil"/>
                  </w:tcBorders>
                  <w:shd w:val="clear" w:color="auto" w:fill="auto"/>
                  <w:noWrap/>
                  <w:vAlign w:val="bottom"/>
                  <w:hideMark/>
                </w:tcPr>
                <w:p w14:paraId="3866C999" w14:textId="3A5BD4AC" w:rsidR="00777512" w:rsidRPr="004556EC" w:rsidRDefault="00777512" w:rsidP="004558C6">
                  <w:pPr>
                    <w:spacing w:line="240" w:lineRule="auto"/>
                    <w:jc w:val="center"/>
                    <w:rPr>
                      <w:rFonts w:asciiTheme="minorHAnsi" w:eastAsia="Calibri" w:hAnsiTheme="minorHAnsi" w:cstheme="minorHAnsi"/>
                      <w:sz w:val="22"/>
                      <w:szCs w:val="22"/>
                      <w:lang w:val="en-US" w:eastAsia="en-US"/>
                    </w:rPr>
                  </w:pPr>
                  <w:r w:rsidRPr="004556EC">
                    <w:rPr>
                      <w:rFonts w:asciiTheme="minorHAnsi" w:eastAsia="Calibri" w:hAnsiTheme="minorHAnsi" w:cstheme="minorHAnsi"/>
                      <w:sz w:val="22"/>
                      <w:szCs w:val="22"/>
                      <w:lang w:val="en-US" w:eastAsia="en-US"/>
                    </w:rPr>
                    <w:t>Adj. R</w:t>
                  </w:r>
                  <w:r w:rsidRPr="004556EC">
                    <w:rPr>
                      <w:rFonts w:asciiTheme="minorHAnsi" w:eastAsia="Calibri" w:hAnsiTheme="minorHAnsi" w:cstheme="minorHAnsi"/>
                      <w:sz w:val="22"/>
                      <w:szCs w:val="22"/>
                      <w:vertAlign w:val="superscript"/>
                      <w:lang w:val="en-US" w:eastAsia="en-US"/>
                    </w:rPr>
                    <w:t>2</w:t>
                  </w:r>
                </w:p>
              </w:tc>
            </w:tr>
            <w:tr w:rsidR="00E71683" w:rsidRPr="004556EC" w14:paraId="40579B92" w14:textId="77777777" w:rsidTr="004B02B1">
              <w:trPr>
                <w:trHeight w:val="359"/>
              </w:trPr>
              <w:tc>
                <w:tcPr>
                  <w:tcW w:w="2340" w:type="dxa"/>
                  <w:tcBorders>
                    <w:top w:val="nil"/>
                    <w:left w:val="nil"/>
                    <w:bottom w:val="nil"/>
                    <w:right w:val="nil"/>
                  </w:tcBorders>
                  <w:shd w:val="clear" w:color="auto" w:fill="auto"/>
                  <w:noWrap/>
                  <w:vAlign w:val="center"/>
                  <w:hideMark/>
                </w:tcPr>
                <w:p w14:paraId="0824CF45" w14:textId="5AB3D153" w:rsidR="00E71683" w:rsidRPr="004556EC" w:rsidRDefault="00E71683" w:rsidP="004B02B1">
                  <w:pPr>
                    <w:spacing w:line="240" w:lineRule="auto"/>
                    <w:rPr>
                      <w:rFonts w:asciiTheme="minorHAnsi" w:eastAsia="Calibri" w:hAnsiTheme="minorHAnsi" w:cstheme="minorHAnsi"/>
                      <w:sz w:val="22"/>
                      <w:szCs w:val="22"/>
                      <w:lang w:val="en-US" w:eastAsia="en-US"/>
                    </w:rPr>
                  </w:pPr>
                  <w:r>
                    <w:rPr>
                      <w:rFonts w:asciiTheme="minorHAnsi" w:eastAsia="Calibri" w:hAnsiTheme="minorHAnsi" w:cstheme="minorHAnsi"/>
                      <w:sz w:val="22"/>
                      <w:szCs w:val="22"/>
                      <w:lang w:val="en-US" w:eastAsia="en-US"/>
                    </w:rPr>
                    <w:t xml:space="preserve">Basic Materials </w:t>
                  </w:r>
                </w:p>
              </w:tc>
              <w:tc>
                <w:tcPr>
                  <w:tcW w:w="1437" w:type="dxa"/>
                  <w:tcBorders>
                    <w:top w:val="nil"/>
                    <w:left w:val="nil"/>
                    <w:bottom w:val="nil"/>
                    <w:right w:val="nil"/>
                  </w:tcBorders>
                  <w:shd w:val="clear" w:color="auto" w:fill="auto"/>
                  <w:noWrap/>
                  <w:vAlign w:val="center"/>
                  <w:hideMark/>
                </w:tcPr>
                <w:p w14:paraId="07304E7B" w14:textId="736117A6" w:rsidR="00E71683" w:rsidRPr="004556EC" w:rsidRDefault="00E71683" w:rsidP="00204FB8">
                  <w:pPr>
                    <w:spacing w:line="240" w:lineRule="auto"/>
                    <w:jc w:val="center"/>
                    <w:rPr>
                      <w:rFonts w:asciiTheme="minorHAnsi" w:eastAsia="Calibri" w:hAnsiTheme="minorHAnsi" w:cstheme="minorHAnsi"/>
                      <w:sz w:val="22"/>
                      <w:szCs w:val="22"/>
                      <w:lang w:val="en-US" w:eastAsia="en-US"/>
                    </w:rPr>
                  </w:pPr>
                  <w:r w:rsidRPr="004556EC">
                    <w:rPr>
                      <w:rFonts w:asciiTheme="minorHAnsi" w:eastAsia="Calibri" w:hAnsiTheme="minorHAnsi" w:cstheme="minorHAnsi"/>
                      <w:sz w:val="22"/>
                      <w:szCs w:val="22"/>
                      <w:lang w:val="en-US" w:eastAsia="en-US"/>
                    </w:rPr>
                    <w:t>0.</w:t>
                  </w:r>
                  <w:r>
                    <w:rPr>
                      <w:rFonts w:asciiTheme="minorHAnsi" w:eastAsia="Calibri" w:hAnsiTheme="minorHAnsi" w:cstheme="minorHAnsi"/>
                      <w:sz w:val="22"/>
                      <w:szCs w:val="22"/>
                      <w:lang w:val="en-US" w:eastAsia="en-US"/>
                    </w:rPr>
                    <w:t>8519</w:t>
                  </w:r>
                </w:p>
              </w:tc>
              <w:tc>
                <w:tcPr>
                  <w:tcW w:w="1581" w:type="dxa"/>
                  <w:tcBorders>
                    <w:top w:val="nil"/>
                    <w:left w:val="nil"/>
                    <w:bottom w:val="nil"/>
                    <w:right w:val="nil"/>
                  </w:tcBorders>
                  <w:shd w:val="clear" w:color="auto" w:fill="auto"/>
                  <w:noWrap/>
                  <w:vAlign w:val="center"/>
                  <w:hideMark/>
                </w:tcPr>
                <w:p w14:paraId="633F71F0" w14:textId="63DA7B55" w:rsidR="00E71683" w:rsidRPr="004556EC" w:rsidRDefault="00E71683" w:rsidP="00204FB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-1.6436</w:t>
                  </w:r>
                </w:p>
              </w:tc>
              <w:tc>
                <w:tcPr>
                  <w:tcW w:w="1582" w:type="dxa"/>
                  <w:tcBorders>
                    <w:top w:val="nil"/>
                    <w:left w:val="nil"/>
                    <w:bottom w:val="nil"/>
                    <w:right w:val="nil"/>
                  </w:tcBorders>
                  <w:shd w:val="clear" w:color="auto" w:fill="auto"/>
                  <w:noWrap/>
                  <w:vAlign w:val="center"/>
                  <w:hideMark/>
                </w:tcPr>
                <w:p w14:paraId="1402F94E" w14:textId="75E7FEDE" w:rsidR="00E71683" w:rsidRPr="004556EC" w:rsidRDefault="00E71683" w:rsidP="00204FB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3.4205</w:t>
                  </w:r>
                </w:p>
              </w:tc>
              <w:tc>
                <w:tcPr>
                  <w:tcW w:w="1581" w:type="dxa"/>
                  <w:gridSpan w:val="2"/>
                  <w:tcBorders>
                    <w:top w:val="nil"/>
                    <w:left w:val="nil"/>
                    <w:bottom w:val="nil"/>
                    <w:right w:val="nil"/>
                  </w:tcBorders>
                  <w:shd w:val="clear" w:color="auto" w:fill="auto"/>
                  <w:noWrap/>
                  <w:vAlign w:val="center"/>
                  <w:hideMark/>
                </w:tcPr>
                <w:p w14:paraId="5122D524" w14:textId="2FB8F4D7" w:rsidR="00E71683" w:rsidRPr="004556EC" w:rsidRDefault="00E71683" w:rsidP="00204FB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64.05%</w:t>
                  </w:r>
                </w:p>
              </w:tc>
            </w:tr>
            <w:tr w:rsidR="00E71683" w:rsidRPr="004556EC" w14:paraId="0E46C755" w14:textId="77777777" w:rsidTr="004B02B1">
              <w:trPr>
                <w:trHeight w:val="359"/>
              </w:trPr>
              <w:tc>
                <w:tcPr>
                  <w:tcW w:w="2340" w:type="dxa"/>
                  <w:tcBorders>
                    <w:top w:val="nil"/>
                    <w:left w:val="nil"/>
                    <w:bottom w:val="nil"/>
                    <w:right w:val="nil"/>
                  </w:tcBorders>
                  <w:shd w:val="clear" w:color="auto" w:fill="auto"/>
                  <w:noWrap/>
                  <w:vAlign w:val="center"/>
                  <w:hideMark/>
                </w:tcPr>
                <w:p w14:paraId="7BF8138A" w14:textId="77777777" w:rsidR="00E71683" w:rsidRPr="004556EC" w:rsidRDefault="00E71683" w:rsidP="004B02B1">
                  <w:pPr>
                    <w:spacing w:line="240" w:lineRule="auto"/>
                    <w:rPr>
                      <w:rFonts w:asciiTheme="minorHAnsi" w:eastAsia="Calibri" w:hAnsiTheme="minorHAnsi" w:cstheme="minorHAnsi"/>
                      <w:sz w:val="22"/>
                      <w:szCs w:val="22"/>
                      <w:lang w:val="en-US" w:eastAsia="en-US"/>
                    </w:rPr>
                  </w:pPr>
                </w:p>
              </w:tc>
              <w:tc>
                <w:tcPr>
                  <w:tcW w:w="1437" w:type="dxa"/>
                  <w:tcBorders>
                    <w:top w:val="nil"/>
                    <w:left w:val="nil"/>
                    <w:bottom w:val="nil"/>
                    <w:right w:val="nil"/>
                  </w:tcBorders>
                  <w:shd w:val="clear" w:color="auto" w:fill="auto"/>
                  <w:noWrap/>
                  <w:vAlign w:val="center"/>
                  <w:hideMark/>
                </w:tcPr>
                <w:p w14:paraId="77129DB9" w14:textId="0226B871" w:rsidR="00E71683" w:rsidRPr="004556EC" w:rsidRDefault="00415EDD" w:rsidP="00204FB8">
                  <w:pPr>
                    <w:spacing w:line="240" w:lineRule="auto"/>
                    <w:jc w:val="center"/>
                    <w:rPr>
                      <w:rFonts w:asciiTheme="minorHAnsi" w:eastAsia="Calibri" w:hAnsiTheme="minorHAnsi" w:cstheme="minorHAnsi"/>
                      <w:sz w:val="22"/>
                      <w:szCs w:val="22"/>
                      <w:lang w:val="en-US" w:eastAsia="en-US"/>
                    </w:rPr>
                  </w:pPr>
                  <w:r>
                    <w:rPr>
                      <w:rFonts w:asciiTheme="minorHAnsi" w:eastAsia="Calibri" w:hAnsiTheme="minorHAnsi" w:cstheme="minorHAnsi"/>
                      <w:sz w:val="22"/>
                      <w:szCs w:val="22"/>
                      <w:lang w:val="en-US" w:eastAsia="en-US"/>
                    </w:rPr>
                    <w:t>(</w:t>
                  </w:r>
                  <w:r w:rsidR="00E71683">
                    <w:rPr>
                      <w:rFonts w:asciiTheme="minorHAnsi" w:eastAsia="Calibri" w:hAnsiTheme="minorHAnsi" w:cstheme="minorHAnsi"/>
                      <w:sz w:val="22"/>
                      <w:szCs w:val="22"/>
                      <w:lang w:val="en-US" w:eastAsia="en-US"/>
                    </w:rPr>
                    <w:t>0.0000</w:t>
                  </w:r>
                  <w:r>
                    <w:rPr>
                      <w:rFonts w:asciiTheme="minorHAnsi" w:eastAsia="Calibri" w:hAnsiTheme="minorHAnsi" w:cstheme="minorHAnsi"/>
                      <w:sz w:val="22"/>
                      <w:szCs w:val="22"/>
                      <w:lang w:val="en-US" w:eastAsia="en-US"/>
                    </w:rPr>
                    <w:t>)</w:t>
                  </w:r>
                </w:p>
              </w:tc>
              <w:tc>
                <w:tcPr>
                  <w:tcW w:w="1581" w:type="dxa"/>
                  <w:tcBorders>
                    <w:top w:val="nil"/>
                    <w:left w:val="nil"/>
                    <w:bottom w:val="nil"/>
                    <w:right w:val="nil"/>
                  </w:tcBorders>
                  <w:shd w:val="clear" w:color="auto" w:fill="auto"/>
                  <w:noWrap/>
                  <w:vAlign w:val="center"/>
                  <w:hideMark/>
                </w:tcPr>
                <w:p w14:paraId="2039C782" w14:textId="669A3C76" w:rsidR="00E71683" w:rsidRPr="004556EC" w:rsidRDefault="00415EDD" w:rsidP="00204FB8">
                  <w:pPr>
                    <w:spacing w:line="240" w:lineRule="auto"/>
                    <w:jc w:val="center"/>
                    <w:rPr>
                      <w:rFonts w:asciiTheme="minorHAnsi" w:eastAsia="Calibri" w:hAnsiTheme="minorHAnsi" w:cstheme="minorHAnsi"/>
                      <w:sz w:val="22"/>
                      <w:szCs w:val="22"/>
                      <w:lang w:val="en-US" w:eastAsia="en-US"/>
                    </w:rPr>
                  </w:pPr>
                  <w:r>
                    <w:rPr>
                      <w:rFonts w:ascii="Calibri" w:hAnsi="Calibri" w:cs="Calibri"/>
                      <w:color w:val="000000"/>
                    </w:rPr>
                    <w:t>(</w:t>
                  </w:r>
                  <w:r w:rsidR="00E71683" w:rsidRPr="00FB469B">
                    <w:rPr>
                      <w:rFonts w:ascii="Calibri" w:hAnsi="Calibri" w:cs="Calibri"/>
                      <w:color w:val="000000"/>
                    </w:rPr>
                    <w:t>0.0000</w:t>
                  </w:r>
                  <w:r>
                    <w:rPr>
                      <w:rFonts w:ascii="Calibri" w:hAnsi="Calibri" w:cs="Calibri"/>
                      <w:color w:val="000000"/>
                    </w:rPr>
                    <w:t>)</w:t>
                  </w:r>
                </w:p>
              </w:tc>
              <w:tc>
                <w:tcPr>
                  <w:tcW w:w="1582" w:type="dxa"/>
                  <w:tcBorders>
                    <w:top w:val="nil"/>
                    <w:left w:val="nil"/>
                    <w:bottom w:val="nil"/>
                    <w:right w:val="nil"/>
                  </w:tcBorders>
                  <w:shd w:val="clear" w:color="auto" w:fill="auto"/>
                  <w:noWrap/>
                  <w:vAlign w:val="center"/>
                  <w:hideMark/>
                </w:tcPr>
                <w:p w14:paraId="63A77F18" w14:textId="308681E6" w:rsidR="00E71683" w:rsidRPr="004556EC" w:rsidRDefault="00415EDD" w:rsidP="00204FB8">
                  <w:pPr>
                    <w:spacing w:line="240" w:lineRule="auto"/>
                    <w:jc w:val="center"/>
                    <w:rPr>
                      <w:rFonts w:asciiTheme="minorHAnsi" w:eastAsia="Calibri" w:hAnsiTheme="minorHAnsi" w:cstheme="minorHAnsi"/>
                      <w:sz w:val="22"/>
                      <w:szCs w:val="22"/>
                      <w:lang w:val="en-US" w:eastAsia="en-US"/>
                    </w:rPr>
                  </w:pPr>
                  <w:r>
                    <w:rPr>
                      <w:rFonts w:ascii="Calibri" w:hAnsi="Calibri" w:cs="Calibri"/>
                      <w:color w:val="000000"/>
                    </w:rPr>
                    <w:t>(</w:t>
                  </w:r>
                  <w:r w:rsidR="00E71683" w:rsidRPr="00FB469B">
                    <w:rPr>
                      <w:rFonts w:ascii="Calibri" w:hAnsi="Calibri" w:cs="Calibri"/>
                      <w:color w:val="000000"/>
                    </w:rPr>
                    <w:t>0.0000</w:t>
                  </w:r>
                  <w:r>
                    <w:rPr>
                      <w:rFonts w:ascii="Calibri" w:hAnsi="Calibri" w:cs="Calibri"/>
                      <w:color w:val="000000"/>
                    </w:rPr>
                    <w:t>)</w:t>
                  </w:r>
                </w:p>
              </w:tc>
              <w:tc>
                <w:tcPr>
                  <w:tcW w:w="1581" w:type="dxa"/>
                  <w:gridSpan w:val="2"/>
                  <w:tcBorders>
                    <w:top w:val="nil"/>
                    <w:left w:val="nil"/>
                    <w:bottom w:val="nil"/>
                    <w:right w:val="nil"/>
                  </w:tcBorders>
                  <w:shd w:val="clear" w:color="auto" w:fill="auto"/>
                  <w:noWrap/>
                  <w:vAlign w:val="center"/>
                  <w:hideMark/>
                </w:tcPr>
                <w:p w14:paraId="2BC3B6C1" w14:textId="77777777" w:rsidR="00E71683" w:rsidRPr="004556EC" w:rsidRDefault="00E71683" w:rsidP="00204FB8">
                  <w:pPr>
                    <w:spacing w:line="240" w:lineRule="auto"/>
                    <w:jc w:val="center"/>
                    <w:rPr>
                      <w:rFonts w:asciiTheme="minorHAnsi" w:eastAsia="Calibri" w:hAnsiTheme="minorHAnsi" w:cstheme="minorHAnsi"/>
                      <w:sz w:val="22"/>
                      <w:szCs w:val="22"/>
                      <w:lang w:val="en-US" w:eastAsia="en-US"/>
                    </w:rPr>
                  </w:pPr>
                </w:p>
              </w:tc>
            </w:tr>
            <w:tr w:rsidR="00A92D9C" w:rsidRPr="004556EC" w14:paraId="5EC2D012" w14:textId="77777777" w:rsidTr="004B02B1">
              <w:trPr>
                <w:trHeight w:val="359"/>
              </w:trPr>
              <w:tc>
                <w:tcPr>
                  <w:tcW w:w="2340" w:type="dxa"/>
                  <w:tcBorders>
                    <w:top w:val="nil"/>
                    <w:left w:val="nil"/>
                    <w:bottom w:val="nil"/>
                    <w:right w:val="nil"/>
                  </w:tcBorders>
                  <w:shd w:val="clear" w:color="auto" w:fill="auto"/>
                  <w:noWrap/>
                  <w:vAlign w:val="center"/>
                  <w:hideMark/>
                </w:tcPr>
                <w:p w14:paraId="4C59CAB7" w14:textId="274CFCF9" w:rsidR="00A92D9C" w:rsidRPr="004556EC" w:rsidRDefault="00A92D9C" w:rsidP="004B02B1">
                  <w:pPr>
                    <w:spacing w:line="240" w:lineRule="auto"/>
                    <w:rPr>
                      <w:rFonts w:asciiTheme="minorHAnsi" w:eastAsia="Calibri" w:hAnsiTheme="minorHAnsi" w:cstheme="minorHAnsi"/>
                      <w:sz w:val="22"/>
                      <w:szCs w:val="22"/>
                      <w:lang w:val="en-US" w:eastAsia="en-US"/>
                    </w:rPr>
                  </w:pPr>
                  <w:r w:rsidRPr="00FB469B">
                    <w:rPr>
                      <w:rFonts w:ascii="Calibri" w:hAnsi="Calibri" w:cs="Calibri"/>
                      <w:color w:val="000000"/>
                    </w:rPr>
                    <w:t>Consumer Staples</w:t>
                  </w:r>
                </w:p>
              </w:tc>
              <w:tc>
                <w:tcPr>
                  <w:tcW w:w="1437" w:type="dxa"/>
                  <w:tcBorders>
                    <w:top w:val="nil"/>
                    <w:left w:val="nil"/>
                    <w:bottom w:val="nil"/>
                    <w:right w:val="nil"/>
                  </w:tcBorders>
                  <w:shd w:val="clear" w:color="auto" w:fill="auto"/>
                  <w:noWrap/>
                  <w:vAlign w:val="center"/>
                  <w:hideMark/>
                </w:tcPr>
                <w:p w14:paraId="2BC2A938" w14:textId="043F08A7" w:rsidR="00A92D9C" w:rsidRPr="004556EC" w:rsidRDefault="00A92D9C" w:rsidP="00204FB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0.0098</w:t>
                  </w:r>
                </w:p>
              </w:tc>
              <w:tc>
                <w:tcPr>
                  <w:tcW w:w="1581" w:type="dxa"/>
                  <w:tcBorders>
                    <w:top w:val="nil"/>
                    <w:left w:val="nil"/>
                    <w:bottom w:val="nil"/>
                    <w:right w:val="nil"/>
                  </w:tcBorders>
                  <w:shd w:val="clear" w:color="auto" w:fill="auto"/>
                  <w:noWrap/>
                  <w:vAlign w:val="center"/>
                  <w:hideMark/>
                </w:tcPr>
                <w:p w14:paraId="65E2A1E8" w14:textId="3087512F" w:rsidR="00A92D9C" w:rsidRPr="004556EC" w:rsidRDefault="00A92D9C" w:rsidP="00204FB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0.3559</w:t>
                  </w:r>
                </w:p>
              </w:tc>
              <w:tc>
                <w:tcPr>
                  <w:tcW w:w="1582" w:type="dxa"/>
                  <w:tcBorders>
                    <w:top w:val="nil"/>
                    <w:left w:val="nil"/>
                    <w:bottom w:val="nil"/>
                    <w:right w:val="nil"/>
                  </w:tcBorders>
                  <w:shd w:val="clear" w:color="auto" w:fill="auto"/>
                  <w:noWrap/>
                  <w:vAlign w:val="center"/>
                  <w:hideMark/>
                </w:tcPr>
                <w:p w14:paraId="426A35F2" w14:textId="7CF0EA5F" w:rsidR="00A92D9C" w:rsidRPr="004556EC" w:rsidRDefault="00A92D9C" w:rsidP="00204FB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0.5082</w:t>
                  </w:r>
                </w:p>
              </w:tc>
              <w:tc>
                <w:tcPr>
                  <w:tcW w:w="1581" w:type="dxa"/>
                  <w:gridSpan w:val="2"/>
                  <w:tcBorders>
                    <w:top w:val="nil"/>
                    <w:left w:val="nil"/>
                    <w:bottom w:val="nil"/>
                    <w:right w:val="nil"/>
                  </w:tcBorders>
                  <w:shd w:val="clear" w:color="auto" w:fill="auto"/>
                  <w:noWrap/>
                  <w:vAlign w:val="center"/>
                  <w:hideMark/>
                </w:tcPr>
                <w:p w14:paraId="7FA457A2" w14:textId="61F39E9E" w:rsidR="00A92D9C" w:rsidRPr="004556EC" w:rsidRDefault="00A92D9C" w:rsidP="00204FB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30.13%</w:t>
                  </w:r>
                </w:p>
              </w:tc>
            </w:tr>
            <w:tr w:rsidR="00A92D9C" w:rsidRPr="004556EC" w14:paraId="495739DB" w14:textId="77777777" w:rsidTr="004B02B1">
              <w:trPr>
                <w:trHeight w:val="359"/>
              </w:trPr>
              <w:tc>
                <w:tcPr>
                  <w:tcW w:w="2340" w:type="dxa"/>
                  <w:tcBorders>
                    <w:top w:val="nil"/>
                    <w:left w:val="nil"/>
                    <w:bottom w:val="nil"/>
                    <w:right w:val="nil"/>
                  </w:tcBorders>
                  <w:shd w:val="clear" w:color="auto" w:fill="auto"/>
                  <w:noWrap/>
                  <w:vAlign w:val="center"/>
                  <w:hideMark/>
                </w:tcPr>
                <w:p w14:paraId="72B523DE" w14:textId="77777777" w:rsidR="00A92D9C" w:rsidRPr="004556EC" w:rsidRDefault="00A92D9C" w:rsidP="004B02B1">
                  <w:pPr>
                    <w:spacing w:line="240" w:lineRule="auto"/>
                    <w:rPr>
                      <w:rFonts w:asciiTheme="minorHAnsi" w:eastAsia="Calibri" w:hAnsiTheme="minorHAnsi" w:cstheme="minorHAnsi"/>
                      <w:sz w:val="22"/>
                      <w:szCs w:val="22"/>
                      <w:lang w:val="en-US" w:eastAsia="en-US"/>
                    </w:rPr>
                  </w:pPr>
                </w:p>
              </w:tc>
              <w:tc>
                <w:tcPr>
                  <w:tcW w:w="1437" w:type="dxa"/>
                  <w:tcBorders>
                    <w:top w:val="nil"/>
                    <w:left w:val="nil"/>
                    <w:bottom w:val="nil"/>
                    <w:right w:val="nil"/>
                  </w:tcBorders>
                  <w:shd w:val="clear" w:color="auto" w:fill="auto"/>
                  <w:noWrap/>
                  <w:vAlign w:val="center"/>
                  <w:hideMark/>
                </w:tcPr>
                <w:p w14:paraId="2A2DF9FB" w14:textId="25D499C1" w:rsidR="00A92D9C" w:rsidRPr="004556EC" w:rsidRDefault="00415EDD" w:rsidP="00204FB8">
                  <w:pPr>
                    <w:spacing w:line="240" w:lineRule="auto"/>
                    <w:jc w:val="center"/>
                    <w:rPr>
                      <w:rFonts w:asciiTheme="minorHAnsi" w:eastAsia="Calibri" w:hAnsiTheme="minorHAnsi" w:cstheme="minorHAnsi"/>
                      <w:sz w:val="22"/>
                      <w:szCs w:val="22"/>
                      <w:lang w:val="en-US" w:eastAsia="en-US"/>
                    </w:rPr>
                  </w:pPr>
                  <w:r>
                    <w:rPr>
                      <w:rFonts w:ascii="Calibri" w:hAnsi="Calibri" w:cs="Calibri"/>
                      <w:color w:val="000000"/>
                    </w:rPr>
                    <w:t>(</w:t>
                  </w:r>
                  <w:r w:rsidR="00A92D9C" w:rsidRPr="00FB469B">
                    <w:rPr>
                      <w:rFonts w:ascii="Calibri" w:hAnsi="Calibri" w:cs="Calibri"/>
                      <w:color w:val="000000"/>
                    </w:rPr>
                    <w:t>0.0000</w:t>
                  </w:r>
                  <w:r>
                    <w:rPr>
                      <w:rFonts w:ascii="Calibri" w:hAnsi="Calibri" w:cs="Calibri"/>
                      <w:color w:val="000000"/>
                    </w:rPr>
                    <w:t>)</w:t>
                  </w:r>
                </w:p>
              </w:tc>
              <w:tc>
                <w:tcPr>
                  <w:tcW w:w="1581" w:type="dxa"/>
                  <w:tcBorders>
                    <w:top w:val="nil"/>
                    <w:left w:val="nil"/>
                    <w:bottom w:val="nil"/>
                    <w:right w:val="nil"/>
                  </w:tcBorders>
                  <w:shd w:val="clear" w:color="auto" w:fill="auto"/>
                  <w:noWrap/>
                  <w:vAlign w:val="center"/>
                  <w:hideMark/>
                </w:tcPr>
                <w:p w14:paraId="40DBCF40" w14:textId="7B2CC371" w:rsidR="00A92D9C" w:rsidRPr="004556EC" w:rsidRDefault="00415EDD" w:rsidP="00204FB8">
                  <w:pPr>
                    <w:spacing w:line="240" w:lineRule="auto"/>
                    <w:jc w:val="center"/>
                    <w:rPr>
                      <w:rFonts w:asciiTheme="minorHAnsi" w:eastAsia="Calibri" w:hAnsiTheme="minorHAnsi" w:cstheme="minorHAnsi"/>
                      <w:sz w:val="22"/>
                      <w:szCs w:val="22"/>
                      <w:lang w:val="en-US" w:eastAsia="en-US"/>
                    </w:rPr>
                  </w:pPr>
                  <w:r>
                    <w:rPr>
                      <w:rFonts w:ascii="Calibri" w:hAnsi="Calibri" w:cs="Calibri"/>
                      <w:color w:val="000000"/>
                    </w:rPr>
                    <w:t>(</w:t>
                  </w:r>
                  <w:r w:rsidR="00A92D9C" w:rsidRPr="00FB469B">
                    <w:rPr>
                      <w:rFonts w:ascii="Calibri" w:hAnsi="Calibri" w:cs="Calibri"/>
                      <w:color w:val="000000"/>
                    </w:rPr>
                    <w:t>0.0000</w:t>
                  </w:r>
                  <w:r>
                    <w:rPr>
                      <w:rFonts w:ascii="Calibri" w:hAnsi="Calibri" w:cs="Calibri"/>
                      <w:color w:val="000000"/>
                    </w:rPr>
                    <w:t>)</w:t>
                  </w:r>
                </w:p>
              </w:tc>
              <w:tc>
                <w:tcPr>
                  <w:tcW w:w="1582" w:type="dxa"/>
                  <w:tcBorders>
                    <w:top w:val="nil"/>
                    <w:left w:val="nil"/>
                    <w:bottom w:val="nil"/>
                    <w:right w:val="nil"/>
                  </w:tcBorders>
                  <w:shd w:val="clear" w:color="auto" w:fill="auto"/>
                  <w:noWrap/>
                  <w:vAlign w:val="center"/>
                  <w:hideMark/>
                </w:tcPr>
                <w:p w14:paraId="4BAAA583" w14:textId="22FFFAA5" w:rsidR="00A92D9C" w:rsidRPr="004556EC" w:rsidRDefault="00415EDD" w:rsidP="00204FB8">
                  <w:pPr>
                    <w:spacing w:line="240" w:lineRule="auto"/>
                    <w:jc w:val="center"/>
                    <w:rPr>
                      <w:rFonts w:asciiTheme="minorHAnsi" w:eastAsia="Calibri" w:hAnsiTheme="minorHAnsi" w:cstheme="minorHAnsi"/>
                      <w:sz w:val="22"/>
                      <w:szCs w:val="22"/>
                      <w:lang w:val="en-US" w:eastAsia="en-US"/>
                    </w:rPr>
                  </w:pPr>
                  <w:r>
                    <w:rPr>
                      <w:rFonts w:ascii="Calibri" w:hAnsi="Calibri" w:cs="Calibri"/>
                      <w:color w:val="000000"/>
                    </w:rPr>
                    <w:t>(</w:t>
                  </w:r>
                  <w:r w:rsidR="00A92D9C" w:rsidRPr="00FB469B">
                    <w:rPr>
                      <w:rFonts w:ascii="Calibri" w:hAnsi="Calibri" w:cs="Calibri"/>
                      <w:color w:val="000000"/>
                    </w:rPr>
                    <w:t>0.0122</w:t>
                  </w:r>
                  <w:r>
                    <w:rPr>
                      <w:rFonts w:ascii="Calibri" w:hAnsi="Calibri" w:cs="Calibri"/>
                      <w:color w:val="000000"/>
                    </w:rPr>
                    <w:t>)</w:t>
                  </w:r>
                </w:p>
              </w:tc>
              <w:tc>
                <w:tcPr>
                  <w:tcW w:w="1581" w:type="dxa"/>
                  <w:gridSpan w:val="2"/>
                  <w:tcBorders>
                    <w:top w:val="nil"/>
                    <w:left w:val="nil"/>
                    <w:bottom w:val="nil"/>
                    <w:right w:val="nil"/>
                  </w:tcBorders>
                  <w:shd w:val="clear" w:color="auto" w:fill="auto"/>
                  <w:noWrap/>
                  <w:vAlign w:val="center"/>
                  <w:hideMark/>
                </w:tcPr>
                <w:p w14:paraId="6C9C7591" w14:textId="77777777" w:rsidR="00A92D9C" w:rsidRPr="004556EC" w:rsidRDefault="00A92D9C" w:rsidP="00204FB8">
                  <w:pPr>
                    <w:spacing w:line="240" w:lineRule="auto"/>
                    <w:jc w:val="center"/>
                    <w:rPr>
                      <w:rFonts w:asciiTheme="minorHAnsi" w:eastAsia="Calibri" w:hAnsiTheme="minorHAnsi" w:cstheme="minorHAnsi"/>
                      <w:sz w:val="22"/>
                      <w:szCs w:val="22"/>
                      <w:lang w:val="en-US" w:eastAsia="en-US"/>
                    </w:rPr>
                  </w:pPr>
                </w:p>
              </w:tc>
            </w:tr>
            <w:tr w:rsidR="00A92D9C" w:rsidRPr="004556EC" w14:paraId="021E3595" w14:textId="77777777" w:rsidTr="004B02B1">
              <w:trPr>
                <w:trHeight w:val="359"/>
              </w:trPr>
              <w:tc>
                <w:tcPr>
                  <w:tcW w:w="2340" w:type="dxa"/>
                  <w:tcBorders>
                    <w:top w:val="nil"/>
                    <w:left w:val="nil"/>
                    <w:bottom w:val="nil"/>
                    <w:right w:val="nil"/>
                  </w:tcBorders>
                  <w:shd w:val="clear" w:color="auto" w:fill="auto"/>
                  <w:noWrap/>
                  <w:vAlign w:val="center"/>
                  <w:hideMark/>
                </w:tcPr>
                <w:p w14:paraId="2CA204C2" w14:textId="15D67BD5" w:rsidR="00A92D9C" w:rsidRPr="004556EC" w:rsidRDefault="00A92D9C" w:rsidP="004B02B1">
                  <w:pPr>
                    <w:spacing w:line="240" w:lineRule="auto"/>
                    <w:rPr>
                      <w:rFonts w:asciiTheme="minorHAnsi" w:eastAsia="Calibri" w:hAnsiTheme="minorHAnsi" w:cstheme="minorHAnsi"/>
                      <w:sz w:val="22"/>
                      <w:szCs w:val="22"/>
                      <w:lang w:val="en-US" w:eastAsia="en-US"/>
                    </w:rPr>
                  </w:pPr>
                  <w:r>
                    <w:rPr>
                      <w:rFonts w:asciiTheme="minorHAnsi" w:eastAsia="Calibri" w:hAnsiTheme="minorHAnsi" w:cstheme="minorHAnsi"/>
                      <w:sz w:val="22"/>
                      <w:szCs w:val="22"/>
                      <w:lang w:val="en-US" w:eastAsia="en-US"/>
                    </w:rPr>
                    <w:t>Energy</w:t>
                  </w:r>
                </w:p>
              </w:tc>
              <w:tc>
                <w:tcPr>
                  <w:tcW w:w="1437" w:type="dxa"/>
                  <w:tcBorders>
                    <w:top w:val="nil"/>
                    <w:left w:val="nil"/>
                    <w:bottom w:val="nil"/>
                    <w:right w:val="nil"/>
                  </w:tcBorders>
                  <w:shd w:val="clear" w:color="auto" w:fill="auto"/>
                  <w:noWrap/>
                  <w:vAlign w:val="center"/>
                  <w:hideMark/>
                </w:tcPr>
                <w:p w14:paraId="5E9D4D95" w14:textId="660D8B07" w:rsidR="00A92D9C" w:rsidRPr="004556EC" w:rsidRDefault="00A92D9C" w:rsidP="00204FB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0.0113</w:t>
                  </w:r>
                </w:p>
              </w:tc>
              <w:tc>
                <w:tcPr>
                  <w:tcW w:w="1581" w:type="dxa"/>
                  <w:tcBorders>
                    <w:top w:val="nil"/>
                    <w:left w:val="nil"/>
                    <w:bottom w:val="nil"/>
                    <w:right w:val="nil"/>
                  </w:tcBorders>
                  <w:shd w:val="clear" w:color="auto" w:fill="auto"/>
                  <w:noWrap/>
                  <w:vAlign w:val="center"/>
                  <w:hideMark/>
                </w:tcPr>
                <w:p w14:paraId="53B6356E" w14:textId="69CD951B" w:rsidR="00A92D9C" w:rsidRPr="004556EC" w:rsidRDefault="00A92D9C" w:rsidP="00204FB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0.3052</w:t>
                  </w:r>
                </w:p>
              </w:tc>
              <w:tc>
                <w:tcPr>
                  <w:tcW w:w="1582" w:type="dxa"/>
                  <w:tcBorders>
                    <w:top w:val="nil"/>
                    <w:left w:val="nil"/>
                    <w:bottom w:val="nil"/>
                    <w:right w:val="nil"/>
                  </w:tcBorders>
                  <w:shd w:val="clear" w:color="auto" w:fill="auto"/>
                  <w:noWrap/>
                  <w:vAlign w:val="center"/>
                  <w:hideMark/>
                </w:tcPr>
                <w:p w14:paraId="102C90CF" w14:textId="7C382058" w:rsidR="00A92D9C" w:rsidRPr="004556EC" w:rsidRDefault="00A92D9C" w:rsidP="00204FB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1.1006</w:t>
                  </w:r>
                </w:p>
              </w:tc>
              <w:tc>
                <w:tcPr>
                  <w:tcW w:w="1581" w:type="dxa"/>
                  <w:gridSpan w:val="2"/>
                  <w:tcBorders>
                    <w:top w:val="nil"/>
                    <w:left w:val="nil"/>
                    <w:bottom w:val="nil"/>
                    <w:right w:val="nil"/>
                  </w:tcBorders>
                  <w:shd w:val="clear" w:color="auto" w:fill="auto"/>
                  <w:noWrap/>
                  <w:vAlign w:val="center"/>
                  <w:hideMark/>
                </w:tcPr>
                <w:p w14:paraId="18BC127E" w14:textId="0D762378" w:rsidR="00A92D9C" w:rsidRPr="004556EC" w:rsidRDefault="00A92D9C" w:rsidP="00204FB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40.35%</w:t>
                  </w:r>
                </w:p>
              </w:tc>
            </w:tr>
            <w:tr w:rsidR="00A92D9C" w:rsidRPr="004556EC" w14:paraId="511408C6" w14:textId="77777777" w:rsidTr="004B02B1">
              <w:trPr>
                <w:trHeight w:val="359"/>
              </w:trPr>
              <w:tc>
                <w:tcPr>
                  <w:tcW w:w="2340" w:type="dxa"/>
                  <w:tcBorders>
                    <w:top w:val="nil"/>
                    <w:left w:val="nil"/>
                    <w:bottom w:val="nil"/>
                    <w:right w:val="nil"/>
                  </w:tcBorders>
                  <w:shd w:val="clear" w:color="auto" w:fill="auto"/>
                  <w:noWrap/>
                  <w:vAlign w:val="center"/>
                  <w:hideMark/>
                </w:tcPr>
                <w:p w14:paraId="5BFA4562" w14:textId="77777777" w:rsidR="00A92D9C" w:rsidRPr="004556EC" w:rsidRDefault="00A92D9C" w:rsidP="004B02B1">
                  <w:pPr>
                    <w:spacing w:line="240" w:lineRule="auto"/>
                    <w:rPr>
                      <w:rFonts w:asciiTheme="minorHAnsi" w:eastAsia="Calibri" w:hAnsiTheme="minorHAnsi" w:cstheme="minorHAnsi"/>
                      <w:sz w:val="22"/>
                      <w:szCs w:val="22"/>
                      <w:lang w:val="en-US" w:eastAsia="en-US"/>
                    </w:rPr>
                  </w:pPr>
                </w:p>
              </w:tc>
              <w:tc>
                <w:tcPr>
                  <w:tcW w:w="1437" w:type="dxa"/>
                  <w:tcBorders>
                    <w:top w:val="nil"/>
                    <w:left w:val="nil"/>
                    <w:bottom w:val="nil"/>
                    <w:right w:val="nil"/>
                  </w:tcBorders>
                  <w:shd w:val="clear" w:color="auto" w:fill="auto"/>
                  <w:noWrap/>
                  <w:vAlign w:val="center"/>
                  <w:hideMark/>
                </w:tcPr>
                <w:p w14:paraId="2B44998C" w14:textId="0498A4B7" w:rsidR="00A92D9C" w:rsidRPr="004556EC" w:rsidRDefault="00415EDD" w:rsidP="00204FB8">
                  <w:pPr>
                    <w:spacing w:line="240" w:lineRule="auto"/>
                    <w:jc w:val="center"/>
                    <w:rPr>
                      <w:rFonts w:asciiTheme="minorHAnsi" w:eastAsia="Calibri" w:hAnsiTheme="minorHAnsi" w:cstheme="minorHAnsi"/>
                      <w:sz w:val="22"/>
                      <w:szCs w:val="22"/>
                      <w:lang w:val="en-US" w:eastAsia="en-US"/>
                    </w:rPr>
                  </w:pPr>
                  <w:r>
                    <w:rPr>
                      <w:rFonts w:ascii="Calibri" w:hAnsi="Calibri" w:cs="Calibri"/>
                      <w:color w:val="000000"/>
                    </w:rPr>
                    <w:t>(</w:t>
                  </w:r>
                  <w:r w:rsidR="00A92D9C" w:rsidRPr="00FB469B">
                    <w:rPr>
                      <w:rFonts w:ascii="Calibri" w:hAnsi="Calibri" w:cs="Calibri"/>
                      <w:color w:val="000000"/>
                    </w:rPr>
                    <w:t>0.0000</w:t>
                  </w:r>
                  <w:r>
                    <w:rPr>
                      <w:rFonts w:ascii="Calibri" w:hAnsi="Calibri" w:cs="Calibri"/>
                      <w:color w:val="000000"/>
                    </w:rPr>
                    <w:t>)</w:t>
                  </w:r>
                </w:p>
              </w:tc>
              <w:tc>
                <w:tcPr>
                  <w:tcW w:w="1581" w:type="dxa"/>
                  <w:tcBorders>
                    <w:top w:val="nil"/>
                    <w:left w:val="nil"/>
                    <w:bottom w:val="nil"/>
                    <w:right w:val="nil"/>
                  </w:tcBorders>
                  <w:shd w:val="clear" w:color="auto" w:fill="auto"/>
                  <w:noWrap/>
                  <w:vAlign w:val="center"/>
                  <w:hideMark/>
                </w:tcPr>
                <w:p w14:paraId="01C34B48" w14:textId="186237A0" w:rsidR="00A92D9C" w:rsidRPr="004556EC" w:rsidRDefault="00415EDD" w:rsidP="00204FB8">
                  <w:pPr>
                    <w:spacing w:line="240" w:lineRule="auto"/>
                    <w:jc w:val="center"/>
                    <w:rPr>
                      <w:rFonts w:asciiTheme="minorHAnsi" w:eastAsia="Calibri" w:hAnsiTheme="minorHAnsi" w:cstheme="minorHAnsi"/>
                      <w:sz w:val="22"/>
                      <w:szCs w:val="22"/>
                      <w:lang w:val="en-US" w:eastAsia="en-US"/>
                    </w:rPr>
                  </w:pPr>
                  <w:r>
                    <w:rPr>
                      <w:rFonts w:ascii="Calibri" w:hAnsi="Calibri" w:cs="Calibri"/>
                      <w:color w:val="000000"/>
                    </w:rPr>
                    <w:t>(</w:t>
                  </w:r>
                  <w:r w:rsidR="00A92D9C" w:rsidRPr="00FB469B">
                    <w:rPr>
                      <w:rFonts w:ascii="Calibri" w:hAnsi="Calibri" w:cs="Calibri"/>
                      <w:color w:val="000000"/>
                    </w:rPr>
                    <w:t>0.0000</w:t>
                  </w:r>
                  <w:r>
                    <w:rPr>
                      <w:rFonts w:ascii="Calibri" w:hAnsi="Calibri" w:cs="Calibri"/>
                      <w:color w:val="000000"/>
                    </w:rPr>
                    <w:t>)</w:t>
                  </w:r>
                </w:p>
              </w:tc>
              <w:tc>
                <w:tcPr>
                  <w:tcW w:w="1582" w:type="dxa"/>
                  <w:tcBorders>
                    <w:top w:val="nil"/>
                    <w:left w:val="nil"/>
                    <w:bottom w:val="nil"/>
                    <w:right w:val="nil"/>
                  </w:tcBorders>
                  <w:shd w:val="clear" w:color="auto" w:fill="auto"/>
                  <w:noWrap/>
                  <w:vAlign w:val="center"/>
                  <w:hideMark/>
                </w:tcPr>
                <w:p w14:paraId="3C2BBE35" w14:textId="19E86D1A" w:rsidR="00A92D9C" w:rsidRPr="004556EC" w:rsidRDefault="00415EDD" w:rsidP="00204FB8">
                  <w:pPr>
                    <w:spacing w:line="240" w:lineRule="auto"/>
                    <w:jc w:val="center"/>
                    <w:rPr>
                      <w:rFonts w:asciiTheme="minorHAnsi" w:eastAsia="Calibri" w:hAnsiTheme="minorHAnsi" w:cstheme="minorHAnsi"/>
                      <w:sz w:val="22"/>
                      <w:szCs w:val="22"/>
                      <w:lang w:val="en-US" w:eastAsia="en-US"/>
                    </w:rPr>
                  </w:pPr>
                  <w:r>
                    <w:rPr>
                      <w:rFonts w:ascii="Calibri" w:hAnsi="Calibri" w:cs="Calibri"/>
                      <w:color w:val="000000"/>
                    </w:rPr>
                    <w:t>(</w:t>
                  </w:r>
                  <w:r w:rsidR="00A92D9C" w:rsidRPr="00FB469B">
                    <w:rPr>
                      <w:rFonts w:ascii="Calibri" w:hAnsi="Calibri" w:cs="Calibri"/>
                      <w:color w:val="000000"/>
                    </w:rPr>
                    <w:t>0.0000</w:t>
                  </w:r>
                  <w:r>
                    <w:rPr>
                      <w:rFonts w:ascii="Calibri" w:hAnsi="Calibri" w:cs="Calibri"/>
                      <w:color w:val="000000"/>
                    </w:rPr>
                    <w:t>)</w:t>
                  </w:r>
                </w:p>
              </w:tc>
              <w:tc>
                <w:tcPr>
                  <w:tcW w:w="1581" w:type="dxa"/>
                  <w:gridSpan w:val="2"/>
                  <w:tcBorders>
                    <w:top w:val="nil"/>
                    <w:left w:val="nil"/>
                    <w:bottom w:val="nil"/>
                    <w:right w:val="nil"/>
                  </w:tcBorders>
                  <w:shd w:val="clear" w:color="auto" w:fill="auto"/>
                  <w:noWrap/>
                  <w:vAlign w:val="center"/>
                  <w:hideMark/>
                </w:tcPr>
                <w:p w14:paraId="752CC1CF" w14:textId="77777777" w:rsidR="00A92D9C" w:rsidRPr="004556EC" w:rsidRDefault="00A92D9C" w:rsidP="00204FB8">
                  <w:pPr>
                    <w:spacing w:line="240" w:lineRule="auto"/>
                    <w:jc w:val="center"/>
                    <w:rPr>
                      <w:rFonts w:asciiTheme="minorHAnsi" w:eastAsia="Calibri" w:hAnsiTheme="minorHAnsi" w:cstheme="minorHAnsi"/>
                      <w:sz w:val="22"/>
                      <w:szCs w:val="22"/>
                      <w:lang w:val="en-US" w:eastAsia="en-US"/>
                    </w:rPr>
                  </w:pPr>
                </w:p>
              </w:tc>
            </w:tr>
            <w:tr w:rsidR="00204FB8" w:rsidRPr="004556EC" w14:paraId="4CEBA4F0" w14:textId="77777777" w:rsidTr="004B02B1">
              <w:trPr>
                <w:trHeight w:val="359"/>
              </w:trPr>
              <w:tc>
                <w:tcPr>
                  <w:tcW w:w="2340" w:type="dxa"/>
                  <w:tcBorders>
                    <w:top w:val="nil"/>
                    <w:left w:val="nil"/>
                    <w:bottom w:val="nil"/>
                    <w:right w:val="nil"/>
                  </w:tcBorders>
                  <w:shd w:val="clear" w:color="auto" w:fill="auto"/>
                  <w:noWrap/>
                  <w:vAlign w:val="center"/>
                  <w:hideMark/>
                </w:tcPr>
                <w:p w14:paraId="3B6962C6" w14:textId="2D39B393" w:rsidR="00204FB8" w:rsidRPr="004556EC" w:rsidRDefault="00204FB8" w:rsidP="004B02B1">
                  <w:pPr>
                    <w:spacing w:line="240" w:lineRule="auto"/>
                    <w:rPr>
                      <w:rFonts w:asciiTheme="minorHAnsi" w:eastAsia="Calibri" w:hAnsiTheme="minorHAnsi" w:cstheme="minorHAnsi"/>
                      <w:sz w:val="22"/>
                      <w:szCs w:val="22"/>
                      <w:lang w:val="en-US" w:eastAsia="en-US"/>
                    </w:rPr>
                  </w:pPr>
                  <w:r>
                    <w:rPr>
                      <w:rFonts w:asciiTheme="minorHAnsi" w:eastAsia="Calibri" w:hAnsiTheme="minorHAnsi" w:cstheme="minorHAnsi"/>
                      <w:sz w:val="22"/>
                      <w:szCs w:val="22"/>
                      <w:lang w:val="en-US" w:eastAsia="en-US"/>
                    </w:rPr>
                    <w:t xml:space="preserve">Financials </w:t>
                  </w:r>
                </w:p>
              </w:tc>
              <w:tc>
                <w:tcPr>
                  <w:tcW w:w="1437" w:type="dxa"/>
                  <w:tcBorders>
                    <w:top w:val="nil"/>
                    <w:left w:val="nil"/>
                    <w:bottom w:val="nil"/>
                    <w:right w:val="nil"/>
                  </w:tcBorders>
                  <w:shd w:val="clear" w:color="auto" w:fill="auto"/>
                  <w:noWrap/>
                  <w:vAlign w:val="center"/>
                  <w:hideMark/>
                </w:tcPr>
                <w:p w14:paraId="54FF0984" w14:textId="579B1A8F" w:rsidR="00204FB8" w:rsidRPr="004556EC" w:rsidRDefault="00204FB8" w:rsidP="00204FB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0.9295</w:t>
                  </w:r>
                </w:p>
              </w:tc>
              <w:tc>
                <w:tcPr>
                  <w:tcW w:w="1581" w:type="dxa"/>
                  <w:tcBorders>
                    <w:top w:val="nil"/>
                    <w:left w:val="nil"/>
                    <w:bottom w:val="nil"/>
                    <w:right w:val="nil"/>
                  </w:tcBorders>
                  <w:shd w:val="clear" w:color="auto" w:fill="auto"/>
                  <w:noWrap/>
                  <w:vAlign w:val="center"/>
                  <w:hideMark/>
                </w:tcPr>
                <w:p w14:paraId="571CE0A6" w14:textId="4F9E0EB8" w:rsidR="00204FB8" w:rsidRPr="004556EC" w:rsidRDefault="00204FB8" w:rsidP="00204FB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0.1223</w:t>
                  </w:r>
                </w:p>
              </w:tc>
              <w:tc>
                <w:tcPr>
                  <w:tcW w:w="1582" w:type="dxa"/>
                  <w:tcBorders>
                    <w:top w:val="nil"/>
                    <w:left w:val="nil"/>
                    <w:bottom w:val="nil"/>
                    <w:right w:val="nil"/>
                  </w:tcBorders>
                  <w:shd w:val="clear" w:color="auto" w:fill="auto"/>
                  <w:noWrap/>
                  <w:vAlign w:val="center"/>
                  <w:hideMark/>
                </w:tcPr>
                <w:p w14:paraId="09E31607" w14:textId="1FE572E2" w:rsidR="00204FB8" w:rsidRPr="004556EC" w:rsidRDefault="00204FB8" w:rsidP="00204FB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-0.0603</w:t>
                  </w:r>
                </w:p>
              </w:tc>
              <w:tc>
                <w:tcPr>
                  <w:tcW w:w="1581" w:type="dxa"/>
                  <w:gridSpan w:val="2"/>
                  <w:tcBorders>
                    <w:top w:val="nil"/>
                    <w:left w:val="nil"/>
                    <w:bottom w:val="nil"/>
                    <w:right w:val="nil"/>
                  </w:tcBorders>
                  <w:shd w:val="clear" w:color="auto" w:fill="auto"/>
                  <w:noWrap/>
                  <w:vAlign w:val="center"/>
                  <w:hideMark/>
                </w:tcPr>
                <w:p w14:paraId="67D0B639" w14:textId="56C7607C" w:rsidR="00204FB8" w:rsidRPr="004556EC" w:rsidRDefault="00204FB8" w:rsidP="00204FB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0.72%</w:t>
                  </w:r>
                </w:p>
              </w:tc>
            </w:tr>
            <w:tr w:rsidR="00204FB8" w:rsidRPr="004556EC" w14:paraId="081B78B5" w14:textId="77777777" w:rsidTr="004B02B1">
              <w:trPr>
                <w:trHeight w:val="359"/>
              </w:trPr>
              <w:tc>
                <w:tcPr>
                  <w:tcW w:w="2340" w:type="dxa"/>
                  <w:tcBorders>
                    <w:top w:val="nil"/>
                    <w:left w:val="nil"/>
                    <w:right w:val="nil"/>
                  </w:tcBorders>
                  <w:shd w:val="clear" w:color="auto" w:fill="auto"/>
                  <w:noWrap/>
                  <w:vAlign w:val="center"/>
                  <w:hideMark/>
                </w:tcPr>
                <w:p w14:paraId="07236B2D" w14:textId="77777777" w:rsidR="00204FB8" w:rsidRPr="004556EC" w:rsidRDefault="00204FB8" w:rsidP="004B02B1">
                  <w:pPr>
                    <w:spacing w:line="240" w:lineRule="auto"/>
                    <w:rPr>
                      <w:rFonts w:asciiTheme="minorHAnsi" w:eastAsia="Calibri" w:hAnsiTheme="minorHAnsi" w:cstheme="minorHAnsi"/>
                      <w:sz w:val="22"/>
                      <w:szCs w:val="22"/>
                      <w:lang w:val="en-US" w:eastAsia="en-US"/>
                    </w:rPr>
                  </w:pPr>
                </w:p>
              </w:tc>
              <w:tc>
                <w:tcPr>
                  <w:tcW w:w="1437" w:type="dxa"/>
                  <w:tcBorders>
                    <w:top w:val="nil"/>
                    <w:left w:val="nil"/>
                    <w:right w:val="nil"/>
                  </w:tcBorders>
                  <w:shd w:val="clear" w:color="auto" w:fill="auto"/>
                  <w:noWrap/>
                  <w:vAlign w:val="center"/>
                  <w:hideMark/>
                </w:tcPr>
                <w:p w14:paraId="74D3449B" w14:textId="2CF4176C" w:rsidR="00204FB8" w:rsidRPr="004556EC" w:rsidRDefault="00415EDD" w:rsidP="00204FB8">
                  <w:pPr>
                    <w:spacing w:line="240" w:lineRule="auto"/>
                    <w:jc w:val="center"/>
                    <w:rPr>
                      <w:rFonts w:asciiTheme="minorHAnsi" w:eastAsia="Calibri" w:hAnsiTheme="minorHAnsi" w:cstheme="minorHAnsi"/>
                      <w:sz w:val="22"/>
                      <w:szCs w:val="22"/>
                      <w:lang w:val="en-US" w:eastAsia="en-US"/>
                    </w:rPr>
                  </w:pPr>
                  <w:r>
                    <w:rPr>
                      <w:rFonts w:ascii="Calibri" w:hAnsi="Calibri" w:cs="Calibri"/>
                      <w:color w:val="000000"/>
                    </w:rPr>
                    <w:t>(</w:t>
                  </w:r>
                  <w:r w:rsidR="00204FB8" w:rsidRPr="00FB469B">
                    <w:rPr>
                      <w:rFonts w:ascii="Calibri" w:hAnsi="Calibri" w:cs="Calibri"/>
                      <w:color w:val="000000"/>
                    </w:rPr>
                    <w:t>0.0000</w:t>
                  </w:r>
                  <w:r>
                    <w:rPr>
                      <w:rFonts w:ascii="Calibri" w:hAnsi="Calibri" w:cs="Calibri"/>
                      <w:color w:val="000000"/>
                    </w:rPr>
                    <w:t>)</w:t>
                  </w:r>
                </w:p>
              </w:tc>
              <w:tc>
                <w:tcPr>
                  <w:tcW w:w="1581" w:type="dxa"/>
                  <w:tcBorders>
                    <w:top w:val="nil"/>
                    <w:left w:val="nil"/>
                    <w:right w:val="nil"/>
                  </w:tcBorders>
                  <w:shd w:val="clear" w:color="auto" w:fill="auto"/>
                  <w:noWrap/>
                  <w:vAlign w:val="center"/>
                  <w:hideMark/>
                </w:tcPr>
                <w:p w14:paraId="67FBF567" w14:textId="695A2F33" w:rsidR="00204FB8" w:rsidRPr="004556EC" w:rsidRDefault="00415EDD" w:rsidP="00204FB8">
                  <w:pPr>
                    <w:spacing w:line="240" w:lineRule="auto"/>
                    <w:jc w:val="center"/>
                    <w:rPr>
                      <w:rFonts w:asciiTheme="minorHAnsi" w:eastAsia="Calibri" w:hAnsiTheme="minorHAnsi" w:cstheme="minorHAnsi"/>
                      <w:sz w:val="22"/>
                      <w:szCs w:val="22"/>
                      <w:lang w:val="en-US" w:eastAsia="en-US"/>
                    </w:rPr>
                  </w:pPr>
                  <w:r>
                    <w:rPr>
                      <w:rFonts w:ascii="Calibri" w:hAnsi="Calibri" w:cs="Calibri"/>
                      <w:color w:val="000000"/>
                    </w:rPr>
                    <w:t>(</w:t>
                  </w:r>
                  <w:r w:rsidR="00204FB8" w:rsidRPr="00FB469B">
                    <w:rPr>
                      <w:rFonts w:ascii="Calibri" w:hAnsi="Calibri" w:cs="Calibri"/>
                      <w:color w:val="000000"/>
                    </w:rPr>
                    <w:t>0.0000</w:t>
                  </w:r>
                  <w:r>
                    <w:rPr>
                      <w:rFonts w:ascii="Calibri" w:hAnsi="Calibri" w:cs="Calibri"/>
                      <w:color w:val="000000"/>
                    </w:rPr>
                    <w:t>)</w:t>
                  </w:r>
                </w:p>
              </w:tc>
              <w:tc>
                <w:tcPr>
                  <w:tcW w:w="1582" w:type="dxa"/>
                  <w:tcBorders>
                    <w:top w:val="nil"/>
                    <w:left w:val="nil"/>
                    <w:right w:val="nil"/>
                  </w:tcBorders>
                  <w:shd w:val="clear" w:color="auto" w:fill="auto"/>
                  <w:noWrap/>
                  <w:vAlign w:val="center"/>
                  <w:hideMark/>
                </w:tcPr>
                <w:p w14:paraId="48025D70" w14:textId="5BF03BBB" w:rsidR="00204FB8" w:rsidRPr="004556EC" w:rsidRDefault="00415EDD" w:rsidP="00204FB8">
                  <w:pPr>
                    <w:spacing w:line="240" w:lineRule="auto"/>
                    <w:jc w:val="center"/>
                    <w:rPr>
                      <w:rFonts w:asciiTheme="minorHAnsi" w:eastAsia="Calibri" w:hAnsiTheme="minorHAnsi" w:cstheme="minorHAnsi"/>
                      <w:sz w:val="22"/>
                      <w:szCs w:val="22"/>
                      <w:lang w:val="en-US" w:eastAsia="en-US"/>
                    </w:rPr>
                  </w:pPr>
                  <w:r>
                    <w:rPr>
                      <w:rFonts w:ascii="Calibri" w:hAnsi="Calibri" w:cs="Calibri"/>
                      <w:color w:val="000000"/>
                    </w:rPr>
                    <w:t>(</w:t>
                  </w:r>
                  <w:r w:rsidR="00204FB8" w:rsidRPr="00FB469B">
                    <w:rPr>
                      <w:rFonts w:ascii="Calibri" w:hAnsi="Calibri" w:cs="Calibri"/>
                      <w:color w:val="000000"/>
                    </w:rPr>
                    <w:t>0.0000</w:t>
                  </w:r>
                  <w:r>
                    <w:rPr>
                      <w:rFonts w:ascii="Calibri" w:hAnsi="Calibri" w:cs="Calibri"/>
                      <w:color w:val="000000"/>
                    </w:rPr>
                    <w:t>)</w:t>
                  </w:r>
                </w:p>
              </w:tc>
              <w:tc>
                <w:tcPr>
                  <w:tcW w:w="1581" w:type="dxa"/>
                  <w:gridSpan w:val="2"/>
                  <w:tcBorders>
                    <w:top w:val="nil"/>
                    <w:left w:val="nil"/>
                    <w:right w:val="nil"/>
                  </w:tcBorders>
                  <w:shd w:val="clear" w:color="auto" w:fill="auto"/>
                  <w:noWrap/>
                  <w:vAlign w:val="center"/>
                  <w:hideMark/>
                </w:tcPr>
                <w:p w14:paraId="1DC7768B" w14:textId="77777777" w:rsidR="00204FB8" w:rsidRPr="004556EC" w:rsidRDefault="00204FB8" w:rsidP="00204FB8">
                  <w:pPr>
                    <w:spacing w:line="240" w:lineRule="auto"/>
                    <w:jc w:val="center"/>
                    <w:rPr>
                      <w:rFonts w:asciiTheme="minorHAnsi" w:eastAsia="Calibri" w:hAnsiTheme="minorHAnsi" w:cstheme="minorHAnsi"/>
                      <w:sz w:val="22"/>
                      <w:szCs w:val="22"/>
                      <w:lang w:val="en-US" w:eastAsia="en-US"/>
                    </w:rPr>
                  </w:pPr>
                </w:p>
              </w:tc>
            </w:tr>
            <w:tr w:rsidR="00204FB8" w:rsidRPr="004556EC" w14:paraId="51FAF42D" w14:textId="77777777" w:rsidTr="004B02B1">
              <w:trPr>
                <w:trHeight w:val="359"/>
              </w:trPr>
              <w:tc>
                <w:tcPr>
                  <w:tcW w:w="2340" w:type="dxa"/>
                  <w:tcBorders>
                    <w:top w:val="nil"/>
                    <w:left w:val="nil"/>
                    <w:bottom w:val="nil"/>
                    <w:right w:val="nil"/>
                  </w:tcBorders>
                  <w:shd w:val="clear" w:color="auto" w:fill="auto"/>
                  <w:noWrap/>
                  <w:vAlign w:val="center"/>
                  <w:hideMark/>
                </w:tcPr>
                <w:p w14:paraId="20F272CD" w14:textId="5B0DD659" w:rsidR="00204FB8" w:rsidRPr="004556EC" w:rsidRDefault="00204FB8" w:rsidP="004B02B1">
                  <w:pPr>
                    <w:spacing w:line="240" w:lineRule="auto"/>
                    <w:rPr>
                      <w:rFonts w:asciiTheme="minorHAnsi" w:eastAsia="Calibri" w:hAnsiTheme="minorHAnsi" w:cstheme="minorHAnsi"/>
                      <w:sz w:val="22"/>
                      <w:szCs w:val="22"/>
                      <w:lang w:val="en-US" w:eastAsia="en-US"/>
                    </w:rPr>
                  </w:pPr>
                  <w:r>
                    <w:rPr>
                      <w:rFonts w:asciiTheme="minorHAnsi" w:eastAsia="Calibri" w:hAnsiTheme="minorHAnsi" w:cstheme="minorHAnsi"/>
                      <w:sz w:val="22"/>
                      <w:szCs w:val="22"/>
                      <w:lang w:val="en-US" w:eastAsia="en-US"/>
                    </w:rPr>
                    <w:lastRenderedPageBreak/>
                    <w:t>Health Care</w:t>
                  </w:r>
                </w:p>
              </w:tc>
              <w:tc>
                <w:tcPr>
                  <w:tcW w:w="1437" w:type="dxa"/>
                  <w:tcBorders>
                    <w:top w:val="nil"/>
                    <w:left w:val="nil"/>
                    <w:bottom w:val="nil"/>
                    <w:right w:val="nil"/>
                  </w:tcBorders>
                  <w:shd w:val="clear" w:color="auto" w:fill="auto"/>
                  <w:noWrap/>
                  <w:vAlign w:val="center"/>
                  <w:hideMark/>
                </w:tcPr>
                <w:p w14:paraId="102ADB0C" w14:textId="6E18B37D" w:rsidR="00204FB8" w:rsidRPr="004556EC" w:rsidRDefault="00204FB8" w:rsidP="00204FB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1.5879</w:t>
                  </w:r>
                </w:p>
              </w:tc>
              <w:tc>
                <w:tcPr>
                  <w:tcW w:w="1581" w:type="dxa"/>
                  <w:tcBorders>
                    <w:top w:val="nil"/>
                    <w:left w:val="nil"/>
                    <w:bottom w:val="nil"/>
                    <w:right w:val="nil"/>
                  </w:tcBorders>
                  <w:shd w:val="clear" w:color="auto" w:fill="auto"/>
                  <w:noWrap/>
                  <w:vAlign w:val="center"/>
                  <w:hideMark/>
                </w:tcPr>
                <w:p w14:paraId="57221427" w14:textId="6205004E" w:rsidR="00204FB8" w:rsidRPr="004556EC" w:rsidRDefault="00204FB8" w:rsidP="00204FB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-0.3189</w:t>
                  </w:r>
                </w:p>
              </w:tc>
              <w:tc>
                <w:tcPr>
                  <w:tcW w:w="1582" w:type="dxa"/>
                  <w:tcBorders>
                    <w:top w:val="nil"/>
                    <w:left w:val="nil"/>
                    <w:bottom w:val="nil"/>
                    <w:right w:val="nil"/>
                  </w:tcBorders>
                  <w:shd w:val="clear" w:color="auto" w:fill="auto"/>
                  <w:noWrap/>
                  <w:vAlign w:val="center"/>
                  <w:hideMark/>
                </w:tcPr>
                <w:p w14:paraId="516C103B" w14:textId="3E4CD32F" w:rsidR="00204FB8" w:rsidRPr="004556EC" w:rsidRDefault="00204FB8" w:rsidP="00204FB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14.6923</w:t>
                  </w:r>
                </w:p>
              </w:tc>
              <w:tc>
                <w:tcPr>
                  <w:tcW w:w="1581" w:type="dxa"/>
                  <w:gridSpan w:val="2"/>
                  <w:tcBorders>
                    <w:top w:val="nil"/>
                    <w:left w:val="nil"/>
                    <w:bottom w:val="nil"/>
                    <w:right w:val="nil"/>
                  </w:tcBorders>
                  <w:shd w:val="clear" w:color="auto" w:fill="auto"/>
                  <w:noWrap/>
                  <w:vAlign w:val="center"/>
                  <w:hideMark/>
                </w:tcPr>
                <w:p w14:paraId="39B78F23" w14:textId="1DCC7819" w:rsidR="00204FB8" w:rsidRPr="004556EC" w:rsidRDefault="00204FB8" w:rsidP="00204FB8">
                  <w:pPr>
                    <w:spacing w:line="240" w:lineRule="auto"/>
                    <w:jc w:val="center"/>
                    <w:rPr>
                      <w:rFonts w:asciiTheme="minorHAnsi" w:eastAsia="Calibri" w:hAnsiTheme="minorHAnsi" w:cstheme="minorHAnsi"/>
                      <w:sz w:val="22"/>
                      <w:szCs w:val="22"/>
                      <w:lang w:val="en-US" w:eastAsia="en-US"/>
                    </w:rPr>
                  </w:pPr>
                  <w:r w:rsidRPr="004556EC">
                    <w:rPr>
                      <w:rFonts w:asciiTheme="minorHAnsi" w:eastAsia="Calibri" w:hAnsiTheme="minorHAnsi" w:cstheme="minorHAnsi"/>
                      <w:sz w:val="22"/>
                      <w:szCs w:val="22"/>
                      <w:lang w:val="en-US" w:eastAsia="en-US"/>
                    </w:rPr>
                    <w:t>28.05%</w:t>
                  </w:r>
                </w:p>
              </w:tc>
            </w:tr>
            <w:tr w:rsidR="00204FB8" w:rsidRPr="004556EC" w14:paraId="4E3658EC" w14:textId="77777777" w:rsidTr="004B02B1">
              <w:trPr>
                <w:trHeight w:val="359"/>
              </w:trPr>
              <w:tc>
                <w:tcPr>
                  <w:tcW w:w="2340" w:type="dxa"/>
                  <w:tcBorders>
                    <w:top w:val="nil"/>
                    <w:left w:val="nil"/>
                    <w:bottom w:val="nil"/>
                    <w:right w:val="nil"/>
                  </w:tcBorders>
                  <w:shd w:val="clear" w:color="auto" w:fill="auto"/>
                  <w:noWrap/>
                  <w:vAlign w:val="center"/>
                  <w:hideMark/>
                </w:tcPr>
                <w:p w14:paraId="2376409C" w14:textId="77777777" w:rsidR="00204FB8" w:rsidRPr="004556EC" w:rsidRDefault="00204FB8" w:rsidP="004B02B1">
                  <w:pPr>
                    <w:spacing w:line="240" w:lineRule="auto"/>
                    <w:rPr>
                      <w:rFonts w:asciiTheme="minorHAnsi" w:eastAsia="Calibri" w:hAnsiTheme="minorHAnsi" w:cstheme="minorHAnsi"/>
                      <w:sz w:val="22"/>
                      <w:szCs w:val="22"/>
                      <w:lang w:val="en-US" w:eastAsia="en-US"/>
                    </w:rPr>
                  </w:pPr>
                </w:p>
              </w:tc>
              <w:tc>
                <w:tcPr>
                  <w:tcW w:w="1437" w:type="dxa"/>
                  <w:tcBorders>
                    <w:top w:val="nil"/>
                    <w:left w:val="nil"/>
                    <w:bottom w:val="nil"/>
                    <w:right w:val="nil"/>
                  </w:tcBorders>
                  <w:shd w:val="clear" w:color="auto" w:fill="auto"/>
                  <w:noWrap/>
                  <w:vAlign w:val="center"/>
                  <w:hideMark/>
                </w:tcPr>
                <w:p w14:paraId="0A99677C" w14:textId="1B2549C6" w:rsidR="00204FB8" w:rsidRPr="004556EC" w:rsidRDefault="00415EDD" w:rsidP="00204FB8">
                  <w:pPr>
                    <w:spacing w:line="240" w:lineRule="auto"/>
                    <w:jc w:val="center"/>
                    <w:rPr>
                      <w:rFonts w:asciiTheme="minorHAnsi" w:eastAsia="Calibri" w:hAnsiTheme="minorHAnsi" w:cstheme="minorHAnsi"/>
                      <w:sz w:val="22"/>
                      <w:szCs w:val="22"/>
                      <w:lang w:val="en-US" w:eastAsia="en-US"/>
                    </w:rPr>
                  </w:pPr>
                  <w:r>
                    <w:rPr>
                      <w:rFonts w:ascii="Calibri" w:hAnsi="Calibri" w:cs="Calibri"/>
                      <w:color w:val="000000"/>
                    </w:rPr>
                    <w:t>(</w:t>
                  </w:r>
                  <w:r w:rsidR="00204FB8" w:rsidRPr="00FB469B">
                    <w:rPr>
                      <w:rFonts w:ascii="Calibri" w:hAnsi="Calibri" w:cs="Calibri"/>
                      <w:color w:val="000000"/>
                    </w:rPr>
                    <w:t>0.0000</w:t>
                  </w:r>
                  <w:r>
                    <w:rPr>
                      <w:rFonts w:ascii="Calibri" w:hAnsi="Calibri" w:cs="Calibri"/>
                      <w:color w:val="000000"/>
                    </w:rPr>
                    <w:t>)</w:t>
                  </w:r>
                </w:p>
              </w:tc>
              <w:tc>
                <w:tcPr>
                  <w:tcW w:w="1581" w:type="dxa"/>
                  <w:tcBorders>
                    <w:top w:val="nil"/>
                    <w:left w:val="nil"/>
                    <w:bottom w:val="nil"/>
                    <w:right w:val="nil"/>
                  </w:tcBorders>
                  <w:shd w:val="clear" w:color="auto" w:fill="auto"/>
                  <w:noWrap/>
                  <w:vAlign w:val="center"/>
                  <w:hideMark/>
                </w:tcPr>
                <w:p w14:paraId="3A23A61C" w14:textId="60880A86" w:rsidR="00204FB8" w:rsidRPr="004556EC" w:rsidRDefault="00415EDD" w:rsidP="00204FB8">
                  <w:pPr>
                    <w:spacing w:line="240" w:lineRule="auto"/>
                    <w:jc w:val="center"/>
                    <w:rPr>
                      <w:rFonts w:asciiTheme="minorHAnsi" w:eastAsia="Calibri" w:hAnsiTheme="minorHAnsi" w:cstheme="minorHAnsi"/>
                      <w:sz w:val="22"/>
                      <w:szCs w:val="22"/>
                      <w:lang w:val="en-US" w:eastAsia="en-US"/>
                    </w:rPr>
                  </w:pPr>
                  <w:r>
                    <w:rPr>
                      <w:rFonts w:ascii="Calibri" w:hAnsi="Calibri" w:cs="Calibri"/>
                      <w:color w:val="000000"/>
                    </w:rPr>
                    <w:t>(</w:t>
                  </w:r>
                  <w:r w:rsidR="00204FB8" w:rsidRPr="00FB469B">
                    <w:rPr>
                      <w:rFonts w:ascii="Calibri" w:hAnsi="Calibri" w:cs="Calibri"/>
                      <w:color w:val="000000"/>
                    </w:rPr>
                    <w:t>0.1891</w:t>
                  </w:r>
                  <w:r>
                    <w:rPr>
                      <w:rFonts w:ascii="Calibri" w:hAnsi="Calibri" w:cs="Calibri"/>
                      <w:color w:val="000000"/>
                    </w:rPr>
                    <w:t>)</w:t>
                  </w:r>
                </w:p>
              </w:tc>
              <w:tc>
                <w:tcPr>
                  <w:tcW w:w="1582" w:type="dxa"/>
                  <w:tcBorders>
                    <w:top w:val="nil"/>
                    <w:left w:val="nil"/>
                    <w:bottom w:val="nil"/>
                    <w:right w:val="nil"/>
                  </w:tcBorders>
                  <w:shd w:val="clear" w:color="auto" w:fill="auto"/>
                  <w:noWrap/>
                  <w:vAlign w:val="center"/>
                  <w:hideMark/>
                </w:tcPr>
                <w:p w14:paraId="04A86481" w14:textId="0D93C257" w:rsidR="00204FB8" w:rsidRPr="00204FB8" w:rsidRDefault="00415EDD" w:rsidP="00204FB8">
                  <w:pPr>
                    <w:spacing w:line="240" w:lineRule="auto"/>
                    <w:jc w:val="center"/>
                    <w:rPr>
                      <w:rFonts w:ascii="Calibri" w:hAnsi="Calibri" w:cs="Calibri"/>
                      <w:color w:val="000000"/>
                    </w:rPr>
                  </w:pPr>
                  <w:r>
                    <w:rPr>
                      <w:rFonts w:ascii="Calibri" w:hAnsi="Calibri" w:cs="Calibri"/>
                      <w:color w:val="000000"/>
                    </w:rPr>
                    <w:t>(</w:t>
                  </w:r>
                  <w:r w:rsidR="00204FB8" w:rsidRPr="00FB469B">
                    <w:rPr>
                      <w:rFonts w:ascii="Calibri" w:hAnsi="Calibri" w:cs="Calibri"/>
                      <w:color w:val="000000"/>
                    </w:rPr>
                    <w:t>0.0035</w:t>
                  </w:r>
                  <w:r>
                    <w:rPr>
                      <w:rFonts w:ascii="Calibri" w:hAnsi="Calibri" w:cs="Calibri"/>
                      <w:color w:val="000000"/>
                    </w:rPr>
                    <w:t>)</w:t>
                  </w:r>
                </w:p>
              </w:tc>
              <w:tc>
                <w:tcPr>
                  <w:tcW w:w="1581" w:type="dxa"/>
                  <w:gridSpan w:val="2"/>
                  <w:tcBorders>
                    <w:top w:val="nil"/>
                    <w:left w:val="nil"/>
                    <w:bottom w:val="nil"/>
                    <w:right w:val="nil"/>
                  </w:tcBorders>
                  <w:shd w:val="clear" w:color="auto" w:fill="auto"/>
                  <w:noWrap/>
                  <w:vAlign w:val="bottom"/>
                  <w:hideMark/>
                </w:tcPr>
                <w:p w14:paraId="633F56CB" w14:textId="77777777" w:rsidR="00204FB8" w:rsidRDefault="00204FB8" w:rsidP="00204FB8">
                  <w:pPr>
                    <w:spacing w:line="240" w:lineRule="auto"/>
                    <w:rPr>
                      <w:rFonts w:asciiTheme="minorHAnsi" w:eastAsia="Calibri" w:hAnsiTheme="minorHAnsi" w:cstheme="minorHAnsi"/>
                      <w:sz w:val="22"/>
                      <w:szCs w:val="22"/>
                      <w:lang w:val="en-US" w:eastAsia="en-US"/>
                    </w:rPr>
                  </w:pPr>
                </w:p>
                <w:p w14:paraId="4B2464A8" w14:textId="3012FB4C" w:rsidR="00204FB8" w:rsidRPr="004556EC" w:rsidRDefault="00204FB8" w:rsidP="00204FB8">
                  <w:pPr>
                    <w:spacing w:line="240" w:lineRule="auto"/>
                    <w:rPr>
                      <w:rFonts w:asciiTheme="minorHAnsi" w:eastAsia="Calibri" w:hAnsiTheme="minorHAnsi" w:cstheme="minorHAnsi"/>
                      <w:sz w:val="22"/>
                      <w:szCs w:val="22"/>
                      <w:lang w:val="en-US" w:eastAsia="en-US"/>
                    </w:rPr>
                  </w:pPr>
                </w:p>
              </w:tc>
            </w:tr>
            <w:tr w:rsidR="00204FB8" w:rsidRPr="004556EC" w14:paraId="5D34A9B6" w14:textId="77777777" w:rsidTr="004B02B1">
              <w:trPr>
                <w:trHeight w:val="359"/>
              </w:trPr>
              <w:tc>
                <w:tcPr>
                  <w:tcW w:w="2340" w:type="dxa"/>
                  <w:tcBorders>
                    <w:top w:val="nil"/>
                    <w:left w:val="nil"/>
                    <w:bottom w:val="nil"/>
                    <w:right w:val="nil"/>
                  </w:tcBorders>
                  <w:shd w:val="clear" w:color="auto" w:fill="auto"/>
                  <w:noWrap/>
                  <w:vAlign w:val="center"/>
                </w:tcPr>
                <w:p w14:paraId="298E5DB9" w14:textId="16AB7F96" w:rsidR="00204FB8" w:rsidRPr="004556EC" w:rsidRDefault="00204FB8" w:rsidP="004B02B1">
                  <w:pPr>
                    <w:spacing w:line="240" w:lineRule="auto"/>
                    <w:rPr>
                      <w:rFonts w:asciiTheme="minorHAnsi" w:eastAsia="Calibri" w:hAnsiTheme="minorHAnsi" w:cstheme="minorHAnsi"/>
                      <w:sz w:val="22"/>
                      <w:szCs w:val="22"/>
                      <w:lang w:val="en-US" w:eastAsia="en-US"/>
                    </w:rPr>
                  </w:pPr>
                  <w:r w:rsidRPr="00FB469B">
                    <w:rPr>
                      <w:rFonts w:ascii="Calibri" w:hAnsi="Calibri" w:cs="Calibri"/>
                      <w:color w:val="000000"/>
                    </w:rPr>
                    <w:t xml:space="preserve">Industrials </w:t>
                  </w:r>
                </w:p>
              </w:tc>
              <w:tc>
                <w:tcPr>
                  <w:tcW w:w="1437" w:type="dxa"/>
                  <w:tcBorders>
                    <w:top w:val="nil"/>
                    <w:left w:val="nil"/>
                    <w:bottom w:val="nil"/>
                    <w:right w:val="nil"/>
                  </w:tcBorders>
                  <w:shd w:val="clear" w:color="auto" w:fill="auto"/>
                  <w:noWrap/>
                  <w:vAlign w:val="bottom"/>
                </w:tcPr>
                <w:p w14:paraId="55AE5633" w14:textId="4C4A62E0" w:rsidR="00204FB8" w:rsidRPr="00FB469B" w:rsidRDefault="00204FB8" w:rsidP="00204FB8">
                  <w:pPr>
                    <w:spacing w:line="240" w:lineRule="auto"/>
                    <w:jc w:val="center"/>
                    <w:rPr>
                      <w:rFonts w:ascii="Calibri" w:hAnsi="Calibri" w:cs="Calibri"/>
                      <w:color w:val="000000"/>
                    </w:rPr>
                  </w:pPr>
                  <w:r w:rsidRPr="00FB469B">
                    <w:rPr>
                      <w:rFonts w:ascii="Calibri" w:hAnsi="Calibri" w:cs="Calibri"/>
                      <w:color w:val="000000"/>
                    </w:rPr>
                    <w:t>1.5751</w:t>
                  </w:r>
                </w:p>
              </w:tc>
              <w:tc>
                <w:tcPr>
                  <w:tcW w:w="1581" w:type="dxa"/>
                  <w:tcBorders>
                    <w:top w:val="nil"/>
                    <w:left w:val="nil"/>
                    <w:bottom w:val="nil"/>
                    <w:right w:val="nil"/>
                  </w:tcBorders>
                  <w:shd w:val="clear" w:color="auto" w:fill="auto"/>
                  <w:noWrap/>
                  <w:vAlign w:val="bottom"/>
                </w:tcPr>
                <w:p w14:paraId="1C2DD41F" w14:textId="5CC00CDB" w:rsidR="00204FB8" w:rsidRPr="00FB469B" w:rsidRDefault="00204FB8" w:rsidP="00204FB8">
                  <w:pPr>
                    <w:spacing w:line="240" w:lineRule="auto"/>
                    <w:jc w:val="center"/>
                    <w:rPr>
                      <w:rFonts w:ascii="Calibri" w:hAnsi="Calibri" w:cs="Calibri"/>
                      <w:color w:val="000000"/>
                    </w:rPr>
                  </w:pPr>
                  <w:r w:rsidRPr="00FB469B">
                    <w:rPr>
                      <w:rFonts w:ascii="Calibri" w:hAnsi="Calibri" w:cs="Calibri"/>
                      <w:color w:val="000000"/>
                    </w:rPr>
                    <w:t>1.4811</w:t>
                  </w:r>
                </w:p>
              </w:tc>
              <w:tc>
                <w:tcPr>
                  <w:tcW w:w="1582" w:type="dxa"/>
                  <w:tcBorders>
                    <w:top w:val="nil"/>
                    <w:left w:val="nil"/>
                    <w:bottom w:val="nil"/>
                    <w:right w:val="nil"/>
                  </w:tcBorders>
                  <w:shd w:val="clear" w:color="auto" w:fill="auto"/>
                  <w:noWrap/>
                  <w:vAlign w:val="bottom"/>
                </w:tcPr>
                <w:p w14:paraId="252F6AD3" w14:textId="4EBA1376" w:rsidR="00204FB8" w:rsidRPr="00FB469B" w:rsidRDefault="00204FB8" w:rsidP="00204FB8">
                  <w:pPr>
                    <w:spacing w:line="240" w:lineRule="auto"/>
                    <w:jc w:val="center"/>
                    <w:rPr>
                      <w:rFonts w:ascii="Calibri" w:hAnsi="Calibri" w:cs="Calibri"/>
                      <w:color w:val="000000"/>
                    </w:rPr>
                  </w:pPr>
                  <w:r w:rsidRPr="00FB469B">
                    <w:rPr>
                      <w:rFonts w:ascii="Calibri" w:hAnsi="Calibri" w:cs="Calibri"/>
                      <w:color w:val="000000"/>
                    </w:rPr>
                    <w:t>-7.4455</w:t>
                  </w:r>
                </w:p>
              </w:tc>
              <w:tc>
                <w:tcPr>
                  <w:tcW w:w="1581" w:type="dxa"/>
                  <w:gridSpan w:val="2"/>
                  <w:tcBorders>
                    <w:top w:val="nil"/>
                    <w:left w:val="nil"/>
                    <w:bottom w:val="nil"/>
                    <w:right w:val="nil"/>
                  </w:tcBorders>
                  <w:shd w:val="clear" w:color="auto" w:fill="auto"/>
                  <w:noWrap/>
                  <w:vAlign w:val="bottom"/>
                </w:tcPr>
                <w:p w14:paraId="2721F805" w14:textId="31D11FAA" w:rsidR="00204FB8" w:rsidRDefault="00204FB8" w:rsidP="00204FB8">
                  <w:pPr>
                    <w:spacing w:line="240" w:lineRule="auto"/>
                    <w:rPr>
                      <w:rFonts w:asciiTheme="minorHAnsi" w:eastAsia="Calibri" w:hAnsiTheme="minorHAnsi" w:cstheme="minorHAnsi"/>
                      <w:sz w:val="22"/>
                      <w:szCs w:val="22"/>
                      <w:lang w:val="en-US" w:eastAsia="en-US"/>
                    </w:rPr>
                  </w:pPr>
                  <w:r>
                    <w:rPr>
                      <w:rFonts w:ascii="Calibri" w:hAnsi="Calibri" w:cs="Calibri"/>
                      <w:color w:val="000000"/>
                    </w:rPr>
                    <w:t xml:space="preserve">      </w:t>
                  </w:r>
                  <w:r w:rsidRPr="00FB469B">
                    <w:rPr>
                      <w:rFonts w:ascii="Calibri" w:hAnsi="Calibri" w:cs="Calibri"/>
                      <w:color w:val="000000"/>
                    </w:rPr>
                    <w:t>2.21%</w:t>
                  </w:r>
                </w:p>
              </w:tc>
            </w:tr>
            <w:tr w:rsidR="00204FB8" w:rsidRPr="004556EC" w14:paraId="193F4D01" w14:textId="77777777" w:rsidTr="004B02B1">
              <w:trPr>
                <w:trHeight w:val="359"/>
              </w:trPr>
              <w:tc>
                <w:tcPr>
                  <w:tcW w:w="2340" w:type="dxa"/>
                  <w:tcBorders>
                    <w:top w:val="nil"/>
                    <w:left w:val="nil"/>
                    <w:bottom w:val="nil"/>
                    <w:right w:val="nil"/>
                  </w:tcBorders>
                  <w:shd w:val="clear" w:color="auto" w:fill="auto"/>
                  <w:noWrap/>
                  <w:vAlign w:val="center"/>
                </w:tcPr>
                <w:p w14:paraId="4C015147" w14:textId="77777777" w:rsidR="00204FB8" w:rsidRPr="004556EC" w:rsidRDefault="00204FB8" w:rsidP="004B02B1">
                  <w:pPr>
                    <w:spacing w:line="240" w:lineRule="auto"/>
                    <w:rPr>
                      <w:rFonts w:asciiTheme="minorHAnsi" w:eastAsia="Calibri" w:hAnsiTheme="minorHAnsi" w:cstheme="minorHAnsi"/>
                      <w:sz w:val="22"/>
                      <w:szCs w:val="22"/>
                      <w:lang w:val="en-US" w:eastAsia="en-US"/>
                    </w:rPr>
                  </w:pPr>
                </w:p>
              </w:tc>
              <w:tc>
                <w:tcPr>
                  <w:tcW w:w="1437" w:type="dxa"/>
                  <w:tcBorders>
                    <w:top w:val="nil"/>
                    <w:left w:val="nil"/>
                    <w:bottom w:val="nil"/>
                    <w:right w:val="nil"/>
                  </w:tcBorders>
                  <w:shd w:val="clear" w:color="auto" w:fill="auto"/>
                  <w:noWrap/>
                  <w:vAlign w:val="bottom"/>
                </w:tcPr>
                <w:p w14:paraId="6997FE56" w14:textId="43198DC6" w:rsidR="00204FB8" w:rsidRPr="00FB469B" w:rsidRDefault="00415EDD" w:rsidP="00204FB8">
                  <w:pPr>
                    <w:spacing w:line="240" w:lineRule="auto"/>
                    <w:jc w:val="center"/>
                    <w:rPr>
                      <w:rFonts w:ascii="Calibri" w:hAnsi="Calibri" w:cs="Calibri"/>
                      <w:color w:val="000000"/>
                    </w:rPr>
                  </w:pPr>
                  <w:r>
                    <w:rPr>
                      <w:rFonts w:ascii="Calibri" w:hAnsi="Calibri" w:cs="Calibri"/>
                      <w:color w:val="000000"/>
                    </w:rPr>
                    <w:t>(</w:t>
                  </w:r>
                  <w:r w:rsidR="00204FB8" w:rsidRPr="00FB469B">
                    <w:rPr>
                      <w:rFonts w:ascii="Calibri" w:hAnsi="Calibri" w:cs="Calibri"/>
                      <w:color w:val="000000"/>
                    </w:rPr>
                    <w:t>0.0000</w:t>
                  </w:r>
                  <w:r>
                    <w:rPr>
                      <w:rFonts w:ascii="Calibri" w:hAnsi="Calibri" w:cs="Calibri"/>
                      <w:color w:val="000000"/>
                    </w:rPr>
                    <w:t>)</w:t>
                  </w:r>
                </w:p>
              </w:tc>
              <w:tc>
                <w:tcPr>
                  <w:tcW w:w="1581" w:type="dxa"/>
                  <w:tcBorders>
                    <w:top w:val="nil"/>
                    <w:left w:val="nil"/>
                    <w:bottom w:val="nil"/>
                    <w:right w:val="nil"/>
                  </w:tcBorders>
                  <w:shd w:val="clear" w:color="auto" w:fill="auto"/>
                  <w:noWrap/>
                  <w:vAlign w:val="bottom"/>
                </w:tcPr>
                <w:p w14:paraId="07051884" w14:textId="09D68DFB" w:rsidR="00204FB8" w:rsidRPr="00FB469B" w:rsidRDefault="00415EDD" w:rsidP="00204FB8">
                  <w:pPr>
                    <w:spacing w:line="240" w:lineRule="auto"/>
                    <w:jc w:val="center"/>
                    <w:rPr>
                      <w:rFonts w:ascii="Calibri" w:hAnsi="Calibri" w:cs="Calibri"/>
                      <w:color w:val="000000"/>
                    </w:rPr>
                  </w:pPr>
                  <w:r>
                    <w:rPr>
                      <w:rFonts w:ascii="Calibri" w:hAnsi="Calibri" w:cs="Calibri"/>
                      <w:color w:val="000000"/>
                    </w:rPr>
                    <w:t>(</w:t>
                  </w:r>
                  <w:r w:rsidR="00204FB8" w:rsidRPr="00FB469B">
                    <w:rPr>
                      <w:rFonts w:ascii="Calibri" w:hAnsi="Calibri" w:cs="Calibri"/>
                      <w:color w:val="000000"/>
                    </w:rPr>
                    <w:t>0.0000</w:t>
                  </w:r>
                  <w:r>
                    <w:rPr>
                      <w:rFonts w:ascii="Calibri" w:hAnsi="Calibri" w:cs="Calibri"/>
                      <w:color w:val="000000"/>
                    </w:rPr>
                    <w:t>)</w:t>
                  </w:r>
                </w:p>
              </w:tc>
              <w:tc>
                <w:tcPr>
                  <w:tcW w:w="1582" w:type="dxa"/>
                  <w:tcBorders>
                    <w:top w:val="nil"/>
                    <w:left w:val="nil"/>
                    <w:bottom w:val="nil"/>
                    <w:right w:val="nil"/>
                  </w:tcBorders>
                  <w:shd w:val="clear" w:color="auto" w:fill="auto"/>
                  <w:noWrap/>
                  <w:vAlign w:val="bottom"/>
                </w:tcPr>
                <w:p w14:paraId="698A2950" w14:textId="48A6D560" w:rsidR="00204FB8" w:rsidRPr="00FB469B" w:rsidRDefault="00415EDD" w:rsidP="00204FB8">
                  <w:pPr>
                    <w:spacing w:line="240" w:lineRule="auto"/>
                    <w:jc w:val="center"/>
                    <w:rPr>
                      <w:rFonts w:ascii="Calibri" w:hAnsi="Calibri" w:cs="Calibri"/>
                      <w:color w:val="000000"/>
                    </w:rPr>
                  </w:pPr>
                  <w:r>
                    <w:rPr>
                      <w:rFonts w:ascii="Calibri" w:hAnsi="Calibri" w:cs="Calibri"/>
                      <w:color w:val="000000"/>
                    </w:rPr>
                    <w:t>(</w:t>
                  </w:r>
                  <w:r w:rsidR="00204FB8" w:rsidRPr="00FB469B">
                    <w:rPr>
                      <w:rFonts w:ascii="Calibri" w:hAnsi="Calibri" w:cs="Calibri"/>
                      <w:color w:val="000000"/>
                    </w:rPr>
                    <w:t>0.0078</w:t>
                  </w:r>
                  <w:r>
                    <w:rPr>
                      <w:rFonts w:ascii="Calibri" w:hAnsi="Calibri" w:cs="Calibri"/>
                      <w:color w:val="000000"/>
                    </w:rPr>
                    <w:t>)</w:t>
                  </w:r>
                </w:p>
              </w:tc>
              <w:tc>
                <w:tcPr>
                  <w:tcW w:w="1581" w:type="dxa"/>
                  <w:gridSpan w:val="2"/>
                  <w:tcBorders>
                    <w:top w:val="nil"/>
                    <w:left w:val="nil"/>
                    <w:bottom w:val="nil"/>
                    <w:right w:val="nil"/>
                  </w:tcBorders>
                  <w:shd w:val="clear" w:color="auto" w:fill="auto"/>
                  <w:noWrap/>
                  <w:vAlign w:val="bottom"/>
                </w:tcPr>
                <w:p w14:paraId="745FC617" w14:textId="77777777" w:rsidR="00204FB8" w:rsidRDefault="00204FB8" w:rsidP="00204FB8">
                  <w:pPr>
                    <w:spacing w:line="240" w:lineRule="auto"/>
                    <w:rPr>
                      <w:rFonts w:asciiTheme="minorHAnsi" w:eastAsia="Calibri" w:hAnsiTheme="minorHAnsi" w:cstheme="minorHAnsi"/>
                      <w:sz w:val="22"/>
                      <w:szCs w:val="22"/>
                      <w:lang w:val="en-US" w:eastAsia="en-US"/>
                    </w:rPr>
                  </w:pPr>
                </w:p>
              </w:tc>
            </w:tr>
            <w:tr w:rsidR="00671CC8" w:rsidRPr="004556EC" w14:paraId="7AC4594F" w14:textId="77777777" w:rsidTr="004B02B1">
              <w:trPr>
                <w:trHeight w:val="359"/>
              </w:trPr>
              <w:tc>
                <w:tcPr>
                  <w:tcW w:w="2340" w:type="dxa"/>
                  <w:tcBorders>
                    <w:top w:val="nil"/>
                    <w:left w:val="nil"/>
                    <w:bottom w:val="nil"/>
                    <w:right w:val="nil"/>
                  </w:tcBorders>
                  <w:shd w:val="clear" w:color="auto" w:fill="auto"/>
                  <w:noWrap/>
                  <w:vAlign w:val="center"/>
                </w:tcPr>
                <w:p w14:paraId="2C9308CB" w14:textId="787C99E4" w:rsidR="00671CC8" w:rsidRPr="004556EC" w:rsidRDefault="00671CC8" w:rsidP="004B02B1">
                  <w:pPr>
                    <w:spacing w:line="240" w:lineRule="auto"/>
                    <w:rPr>
                      <w:rFonts w:asciiTheme="minorHAnsi" w:eastAsia="Calibri" w:hAnsiTheme="minorHAnsi" w:cstheme="minorHAnsi"/>
                      <w:sz w:val="22"/>
                      <w:szCs w:val="22"/>
                      <w:lang w:val="en-US" w:eastAsia="en-US"/>
                    </w:rPr>
                  </w:pPr>
                  <w:r w:rsidRPr="00FB469B">
                    <w:rPr>
                      <w:rFonts w:ascii="Calibri" w:hAnsi="Calibri" w:cs="Calibri"/>
                      <w:color w:val="000000"/>
                    </w:rPr>
                    <w:t>Real Estate</w:t>
                  </w:r>
                </w:p>
              </w:tc>
              <w:tc>
                <w:tcPr>
                  <w:tcW w:w="1437" w:type="dxa"/>
                  <w:tcBorders>
                    <w:top w:val="nil"/>
                    <w:left w:val="nil"/>
                    <w:bottom w:val="nil"/>
                    <w:right w:val="nil"/>
                  </w:tcBorders>
                  <w:shd w:val="clear" w:color="auto" w:fill="auto"/>
                  <w:noWrap/>
                  <w:vAlign w:val="center"/>
                </w:tcPr>
                <w:p w14:paraId="1FC51F34" w14:textId="5F28C1FA" w:rsidR="00671CC8" w:rsidRPr="00FB469B" w:rsidRDefault="00671CC8" w:rsidP="00671CC8">
                  <w:pPr>
                    <w:spacing w:line="240" w:lineRule="auto"/>
                    <w:jc w:val="center"/>
                    <w:rPr>
                      <w:rFonts w:ascii="Calibri" w:hAnsi="Calibri" w:cs="Calibri"/>
                      <w:color w:val="000000"/>
                    </w:rPr>
                  </w:pPr>
                  <w:r w:rsidRPr="00FB469B">
                    <w:rPr>
                      <w:rFonts w:ascii="Calibri" w:hAnsi="Calibri" w:cs="Calibri"/>
                      <w:color w:val="000000"/>
                    </w:rPr>
                    <w:t>1.4603</w:t>
                  </w:r>
                </w:p>
              </w:tc>
              <w:tc>
                <w:tcPr>
                  <w:tcW w:w="1581" w:type="dxa"/>
                  <w:tcBorders>
                    <w:top w:val="nil"/>
                    <w:left w:val="nil"/>
                    <w:bottom w:val="nil"/>
                    <w:right w:val="nil"/>
                  </w:tcBorders>
                  <w:shd w:val="clear" w:color="auto" w:fill="auto"/>
                  <w:noWrap/>
                  <w:vAlign w:val="center"/>
                </w:tcPr>
                <w:p w14:paraId="684ABDFE" w14:textId="39A6814B" w:rsidR="00671CC8" w:rsidRPr="00FB469B" w:rsidRDefault="00671CC8" w:rsidP="00671CC8">
                  <w:pPr>
                    <w:spacing w:line="240" w:lineRule="auto"/>
                    <w:jc w:val="center"/>
                    <w:rPr>
                      <w:rFonts w:ascii="Calibri" w:hAnsi="Calibri" w:cs="Calibri"/>
                      <w:color w:val="000000"/>
                    </w:rPr>
                  </w:pPr>
                  <w:r w:rsidRPr="00FB469B">
                    <w:rPr>
                      <w:rFonts w:ascii="Calibri" w:hAnsi="Calibri" w:cs="Calibri"/>
                      <w:color w:val="000000"/>
                    </w:rPr>
                    <w:t>5.4882</w:t>
                  </w:r>
                </w:p>
              </w:tc>
              <w:tc>
                <w:tcPr>
                  <w:tcW w:w="1582" w:type="dxa"/>
                  <w:tcBorders>
                    <w:top w:val="nil"/>
                    <w:left w:val="nil"/>
                    <w:bottom w:val="nil"/>
                    <w:right w:val="nil"/>
                  </w:tcBorders>
                  <w:shd w:val="clear" w:color="auto" w:fill="auto"/>
                  <w:noWrap/>
                  <w:vAlign w:val="center"/>
                </w:tcPr>
                <w:p w14:paraId="1667AAA5" w14:textId="43BADC2F" w:rsidR="00671CC8" w:rsidRPr="00FB469B" w:rsidRDefault="00671CC8" w:rsidP="00671CC8">
                  <w:pPr>
                    <w:spacing w:line="240" w:lineRule="auto"/>
                    <w:jc w:val="center"/>
                    <w:rPr>
                      <w:rFonts w:ascii="Calibri" w:hAnsi="Calibri" w:cs="Calibri"/>
                      <w:color w:val="000000"/>
                    </w:rPr>
                  </w:pPr>
                  <w:r w:rsidRPr="00FB469B">
                    <w:rPr>
                      <w:rFonts w:ascii="Calibri" w:hAnsi="Calibri" w:cs="Calibri"/>
                      <w:color w:val="000000"/>
                    </w:rPr>
                    <w:t>-28.7701</w:t>
                  </w:r>
                </w:p>
              </w:tc>
              <w:tc>
                <w:tcPr>
                  <w:tcW w:w="1581" w:type="dxa"/>
                  <w:gridSpan w:val="2"/>
                  <w:tcBorders>
                    <w:top w:val="nil"/>
                    <w:left w:val="nil"/>
                    <w:bottom w:val="nil"/>
                    <w:right w:val="nil"/>
                  </w:tcBorders>
                  <w:shd w:val="clear" w:color="auto" w:fill="auto"/>
                  <w:noWrap/>
                  <w:vAlign w:val="center"/>
                </w:tcPr>
                <w:p w14:paraId="220A289A" w14:textId="729DCAEB" w:rsidR="00671CC8" w:rsidRDefault="00671CC8" w:rsidP="00671CC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3.26%</w:t>
                  </w:r>
                </w:p>
              </w:tc>
            </w:tr>
            <w:tr w:rsidR="00671CC8" w:rsidRPr="004556EC" w14:paraId="6492F92C" w14:textId="77777777" w:rsidTr="004B02B1">
              <w:trPr>
                <w:trHeight w:val="359"/>
              </w:trPr>
              <w:tc>
                <w:tcPr>
                  <w:tcW w:w="2340" w:type="dxa"/>
                  <w:tcBorders>
                    <w:top w:val="nil"/>
                    <w:left w:val="nil"/>
                    <w:bottom w:val="nil"/>
                    <w:right w:val="nil"/>
                  </w:tcBorders>
                  <w:shd w:val="clear" w:color="auto" w:fill="auto"/>
                  <w:noWrap/>
                  <w:vAlign w:val="center"/>
                </w:tcPr>
                <w:p w14:paraId="00974CEC" w14:textId="77777777" w:rsidR="00671CC8" w:rsidRPr="004556EC" w:rsidRDefault="00671CC8" w:rsidP="004B02B1">
                  <w:pPr>
                    <w:spacing w:line="240" w:lineRule="auto"/>
                    <w:rPr>
                      <w:rFonts w:asciiTheme="minorHAnsi" w:eastAsia="Calibri" w:hAnsiTheme="minorHAnsi" w:cstheme="minorHAnsi"/>
                      <w:sz w:val="22"/>
                      <w:szCs w:val="22"/>
                      <w:lang w:val="en-US" w:eastAsia="en-US"/>
                    </w:rPr>
                  </w:pPr>
                </w:p>
              </w:tc>
              <w:tc>
                <w:tcPr>
                  <w:tcW w:w="1437" w:type="dxa"/>
                  <w:tcBorders>
                    <w:top w:val="nil"/>
                    <w:left w:val="nil"/>
                    <w:bottom w:val="nil"/>
                    <w:right w:val="nil"/>
                  </w:tcBorders>
                  <w:shd w:val="clear" w:color="auto" w:fill="auto"/>
                  <w:noWrap/>
                  <w:vAlign w:val="center"/>
                </w:tcPr>
                <w:p w14:paraId="476EB501" w14:textId="1F0E1459" w:rsidR="00671CC8" w:rsidRPr="00FB469B" w:rsidRDefault="00415EDD" w:rsidP="00671CC8">
                  <w:pPr>
                    <w:spacing w:line="240" w:lineRule="auto"/>
                    <w:jc w:val="center"/>
                    <w:rPr>
                      <w:rFonts w:ascii="Calibri" w:hAnsi="Calibri" w:cs="Calibri"/>
                      <w:color w:val="000000"/>
                    </w:rPr>
                  </w:pPr>
                  <w:r>
                    <w:rPr>
                      <w:rFonts w:ascii="Calibri" w:hAnsi="Calibri" w:cs="Calibri"/>
                      <w:color w:val="000000"/>
                    </w:rPr>
                    <w:t>(</w:t>
                  </w:r>
                  <w:r w:rsidR="00671CC8" w:rsidRPr="00FB469B">
                    <w:rPr>
                      <w:rFonts w:ascii="Calibri" w:hAnsi="Calibri" w:cs="Calibri"/>
                      <w:color w:val="000000"/>
                    </w:rPr>
                    <w:t>0.0000</w:t>
                  </w:r>
                  <w:r>
                    <w:rPr>
                      <w:rFonts w:ascii="Calibri" w:hAnsi="Calibri" w:cs="Calibri"/>
                      <w:color w:val="000000"/>
                    </w:rPr>
                    <w:t>)</w:t>
                  </w:r>
                </w:p>
              </w:tc>
              <w:tc>
                <w:tcPr>
                  <w:tcW w:w="1581" w:type="dxa"/>
                  <w:tcBorders>
                    <w:top w:val="nil"/>
                    <w:left w:val="nil"/>
                    <w:bottom w:val="nil"/>
                    <w:right w:val="nil"/>
                  </w:tcBorders>
                  <w:shd w:val="clear" w:color="auto" w:fill="auto"/>
                  <w:noWrap/>
                  <w:vAlign w:val="center"/>
                </w:tcPr>
                <w:p w14:paraId="7D22B4D6" w14:textId="0378537F" w:rsidR="00671CC8" w:rsidRPr="00FB469B" w:rsidRDefault="00415EDD" w:rsidP="00671CC8">
                  <w:pPr>
                    <w:spacing w:line="240" w:lineRule="auto"/>
                    <w:jc w:val="center"/>
                    <w:rPr>
                      <w:rFonts w:ascii="Calibri" w:hAnsi="Calibri" w:cs="Calibri"/>
                      <w:color w:val="000000"/>
                    </w:rPr>
                  </w:pPr>
                  <w:r>
                    <w:rPr>
                      <w:rFonts w:ascii="Calibri" w:hAnsi="Calibri" w:cs="Calibri"/>
                      <w:color w:val="000000"/>
                    </w:rPr>
                    <w:t>(</w:t>
                  </w:r>
                  <w:r w:rsidR="00671CC8" w:rsidRPr="00FB469B">
                    <w:rPr>
                      <w:rFonts w:ascii="Calibri" w:hAnsi="Calibri" w:cs="Calibri"/>
                      <w:color w:val="000000"/>
                    </w:rPr>
                    <w:t>0.0000</w:t>
                  </w:r>
                  <w:r>
                    <w:rPr>
                      <w:rFonts w:ascii="Calibri" w:hAnsi="Calibri" w:cs="Calibri"/>
                      <w:color w:val="000000"/>
                    </w:rPr>
                    <w:t>)</w:t>
                  </w:r>
                </w:p>
              </w:tc>
              <w:tc>
                <w:tcPr>
                  <w:tcW w:w="1582" w:type="dxa"/>
                  <w:tcBorders>
                    <w:top w:val="nil"/>
                    <w:left w:val="nil"/>
                    <w:bottom w:val="nil"/>
                    <w:right w:val="nil"/>
                  </w:tcBorders>
                  <w:shd w:val="clear" w:color="auto" w:fill="auto"/>
                  <w:noWrap/>
                  <w:vAlign w:val="center"/>
                </w:tcPr>
                <w:p w14:paraId="37807A5E" w14:textId="272D72B5" w:rsidR="00671CC8" w:rsidRPr="00FB469B" w:rsidRDefault="00415EDD" w:rsidP="00671CC8">
                  <w:pPr>
                    <w:spacing w:line="240" w:lineRule="auto"/>
                    <w:jc w:val="center"/>
                    <w:rPr>
                      <w:rFonts w:ascii="Calibri" w:hAnsi="Calibri" w:cs="Calibri"/>
                      <w:color w:val="000000"/>
                    </w:rPr>
                  </w:pPr>
                  <w:r>
                    <w:rPr>
                      <w:rFonts w:ascii="Calibri" w:hAnsi="Calibri" w:cs="Calibri"/>
                      <w:color w:val="000000"/>
                    </w:rPr>
                    <w:t>(</w:t>
                  </w:r>
                  <w:r w:rsidR="00671CC8" w:rsidRPr="00FB469B">
                    <w:rPr>
                      <w:rFonts w:ascii="Calibri" w:hAnsi="Calibri" w:cs="Calibri"/>
                      <w:color w:val="000000"/>
                    </w:rPr>
                    <w:t>0.0000</w:t>
                  </w:r>
                  <w:r>
                    <w:rPr>
                      <w:rFonts w:ascii="Calibri" w:hAnsi="Calibri" w:cs="Calibri"/>
                      <w:color w:val="000000"/>
                    </w:rPr>
                    <w:t>)</w:t>
                  </w:r>
                </w:p>
              </w:tc>
              <w:tc>
                <w:tcPr>
                  <w:tcW w:w="1581" w:type="dxa"/>
                  <w:gridSpan w:val="2"/>
                  <w:tcBorders>
                    <w:top w:val="nil"/>
                    <w:left w:val="nil"/>
                    <w:bottom w:val="nil"/>
                    <w:right w:val="nil"/>
                  </w:tcBorders>
                  <w:shd w:val="clear" w:color="auto" w:fill="auto"/>
                  <w:noWrap/>
                  <w:vAlign w:val="center"/>
                </w:tcPr>
                <w:p w14:paraId="56E32F1B" w14:textId="77777777" w:rsidR="00671CC8" w:rsidRDefault="00671CC8" w:rsidP="00671CC8">
                  <w:pPr>
                    <w:spacing w:line="240" w:lineRule="auto"/>
                    <w:jc w:val="center"/>
                    <w:rPr>
                      <w:rFonts w:asciiTheme="minorHAnsi" w:eastAsia="Calibri" w:hAnsiTheme="minorHAnsi" w:cstheme="minorHAnsi"/>
                      <w:sz w:val="22"/>
                      <w:szCs w:val="22"/>
                      <w:lang w:val="en-US" w:eastAsia="en-US"/>
                    </w:rPr>
                  </w:pPr>
                </w:p>
              </w:tc>
            </w:tr>
            <w:tr w:rsidR="00671CC8" w:rsidRPr="004556EC" w14:paraId="494A0EBE" w14:textId="77777777" w:rsidTr="004B02B1">
              <w:trPr>
                <w:trHeight w:val="359"/>
              </w:trPr>
              <w:tc>
                <w:tcPr>
                  <w:tcW w:w="2340" w:type="dxa"/>
                  <w:tcBorders>
                    <w:top w:val="nil"/>
                    <w:left w:val="nil"/>
                    <w:bottom w:val="nil"/>
                    <w:right w:val="nil"/>
                  </w:tcBorders>
                  <w:shd w:val="clear" w:color="auto" w:fill="auto"/>
                  <w:noWrap/>
                  <w:vAlign w:val="center"/>
                </w:tcPr>
                <w:p w14:paraId="3C093148" w14:textId="7EC389FF" w:rsidR="00671CC8" w:rsidRPr="004556EC" w:rsidRDefault="00671CC8" w:rsidP="004B02B1">
                  <w:pPr>
                    <w:spacing w:line="240" w:lineRule="auto"/>
                    <w:rPr>
                      <w:rFonts w:asciiTheme="minorHAnsi" w:eastAsia="Calibri" w:hAnsiTheme="minorHAnsi" w:cstheme="minorHAnsi"/>
                      <w:sz w:val="22"/>
                      <w:szCs w:val="22"/>
                      <w:lang w:val="en-US" w:eastAsia="en-US"/>
                    </w:rPr>
                  </w:pPr>
                  <w:r w:rsidRPr="00FB469B">
                    <w:rPr>
                      <w:rFonts w:ascii="Calibri" w:hAnsi="Calibri" w:cs="Calibri"/>
                      <w:color w:val="000000"/>
                    </w:rPr>
                    <w:t>Technology</w:t>
                  </w:r>
                </w:p>
              </w:tc>
              <w:tc>
                <w:tcPr>
                  <w:tcW w:w="1437" w:type="dxa"/>
                  <w:tcBorders>
                    <w:top w:val="nil"/>
                    <w:left w:val="nil"/>
                    <w:bottom w:val="nil"/>
                    <w:right w:val="nil"/>
                  </w:tcBorders>
                  <w:shd w:val="clear" w:color="auto" w:fill="auto"/>
                  <w:noWrap/>
                  <w:vAlign w:val="center"/>
                </w:tcPr>
                <w:p w14:paraId="47B45B44" w14:textId="2E91ED9B" w:rsidR="00671CC8" w:rsidRPr="00FB469B" w:rsidRDefault="00671CC8" w:rsidP="00671CC8">
                  <w:pPr>
                    <w:spacing w:line="240" w:lineRule="auto"/>
                    <w:jc w:val="center"/>
                    <w:rPr>
                      <w:rFonts w:ascii="Calibri" w:hAnsi="Calibri" w:cs="Calibri"/>
                      <w:color w:val="000000"/>
                    </w:rPr>
                  </w:pPr>
                  <w:r w:rsidRPr="00FB469B">
                    <w:rPr>
                      <w:rFonts w:ascii="Calibri" w:hAnsi="Calibri" w:cs="Calibri"/>
                      <w:color w:val="000000"/>
                    </w:rPr>
                    <w:t>1.5127</w:t>
                  </w:r>
                </w:p>
              </w:tc>
              <w:tc>
                <w:tcPr>
                  <w:tcW w:w="1581" w:type="dxa"/>
                  <w:tcBorders>
                    <w:top w:val="nil"/>
                    <w:left w:val="nil"/>
                    <w:bottom w:val="nil"/>
                    <w:right w:val="nil"/>
                  </w:tcBorders>
                  <w:shd w:val="clear" w:color="auto" w:fill="auto"/>
                  <w:noWrap/>
                  <w:vAlign w:val="center"/>
                </w:tcPr>
                <w:p w14:paraId="6D1E1DD0" w14:textId="2F55116D" w:rsidR="00671CC8" w:rsidRPr="00FB469B" w:rsidRDefault="00671CC8" w:rsidP="00671CC8">
                  <w:pPr>
                    <w:spacing w:line="240" w:lineRule="auto"/>
                    <w:jc w:val="center"/>
                    <w:rPr>
                      <w:rFonts w:ascii="Calibri" w:hAnsi="Calibri" w:cs="Calibri"/>
                      <w:color w:val="000000"/>
                    </w:rPr>
                  </w:pPr>
                  <w:r w:rsidRPr="00FB469B">
                    <w:rPr>
                      <w:rFonts w:ascii="Calibri" w:hAnsi="Calibri" w:cs="Calibri"/>
                      <w:color w:val="000000"/>
                    </w:rPr>
                    <w:t>-2.0916</w:t>
                  </w:r>
                </w:p>
              </w:tc>
              <w:tc>
                <w:tcPr>
                  <w:tcW w:w="1582" w:type="dxa"/>
                  <w:tcBorders>
                    <w:top w:val="nil"/>
                    <w:left w:val="nil"/>
                    <w:bottom w:val="nil"/>
                    <w:right w:val="nil"/>
                  </w:tcBorders>
                  <w:shd w:val="clear" w:color="auto" w:fill="auto"/>
                  <w:noWrap/>
                  <w:vAlign w:val="center"/>
                </w:tcPr>
                <w:p w14:paraId="376A93CC" w14:textId="6D8A4C53" w:rsidR="00671CC8" w:rsidRPr="00FB469B" w:rsidRDefault="00671CC8" w:rsidP="00671CC8">
                  <w:pPr>
                    <w:spacing w:line="240" w:lineRule="auto"/>
                    <w:jc w:val="center"/>
                    <w:rPr>
                      <w:rFonts w:ascii="Calibri" w:hAnsi="Calibri" w:cs="Calibri"/>
                      <w:color w:val="000000"/>
                    </w:rPr>
                  </w:pPr>
                  <w:r w:rsidRPr="00FB469B">
                    <w:rPr>
                      <w:rFonts w:ascii="Calibri" w:hAnsi="Calibri" w:cs="Calibri"/>
                      <w:color w:val="000000"/>
                    </w:rPr>
                    <w:t>25.4391</w:t>
                  </w:r>
                </w:p>
              </w:tc>
              <w:tc>
                <w:tcPr>
                  <w:tcW w:w="1581" w:type="dxa"/>
                  <w:gridSpan w:val="2"/>
                  <w:tcBorders>
                    <w:top w:val="nil"/>
                    <w:left w:val="nil"/>
                    <w:bottom w:val="nil"/>
                    <w:right w:val="nil"/>
                  </w:tcBorders>
                  <w:shd w:val="clear" w:color="auto" w:fill="auto"/>
                  <w:noWrap/>
                  <w:vAlign w:val="center"/>
                </w:tcPr>
                <w:p w14:paraId="0EB4CDDB" w14:textId="6D9F0229" w:rsidR="00671CC8" w:rsidRDefault="00671CC8" w:rsidP="00671CC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0.81%</w:t>
                  </w:r>
                </w:p>
              </w:tc>
            </w:tr>
            <w:tr w:rsidR="00671CC8" w:rsidRPr="004556EC" w14:paraId="126A3B68" w14:textId="77777777" w:rsidTr="004B02B1">
              <w:trPr>
                <w:trHeight w:val="359"/>
              </w:trPr>
              <w:tc>
                <w:tcPr>
                  <w:tcW w:w="2340" w:type="dxa"/>
                  <w:tcBorders>
                    <w:top w:val="nil"/>
                    <w:left w:val="nil"/>
                    <w:bottom w:val="nil"/>
                    <w:right w:val="nil"/>
                  </w:tcBorders>
                  <w:shd w:val="clear" w:color="auto" w:fill="auto"/>
                  <w:noWrap/>
                  <w:vAlign w:val="center"/>
                </w:tcPr>
                <w:p w14:paraId="50348991" w14:textId="77777777" w:rsidR="00671CC8" w:rsidRPr="004556EC" w:rsidRDefault="00671CC8" w:rsidP="004B02B1">
                  <w:pPr>
                    <w:spacing w:line="240" w:lineRule="auto"/>
                    <w:rPr>
                      <w:rFonts w:asciiTheme="minorHAnsi" w:eastAsia="Calibri" w:hAnsiTheme="minorHAnsi" w:cstheme="minorHAnsi"/>
                      <w:sz w:val="22"/>
                      <w:szCs w:val="22"/>
                      <w:lang w:val="en-US" w:eastAsia="en-US"/>
                    </w:rPr>
                  </w:pPr>
                </w:p>
              </w:tc>
              <w:tc>
                <w:tcPr>
                  <w:tcW w:w="1437" w:type="dxa"/>
                  <w:tcBorders>
                    <w:top w:val="nil"/>
                    <w:left w:val="nil"/>
                    <w:bottom w:val="nil"/>
                    <w:right w:val="nil"/>
                  </w:tcBorders>
                  <w:shd w:val="clear" w:color="auto" w:fill="auto"/>
                  <w:noWrap/>
                  <w:vAlign w:val="center"/>
                </w:tcPr>
                <w:p w14:paraId="0A8E6D00" w14:textId="456650AB" w:rsidR="00671CC8" w:rsidRPr="00FB469B" w:rsidRDefault="00415EDD" w:rsidP="00671CC8">
                  <w:pPr>
                    <w:spacing w:line="240" w:lineRule="auto"/>
                    <w:jc w:val="center"/>
                    <w:rPr>
                      <w:rFonts w:ascii="Calibri" w:hAnsi="Calibri" w:cs="Calibri"/>
                      <w:color w:val="000000"/>
                    </w:rPr>
                  </w:pPr>
                  <w:r>
                    <w:rPr>
                      <w:rFonts w:ascii="Calibri" w:hAnsi="Calibri" w:cs="Calibri"/>
                      <w:color w:val="000000"/>
                    </w:rPr>
                    <w:t>(</w:t>
                  </w:r>
                  <w:r w:rsidR="00671CC8" w:rsidRPr="00FB469B">
                    <w:rPr>
                      <w:rFonts w:ascii="Calibri" w:hAnsi="Calibri" w:cs="Calibri"/>
                      <w:color w:val="000000"/>
                    </w:rPr>
                    <w:t>0.0000</w:t>
                  </w:r>
                  <w:r>
                    <w:rPr>
                      <w:rFonts w:ascii="Calibri" w:hAnsi="Calibri" w:cs="Calibri"/>
                      <w:color w:val="000000"/>
                    </w:rPr>
                    <w:t>)</w:t>
                  </w:r>
                </w:p>
              </w:tc>
              <w:tc>
                <w:tcPr>
                  <w:tcW w:w="1581" w:type="dxa"/>
                  <w:tcBorders>
                    <w:top w:val="nil"/>
                    <w:left w:val="nil"/>
                    <w:bottom w:val="nil"/>
                    <w:right w:val="nil"/>
                  </w:tcBorders>
                  <w:shd w:val="clear" w:color="auto" w:fill="auto"/>
                  <w:noWrap/>
                  <w:vAlign w:val="center"/>
                </w:tcPr>
                <w:p w14:paraId="14F84D01" w14:textId="626A0C5A" w:rsidR="00671CC8" w:rsidRPr="00FB469B" w:rsidRDefault="00415EDD" w:rsidP="00671CC8">
                  <w:pPr>
                    <w:spacing w:line="240" w:lineRule="auto"/>
                    <w:jc w:val="center"/>
                    <w:rPr>
                      <w:rFonts w:ascii="Calibri" w:hAnsi="Calibri" w:cs="Calibri"/>
                      <w:color w:val="000000"/>
                    </w:rPr>
                  </w:pPr>
                  <w:r>
                    <w:rPr>
                      <w:rFonts w:ascii="Calibri" w:hAnsi="Calibri" w:cs="Calibri"/>
                      <w:color w:val="000000"/>
                    </w:rPr>
                    <w:t>(</w:t>
                  </w:r>
                  <w:r w:rsidR="00671CC8" w:rsidRPr="00FB469B">
                    <w:rPr>
                      <w:rFonts w:ascii="Calibri" w:hAnsi="Calibri" w:cs="Calibri"/>
                      <w:color w:val="000000"/>
                    </w:rPr>
                    <w:t>0.0000</w:t>
                  </w:r>
                  <w:r>
                    <w:rPr>
                      <w:rFonts w:ascii="Calibri" w:hAnsi="Calibri" w:cs="Calibri"/>
                      <w:color w:val="000000"/>
                    </w:rPr>
                    <w:t>)</w:t>
                  </w:r>
                </w:p>
              </w:tc>
              <w:tc>
                <w:tcPr>
                  <w:tcW w:w="1582" w:type="dxa"/>
                  <w:tcBorders>
                    <w:top w:val="nil"/>
                    <w:left w:val="nil"/>
                    <w:bottom w:val="nil"/>
                    <w:right w:val="nil"/>
                  </w:tcBorders>
                  <w:shd w:val="clear" w:color="auto" w:fill="auto"/>
                  <w:noWrap/>
                  <w:vAlign w:val="center"/>
                </w:tcPr>
                <w:p w14:paraId="14AED517" w14:textId="61A442BF" w:rsidR="00671CC8" w:rsidRPr="00FB469B" w:rsidRDefault="00415EDD" w:rsidP="00671CC8">
                  <w:pPr>
                    <w:spacing w:line="240" w:lineRule="auto"/>
                    <w:jc w:val="center"/>
                    <w:rPr>
                      <w:rFonts w:ascii="Calibri" w:hAnsi="Calibri" w:cs="Calibri"/>
                      <w:color w:val="000000"/>
                    </w:rPr>
                  </w:pPr>
                  <w:r>
                    <w:rPr>
                      <w:rFonts w:ascii="Calibri" w:hAnsi="Calibri" w:cs="Calibri"/>
                      <w:color w:val="000000"/>
                    </w:rPr>
                    <w:t>(</w:t>
                  </w:r>
                  <w:r w:rsidR="00671CC8" w:rsidRPr="00FB469B">
                    <w:rPr>
                      <w:rFonts w:ascii="Calibri" w:hAnsi="Calibri" w:cs="Calibri"/>
                      <w:color w:val="000000"/>
                    </w:rPr>
                    <w:t>0.0000</w:t>
                  </w:r>
                  <w:r>
                    <w:rPr>
                      <w:rFonts w:ascii="Calibri" w:hAnsi="Calibri" w:cs="Calibri"/>
                      <w:color w:val="000000"/>
                    </w:rPr>
                    <w:t>)</w:t>
                  </w:r>
                </w:p>
              </w:tc>
              <w:tc>
                <w:tcPr>
                  <w:tcW w:w="1581" w:type="dxa"/>
                  <w:gridSpan w:val="2"/>
                  <w:tcBorders>
                    <w:top w:val="nil"/>
                    <w:left w:val="nil"/>
                    <w:bottom w:val="nil"/>
                    <w:right w:val="nil"/>
                  </w:tcBorders>
                  <w:shd w:val="clear" w:color="auto" w:fill="auto"/>
                  <w:noWrap/>
                  <w:vAlign w:val="center"/>
                </w:tcPr>
                <w:p w14:paraId="12318FE7" w14:textId="77777777" w:rsidR="00671CC8" w:rsidRDefault="00671CC8" w:rsidP="00671CC8">
                  <w:pPr>
                    <w:spacing w:line="240" w:lineRule="auto"/>
                    <w:jc w:val="center"/>
                    <w:rPr>
                      <w:rFonts w:asciiTheme="minorHAnsi" w:eastAsia="Calibri" w:hAnsiTheme="minorHAnsi" w:cstheme="minorHAnsi"/>
                      <w:sz w:val="22"/>
                      <w:szCs w:val="22"/>
                      <w:lang w:val="en-US" w:eastAsia="en-US"/>
                    </w:rPr>
                  </w:pPr>
                </w:p>
              </w:tc>
            </w:tr>
            <w:tr w:rsidR="00671CC8" w:rsidRPr="004556EC" w14:paraId="033D4E38" w14:textId="77777777" w:rsidTr="004B02B1">
              <w:trPr>
                <w:trHeight w:val="359"/>
              </w:trPr>
              <w:tc>
                <w:tcPr>
                  <w:tcW w:w="2340" w:type="dxa"/>
                  <w:tcBorders>
                    <w:top w:val="nil"/>
                    <w:left w:val="nil"/>
                    <w:bottom w:val="nil"/>
                    <w:right w:val="nil"/>
                  </w:tcBorders>
                  <w:shd w:val="clear" w:color="auto" w:fill="auto"/>
                  <w:noWrap/>
                  <w:vAlign w:val="center"/>
                </w:tcPr>
                <w:p w14:paraId="550E5EAB" w14:textId="36E9A6A5" w:rsidR="00671CC8" w:rsidRPr="004556EC" w:rsidRDefault="00D64275" w:rsidP="004B02B1">
                  <w:pPr>
                    <w:spacing w:line="240" w:lineRule="auto"/>
                    <w:rPr>
                      <w:rFonts w:asciiTheme="minorHAnsi" w:eastAsia="Calibri" w:hAnsiTheme="minorHAnsi" w:cstheme="minorHAnsi"/>
                      <w:sz w:val="22"/>
                      <w:szCs w:val="22"/>
                      <w:lang w:val="en-US" w:eastAsia="en-US"/>
                    </w:rPr>
                  </w:pPr>
                  <w:r w:rsidRPr="00FB469B">
                    <w:rPr>
                      <w:rFonts w:ascii="Calibri" w:hAnsi="Calibri" w:cs="Calibri"/>
                      <w:color w:val="000000"/>
                    </w:rPr>
                    <w:t>Telecoms</w:t>
                  </w:r>
                </w:p>
              </w:tc>
              <w:tc>
                <w:tcPr>
                  <w:tcW w:w="1437" w:type="dxa"/>
                  <w:tcBorders>
                    <w:top w:val="nil"/>
                    <w:left w:val="nil"/>
                    <w:bottom w:val="nil"/>
                    <w:right w:val="nil"/>
                  </w:tcBorders>
                  <w:shd w:val="clear" w:color="auto" w:fill="auto"/>
                  <w:noWrap/>
                  <w:vAlign w:val="center"/>
                </w:tcPr>
                <w:p w14:paraId="23529F4A" w14:textId="2C7D039D" w:rsidR="00671CC8" w:rsidRPr="00FB469B" w:rsidRDefault="00671CC8" w:rsidP="00671CC8">
                  <w:pPr>
                    <w:spacing w:line="240" w:lineRule="auto"/>
                    <w:jc w:val="center"/>
                    <w:rPr>
                      <w:rFonts w:ascii="Calibri" w:hAnsi="Calibri" w:cs="Calibri"/>
                      <w:color w:val="000000"/>
                    </w:rPr>
                  </w:pPr>
                  <w:r w:rsidRPr="00FB469B">
                    <w:rPr>
                      <w:rFonts w:ascii="Calibri" w:hAnsi="Calibri" w:cs="Calibri"/>
                      <w:color w:val="000000"/>
                    </w:rPr>
                    <w:t>5.4511</w:t>
                  </w:r>
                </w:p>
              </w:tc>
              <w:tc>
                <w:tcPr>
                  <w:tcW w:w="1581" w:type="dxa"/>
                  <w:tcBorders>
                    <w:top w:val="nil"/>
                    <w:left w:val="nil"/>
                    <w:bottom w:val="nil"/>
                    <w:right w:val="nil"/>
                  </w:tcBorders>
                  <w:shd w:val="clear" w:color="auto" w:fill="auto"/>
                  <w:noWrap/>
                  <w:vAlign w:val="center"/>
                </w:tcPr>
                <w:p w14:paraId="33B59334" w14:textId="530062D2" w:rsidR="00671CC8" w:rsidRPr="00FB469B" w:rsidRDefault="00671CC8" w:rsidP="00671CC8">
                  <w:pPr>
                    <w:spacing w:line="240" w:lineRule="auto"/>
                    <w:jc w:val="center"/>
                    <w:rPr>
                      <w:rFonts w:ascii="Calibri" w:hAnsi="Calibri" w:cs="Calibri"/>
                      <w:color w:val="000000"/>
                    </w:rPr>
                  </w:pPr>
                  <w:r w:rsidRPr="00FB469B">
                    <w:rPr>
                      <w:rFonts w:ascii="Calibri" w:hAnsi="Calibri" w:cs="Calibri"/>
                      <w:color w:val="000000"/>
                    </w:rPr>
                    <w:t>-10.9214</w:t>
                  </w:r>
                </w:p>
              </w:tc>
              <w:tc>
                <w:tcPr>
                  <w:tcW w:w="1582" w:type="dxa"/>
                  <w:tcBorders>
                    <w:top w:val="nil"/>
                    <w:left w:val="nil"/>
                    <w:bottom w:val="nil"/>
                    <w:right w:val="nil"/>
                  </w:tcBorders>
                  <w:shd w:val="clear" w:color="auto" w:fill="auto"/>
                  <w:noWrap/>
                  <w:vAlign w:val="center"/>
                </w:tcPr>
                <w:p w14:paraId="57DD0A01" w14:textId="50DBE263" w:rsidR="00671CC8" w:rsidRPr="00FB469B" w:rsidRDefault="00671CC8" w:rsidP="00671CC8">
                  <w:pPr>
                    <w:spacing w:line="240" w:lineRule="auto"/>
                    <w:jc w:val="center"/>
                    <w:rPr>
                      <w:rFonts w:ascii="Calibri" w:hAnsi="Calibri" w:cs="Calibri"/>
                      <w:color w:val="000000"/>
                    </w:rPr>
                  </w:pPr>
                  <w:r w:rsidRPr="00FB469B">
                    <w:rPr>
                      <w:rFonts w:ascii="Calibri" w:hAnsi="Calibri" w:cs="Calibri"/>
                      <w:color w:val="000000"/>
                    </w:rPr>
                    <w:t>5.4815</w:t>
                  </w:r>
                </w:p>
              </w:tc>
              <w:tc>
                <w:tcPr>
                  <w:tcW w:w="1581" w:type="dxa"/>
                  <w:gridSpan w:val="2"/>
                  <w:tcBorders>
                    <w:top w:val="nil"/>
                    <w:left w:val="nil"/>
                    <w:bottom w:val="nil"/>
                    <w:right w:val="nil"/>
                  </w:tcBorders>
                  <w:shd w:val="clear" w:color="auto" w:fill="auto"/>
                  <w:noWrap/>
                  <w:vAlign w:val="center"/>
                </w:tcPr>
                <w:p w14:paraId="55D5B994" w14:textId="1E88D07A" w:rsidR="00671CC8" w:rsidRDefault="00671CC8" w:rsidP="00671CC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15.91%</w:t>
                  </w:r>
                </w:p>
              </w:tc>
            </w:tr>
            <w:tr w:rsidR="00671CC8" w:rsidRPr="004556EC" w14:paraId="633DF42E" w14:textId="77777777" w:rsidTr="004B02B1">
              <w:trPr>
                <w:trHeight w:val="359"/>
              </w:trPr>
              <w:tc>
                <w:tcPr>
                  <w:tcW w:w="2340" w:type="dxa"/>
                  <w:tcBorders>
                    <w:top w:val="nil"/>
                    <w:left w:val="nil"/>
                    <w:bottom w:val="nil"/>
                    <w:right w:val="nil"/>
                  </w:tcBorders>
                  <w:shd w:val="clear" w:color="auto" w:fill="auto"/>
                  <w:noWrap/>
                  <w:vAlign w:val="center"/>
                </w:tcPr>
                <w:p w14:paraId="2F2655CD" w14:textId="77777777" w:rsidR="00671CC8" w:rsidRPr="004556EC" w:rsidRDefault="00671CC8" w:rsidP="004B02B1">
                  <w:pPr>
                    <w:spacing w:line="240" w:lineRule="auto"/>
                    <w:rPr>
                      <w:rFonts w:asciiTheme="minorHAnsi" w:eastAsia="Calibri" w:hAnsiTheme="minorHAnsi" w:cstheme="minorHAnsi"/>
                      <w:sz w:val="22"/>
                      <w:szCs w:val="22"/>
                      <w:lang w:val="en-US" w:eastAsia="en-US"/>
                    </w:rPr>
                  </w:pPr>
                </w:p>
              </w:tc>
              <w:tc>
                <w:tcPr>
                  <w:tcW w:w="1437" w:type="dxa"/>
                  <w:tcBorders>
                    <w:top w:val="nil"/>
                    <w:left w:val="nil"/>
                    <w:bottom w:val="nil"/>
                    <w:right w:val="nil"/>
                  </w:tcBorders>
                  <w:shd w:val="clear" w:color="auto" w:fill="auto"/>
                  <w:noWrap/>
                  <w:vAlign w:val="center"/>
                </w:tcPr>
                <w:p w14:paraId="6CB66838" w14:textId="51B97C9B" w:rsidR="00671CC8" w:rsidRPr="00FB469B" w:rsidRDefault="00415EDD" w:rsidP="00671CC8">
                  <w:pPr>
                    <w:spacing w:line="240" w:lineRule="auto"/>
                    <w:jc w:val="center"/>
                    <w:rPr>
                      <w:rFonts w:ascii="Calibri" w:hAnsi="Calibri" w:cs="Calibri"/>
                      <w:color w:val="000000"/>
                    </w:rPr>
                  </w:pPr>
                  <w:r>
                    <w:rPr>
                      <w:rFonts w:ascii="Calibri" w:hAnsi="Calibri" w:cs="Calibri"/>
                      <w:color w:val="000000"/>
                    </w:rPr>
                    <w:t>(</w:t>
                  </w:r>
                  <w:r w:rsidR="00671CC8" w:rsidRPr="00FB469B">
                    <w:rPr>
                      <w:rFonts w:ascii="Calibri" w:hAnsi="Calibri" w:cs="Calibri"/>
                      <w:color w:val="000000"/>
                    </w:rPr>
                    <w:t>0.0000</w:t>
                  </w:r>
                  <w:r>
                    <w:rPr>
                      <w:rFonts w:ascii="Calibri" w:hAnsi="Calibri" w:cs="Calibri"/>
                      <w:color w:val="000000"/>
                    </w:rPr>
                    <w:t>)</w:t>
                  </w:r>
                </w:p>
              </w:tc>
              <w:tc>
                <w:tcPr>
                  <w:tcW w:w="1581" w:type="dxa"/>
                  <w:tcBorders>
                    <w:top w:val="nil"/>
                    <w:left w:val="nil"/>
                    <w:bottom w:val="nil"/>
                    <w:right w:val="nil"/>
                  </w:tcBorders>
                  <w:shd w:val="clear" w:color="auto" w:fill="auto"/>
                  <w:noWrap/>
                  <w:vAlign w:val="center"/>
                </w:tcPr>
                <w:p w14:paraId="2CC928E0" w14:textId="7434025E" w:rsidR="00671CC8" w:rsidRPr="00FB469B" w:rsidRDefault="00415EDD" w:rsidP="00671CC8">
                  <w:pPr>
                    <w:spacing w:line="240" w:lineRule="auto"/>
                    <w:jc w:val="center"/>
                    <w:rPr>
                      <w:rFonts w:ascii="Calibri" w:hAnsi="Calibri" w:cs="Calibri"/>
                      <w:color w:val="000000"/>
                    </w:rPr>
                  </w:pPr>
                  <w:r>
                    <w:rPr>
                      <w:rFonts w:ascii="Calibri" w:hAnsi="Calibri" w:cs="Calibri"/>
                      <w:color w:val="000000"/>
                    </w:rPr>
                    <w:t>(</w:t>
                  </w:r>
                  <w:r w:rsidR="00671CC8" w:rsidRPr="00FB469B">
                    <w:rPr>
                      <w:rFonts w:ascii="Calibri" w:hAnsi="Calibri" w:cs="Calibri"/>
                      <w:color w:val="000000"/>
                    </w:rPr>
                    <w:t>0.0000</w:t>
                  </w:r>
                  <w:r>
                    <w:rPr>
                      <w:rFonts w:ascii="Calibri" w:hAnsi="Calibri" w:cs="Calibri"/>
                      <w:color w:val="000000"/>
                    </w:rPr>
                    <w:t>)</w:t>
                  </w:r>
                </w:p>
              </w:tc>
              <w:tc>
                <w:tcPr>
                  <w:tcW w:w="1582" w:type="dxa"/>
                  <w:tcBorders>
                    <w:top w:val="nil"/>
                    <w:left w:val="nil"/>
                    <w:bottom w:val="nil"/>
                    <w:right w:val="nil"/>
                  </w:tcBorders>
                  <w:shd w:val="clear" w:color="auto" w:fill="auto"/>
                  <w:noWrap/>
                  <w:vAlign w:val="center"/>
                </w:tcPr>
                <w:p w14:paraId="3C31EF05" w14:textId="1693C054" w:rsidR="00671CC8" w:rsidRPr="00FB469B" w:rsidRDefault="00415EDD" w:rsidP="00671CC8">
                  <w:pPr>
                    <w:spacing w:line="240" w:lineRule="auto"/>
                    <w:jc w:val="center"/>
                    <w:rPr>
                      <w:rFonts w:ascii="Calibri" w:hAnsi="Calibri" w:cs="Calibri"/>
                      <w:color w:val="000000"/>
                    </w:rPr>
                  </w:pPr>
                  <w:r>
                    <w:rPr>
                      <w:rFonts w:ascii="Calibri" w:hAnsi="Calibri" w:cs="Calibri"/>
                      <w:color w:val="000000"/>
                    </w:rPr>
                    <w:t>(</w:t>
                  </w:r>
                  <w:r w:rsidR="00671CC8" w:rsidRPr="00FB469B">
                    <w:rPr>
                      <w:rFonts w:ascii="Calibri" w:hAnsi="Calibri" w:cs="Calibri"/>
                      <w:color w:val="000000"/>
                    </w:rPr>
                    <w:t>0.0000</w:t>
                  </w:r>
                  <w:r>
                    <w:rPr>
                      <w:rFonts w:ascii="Calibri" w:hAnsi="Calibri" w:cs="Calibri"/>
                      <w:color w:val="000000"/>
                    </w:rPr>
                    <w:t>)</w:t>
                  </w:r>
                </w:p>
              </w:tc>
              <w:tc>
                <w:tcPr>
                  <w:tcW w:w="1581" w:type="dxa"/>
                  <w:gridSpan w:val="2"/>
                  <w:tcBorders>
                    <w:top w:val="nil"/>
                    <w:left w:val="nil"/>
                    <w:bottom w:val="nil"/>
                    <w:right w:val="nil"/>
                  </w:tcBorders>
                  <w:shd w:val="clear" w:color="auto" w:fill="auto"/>
                  <w:noWrap/>
                  <w:vAlign w:val="center"/>
                </w:tcPr>
                <w:p w14:paraId="62AB5DE5" w14:textId="77777777" w:rsidR="00671CC8" w:rsidRDefault="00671CC8" w:rsidP="00671CC8">
                  <w:pPr>
                    <w:spacing w:line="240" w:lineRule="auto"/>
                    <w:jc w:val="center"/>
                    <w:rPr>
                      <w:rFonts w:asciiTheme="minorHAnsi" w:eastAsia="Calibri" w:hAnsiTheme="minorHAnsi" w:cstheme="minorHAnsi"/>
                      <w:sz w:val="22"/>
                      <w:szCs w:val="22"/>
                      <w:lang w:val="en-US" w:eastAsia="en-US"/>
                    </w:rPr>
                  </w:pPr>
                </w:p>
              </w:tc>
            </w:tr>
            <w:tr w:rsidR="00671CC8" w:rsidRPr="004556EC" w14:paraId="16DCBD09" w14:textId="77777777" w:rsidTr="004B02B1">
              <w:trPr>
                <w:trHeight w:val="359"/>
              </w:trPr>
              <w:tc>
                <w:tcPr>
                  <w:tcW w:w="2340" w:type="dxa"/>
                  <w:tcBorders>
                    <w:top w:val="nil"/>
                    <w:left w:val="nil"/>
                    <w:right w:val="nil"/>
                  </w:tcBorders>
                  <w:shd w:val="clear" w:color="auto" w:fill="auto"/>
                  <w:noWrap/>
                  <w:vAlign w:val="center"/>
                </w:tcPr>
                <w:p w14:paraId="5177DD56" w14:textId="0E656709" w:rsidR="00671CC8" w:rsidRPr="004556EC" w:rsidRDefault="00671CC8" w:rsidP="004B02B1">
                  <w:pPr>
                    <w:spacing w:line="240" w:lineRule="auto"/>
                    <w:rPr>
                      <w:rFonts w:asciiTheme="minorHAnsi" w:eastAsia="Calibri" w:hAnsiTheme="minorHAnsi" w:cstheme="minorHAnsi"/>
                      <w:sz w:val="22"/>
                      <w:szCs w:val="22"/>
                      <w:lang w:val="en-US" w:eastAsia="en-US"/>
                    </w:rPr>
                  </w:pPr>
                  <w:r w:rsidRPr="00FB469B">
                    <w:rPr>
                      <w:rFonts w:ascii="Calibri" w:hAnsi="Calibri" w:cs="Calibri"/>
                      <w:color w:val="000000"/>
                    </w:rPr>
                    <w:t>Utilities</w:t>
                  </w:r>
                </w:p>
              </w:tc>
              <w:tc>
                <w:tcPr>
                  <w:tcW w:w="1437" w:type="dxa"/>
                  <w:tcBorders>
                    <w:top w:val="nil"/>
                    <w:left w:val="nil"/>
                    <w:right w:val="nil"/>
                  </w:tcBorders>
                  <w:shd w:val="clear" w:color="auto" w:fill="auto"/>
                  <w:noWrap/>
                  <w:vAlign w:val="center"/>
                </w:tcPr>
                <w:p w14:paraId="7E7303E8" w14:textId="3D35CBC3" w:rsidR="00671CC8" w:rsidRPr="00FB469B" w:rsidRDefault="00671CC8" w:rsidP="00671CC8">
                  <w:pPr>
                    <w:spacing w:line="240" w:lineRule="auto"/>
                    <w:jc w:val="center"/>
                    <w:rPr>
                      <w:rFonts w:ascii="Calibri" w:hAnsi="Calibri" w:cs="Calibri"/>
                      <w:color w:val="000000"/>
                    </w:rPr>
                  </w:pPr>
                  <w:r w:rsidRPr="00FB469B">
                    <w:rPr>
                      <w:rFonts w:ascii="Calibri" w:hAnsi="Calibri" w:cs="Calibri"/>
                      <w:color w:val="000000"/>
                    </w:rPr>
                    <w:t>3.7889</w:t>
                  </w:r>
                </w:p>
              </w:tc>
              <w:tc>
                <w:tcPr>
                  <w:tcW w:w="1581" w:type="dxa"/>
                  <w:tcBorders>
                    <w:top w:val="nil"/>
                    <w:left w:val="nil"/>
                    <w:right w:val="nil"/>
                  </w:tcBorders>
                  <w:shd w:val="clear" w:color="auto" w:fill="auto"/>
                  <w:noWrap/>
                  <w:vAlign w:val="center"/>
                </w:tcPr>
                <w:p w14:paraId="1D69C90E" w14:textId="53D6C76A" w:rsidR="00671CC8" w:rsidRPr="00FB469B" w:rsidRDefault="00671CC8" w:rsidP="00671CC8">
                  <w:pPr>
                    <w:spacing w:line="240" w:lineRule="auto"/>
                    <w:jc w:val="center"/>
                    <w:rPr>
                      <w:rFonts w:ascii="Calibri" w:hAnsi="Calibri" w:cs="Calibri"/>
                      <w:color w:val="000000"/>
                    </w:rPr>
                  </w:pPr>
                  <w:r w:rsidRPr="00FB469B">
                    <w:rPr>
                      <w:rFonts w:ascii="Calibri" w:hAnsi="Calibri" w:cs="Calibri"/>
                      <w:color w:val="000000"/>
                    </w:rPr>
                    <w:t>-7.5515</w:t>
                  </w:r>
                </w:p>
              </w:tc>
              <w:tc>
                <w:tcPr>
                  <w:tcW w:w="1582" w:type="dxa"/>
                  <w:tcBorders>
                    <w:top w:val="nil"/>
                    <w:left w:val="nil"/>
                    <w:right w:val="nil"/>
                  </w:tcBorders>
                  <w:shd w:val="clear" w:color="auto" w:fill="auto"/>
                  <w:noWrap/>
                  <w:vAlign w:val="center"/>
                </w:tcPr>
                <w:p w14:paraId="7E52D59B" w14:textId="71AD0399" w:rsidR="00671CC8" w:rsidRPr="00FB469B" w:rsidRDefault="00671CC8" w:rsidP="00671CC8">
                  <w:pPr>
                    <w:spacing w:line="240" w:lineRule="auto"/>
                    <w:jc w:val="center"/>
                    <w:rPr>
                      <w:rFonts w:ascii="Calibri" w:hAnsi="Calibri" w:cs="Calibri"/>
                      <w:color w:val="000000"/>
                    </w:rPr>
                  </w:pPr>
                  <w:r w:rsidRPr="00FB469B">
                    <w:rPr>
                      <w:rFonts w:ascii="Calibri" w:hAnsi="Calibri" w:cs="Calibri"/>
                      <w:color w:val="000000"/>
                    </w:rPr>
                    <w:t>3.7694</w:t>
                  </w:r>
                </w:p>
              </w:tc>
              <w:tc>
                <w:tcPr>
                  <w:tcW w:w="1581" w:type="dxa"/>
                  <w:gridSpan w:val="2"/>
                  <w:tcBorders>
                    <w:top w:val="nil"/>
                    <w:left w:val="nil"/>
                    <w:right w:val="nil"/>
                  </w:tcBorders>
                  <w:shd w:val="clear" w:color="auto" w:fill="auto"/>
                  <w:noWrap/>
                  <w:vAlign w:val="center"/>
                </w:tcPr>
                <w:p w14:paraId="4AD98C00" w14:textId="156FF979" w:rsidR="00671CC8" w:rsidRDefault="00671CC8" w:rsidP="00671CC8">
                  <w:pPr>
                    <w:spacing w:line="240" w:lineRule="auto"/>
                    <w:jc w:val="center"/>
                    <w:rPr>
                      <w:rFonts w:asciiTheme="minorHAnsi" w:eastAsia="Calibri" w:hAnsiTheme="minorHAnsi" w:cstheme="minorHAnsi"/>
                      <w:sz w:val="22"/>
                      <w:szCs w:val="22"/>
                      <w:lang w:val="en-US" w:eastAsia="en-US"/>
                    </w:rPr>
                  </w:pPr>
                  <w:r w:rsidRPr="00FB469B">
                    <w:rPr>
                      <w:rFonts w:ascii="Calibri" w:hAnsi="Calibri" w:cs="Calibri"/>
                      <w:color w:val="000000"/>
                    </w:rPr>
                    <w:t>19.23%</w:t>
                  </w:r>
                </w:p>
              </w:tc>
            </w:tr>
            <w:tr w:rsidR="00671CC8" w:rsidRPr="004556EC" w14:paraId="56BAD61F" w14:textId="77777777" w:rsidTr="00671CC8">
              <w:trPr>
                <w:trHeight w:val="359"/>
              </w:trPr>
              <w:tc>
                <w:tcPr>
                  <w:tcW w:w="2340" w:type="dxa"/>
                  <w:tcBorders>
                    <w:top w:val="nil"/>
                    <w:left w:val="nil"/>
                    <w:bottom w:val="single" w:sz="4" w:space="0" w:color="auto"/>
                    <w:right w:val="nil"/>
                  </w:tcBorders>
                  <w:shd w:val="clear" w:color="auto" w:fill="auto"/>
                  <w:noWrap/>
                  <w:vAlign w:val="center"/>
                </w:tcPr>
                <w:p w14:paraId="2F9A8912" w14:textId="56D6788D" w:rsidR="00671CC8" w:rsidRPr="004556EC" w:rsidRDefault="00671CC8" w:rsidP="00671CC8">
                  <w:pPr>
                    <w:spacing w:line="240" w:lineRule="auto"/>
                    <w:jc w:val="center"/>
                    <w:rPr>
                      <w:rFonts w:asciiTheme="minorHAnsi" w:eastAsia="Calibri" w:hAnsiTheme="minorHAnsi" w:cstheme="minorHAnsi"/>
                      <w:sz w:val="22"/>
                      <w:szCs w:val="22"/>
                      <w:lang w:val="en-US" w:eastAsia="en-US"/>
                    </w:rPr>
                  </w:pPr>
                </w:p>
              </w:tc>
              <w:tc>
                <w:tcPr>
                  <w:tcW w:w="1437" w:type="dxa"/>
                  <w:tcBorders>
                    <w:top w:val="nil"/>
                    <w:left w:val="nil"/>
                    <w:bottom w:val="single" w:sz="4" w:space="0" w:color="auto"/>
                    <w:right w:val="nil"/>
                  </w:tcBorders>
                  <w:shd w:val="clear" w:color="auto" w:fill="auto"/>
                  <w:noWrap/>
                  <w:vAlign w:val="center"/>
                </w:tcPr>
                <w:p w14:paraId="568949BC" w14:textId="44C8F220" w:rsidR="00671CC8" w:rsidRPr="00FB469B" w:rsidRDefault="00415EDD" w:rsidP="00671CC8">
                  <w:pPr>
                    <w:spacing w:line="240" w:lineRule="auto"/>
                    <w:jc w:val="center"/>
                    <w:rPr>
                      <w:rFonts w:ascii="Calibri" w:hAnsi="Calibri" w:cs="Calibri"/>
                      <w:color w:val="000000"/>
                    </w:rPr>
                  </w:pPr>
                  <w:r>
                    <w:rPr>
                      <w:rFonts w:ascii="Calibri" w:hAnsi="Calibri" w:cs="Calibri"/>
                      <w:color w:val="000000"/>
                    </w:rPr>
                    <w:t>(</w:t>
                  </w:r>
                  <w:r w:rsidR="00671CC8" w:rsidRPr="00FB469B">
                    <w:rPr>
                      <w:rFonts w:ascii="Calibri" w:hAnsi="Calibri" w:cs="Calibri"/>
                      <w:color w:val="000000"/>
                    </w:rPr>
                    <w:t>0.0000</w:t>
                  </w:r>
                  <w:r>
                    <w:rPr>
                      <w:rFonts w:ascii="Calibri" w:hAnsi="Calibri" w:cs="Calibri"/>
                      <w:color w:val="000000"/>
                    </w:rPr>
                    <w:t>)</w:t>
                  </w:r>
                </w:p>
              </w:tc>
              <w:tc>
                <w:tcPr>
                  <w:tcW w:w="1581" w:type="dxa"/>
                  <w:tcBorders>
                    <w:top w:val="nil"/>
                    <w:left w:val="nil"/>
                    <w:bottom w:val="single" w:sz="4" w:space="0" w:color="auto"/>
                    <w:right w:val="nil"/>
                  </w:tcBorders>
                  <w:shd w:val="clear" w:color="auto" w:fill="auto"/>
                  <w:noWrap/>
                  <w:vAlign w:val="center"/>
                </w:tcPr>
                <w:p w14:paraId="6BDE9519" w14:textId="77B24E34" w:rsidR="00671CC8" w:rsidRPr="00FB469B" w:rsidRDefault="00415EDD" w:rsidP="00671CC8">
                  <w:pPr>
                    <w:spacing w:line="240" w:lineRule="auto"/>
                    <w:jc w:val="center"/>
                    <w:rPr>
                      <w:rFonts w:ascii="Calibri" w:hAnsi="Calibri" w:cs="Calibri"/>
                      <w:color w:val="000000"/>
                    </w:rPr>
                  </w:pPr>
                  <w:r>
                    <w:rPr>
                      <w:rFonts w:ascii="Calibri" w:hAnsi="Calibri" w:cs="Calibri"/>
                      <w:color w:val="000000"/>
                    </w:rPr>
                    <w:t>(</w:t>
                  </w:r>
                  <w:r w:rsidR="00671CC8" w:rsidRPr="00FB469B">
                    <w:rPr>
                      <w:rFonts w:ascii="Calibri" w:hAnsi="Calibri" w:cs="Calibri"/>
                      <w:color w:val="000000"/>
                    </w:rPr>
                    <w:t>0.0000</w:t>
                  </w:r>
                  <w:r>
                    <w:rPr>
                      <w:rFonts w:ascii="Calibri" w:hAnsi="Calibri" w:cs="Calibri"/>
                      <w:color w:val="000000"/>
                    </w:rPr>
                    <w:t>)</w:t>
                  </w:r>
                </w:p>
              </w:tc>
              <w:tc>
                <w:tcPr>
                  <w:tcW w:w="1582" w:type="dxa"/>
                  <w:tcBorders>
                    <w:top w:val="nil"/>
                    <w:left w:val="nil"/>
                    <w:bottom w:val="single" w:sz="4" w:space="0" w:color="auto"/>
                    <w:right w:val="nil"/>
                  </w:tcBorders>
                  <w:shd w:val="clear" w:color="auto" w:fill="auto"/>
                  <w:noWrap/>
                  <w:vAlign w:val="center"/>
                </w:tcPr>
                <w:p w14:paraId="550ADE2F" w14:textId="5780B109" w:rsidR="00671CC8" w:rsidRPr="00FB469B" w:rsidRDefault="00415EDD" w:rsidP="00671CC8">
                  <w:pPr>
                    <w:spacing w:line="240" w:lineRule="auto"/>
                    <w:jc w:val="center"/>
                    <w:rPr>
                      <w:rFonts w:ascii="Calibri" w:hAnsi="Calibri" w:cs="Calibri"/>
                      <w:color w:val="000000"/>
                    </w:rPr>
                  </w:pPr>
                  <w:r>
                    <w:rPr>
                      <w:rFonts w:ascii="Calibri" w:hAnsi="Calibri" w:cs="Calibri"/>
                      <w:color w:val="000000"/>
                    </w:rPr>
                    <w:t>(</w:t>
                  </w:r>
                  <w:r w:rsidR="00671CC8" w:rsidRPr="00FB469B">
                    <w:rPr>
                      <w:rFonts w:ascii="Calibri" w:hAnsi="Calibri" w:cs="Calibri"/>
                      <w:color w:val="000000"/>
                    </w:rPr>
                    <w:t>0.0000</w:t>
                  </w:r>
                  <w:r>
                    <w:rPr>
                      <w:rFonts w:ascii="Calibri" w:hAnsi="Calibri" w:cs="Calibri"/>
                      <w:color w:val="000000"/>
                    </w:rPr>
                    <w:t>)</w:t>
                  </w:r>
                </w:p>
              </w:tc>
              <w:tc>
                <w:tcPr>
                  <w:tcW w:w="1581" w:type="dxa"/>
                  <w:gridSpan w:val="2"/>
                  <w:tcBorders>
                    <w:top w:val="nil"/>
                    <w:left w:val="nil"/>
                    <w:bottom w:val="single" w:sz="4" w:space="0" w:color="auto"/>
                    <w:right w:val="nil"/>
                  </w:tcBorders>
                  <w:shd w:val="clear" w:color="auto" w:fill="auto"/>
                  <w:noWrap/>
                  <w:vAlign w:val="center"/>
                </w:tcPr>
                <w:p w14:paraId="1CFAA5E4" w14:textId="7CDB9981" w:rsidR="00671CC8" w:rsidRDefault="00671CC8" w:rsidP="00671CC8">
                  <w:pPr>
                    <w:spacing w:line="240" w:lineRule="auto"/>
                    <w:jc w:val="center"/>
                    <w:rPr>
                      <w:rFonts w:asciiTheme="minorHAnsi" w:eastAsia="Calibri" w:hAnsiTheme="minorHAnsi" w:cstheme="minorHAnsi"/>
                      <w:sz w:val="22"/>
                      <w:szCs w:val="22"/>
                      <w:lang w:val="en-US" w:eastAsia="en-US"/>
                    </w:rPr>
                  </w:pPr>
                </w:p>
              </w:tc>
            </w:tr>
          </w:tbl>
          <w:p w14:paraId="5E587B0E" w14:textId="77777777" w:rsidR="00777512" w:rsidRPr="004556EC" w:rsidRDefault="00777512" w:rsidP="004558C6">
            <w:pPr>
              <w:spacing w:line="360" w:lineRule="auto"/>
              <w:jc w:val="center"/>
              <w:rPr>
                <w:rFonts w:asciiTheme="minorHAnsi" w:eastAsia="Calibri" w:hAnsiTheme="minorHAnsi" w:cstheme="minorHAnsi"/>
                <w:lang w:eastAsia="en-US"/>
              </w:rPr>
            </w:pPr>
          </w:p>
        </w:tc>
      </w:tr>
    </w:tbl>
    <w:p w14:paraId="2558F40E" w14:textId="77777777" w:rsidR="00A16488" w:rsidRDefault="00A16488" w:rsidP="004558C6">
      <w:pPr>
        <w:spacing w:line="240" w:lineRule="auto"/>
        <w:rPr>
          <w:rFonts w:asciiTheme="minorHAnsi" w:eastAsia="Calibri" w:hAnsiTheme="minorHAnsi" w:cstheme="minorHAnsi"/>
          <w:i/>
          <w:iCs/>
          <w:sz w:val="22"/>
          <w:szCs w:val="22"/>
          <w:lang w:val="en-US" w:eastAsia="en-US"/>
        </w:rPr>
      </w:pPr>
    </w:p>
    <w:p w14:paraId="04E998EA" w14:textId="3A5D38CD" w:rsidR="009F2D41" w:rsidRDefault="004558C6" w:rsidP="004558C6">
      <w:pPr>
        <w:spacing w:line="240" w:lineRule="auto"/>
        <w:rPr>
          <w:rFonts w:asciiTheme="minorHAnsi" w:eastAsia="Calibri" w:hAnsiTheme="minorHAnsi" w:cstheme="minorHAnsi"/>
          <w:sz w:val="22"/>
          <w:szCs w:val="22"/>
          <w:lang w:val="en-US"/>
        </w:rPr>
      </w:pPr>
      <w:r w:rsidRPr="004558C6">
        <w:rPr>
          <w:rFonts w:asciiTheme="minorHAnsi" w:eastAsia="Calibri" w:hAnsiTheme="minorHAnsi" w:cstheme="minorHAnsi"/>
          <w:i/>
          <w:iCs/>
          <w:sz w:val="22"/>
          <w:szCs w:val="22"/>
          <w:lang w:val="en-US" w:eastAsia="en-US"/>
        </w:rPr>
        <w:t>Note:</w:t>
      </w:r>
      <w:r>
        <w:rPr>
          <w:rFonts w:asciiTheme="minorHAnsi" w:eastAsia="Calibri" w:hAnsiTheme="minorHAnsi" w:cstheme="minorHAnsi"/>
          <w:sz w:val="22"/>
          <w:szCs w:val="22"/>
          <w:lang w:val="en-US" w:eastAsia="en-US"/>
        </w:rPr>
        <w:t xml:space="preserve"> </w:t>
      </w:r>
      <w:r w:rsidR="00777512" w:rsidRPr="00D712FE">
        <w:rPr>
          <w:rFonts w:asciiTheme="minorHAnsi" w:eastAsia="Calibri" w:hAnsiTheme="minorHAnsi" w:cstheme="minorHAnsi"/>
          <w:sz w:val="22"/>
          <w:szCs w:val="22"/>
          <w:lang w:val="en-US" w:eastAsia="en-US"/>
        </w:rPr>
        <w:t xml:space="preserve">Table </w:t>
      </w:r>
      <w:r w:rsidR="00C8790E" w:rsidRPr="00D712FE">
        <w:rPr>
          <w:rFonts w:asciiTheme="minorHAnsi" w:eastAsia="Calibri" w:hAnsiTheme="minorHAnsi" w:cstheme="minorHAnsi"/>
          <w:sz w:val="22"/>
          <w:szCs w:val="22"/>
          <w:lang w:val="en-US" w:eastAsia="en-US"/>
        </w:rPr>
        <w:t>3.</w:t>
      </w:r>
      <w:r w:rsidR="00777512" w:rsidRPr="00D712FE">
        <w:rPr>
          <w:rFonts w:asciiTheme="minorHAnsi" w:eastAsia="Calibri" w:hAnsiTheme="minorHAnsi" w:cstheme="minorHAnsi"/>
          <w:sz w:val="22"/>
          <w:szCs w:val="22"/>
          <w:lang w:val="en-US" w:eastAsia="en-US"/>
        </w:rPr>
        <w:t xml:space="preserve">2. reports the estimates from </w:t>
      </w:r>
      <w:r w:rsidR="00B77393">
        <w:rPr>
          <w:rFonts w:asciiTheme="minorHAnsi" w:eastAsia="Calibri" w:hAnsiTheme="minorHAnsi" w:cstheme="minorHAnsi"/>
          <w:sz w:val="22"/>
          <w:szCs w:val="22"/>
          <w:lang w:val="en-US" w:eastAsia="en-US"/>
        </w:rPr>
        <w:t xml:space="preserve">model </w:t>
      </w:r>
      <w:r w:rsidR="00451703">
        <w:rPr>
          <w:rFonts w:asciiTheme="minorHAnsi" w:eastAsia="Calibri" w:hAnsiTheme="minorHAnsi" w:cstheme="minorHAnsi"/>
          <w:sz w:val="22"/>
          <w:szCs w:val="22"/>
          <w:lang w:val="en-US" w:eastAsia="en-US"/>
        </w:rPr>
        <w:t>1</w:t>
      </w:r>
      <w:r w:rsidR="00B77393">
        <w:rPr>
          <w:rFonts w:asciiTheme="minorHAnsi" w:eastAsia="Calibri" w:hAnsiTheme="minorHAnsi" w:cstheme="minorHAnsi"/>
          <w:sz w:val="22"/>
          <w:szCs w:val="22"/>
          <w:lang w:val="en-US" w:eastAsia="en-US"/>
        </w:rPr>
        <w:t>.</w:t>
      </w:r>
      <w:r w:rsidR="00777512" w:rsidRPr="00D712FE">
        <w:rPr>
          <w:rFonts w:asciiTheme="minorHAnsi" w:eastAsia="Calibri" w:hAnsiTheme="minorHAnsi" w:cstheme="minorHAnsi"/>
          <w:sz w:val="22"/>
          <w:szCs w:val="22"/>
          <w:lang w:val="en-US" w:eastAsia="en-US"/>
        </w:rPr>
        <w:t xml:space="preserve"> </w:t>
      </w:r>
      <w:r w:rsidR="00415EDD">
        <w:rPr>
          <w:rFonts w:asciiTheme="minorHAnsi" w:eastAsia="Calibri" w:hAnsiTheme="minorHAnsi" w:cstheme="minorHAnsi"/>
          <w:sz w:val="22"/>
          <w:szCs w:val="22"/>
          <w:lang w:val="en-US" w:eastAsia="en-US"/>
        </w:rPr>
        <w:t xml:space="preserve">The </w:t>
      </w:r>
      <w:r w:rsidR="00415EDD" w:rsidRPr="00415EDD">
        <w:rPr>
          <w:rFonts w:asciiTheme="minorHAnsi" w:eastAsia="Calibri" w:hAnsiTheme="minorHAnsi" w:cstheme="minorHAnsi"/>
          <w:sz w:val="22"/>
          <w:szCs w:val="22"/>
          <w:lang w:val="en-US" w:eastAsia="en-US"/>
        </w:rPr>
        <w:t xml:space="preserve">associated p-values </w:t>
      </w:r>
      <w:r w:rsidR="00415EDD" w:rsidRPr="004556EC">
        <w:rPr>
          <w:rFonts w:asciiTheme="minorHAnsi" w:eastAsia="Calibri" w:hAnsiTheme="minorHAnsi" w:cstheme="minorHAnsi"/>
          <w:sz w:val="22"/>
          <w:szCs w:val="22"/>
          <w:lang w:val="en-US" w:eastAsia="en-US"/>
        </w:rPr>
        <w:t>are reported in parentheses</w:t>
      </w:r>
      <w:r w:rsidR="00415EDD">
        <w:rPr>
          <w:rFonts w:asciiTheme="minorHAnsi" w:eastAsia="Calibri" w:hAnsiTheme="minorHAnsi" w:cstheme="minorHAnsi"/>
          <w:sz w:val="22"/>
          <w:szCs w:val="22"/>
          <w:lang w:val="en-US" w:eastAsia="en-US"/>
        </w:rPr>
        <w:t xml:space="preserve">. </w:t>
      </w:r>
    </w:p>
    <w:p w14:paraId="2FC1C1E0" w14:textId="77777777" w:rsidR="004558C6" w:rsidRPr="004558C6" w:rsidRDefault="004558C6" w:rsidP="004558C6">
      <w:pPr>
        <w:spacing w:line="240" w:lineRule="auto"/>
        <w:rPr>
          <w:rFonts w:asciiTheme="minorHAnsi" w:eastAsia="Calibri" w:hAnsiTheme="minorHAnsi" w:cstheme="minorHAnsi"/>
          <w:sz w:val="22"/>
          <w:szCs w:val="22"/>
          <w:lang w:val="en-US"/>
        </w:rPr>
      </w:pPr>
    </w:p>
    <w:p w14:paraId="17901EF3" w14:textId="4BC008A2" w:rsidR="00411C27" w:rsidRPr="004556EC" w:rsidRDefault="00C8790E" w:rsidP="004558C6">
      <w:pPr>
        <w:pStyle w:val="Heading3"/>
        <w:rPr>
          <w:rFonts w:asciiTheme="minorHAnsi" w:eastAsia="Calibri" w:hAnsiTheme="minorHAnsi" w:cstheme="minorHAnsi"/>
          <w:lang w:val="en-US"/>
        </w:rPr>
      </w:pPr>
      <w:r w:rsidRPr="004556EC">
        <w:rPr>
          <w:rFonts w:asciiTheme="minorHAnsi" w:hAnsiTheme="minorHAnsi" w:cstheme="minorHAnsi"/>
          <w:lang w:eastAsia="en-US"/>
        </w:rPr>
        <w:t xml:space="preserve">3.3. </w:t>
      </w:r>
      <w:r w:rsidR="00411C27" w:rsidRPr="004556EC">
        <w:rPr>
          <w:rFonts w:asciiTheme="minorHAnsi" w:hAnsiTheme="minorHAnsi" w:cstheme="minorHAnsi"/>
          <w:lang w:eastAsia="en-US"/>
        </w:rPr>
        <w:t>The effect of market returns on herding</w:t>
      </w:r>
    </w:p>
    <w:p w14:paraId="359D2EAE" w14:textId="21B8EF5C" w:rsidR="003E52D6" w:rsidRPr="004556EC" w:rsidRDefault="00BB7EC0" w:rsidP="003E52D6">
      <w:pPr>
        <w:pStyle w:val="Newparagraph"/>
        <w:spacing w:line="360" w:lineRule="auto"/>
        <w:ind w:firstLine="0"/>
        <w:jc w:val="both"/>
        <w:rPr>
          <w:rFonts w:asciiTheme="minorHAnsi" w:eastAsia="Calibri" w:hAnsiTheme="minorHAnsi" w:cstheme="minorHAnsi"/>
          <w:lang w:val="en-US"/>
        </w:rPr>
      </w:pPr>
      <w:r w:rsidRPr="004556EC">
        <w:rPr>
          <w:rFonts w:asciiTheme="minorHAnsi" w:eastAsia="Calibri" w:hAnsiTheme="minorHAnsi" w:cstheme="minorHAnsi"/>
          <w:lang w:val="en-US"/>
        </w:rPr>
        <w:t xml:space="preserve">To examine whether herding is contingent upon rising or declining market returns, Equation (4) is used to capture the differences in the CSADs. </w:t>
      </w:r>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3  </m:t>
            </m:r>
          </m:sub>
        </m:sSub>
      </m:oMath>
      <w:r w:rsidRPr="004556EC">
        <w:rPr>
          <w:rFonts w:asciiTheme="minorHAnsi" w:eastAsia="Calibri" w:hAnsiTheme="minorHAnsi" w:cstheme="minorHAnsi"/>
        </w:rPr>
        <w:t xml:space="preserve">and </w:t>
      </w:r>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4  </m:t>
            </m:r>
          </m:sub>
        </m:sSub>
      </m:oMath>
      <w:r w:rsidRPr="004556EC">
        <w:rPr>
          <w:rFonts w:asciiTheme="minorHAnsi" w:eastAsia="Calibri" w:hAnsiTheme="minorHAnsi" w:cstheme="minorHAnsi"/>
          <w:vertAlign w:val="subscript"/>
        </w:rPr>
        <w:t xml:space="preserve"> </w:t>
      </w:r>
      <w:r w:rsidRPr="004556EC">
        <w:rPr>
          <w:rFonts w:asciiTheme="minorHAnsi" w:eastAsia="Calibri" w:hAnsiTheme="minorHAnsi" w:cstheme="minorHAnsi"/>
        </w:rPr>
        <w:t xml:space="preserve">represent the coefficients for rising and declining market conditions respectively. </w:t>
      </w:r>
      <w:r w:rsidRPr="004556EC">
        <w:rPr>
          <w:rFonts w:asciiTheme="minorHAnsi" w:eastAsia="Calibri" w:hAnsiTheme="minorHAnsi" w:cstheme="minorHAnsi"/>
          <w:lang w:val="en-US"/>
        </w:rPr>
        <w:t>Table 3</w:t>
      </w:r>
      <w:r w:rsidR="008502D1" w:rsidRPr="004556EC">
        <w:rPr>
          <w:rFonts w:asciiTheme="minorHAnsi" w:eastAsia="Calibri" w:hAnsiTheme="minorHAnsi" w:cstheme="minorHAnsi"/>
          <w:lang w:val="en-US"/>
        </w:rPr>
        <w:t>.3</w:t>
      </w:r>
      <w:r w:rsidRPr="004556EC">
        <w:rPr>
          <w:rFonts w:asciiTheme="minorHAnsi" w:eastAsia="Calibri" w:hAnsiTheme="minorHAnsi" w:cstheme="minorHAnsi"/>
          <w:lang w:val="en-US"/>
        </w:rPr>
        <w:t xml:space="preserve"> presents the market-wide results</w:t>
      </w:r>
      <w:r w:rsidR="00E51B02" w:rsidRPr="004556EC">
        <w:rPr>
          <w:rFonts w:asciiTheme="minorHAnsi" w:eastAsia="Calibri" w:hAnsiTheme="minorHAnsi" w:cstheme="minorHAnsi"/>
          <w:lang w:val="en-US"/>
        </w:rPr>
        <w:t>.</w:t>
      </w:r>
      <w:r w:rsidRPr="004556EC">
        <w:rPr>
          <w:rFonts w:asciiTheme="minorHAnsi" w:eastAsia="Calibri" w:hAnsiTheme="minorHAnsi" w:cstheme="minorHAnsi"/>
          <w:lang w:val="en-US"/>
        </w:rPr>
        <w:t xml:space="preserve"> The evidence suggests that in rising market conditions, the coefficient </w:t>
      </w:r>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3  </m:t>
            </m:r>
          </m:sub>
        </m:sSub>
      </m:oMath>
      <w:r w:rsidRPr="004556EC">
        <w:rPr>
          <w:rFonts w:asciiTheme="minorHAnsi" w:eastAsia="Calibri" w:hAnsiTheme="minorHAnsi" w:cstheme="minorHAnsi"/>
          <w:vertAlign w:val="subscript"/>
          <w:lang w:val="en-US"/>
        </w:rPr>
        <w:t xml:space="preserve"> </w:t>
      </w:r>
      <w:r w:rsidRPr="004556EC">
        <w:rPr>
          <w:rFonts w:asciiTheme="minorHAnsi" w:eastAsia="Calibri" w:hAnsiTheme="minorHAnsi" w:cstheme="minorHAnsi"/>
          <w:lang w:val="en-US"/>
        </w:rPr>
        <w:t>is positive and statistically significant, indicating that there is no evidence of herding</w:t>
      </w:r>
      <w:bookmarkStart w:id="2" w:name="_Toc534716701"/>
      <w:bookmarkStart w:id="3" w:name="_Hlk489546308"/>
      <w:r w:rsidR="00D64275">
        <w:rPr>
          <w:rFonts w:asciiTheme="minorHAnsi" w:eastAsia="Calibri" w:hAnsiTheme="minorHAnsi" w:cstheme="minorHAnsi"/>
          <w:lang w:val="en-US"/>
        </w:rPr>
        <w:t xml:space="preserve">. </w:t>
      </w:r>
    </w:p>
    <w:p w14:paraId="5E8DAB6F" w14:textId="77777777" w:rsidR="004558C6" w:rsidRDefault="004558C6" w:rsidP="004558C6">
      <w:pPr>
        <w:pStyle w:val="Caption"/>
        <w:spacing w:line="360" w:lineRule="auto"/>
        <w:rPr>
          <w:rFonts w:asciiTheme="minorHAnsi" w:hAnsiTheme="minorHAnsi" w:cstheme="minorHAnsi"/>
        </w:rPr>
      </w:pPr>
    </w:p>
    <w:p w14:paraId="5AE8A6C8" w14:textId="5086CDB0" w:rsidR="00777512" w:rsidRPr="004556EC" w:rsidRDefault="00777512" w:rsidP="004558C6">
      <w:pPr>
        <w:pStyle w:val="Caption"/>
        <w:spacing w:line="360" w:lineRule="auto"/>
        <w:jc w:val="center"/>
        <w:rPr>
          <w:rFonts w:asciiTheme="minorHAnsi" w:eastAsia="Calibri" w:hAnsiTheme="minorHAnsi" w:cstheme="minorHAnsi"/>
          <w:b w:val="0"/>
          <w:szCs w:val="24"/>
        </w:rPr>
      </w:pPr>
      <w:r w:rsidRPr="004556EC">
        <w:rPr>
          <w:rFonts w:asciiTheme="minorHAnsi" w:hAnsiTheme="minorHAnsi" w:cstheme="minorHAnsi"/>
        </w:rPr>
        <w:t xml:space="preserve">Table </w:t>
      </w:r>
      <w:r w:rsidR="00C8790E" w:rsidRPr="004556EC">
        <w:rPr>
          <w:rFonts w:asciiTheme="minorHAnsi" w:hAnsiTheme="minorHAnsi" w:cstheme="minorHAnsi"/>
        </w:rPr>
        <w:t>3.3. Estimates</w:t>
      </w:r>
      <w:r w:rsidRPr="004556EC">
        <w:rPr>
          <w:rFonts w:asciiTheme="minorHAnsi" w:hAnsiTheme="minorHAnsi" w:cstheme="minorHAnsi"/>
        </w:rPr>
        <w:t xml:space="preserve"> of herding in rising and declining markets, US</w:t>
      </w:r>
      <w:bookmarkEnd w:id="2"/>
    </w:p>
    <w:tbl>
      <w:tblPr>
        <w:tblW w:w="9368" w:type="dxa"/>
        <w:tblLook w:val="04A0" w:firstRow="1" w:lastRow="0" w:firstColumn="1" w:lastColumn="0" w:noHBand="0" w:noVBand="1"/>
      </w:tblPr>
      <w:tblGrid>
        <w:gridCol w:w="1562"/>
        <w:gridCol w:w="141"/>
        <w:gridCol w:w="849"/>
        <w:gridCol w:w="571"/>
        <w:gridCol w:w="1272"/>
        <w:gridCol w:w="147"/>
        <w:gridCol w:w="1270"/>
        <w:gridCol w:w="150"/>
        <w:gridCol w:w="1135"/>
        <w:gridCol w:w="993"/>
        <w:gridCol w:w="254"/>
        <w:gridCol w:w="1024"/>
      </w:tblGrid>
      <w:tr w:rsidR="00777512" w:rsidRPr="00A16488" w14:paraId="689E34FB" w14:textId="77777777" w:rsidTr="00361409">
        <w:trPr>
          <w:trHeight w:val="312"/>
        </w:trPr>
        <w:tc>
          <w:tcPr>
            <w:tcW w:w="1703" w:type="dxa"/>
            <w:gridSpan w:val="2"/>
            <w:tcBorders>
              <w:top w:val="single" w:sz="4" w:space="0" w:color="auto"/>
              <w:left w:val="nil"/>
              <w:bottom w:val="single" w:sz="4" w:space="0" w:color="auto"/>
              <w:right w:val="nil"/>
            </w:tcBorders>
            <w:shd w:val="clear" w:color="auto" w:fill="auto"/>
            <w:noWrap/>
            <w:vAlign w:val="bottom"/>
            <w:hideMark/>
          </w:tcPr>
          <w:bookmarkEnd w:id="3"/>
          <w:p w14:paraId="2A533BB2" w14:textId="77777777" w:rsidR="00777512" w:rsidRPr="00A16488" w:rsidRDefault="00777512" w:rsidP="004558C6">
            <w:pPr>
              <w:spacing w:line="240" w:lineRule="auto"/>
              <w:rPr>
                <w:rFonts w:asciiTheme="minorHAnsi" w:hAnsiTheme="minorHAnsi" w:cstheme="minorHAnsi"/>
                <w:lang w:val="en-US"/>
              </w:rPr>
            </w:pPr>
            <w:r w:rsidRPr="00A16488">
              <w:rPr>
                <w:rFonts w:asciiTheme="minorHAnsi" w:hAnsiTheme="minorHAnsi" w:cstheme="minorHAnsi"/>
                <w:lang w:val="en-US"/>
              </w:rPr>
              <w:t xml:space="preserve">Estimated </w:t>
            </w:r>
          </w:p>
          <w:p w14:paraId="5625EADD" w14:textId="77777777" w:rsidR="00777512" w:rsidRPr="00A16488" w:rsidRDefault="00777512" w:rsidP="004558C6">
            <w:pPr>
              <w:spacing w:line="240" w:lineRule="auto"/>
              <w:rPr>
                <w:rFonts w:asciiTheme="minorHAnsi" w:hAnsiTheme="minorHAnsi" w:cstheme="minorHAnsi"/>
                <w:lang w:val="en-US"/>
              </w:rPr>
            </w:pPr>
            <w:r w:rsidRPr="00A16488">
              <w:rPr>
                <w:rFonts w:asciiTheme="minorHAnsi" w:hAnsiTheme="minorHAnsi" w:cstheme="minorHAnsi"/>
                <w:lang w:val="en-US"/>
              </w:rPr>
              <w:t>Parameters</w:t>
            </w:r>
          </w:p>
        </w:tc>
        <w:tc>
          <w:tcPr>
            <w:tcW w:w="849" w:type="dxa"/>
            <w:tcBorders>
              <w:top w:val="single" w:sz="4" w:space="0" w:color="auto"/>
              <w:left w:val="nil"/>
              <w:bottom w:val="single" w:sz="4" w:space="0" w:color="auto"/>
              <w:right w:val="nil"/>
            </w:tcBorders>
            <w:shd w:val="clear" w:color="auto" w:fill="auto"/>
            <w:noWrap/>
            <w:vAlign w:val="center"/>
            <w:hideMark/>
          </w:tcPr>
          <w:p w14:paraId="07AFF9E7" w14:textId="35BEBC4C" w:rsidR="00777512" w:rsidRPr="00A16488" w:rsidRDefault="00361409" w:rsidP="00361409">
            <w:pPr>
              <w:spacing w:line="240" w:lineRule="auto"/>
              <w:rPr>
                <w:rFonts w:asciiTheme="minorHAnsi" w:hAnsiTheme="minorHAnsi" w:cstheme="minorHAnsi"/>
                <w:lang w:val="en-US"/>
              </w:rPr>
            </w:pPr>
            <w:r w:rsidRPr="00A16488">
              <w:rPr>
                <w:rFonts w:asciiTheme="minorHAnsi" w:hAnsiTheme="minorHAnsi" w:cstheme="minorHAnsi"/>
                <w:lang w:val="en-US"/>
              </w:rPr>
              <w:t xml:space="preserve">    </w:t>
            </w:r>
            <w:r w:rsidR="00777512" w:rsidRPr="00A16488">
              <w:rPr>
                <w:rFonts w:asciiTheme="minorHAnsi" w:hAnsiTheme="minorHAnsi" w:cstheme="minorHAnsi"/>
                <w:lang w:val="en-US"/>
              </w:rPr>
              <w:t>α</w:t>
            </w:r>
          </w:p>
        </w:tc>
        <w:tc>
          <w:tcPr>
            <w:tcW w:w="1843" w:type="dxa"/>
            <w:gridSpan w:val="2"/>
            <w:tcBorders>
              <w:top w:val="single" w:sz="4" w:space="0" w:color="auto"/>
              <w:left w:val="nil"/>
              <w:bottom w:val="single" w:sz="4" w:space="0" w:color="auto"/>
              <w:right w:val="nil"/>
            </w:tcBorders>
            <w:shd w:val="clear" w:color="auto" w:fill="auto"/>
            <w:noWrap/>
            <w:vAlign w:val="center"/>
            <w:hideMark/>
          </w:tcPr>
          <w:p w14:paraId="0512CFB0" w14:textId="33B05963" w:rsidR="00777512" w:rsidRPr="00A16488" w:rsidRDefault="00895ECF" w:rsidP="00361409">
            <w:pPr>
              <w:spacing w:line="240" w:lineRule="auto"/>
              <w:jc w:val="center"/>
              <w:rPr>
                <w:rFonts w:asciiTheme="minorHAnsi" w:hAnsiTheme="minorHAnsi" w:cstheme="minorHAnsi"/>
                <w:lang w:val="en-US"/>
              </w:rPr>
            </w:pPr>
            <m:oMathPara>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1</m:t>
                    </m:r>
                  </m:sub>
                </m:sSub>
              </m:oMath>
            </m:oMathPara>
          </w:p>
        </w:tc>
        <w:tc>
          <w:tcPr>
            <w:tcW w:w="1417" w:type="dxa"/>
            <w:gridSpan w:val="2"/>
            <w:tcBorders>
              <w:top w:val="single" w:sz="4" w:space="0" w:color="auto"/>
              <w:left w:val="nil"/>
              <w:bottom w:val="single" w:sz="4" w:space="0" w:color="auto"/>
              <w:right w:val="nil"/>
            </w:tcBorders>
            <w:shd w:val="clear" w:color="auto" w:fill="auto"/>
            <w:noWrap/>
            <w:vAlign w:val="center"/>
            <w:hideMark/>
          </w:tcPr>
          <w:p w14:paraId="3DB65254" w14:textId="0F61F05A" w:rsidR="00777512" w:rsidRPr="00A16488" w:rsidRDefault="00895ECF" w:rsidP="00361409">
            <w:pPr>
              <w:spacing w:line="240" w:lineRule="auto"/>
              <w:jc w:val="center"/>
              <w:rPr>
                <w:rFonts w:asciiTheme="minorHAnsi" w:hAnsiTheme="minorHAnsi" w:cstheme="minorHAnsi"/>
                <w:lang w:val="en-US"/>
              </w:rPr>
            </w:pPr>
            <m:oMathPara>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2</m:t>
                    </m:r>
                  </m:sub>
                </m:sSub>
              </m:oMath>
            </m:oMathPara>
          </w:p>
        </w:tc>
        <w:tc>
          <w:tcPr>
            <w:tcW w:w="1285" w:type="dxa"/>
            <w:gridSpan w:val="2"/>
            <w:tcBorders>
              <w:top w:val="single" w:sz="4" w:space="0" w:color="auto"/>
              <w:left w:val="nil"/>
              <w:bottom w:val="single" w:sz="4" w:space="0" w:color="auto"/>
              <w:right w:val="nil"/>
            </w:tcBorders>
            <w:shd w:val="clear" w:color="auto" w:fill="auto"/>
            <w:noWrap/>
            <w:vAlign w:val="center"/>
            <w:hideMark/>
          </w:tcPr>
          <w:p w14:paraId="16812D9F" w14:textId="3B4E67D0" w:rsidR="00777512" w:rsidRPr="00A16488" w:rsidRDefault="00895ECF" w:rsidP="00361409">
            <w:pPr>
              <w:spacing w:line="240" w:lineRule="auto"/>
              <w:jc w:val="center"/>
              <w:rPr>
                <w:rFonts w:asciiTheme="minorHAnsi" w:hAnsiTheme="minorHAnsi" w:cstheme="minorHAnsi"/>
                <w:lang w:val="en-US"/>
              </w:rPr>
            </w:pPr>
            <m:oMathPara>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3</m:t>
                    </m:r>
                  </m:sub>
                </m:sSub>
              </m:oMath>
            </m:oMathPara>
          </w:p>
        </w:tc>
        <w:tc>
          <w:tcPr>
            <w:tcW w:w="993" w:type="dxa"/>
            <w:tcBorders>
              <w:top w:val="single" w:sz="4" w:space="0" w:color="auto"/>
              <w:left w:val="nil"/>
              <w:bottom w:val="single" w:sz="4" w:space="0" w:color="auto"/>
              <w:right w:val="nil"/>
            </w:tcBorders>
            <w:shd w:val="clear" w:color="auto" w:fill="auto"/>
            <w:noWrap/>
            <w:vAlign w:val="center"/>
            <w:hideMark/>
          </w:tcPr>
          <w:p w14:paraId="74BFDCB7" w14:textId="49F17C77" w:rsidR="00777512" w:rsidRPr="00A16488" w:rsidRDefault="00895ECF" w:rsidP="00361409">
            <w:pPr>
              <w:spacing w:line="240" w:lineRule="auto"/>
              <w:jc w:val="center"/>
              <w:rPr>
                <w:rFonts w:asciiTheme="minorHAnsi" w:hAnsiTheme="minorHAnsi" w:cstheme="minorHAnsi"/>
                <w:lang w:val="en-US"/>
              </w:rPr>
            </w:pPr>
            <m:oMathPara>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4</m:t>
                    </m:r>
                  </m:sub>
                </m:sSub>
              </m:oMath>
            </m:oMathPara>
          </w:p>
        </w:tc>
        <w:tc>
          <w:tcPr>
            <w:tcW w:w="1278" w:type="dxa"/>
            <w:gridSpan w:val="2"/>
            <w:tcBorders>
              <w:top w:val="single" w:sz="4" w:space="0" w:color="auto"/>
              <w:left w:val="nil"/>
              <w:bottom w:val="single" w:sz="4" w:space="0" w:color="auto"/>
              <w:right w:val="nil"/>
            </w:tcBorders>
            <w:shd w:val="clear" w:color="auto" w:fill="auto"/>
            <w:noWrap/>
            <w:vAlign w:val="center"/>
            <w:hideMark/>
          </w:tcPr>
          <w:p w14:paraId="7F833BE8" w14:textId="5040BC45" w:rsidR="00777512" w:rsidRPr="00A16488" w:rsidRDefault="00777512" w:rsidP="00361409">
            <w:pPr>
              <w:spacing w:line="240" w:lineRule="auto"/>
              <w:jc w:val="center"/>
              <w:rPr>
                <w:rFonts w:asciiTheme="minorHAnsi" w:hAnsiTheme="minorHAnsi" w:cstheme="minorHAnsi"/>
                <w:lang w:val="en-US"/>
              </w:rPr>
            </w:pPr>
            <w:r w:rsidRPr="00A16488">
              <w:rPr>
                <w:rFonts w:asciiTheme="minorHAnsi" w:hAnsiTheme="minorHAnsi" w:cstheme="minorHAnsi"/>
                <w:lang w:val="en-US"/>
              </w:rPr>
              <w:t>Adj. R</w:t>
            </w:r>
            <w:r w:rsidRPr="00A16488">
              <w:rPr>
                <w:rFonts w:asciiTheme="minorHAnsi" w:hAnsiTheme="minorHAnsi" w:cstheme="minorHAnsi"/>
                <w:vertAlign w:val="superscript"/>
                <w:lang w:val="en-US"/>
              </w:rPr>
              <w:t>2</w:t>
            </w:r>
          </w:p>
        </w:tc>
      </w:tr>
      <w:tr w:rsidR="00777512" w:rsidRPr="00A16488" w14:paraId="5167664A" w14:textId="77777777" w:rsidTr="00361409">
        <w:trPr>
          <w:trHeight w:val="312"/>
        </w:trPr>
        <w:tc>
          <w:tcPr>
            <w:tcW w:w="1703" w:type="dxa"/>
            <w:gridSpan w:val="2"/>
            <w:tcBorders>
              <w:top w:val="nil"/>
              <w:left w:val="nil"/>
              <w:bottom w:val="nil"/>
              <w:right w:val="nil"/>
            </w:tcBorders>
            <w:shd w:val="clear" w:color="auto" w:fill="auto"/>
            <w:noWrap/>
            <w:vAlign w:val="bottom"/>
            <w:hideMark/>
          </w:tcPr>
          <w:p w14:paraId="18636B36" w14:textId="77777777" w:rsidR="00777512" w:rsidRPr="00A16488" w:rsidRDefault="00777512" w:rsidP="004558C6">
            <w:pPr>
              <w:spacing w:line="240" w:lineRule="auto"/>
              <w:rPr>
                <w:rFonts w:asciiTheme="minorHAnsi" w:hAnsiTheme="minorHAnsi" w:cstheme="minorHAnsi"/>
                <w:lang w:val="en-US"/>
              </w:rPr>
            </w:pPr>
          </w:p>
        </w:tc>
        <w:tc>
          <w:tcPr>
            <w:tcW w:w="1420" w:type="dxa"/>
            <w:gridSpan w:val="2"/>
            <w:tcBorders>
              <w:top w:val="nil"/>
              <w:left w:val="nil"/>
              <w:bottom w:val="nil"/>
              <w:right w:val="nil"/>
            </w:tcBorders>
            <w:shd w:val="clear" w:color="auto" w:fill="auto"/>
            <w:noWrap/>
            <w:vAlign w:val="center"/>
            <w:hideMark/>
          </w:tcPr>
          <w:p w14:paraId="3914AAEB" w14:textId="2CA292CD" w:rsidR="00777512" w:rsidRPr="00A16488" w:rsidRDefault="00F257D1" w:rsidP="00CD5725">
            <w:pPr>
              <w:spacing w:line="240" w:lineRule="auto"/>
              <w:rPr>
                <w:rFonts w:asciiTheme="minorHAnsi" w:hAnsiTheme="minorHAnsi" w:cstheme="minorHAnsi"/>
                <w:lang w:val="en-US"/>
              </w:rPr>
            </w:pPr>
            <w:r w:rsidRPr="00A16488">
              <w:rPr>
                <w:rFonts w:asciiTheme="minorHAnsi" w:hAnsiTheme="minorHAnsi" w:cstheme="minorHAnsi"/>
              </w:rPr>
              <w:t>0.0096</w:t>
            </w:r>
          </w:p>
        </w:tc>
        <w:tc>
          <w:tcPr>
            <w:tcW w:w="1419" w:type="dxa"/>
            <w:gridSpan w:val="2"/>
            <w:tcBorders>
              <w:top w:val="nil"/>
              <w:left w:val="nil"/>
              <w:bottom w:val="nil"/>
              <w:right w:val="nil"/>
            </w:tcBorders>
            <w:shd w:val="clear" w:color="auto" w:fill="auto"/>
            <w:noWrap/>
            <w:vAlign w:val="center"/>
            <w:hideMark/>
          </w:tcPr>
          <w:p w14:paraId="68EDCAF7" w14:textId="5C444436" w:rsidR="00777512" w:rsidRPr="00A16488" w:rsidRDefault="00F257D1" w:rsidP="00CD5725">
            <w:pPr>
              <w:spacing w:line="240" w:lineRule="auto"/>
              <w:rPr>
                <w:rFonts w:asciiTheme="minorHAnsi" w:hAnsiTheme="minorHAnsi" w:cstheme="minorHAnsi"/>
                <w:lang w:val="en-US"/>
              </w:rPr>
            </w:pPr>
            <w:r w:rsidRPr="00A16488">
              <w:rPr>
                <w:rFonts w:asciiTheme="minorHAnsi" w:hAnsiTheme="minorHAnsi" w:cstheme="minorHAnsi"/>
              </w:rPr>
              <w:t>0.2701</w:t>
            </w:r>
          </w:p>
        </w:tc>
        <w:tc>
          <w:tcPr>
            <w:tcW w:w="1420" w:type="dxa"/>
            <w:gridSpan w:val="2"/>
            <w:tcBorders>
              <w:top w:val="nil"/>
              <w:left w:val="nil"/>
              <w:bottom w:val="nil"/>
              <w:right w:val="nil"/>
            </w:tcBorders>
            <w:shd w:val="clear" w:color="auto" w:fill="auto"/>
            <w:noWrap/>
            <w:vAlign w:val="center"/>
            <w:hideMark/>
          </w:tcPr>
          <w:p w14:paraId="05905E85" w14:textId="4BDD8915" w:rsidR="00777512" w:rsidRPr="00A16488" w:rsidRDefault="00BD155C" w:rsidP="00CD5725">
            <w:pPr>
              <w:spacing w:line="240" w:lineRule="auto"/>
              <w:rPr>
                <w:rFonts w:asciiTheme="minorHAnsi" w:hAnsiTheme="minorHAnsi" w:cstheme="minorHAnsi"/>
                <w:lang w:val="en-US"/>
              </w:rPr>
            </w:pPr>
            <w:r w:rsidRPr="00A16488">
              <w:rPr>
                <w:rFonts w:asciiTheme="minorHAnsi" w:hAnsiTheme="minorHAnsi" w:cstheme="minorHAnsi"/>
              </w:rPr>
              <w:t>0.9344</w:t>
            </w:r>
          </w:p>
        </w:tc>
        <w:tc>
          <w:tcPr>
            <w:tcW w:w="1135" w:type="dxa"/>
            <w:tcBorders>
              <w:top w:val="nil"/>
              <w:left w:val="nil"/>
              <w:bottom w:val="nil"/>
              <w:right w:val="nil"/>
            </w:tcBorders>
            <w:shd w:val="clear" w:color="auto" w:fill="auto"/>
            <w:noWrap/>
            <w:vAlign w:val="center"/>
            <w:hideMark/>
          </w:tcPr>
          <w:p w14:paraId="0E86C04D" w14:textId="116C3F72" w:rsidR="00777512" w:rsidRPr="00A16488" w:rsidRDefault="00BD155C" w:rsidP="00CD5725">
            <w:pPr>
              <w:spacing w:line="240" w:lineRule="auto"/>
              <w:rPr>
                <w:rFonts w:asciiTheme="minorHAnsi" w:hAnsiTheme="minorHAnsi" w:cstheme="minorHAnsi"/>
                <w:lang w:val="en-US"/>
              </w:rPr>
            </w:pPr>
            <w:r w:rsidRPr="00A16488">
              <w:rPr>
                <w:rFonts w:asciiTheme="minorHAnsi" w:hAnsiTheme="minorHAnsi" w:cstheme="minorHAnsi"/>
              </w:rPr>
              <w:t>3.6147</w:t>
            </w:r>
          </w:p>
        </w:tc>
        <w:tc>
          <w:tcPr>
            <w:tcW w:w="1247" w:type="dxa"/>
            <w:gridSpan w:val="2"/>
            <w:tcBorders>
              <w:top w:val="nil"/>
              <w:left w:val="nil"/>
              <w:bottom w:val="nil"/>
              <w:right w:val="nil"/>
            </w:tcBorders>
            <w:shd w:val="clear" w:color="auto" w:fill="auto"/>
            <w:noWrap/>
            <w:vAlign w:val="center"/>
            <w:hideMark/>
          </w:tcPr>
          <w:p w14:paraId="628C1559" w14:textId="6D48BA6B" w:rsidR="00777512" w:rsidRPr="00A16488" w:rsidRDefault="00BD155C" w:rsidP="00CD5725">
            <w:pPr>
              <w:spacing w:line="240" w:lineRule="auto"/>
              <w:rPr>
                <w:rFonts w:asciiTheme="minorHAnsi" w:hAnsiTheme="minorHAnsi" w:cstheme="minorHAnsi"/>
                <w:lang w:val="en-US"/>
              </w:rPr>
            </w:pPr>
            <w:r w:rsidRPr="00A16488">
              <w:rPr>
                <w:rFonts w:asciiTheme="minorHAnsi" w:hAnsiTheme="minorHAnsi" w:cstheme="minorHAnsi"/>
              </w:rPr>
              <w:t>2.8024</w:t>
            </w:r>
          </w:p>
        </w:tc>
        <w:tc>
          <w:tcPr>
            <w:tcW w:w="1024" w:type="dxa"/>
            <w:tcBorders>
              <w:top w:val="nil"/>
              <w:left w:val="nil"/>
              <w:bottom w:val="nil"/>
              <w:right w:val="nil"/>
            </w:tcBorders>
            <w:shd w:val="clear" w:color="auto" w:fill="auto"/>
            <w:noWrap/>
            <w:vAlign w:val="center"/>
            <w:hideMark/>
          </w:tcPr>
          <w:p w14:paraId="331BED32" w14:textId="657227D9" w:rsidR="00777512" w:rsidRPr="00A16488" w:rsidRDefault="00BD155C" w:rsidP="00CD5725">
            <w:pPr>
              <w:spacing w:line="240" w:lineRule="auto"/>
              <w:rPr>
                <w:rFonts w:asciiTheme="minorHAnsi" w:hAnsiTheme="minorHAnsi" w:cstheme="minorHAnsi"/>
                <w:lang w:val="en-US"/>
              </w:rPr>
            </w:pPr>
            <w:r w:rsidRPr="00A16488">
              <w:rPr>
                <w:rFonts w:asciiTheme="minorHAnsi" w:hAnsiTheme="minorHAnsi" w:cstheme="minorHAnsi"/>
              </w:rPr>
              <w:t>73.11%</w:t>
            </w:r>
          </w:p>
        </w:tc>
      </w:tr>
      <w:tr w:rsidR="00BD155C" w:rsidRPr="00A16488" w14:paraId="33E6510A" w14:textId="77777777" w:rsidTr="00361409">
        <w:trPr>
          <w:trHeight w:val="563"/>
        </w:trPr>
        <w:tc>
          <w:tcPr>
            <w:tcW w:w="1562" w:type="dxa"/>
            <w:tcBorders>
              <w:top w:val="nil"/>
              <w:left w:val="nil"/>
              <w:bottom w:val="single" w:sz="4" w:space="0" w:color="auto"/>
              <w:right w:val="nil"/>
            </w:tcBorders>
            <w:shd w:val="clear" w:color="auto" w:fill="auto"/>
            <w:noWrap/>
            <w:vAlign w:val="bottom"/>
            <w:hideMark/>
          </w:tcPr>
          <w:p w14:paraId="06CBF788" w14:textId="77777777" w:rsidR="00BD155C" w:rsidRPr="00A16488" w:rsidRDefault="00BD155C" w:rsidP="00BD155C">
            <w:pPr>
              <w:spacing w:line="240" w:lineRule="auto"/>
              <w:rPr>
                <w:rFonts w:asciiTheme="minorHAnsi" w:hAnsiTheme="minorHAnsi" w:cstheme="minorHAnsi"/>
                <w:lang w:val="en-US"/>
              </w:rPr>
            </w:pPr>
            <w:r w:rsidRPr="00A16488">
              <w:rPr>
                <w:rFonts w:asciiTheme="minorHAnsi" w:hAnsiTheme="minorHAnsi" w:cstheme="minorHAnsi"/>
                <w:lang w:val="en-US"/>
              </w:rPr>
              <w:t> </w:t>
            </w:r>
          </w:p>
        </w:tc>
        <w:tc>
          <w:tcPr>
            <w:tcW w:w="1561" w:type="dxa"/>
            <w:gridSpan w:val="3"/>
            <w:tcBorders>
              <w:top w:val="nil"/>
              <w:left w:val="nil"/>
              <w:bottom w:val="single" w:sz="4" w:space="0" w:color="auto"/>
              <w:right w:val="nil"/>
            </w:tcBorders>
            <w:shd w:val="clear" w:color="auto" w:fill="auto"/>
            <w:noWrap/>
            <w:vAlign w:val="center"/>
            <w:hideMark/>
          </w:tcPr>
          <w:p w14:paraId="59E3DD4B" w14:textId="7608EBC5" w:rsidR="00BD155C" w:rsidRPr="00A16488" w:rsidRDefault="00CD5725" w:rsidP="00CD5725">
            <w:pPr>
              <w:spacing w:line="240" w:lineRule="auto"/>
              <w:rPr>
                <w:rFonts w:asciiTheme="minorHAnsi" w:hAnsiTheme="minorHAnsi" w:cstheme="minorHAnsi"/>
                <w:lang w:val="en-US"/>
              </w:rPr>
            </w:pPr>
            <w:r w:rsidRPr="00A16488">
              <w:rPr>
                <w:rFonts w:asciiTheme="minorHAnsi" w:hAnsiTheme="minorHAnsi" w:cstheme="minorHAnsi"/>
              </w:rPr>
              <w:t xml:space="preserve">  </w:t>
            </w:r>
            <w:r w:rsidR="00415EDD" w:rsidRPr="00A16488">
              <w:rPr>
                <w:rFonts w:asciiTheme="minorHAnsi" w:hAnsiTheme="minorHAnsi" w:cstheme="minorHAnsi"/>
              </w:rPr>
              <w:t>(</w:t>
            </w:r>
            <w:r w:rsidR="00BD155C" w:rsidRPr="00A16488">
              <w:rPr>
                <w:rFonts w:asciiTheme="minorHAnsi" w:hAnsiTheme="minorHAnsi" w:cstheme="minorHAnsi"/>
              </w:rPr>
              <w:t>0.0000</w:t>
            </w:r>
            <w:r w:rsidR="00415EDD" w:rsidRPr="00A16488">
              <w:rPr>
                <w:rFonts w:asciiTheme="minorHAnsi" w:hAnsiTheme="minorHAnsi" w:cstheme="minorHAnsi"/>
              </w:rPr>
              <w:t>)</w:t>
            </w:r>
          </w:p>
        </w:tc>
        <w:tc>
          <w:tcPr>
            <w:tcW w:w="1419" w:type="dxa"/>
            <w:gridSpan w:val="2"/>
            <w:tcBorders>
              <w:top w:val="nil"/>
              <w:left w:val="nil"/>
              <w:bottom w:val="single" w:sz="4" w:space="0" w:color="auto"/>
              <w:right w:val="nil"/>
            </w:tcBorders>
            <w:shd w:val="clear" w:color="auto" w:fill="auto"/>
            <w:noWrap/>
            <w:vAlign w:val="center"/>
            <w:hideMark/>
          </w:tcPr>
          <w:p w14:paraId="15AD6BA1" w14:textId="5CFA7801" w:rsidR="00BD155C" w:rsidRPr="00A16488" w:rsidRDefault="00415EDD" w:rsidP="00CD5725">
            <w:pPr>
              <w:spacing w:line="240" w:lineRule="auto"/>
              <w:rPr>
                <w:rFonts w:asciiTheme="minorHAnsi" w:hAnsiTheme="minorHAnsi" w:cstheme="minorHAnsi"/>
                <w:lang w:val="en-US"/>
              </w:rPr>
            </w:pPr>
            <w:r w:rsidRPr="00A16488">
              <w:rPr>
                <w:rFonts w:asciiTheme="minorHAnsi" w:hAnsiTheme="minorHAnsi" w:cstheme="minorHAnsi"/>
              </w:rPr>
              <w:t>(</w:t>
            </w:r>
            <w:r w:rsidR="00BD155C" w:rsidRPr="00A16488">
              <w:rPr>
                <w:rFonts w:asciiTheme="minorHAnsi" w:hAnsiTheme="minorHAnsi" w:cstheme="minorHAnsi"/>
              </w:rPr>
              <w:t>0.0000</w:t>
            </w:r>
            <w:r w:rsidRPr="00A16488">
              <w:rPr>
                <w:rFonts w:asciiTheme="minorHAnsi" w:hAnsiTheme="minorHAnsi" w:cstheme="minorHAnsi"/>
              </w:rPr>
              <w:t>)</w:t>
            </w:r>
          </w:p>
        </w:tc>
        <w:tc>
          <w:tcPr>
            <w:tcW w:w="1420" w:type="dxa"/>
            <w:gridSpan w:val="2"/>
            <w:tcBorders>
              <w:top w:val="nil"/>
              <w:left w:val="nil"/>
              <w:bottom w:val="single" w:sz="4" w:space="0" w:color="auto"/>
              <w:right w:val="nil"/>
            </w:tcBorders>
            <w:shd w:val="clear" w:color="auto" w:fill="auto"/>
            <w:noWrap/>
            <w:vAlign w:val="center"/>
            <w:hideMark/>
          </w:tcPr>
          <w:p w14:paraId="3906A9C0" w14:textId="526C5946" w:rsidR="00BD155C" w:rsidRPr="00A16488" w:rsidRDefault="00415EDD" w:rsidP="00CD5725">
            <w:pPr>
              <w:spacing w:line="240" w:lineRule="auto"/>
              <w:rPr>
                <w:rFonts w:asciiTheme="minorHAnsi" w:hAnsiTheme="minorHAnsi" w:cstheme="minorHAnsi"/>
                <w:lang w:val="en-US"/>
              </w:rPr>
            </w:pPr>
            <w:r w:rsidRPr="00A16488">
              <w:rPr>
                <w:rFonts w:asciiTheme="minorHAnsi" w:hAnsiTheme="minorHAnsi" w:cstheme="minorHAnsi"/>
              </w:rPr>
              <w:t>(</w:t>
            </w:r>
            <w:r w:rsidR="00BD155C" w:rsidRPr="00A16488">
              <w:rPr>
                <w:rFonts w:asciiTheme="minorHAnsi" w:hAnsiTheme="minorHAnsi" w:cstheme="minorHAnsi"/>
              </w:rPr>
              <w:t>0.0000</w:t>
            </w:r>
            <w:r w:rsidRPr="00A16488">
              <w:rPr>
                <w:rFonts w:asciiTheme="minorHAnsi" w:hAnsiTheme="minorHAnsi" w:cstheme="minorHAnsi"/>
              </w:rPr>
              <w:t>)</w:t>
            </w:r>
          </w:p>
        </w:tc>
        <w:tc>
          <w:tcPr>
            <w:tcW w:w="1135" w:type="dxa"/>
            <w:tcBorders>
              <w:top w:val="nil"/>
              <w:left w:val="nil"/>
              <w:bottom w:val="single" w:sz="4" w:space="0" w:color="auto"/>
              <w:right w:val="nil"/>
            </w:tcBorders>
            <w:shd w:val="clear" w:color="auto" w:fill="auto"/>
            <w:noWrap/>
            <w:vAlign w:val="center"/>
            <w:hideMark/>
          </w:tcPr>
          <w:p w14:paraId="4FAAEF4F" w14:textId="071CEF67" w:rsidR="00BD155C" w:rsidRPr="00A16488" w:rsidRDefault="00415EDD" w:rsidP="00CD5725">
            <w:pPr>
              <w:spacing w:line="240" w:lineRule="auto"/>
              <w:rPr>
                <w:rFonts w:asciiTheme="minorHAnsi" w:hAnsiTheme="minorHAnsi" w:cstheme="minorHAnsi"/>
                <w:lang w:val="en-US"/>
              </w:rPr>
            </w:pPr>
            <w:r w:rsidRPr="00A16488">
              <w:rPr>
                <w:rFonts w:asciiTheme="minorHAnsi" w:hAnsiTheme="minorHAnsi" w:cstheme="minorHAnsi"/>
              </w:rPr>
              <w:t>(</w:t>
            </w:r>
            <w:r w:rsidR="00BD155C" w:rsidRPr="00A16488">
              <w:rPr>
                <w:rFonts w:asciiTheme="minorHAnsi" w:hAnsiTheme="minorHAnsi" w:cstheme="minorHAnsi"/>
              </w:rPr>
              <w:t>0.0000</w:t>
            </w:r>
            <w:r w:rsidRPr="00A16488">
              <w:rPr>
                <w:rFonts w:asciiTheme="minorHAnsi" w:hAnsiTheme="minorHAnsi" w:cstheme="minorHAnsi"/>
              </w:rPr>
              <w:t>)</w:t>
            </w:r>
          </w:p>
        </w:tc>
        <w:tc>
          <w:tcPr>
            <w:tcW w:w="1247" w:type="dxa"/>
            <w:gridSpan w:val="2"/>
            <w:tcBorders>
              <w:top w:val="nil"/>
              <w:left w:val="nil"/>
              <w:bottom w:val="single" w:sz="4" w:space="0" w:color="auto"/>
              <w:right w:val="nil"/>
            </w:tcBorders>
            <w:shd w:val="clear" w:color="auto" w:fill="auto"/>
            <w:noWrap/>
            <w:vAlign w:val="center"/>
            <w:hideMark/>
          </w:tcPr>
          <w:p w14:paraId="6BAB8B41" w14:textId="66223267" w:rsidR="00BD155C" w:rsidRPr="00A16488" w:rsidRDefault="00415EDD" w:rsidP="00CD5725">
            <w:pPr>
              <w:spacing w:line="240" w:lineRule="auto"/>
              <w:rPr>
                <w:rFonts w:asciiTheme="minorHAnsi" w:hAnsiTheme="minorHAnsi" w:cstheme="minorHAnsi"/>
                <w:lang w:val="en-US"/>
              </w:rPr>
            </w:pPr>
            <w:r w:rsidRPr="00A16488">
              <w:rPr>
                <w:rFonts w:asciiTheme="minorHAnsi" w:hAnsiTheme="minorHAnsi" w:cstheme="minorHAnsi"/>
              </w:rPr>
              <w:t>(</w:t>
            </w:r>
            <w:r w:rsidR="00BD155C" w:rsidRPr="00A16488">
              <w:rPr>
                <w:rFonts w:asciiTheme="minorHAnsi" w:hAnsiTheme="minorHAnsi" w:cstheme="minorHAnsi"/>
              </w:rPr>
              <w:t>0.0000</w:t>
            </w:r>
            <w:r w:rsidRPr="00A16488">
              <w:rPr>
                <w:rFonts w:asciiTheme="minorHAnsi" w:hAnsiTheme="minorHAnsi" w:cstheme="minorHAnsi"/>
              </w:rPr>
              <w:t>)</w:t>
            </w:r>
          </w:p>
        </w:tc>
        <w:tc>
          <w:tcPr>
            <w:tcW w:w="1024" w:type="dxa"/>
            <w:tcBorders>
              <w:top w:val="nil"/>
              <w:left w:val="nil"/>
              <w:bottom w:val="single" w:sz="4" w:space="0" w:color="auto"/>
              <w:right w:val="nil"/>
            </w:tcBorders>
            <w:shd w:val="clear" w:color="auto" w:fill="auto"/>
            <w:noWrap/>
            <w:vAlign w:val="center"/>
            <w:hideMark/>
          </w:tcPr>
          <w:p w14:paraId="2F0A297C" w14:textId="215C6081" w:rsidR="00BD155C" w:rsidRPr="00A16488" w:rsidRDefault="00BD155C" w:rsidP="00CD5725">
            <w:pPr>
              <w:spacing w:line="240" w:lineRule="auto"/>
              <w:rPr>
                <w:rFonts w:asciiTheme="minorHAnsi" w:hAnsiTheme="minorHAnsi" w:cstheme="minorHAnsi"/>
                <w:lang w:val="en-US"/>
              </w:rPr>
            </w:pPr>
          </w:p>
        </w:tc>
      </w:tr>
    </w:tbl>
    <w:p w14:paraId="05EF9864" w14:textId="77777777" w:rsidR="00415EDD" w:rsidRDefault="00777512" w:rsidP="00415EDD">
      <w:pPr>
        <w:spacing w:line="240" w:lineRule="auto"/>
        <w:rPr>
          <w:rFonts w:asciiTheme="minorHAnsi" w:eastAsia="Calibri" w:hAnsiTheme="minorHAnsi" w:cstheme="minorHAnsi"/>
          <w:sz w:val="22"/>
          <w:szCs w:val="22"/>
          <w:lang w:val="en-US"/>
        </w:rPr>
      </w:pPr>
      <w:r w:rsidRPr="00265889">
        <w:rPr>
          <w:rFonts w:asciiTheme="minorHAnsi" w:eastAsia="Calibri" w:hAnsiTheme="minorHAnsi" w:cstheme="minorHAnsi"/>
          <w:i/>
          <w:iCs/>
          <w:sz w:val="22"/>
          <w:szCs w:val="22"/>
        </w:rPr>
        <w:t>Note:</w:t>
      </w:r>
      <w:r w:rsidRPr="004558C6">
        <w:rPr>
          <w:rFonts w:asciiTheme="minorHAnsi" w:eastAsia="Calibri" w:hAnsiTheme="minorHAnsi" w:cstheme="minorHAnsi"/>
          <w:sz w:val="22"/>
          <w:szCs w:val="22"/>
        </w:rPr>
        <w:t xml:space="preserve"> Table 3.</w:t>
      </w:r>
      <w:r w:rsidR="00C8790E" w:rsidRPr="004558C6">
        <w:rPr>
          <w:rFonts w:asciiTheme="minorHAnsi" w:eastAsia="Calibri" w:hAnsiTheme="minorHAnsi" w:cstheme="minorHAnsi"/>
          <w:sz w:val="22"/>
          <w:szCs w:val="22"/>
        </w:rPr>
        <w:t>3</w:t>
      </w:r>
      <w:r w:rsidR="00F82B4A" w:rsidRPr="004558C6">
        <w:rPr>
          <w:rFonts w:asciiTheme="minorHAnsi" w:eastAsia="Calibri" w:hAnsiTheme="minorHAnsi" w:cstheme="minorHAnsi"/>
          <w:sz w:val="22"/>
          <w:szCs w:val="22"/>
        </w:rPr>
        <w:t>.</w:t>
      </w:r>
      <w:r w:rsidRPr="004558C6">
        <w:rPr>
          <w:rFonts w:asciiTheme="minorHAnsi" w:eastAsia="Calibri" w:hAnsiTheme="minorHAnsi" w:cstheme="minorHAnsi"/>
          <w:sz w:val="22"/>
          <w:szCs w:val="22"/>
        </w:rPr>
        <w:t xml:space="preserve"> reports the estimates from </w:t>
      </w:r>
      <w:r w:rsidR="00451703">
        <w:rPr>
          <w:rFonts w:asciiTheme="minorHAnsi" w:eastAsia="Calibri" w:hAnsiTheme="minorHAnsi" w:cstheme="minorHAnsi"/>
          <w:sz w:val="22"/>
          <w:szCs w:val="22"/>
        </w:rPr>
        <w:t xml:space="preserve">model 2. </w:t>
      </w:r>
      <w:r w:rsidR="00415EDD">
        <w:rPr>
          <w:rFonts w:asciiTheme="minorHAnsi" w:eastAsia="Calibri" w:hAnsiTheme="minorHAnsi" w:cstheme="minorHAnsi"/>
          <w:sz w:val="22"/>
          <w:szCs w:val="22"/>
          <w:lang w:val="en-US" w:eastAsia="en-US"/>
        </w:rPr>
        <w:t xml:space="preserve">The </w:t>
      </w:r>
      <w:r w:rsidR="00415EDD" w:rsidRPr="00415EDD">
        <w:rPr>
          <w:rFonts w:asciiTheme="minorHAnsi" w:eastAsia="Calibri" w:hAnsiTheme="minorHAnsi" w:cstheme="minorHAnsi"/>
          <w:sz w:val="22"/>
          <w:szCs w:val="22"/>
          <w:lang w:val="en-US" w:eastAsia="en-US"/>
        </w:rPr>
        <w:t xml:space="preserve">associated p-values </w:t>
      </w:r>
      <w:r w:rsidR="00415EDD" w:rsidRPr="004556EC">
        <w:rPr>
          <w:rFonts w:asciiTheme="minorHAnsi" w:eastAsia="Calibri" w:hAnsiTheme="minorHAnsi" w:cstheme="minorHAnsi"/>
          <w:sz w:val="22"/>
          <w:szCs w:val="22"/>
          <w:lang w:val="en-US" w:eastAsia="en-US"/>
        </w:rPr>
        <w:t>are reported in parentheses</w:t>
      </w:r>
      <w:r w:rsidR="00415EDD">
        <w:rPr>
          <w:rFonts w:asciiTheme="minorHAnsi" w:eastAsia="Calibri" w:hAnsiTheme="minorHAnsi" w:cstheme="minorHAnsi"/>
          <w:sz w:val="22"/>
          <w:szCs w:val="22"/>
          <w:lang w:val="en-US" w:eastAsia="en-US"/>
        </w:rPr>
        <w:t xml:space="preserve">. </w:t>
      </w:r>
    </w:p>
    <w:p w14:paraId="16DA22CF" w14:textId="53B5E4F5" w:rsidR="00265889" w:rsidRDefault="00265889" w:rsidP="00415EDD">
      <w:pPr>
        <w:pStyle w:val="NoSpacing"/>
        <w:rPr>
          <w:rFonts w:asciiTheme="minorHAnsi" w:eastAsia="Calibri" w:hAnsiTheme="minorHAnsi" w:cstheme="minorHAnsi"/>
          <w:lang w:val="en-US"/>
        </w:rPr>
      </w:pPr>
    </w:p>
    <w:p w14:paraId="5CA65EC3" w14:textId="645099FD" w:rsidR="00FD7385" w:rsidRPr="004556EC" w:rsidRDefault="00FD7385" w:rsidP="004558C6">
      <w:pPr>
        <w:pStyle w:val="Newparagraph"/>
        <w:spacing w:line="360" w:lineRule="auto"/>
        <w:ind w:firstLine="0"/>
        <w:jc w:val="both"/>
        <w:rPr>
          <w:rFonts w:asciiTheme="minorHAnsi" w:eastAsia="Calibri" w:hAnsiTheme="minorHAnsi" w:cstheme="minorHAnsi"/>
          <w:lang w:val="en-US"/>
        </w:rPr>
      </w:pPr>
      <w:r w:rsidRPr="004556EC">
        <w:rPr>
          <w:rFonts w:asciiTheme="minorHAnsi" w:eastAsia="Calibri" w:hAnsiTheme="minorHAnsi" w:cstheme="minorHAnsi"/>
          <w:lang w:val="en-US"/>
        </w:rPr>
        <w:t xml:space="preserve">Likewise, during declining market conditions, the coefficient </w:t>
      </w:r>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4</m:t>
            </m:r>
          </m:sub>
        </m:sSub>
      </m:oMath>
      <w:r w:rsidRPr="004556EC">
        <w:rPr>
          <w:rFonts w:asciiTheme="minorHAnsi" w:eastAsia="Calibri" w:hAnsiTheme="minorHAnsi" w:cstheme="minorHAnsi"/>
          <w:vertAlign w:val="subscript"/>
          <w:lang w:val="en-US"/>
        </w:rPr>
        <w:t xml:space="preserve"> </w:t>
      </w:r>
      <w:r w:rsidRPr="004556EC">
        <w:rPr>
          <w:rFonts w:asciiTheme="minorHAnsi" w:eastAsia="Calibri" w:hAnsiTheme="minorHAnsi" w:cstheme="minorHAnsi"/>
          <w:lang w:val="en-US"/>
        </w:rPr>
        <w:t>is positive and statistically significant. The results also indicate tha</w:t>
      </w:r>
      <w:r w:rsidR="006906CF" w:rsidRPr="004556EC">
        <w:rPr>
          <w:rFonts w:asciiTheme="minorHAnsi" w:eastAsia="Calibri" w:hAnsiTheme="minorHAnsi" w:cstheme="minorHAnsi"/>
          <w:lang w:val="en-US"/>
        </w:rPr>
        <w:t xml:space="preserve">t there is no evidence of </w:t>
      </w:r>
      <w:r w:rsidR="00097186" w:rsidRPr="004556EC">
        <w:rPr>
          <w:rFonts w:asciiTheme="minorHAnsi" w:eastAsia="Calibri" w:hAnsiTheme="minorHAnsi" w:cstheme="minorHAnsi"/>
          <w:lang w:val="en-US"/>
        </w:rPr>
        <w:t>herding.</w:t>
      </w:r>
      <w:r w:rsidR="00421443" w:rsidRPr="004556EC">
        <w:rPr>
          <w:rFonts w:asciiTheme="minorHAnsi" w:eastAsia="Calibri" w:hAnsiTheme="minorHAnsi" w:cstheme="minorHAnsi"/>
          <w:lang w:val="en-US"/>
        </w:rPr>
        <w:t xml:space="preserve"> </w:t>
      </w:r>
      <w:r w:rsidR="00421443" w:rsidRPr="004556EC">
        <w:rPr>
          <w:rFonts w:asciiTheme="minorHAnsi" w:eastAsia="Calibri" w:hAnsiTheme="minorHAnsi" w:cstheme="minorHAnsi"/>
          <w:lang w:val="en-US"/>
        </w:rPr>
        <w:lastRenderedPageBreak/>
        <w:t xml:space="preserve">Hence, </w:t>
      </w:r>
      <w:r w:rsidRPr="004556EC">
        <w:rPr>
          <w:rFonts w:asciiTheme="minorHAnsi" w:eastAsia="Calibri" w:hAnsiTheme="minorHAnsi" w:cstheme="minorHAnsi"/>
          <w:lang w:val="en-US"/>
        </w:rPr>
        <w:t xml:space="preserve">herding is </w:t>
      </w:r>
      <w:r w:rsidR="00F66ED3">
        <w:rPr>
          <w:rFonts w:asciiTheme="minorHAnsi" w:eastAsia="Calibri" w:hAnsiTheme="minorHAnsi" w:cstheme="minorHAnsi"/>
          <w:lang w:val="en-US"/>
        </w:rPr>
        <w:t xml:space="preserve">not </w:t>
      </w:r>
      <w:r w:rsidRPr="004556EC">
        <w:rPr>
          <w:rFonts w:asciiTheme="minorHAnsi" w:eastAsia="Calibri" w:hAnsiTheme="minorHAnsi" w:cstheme="minorHAnsi"/>
          <w:lang w:val="en-US"/>
        </w:rPr>
        <w:t xml:space="preserve">contingent upon market returns. </w:t>
      </w:r>
      <w:r w:rsidR="00D64275">
        <w:rPr>
          <w:rFonts w:asciiTheme="minorHAnsi" w:eastAsia="Calibri" w:hAnsiTheme="minorHAnsi" w:cstheme="minorHAnsi"/>
          <w:lang w:val="en-US"/>
        </w:rPr>
        <w:t>On the contrary, there is evidence of anti-herding</w:t>
      </w:r>
      <w:r w:rsidR="003F7391">
        <w:rPr>
          <w:rFonts w:asciiTheme="minorHAnsi" w:eastAsia="Calibri" w:hAnsiTheme="minorHAnsi" w:cstheme="minorHAnsi"/>
          <w:lang w:val="en-US"/>
        </w:rPr>
        <w:t xml:space="preserve"> in both market conditions. </w:t>
      </w:r>
    </w:p>
    <w:p w14:paraId="007FF168" w14:textId="2A5DF803" w:rsidR="00895F55" w:rsidRDefault="00DA16E7" w:rsidP="004558C6">
      <w:pPr>
        <w:pStyle w:val="Newparagraph"/>
        <w:spacing w:line="360" w:lineRule="auto"/>
        <w:ind w:firstLine="0"/>
        <w:jc w:val="both"/>
        <w:rPr>
          <w:rFonts w:asciiTheme="minorHAnsi" w:eastAsia="Calibri" w:hAnsiTheme="minorHAnsi" w:cstheme="minorHAnsi"/>
          <w:lang w:val="en-US"/>
        </w:rPr>
      </w:pPr>
      <w:r w:rsidRPr="004556EC">
        <w:rPr>
          <w:rFonts w:asciiTheme="minorHAnsi" w:eastAsia="Calibri" w:hAnsiTheme="minorHAnsi" w:cstheme="minorHAnsi"/>
          <w:lang w:val="en-US"/>
        </w:rPr>
        <w:t xml:space="preserve">Table </w:t>
      </w:r>
      <w:r w:rsidR="00F82B4A" w:rsidRPr="004556EC">
        <w:rPr>
          <w:rFonts w:asciiTheme="minorHAnsi" w:eastAsia="Calibri" w:hAnsiTheme="minorHAnsi" w:cstheme="minorHAnsi"/>
          <w:lang w:val="en-US"/>
        </w:rPr>
        <w:t>3.</w:t>
      </w:r>
      <w:r w:rsidRPr="004556EC">
        <w:rPr>
          <w:rFonts w:asciiTheme="minorHAnsi" w:eastAsia="Calibri" w:hAnsiTheme="minorHAnsi" w:cstheme="minorHAnsi"/>
          <w:lang w:val="en-US"/>
        </w:rPr>
        <w:t xml:space="preserve">4 presents results for the industry sector CSADs in rising and declining price movements. </w:t>
      </w:r>
      <w:r w:rsidR="00EA1D04">
        <w:rPr>
          <w:rFonts w:asciiTheme="minorHAnsi" w:eastAsia="Calibri" w:hAnsiTheme="minorHAnsi" w:cstheme="minorHAnsi"/>
          <w:lang w:val="en-US"/>
        </w:rPr>
        <w:t>In both rising and declining markets</w:t>
      </w:r>
      <w:r w:rsidRPr="004556EC">
        <w:rPr>
          <w:rFonts w:asciiTheme="minorHAnsi" w:eastAsia="Calibri" w:hAnsiTheme="minorHAnsi" w:cstheme="minorHAnsi"/>
          <w:lang w:val="en-US"/>
        </w:rPr>
        <w:t xml:space="preserve">, negative statistically significant coefficients are reported in the </w:t>
      </w:r>
      <w:r w:rsidR="007E03C9">
        <w:rPr>
          <w:rFonts w:asciiTheme="minorHAnsi" w:eastAsia="Calibri" w:hAnsiTheme="minorHAnsi" w:cstheme="minorHAnsi"/>
          <w:lang w:val="en-US"/>
        </w:rPr>
        <w:t>Financials</w:t>
      </w:r>
      <w:r w:rsidRPr="004556EC">
        <w:rPr>
          <w:rFonts w:asciiTheme="minorHAnsi" w:eastAsia="Calibri" w:hAnsiTheme="minorHAnsi" w:cstheme="minorHAnsi"/>
          <w:lang w:val="en-US"/>
        </w:rPr>
        <w:t xml:space="preserve">, </w:t>
      </w:r>
      <w:r w:rsidR="007E03C9">
        <w:rPr>
          <w:rFonts w:asciiTheme="minorHAnsi" w:eastAsia="Calibri" w:hAnsiTheme="minorHAnsi" w:cstheme="minorHAnsi"/>
          <w:lang w:val="en-US"/>
        </w:rPr>
        <w:t>Industrials</w:t>
      </w:r>
      <w:r w:rsidRPr="004556EC">
        <w:rPr>
          <w:rFonts w:asciiTheme="minorHAnsi" w:eastAsia="Calibri" w:hAnsiTheme="minorHAnsi" w:cstheme="minorHAnsi"/>
          <w:lang w:val="en-US"/>
        </w:rPr>
        <w:t xml:space="preserve">, </w:t>
      </w:r>
      <w:r w:rsidR="007E03C9">
        <w:rPr>
          <w:rFonts w:asciiTheme="minorHAnsi" w:eastAsia="Calibri" w:hAnsiTheme="minorHAnsi" w:cstheme="minorHAnsi"/>
          <w:lang w:val="en-US"/>
        </w:rPr>
        <w:t>Real Estate</w:t>
      </w:r>
      <w:r w:rsidRPr="004556EC">
        <w:rPr>
          <w:rFonts w:asciiTheme="minorHAnsi" w:eastAsia="Calibri" w:hAnsiTheme="minorHAnsi" w:cstheme="minorHAnsi"/>
          <w:lang w:val="en-US"/>
        </w:rPr>
        <w:t xml:space="preserve">, </w:t>
      </w:r>
      <w:r w:rsidR="007E03C9">
        <w:rPr>
          <w:rFonts w:asciiTheme="minorHAnsi" w:eastAsia="Calibri" w:hAnsiTheme="minorHAnsi" w:cstheme="minorHAnsi"/>
          <w:lang w:val="en-US"/>
        </w:rPr>
        <w:t>Telecoms</w:t>
      </w:r>
      <w:r w:rsidRPr="004556EC">
        <w:rPr>
          <w:rFonts w:asciiTheme="minorHAnsi" w:eastAsia="Calibri" w:hAnsiTheme="minorHAnsi" w:cstheme="minorHAnsi"/>
          <w:lang w:val="en-US"/>
        </w:rPr>
        <w:t xml:space="preserve"> and </w:t>
      </w:r>
      <w:r w:rsidR="00A16488">
        <w:rPr>
          <w:rFonts w:asciiTheme="minorHAnsi" w:eastAsia="Calibri" w:hAnsiTheme="minorHAnsi" w:cstheme="minorHAnsi"/>
          <w:lang w:val="en-US"/>
        </w:rPr>
        <w:t>U</w:t>
      </w:r>
      <w:r w:rsidR="007E03C9">
        <w:rPr>
          <w:rFonts w:asciiTheme="minorHAnsi" w:eastAsia="Calibri" w:hAnsiTheme="minorHAnsi" w:cstheme="minorHAnsi"/>
          <w:lang w:val="en-US"/>
        </w:rPr>
        <w:t xml:space="preserve">tilities </w:t>
      </w:r>
      <w:r w:rsidRPr="004556EC">
        <w:rPr>
          <w:rFonts w:asciiTheme="minorHAnsi" w:eastAsia="Calibri" w:hAnsiTheme="minorHAnsi" w:cstheme="minorHAnsi"/>
          <w:lang w:val="en-US"/>
        </w:rPr>
        <w:t xml:space="preserve">sectors. </w:t>
      </w:r>
      <w:r w:rsidR="007E03C9">
        <w:rPr>
          <w:rFonts w:asciiTheme="minorHAnsi" w:eastAsia="Calibri" w:hAnsiTheme="minorHAnsi" w:cstheme="minorHAnsi"/>
        </w:rPr>
        <w:t>Th</w:t>
      </w:r>
      <w:r w:rsidR="009C634B">
        <w:rPr>
          <w:rFonts w:asciiTheme="minorHAnsi" w:eastAsia="Calibri" w:hAnsiTheme="minorHAnsi" w:cstheme="minorHAnsi"/>
        </w:rPr>
        <w:t xml:space="preserve">ese results imply that market participants herd in the same industries irrespective of the state of the market. </w:t>
      </w:r>
      <w:r w:rsidRPr="004556EC">
        <w:rPr>
          <w:rFonts w:asciiTheme="minorHAnsi" w:eastAsia="Calibri" w:hAnsiTheme="minorHAnsi" w:cstheme="minorHAnsi"/>
          <w:lang w:val="en-US"/>
        </w:rPr>
        <w:t xml:space="preserve"> </w:t>
      </w:r>
    </w:p>
    <w:p w14:paraId="2FB54BD2" w14:textId="50019706" w:rsidR="00895F55" w:rsidRDefault="00895F55" w:rsidP="004558C6">
      <w:pPr>
        <w:pStyle w:val="Newparagraph"/>
        <w:spacing w:line="360" w:lineRule="auto"/>
        <w:ind w:firstLine="0"/>
        <w:jc w:val="both"/>
        <w:rPr>
          <w:rFonts w:asciiTheme="minorHAnsi" w:eastAsia="Calibri" w:hAnsiTheme="minorHAnsi" w:cstheme="minorHAnsi"/>
          <w:lang w:val="en-US"/>
        </w:rPr>
      </w:pPr>
    </w:p>
    <w:p w14:paraId="48052691" w14:textId="77777777" w:rsidR="00895F55" w:rsidRPr="004556EC" w:rsidRDefault="00895F55" w:rsidP="004558C6">
      <w:pPr>
        <w:pStyle w:val="Newparagraph"/>
        <w:spacing w:line="360" w:lineRule="auto"/>
        <w:ind w:firstLine="0"/>
        <w:jc w:val="both"/>
        <w:rPr>
          <w:rFonts w:asciiTheme="minorHAnsi" w:eastAsia="Calibri" w:hAnsiTheme="minorHAnsi" w:cstheme="minorHAnsi"/>
          <w:lang w:val="en-US"/>
        </w:rPr>
      </w:pPr>
    </w:p>
    <w:p w14:paraId="3319B0E1" w14:textId="6E7D6694" w:rsidR="00777512" w:rsidRPr="004556EC" w:rsidRDefault="00777512" w:rsidP="00265889">
      <w:pPr>
        <w:spacing w:after="200" w:line="360" w:lineRule="auto"/>
        <w:jc w:val="center"/>
        <w:rPr>
          <w:rFonts w:asciiTheme="minorHAnsi" w:eastAsia="Calibri" w:hAnsiTheme="minorHAnsi" w:cstheme="minorHAnsi"/>
          <w:b/>
          <w:iCs/>
          <w:lang w:val="en-US" w:eastAsia="en-US"/>
        </w:rPr>
      </w:pPr>
      <w:bookmarkStart w:id="4" w:name="_Toc534716702"/>
      <w:r w:rsidRPr="004556EC">
        <w:rPr>
          <w:rFonts w:asciiTheme="minorHAnsi" w:eastAsia="Calibri" w:hAnsiTheme="minorHAnsi" w:cstheme="minorHAnsi"/>
          <w:b/>
          <w:iCs/>
          <w:szCs w:val="18"/>
          <w:lang w:eastAsia="en-US"/>
        </w:rPr>
        <w:t xml:space="preserve">Table </w:t>
      </w:r>
      <w:r w:rsidR="00F82B4A" w:rsidRPr="004556EC">
        <w:rPr>
          <w:rFonts w:asciiTheme="minorHAnsi" w:eastAsia="Calibri" w:hAnsiTheme="minorHAnsi" w:cstheme="minorHAnsi"/>
          <w:b/>
          <w:iCs/>
          <w:szCs w:val="18"/>
          <w:lang w:eastAsia="en-US"/>
        </w:rPr>
        <w:t>3.</w:t>
      </w:r>
      <w:r w:rsidRPr="004556EC">
        <w:rPr>
          <w:rFonts w:asciiTheme="minorHAnsi" w:eastAsia="Calibri" w:hAnsiTheme="minorHAnsi" w:cstheme="minorHAnsi"/>
          <w:b/>
          <w:iCs/>
          <w:szCs w:val="18"/>
          <w:lang w:eastAsia="en-US"/>
        </w:rPr>
        <w:t>4. Estimates of herding for sectors in rising and declining markets, US</w:t>
      </w:r>
      <w:bookmarkEnd w:id="4"/>
    </w:p>
    <w:tbl>
      <w:tblPr>
        <w:tblW w:w="5000" w:type="pct"/>
        <w:tblLook w:val="04A0" w:firstRow="1" w:lastRow="0" w:firstColumn="1" w:lastColumn="0" w:noHBand="0" w:noVBand="1"/>
      </w:tblPr>
      <w:tblGrid>
        <w:gridCol w:w="1821"/>
        <w:gridCol w:w="1184"/>
        <w:gridCol w:w="976"/>
        <w:gridCol w:w="114"/>
        <w:gridCol w:w="1006"/>
        <w:gridCol w:w="85"/>
        <w:gridCol w:w="875"/>
        <w:gridCol w:w="206"/>
        <w:gridCol w:w="750"/>
        <w:gridCol w:w="503"/>
        <w:gridCol w:w="756"/>
        <w:gridCol w:w="223"/>
      </w:tblGrid>
      <w:tr w:rsidR="00777512" w:rsidRPr="00652870" w14:paraId="0DB03036" w14:textId="77777777" w:rsidTr="004B02B1">
        <w:trPr>
          <w:trHeight w:val="588"/>
        </w:trPr>
        <w:tc>
          <w:tcPr>
            <w:tcW w:w="4128" w:type="pct"/>
            <w:gridSpan w:val="9"/>
            <w:tcBorders>
              <w:top w:val="single" w:sz="4" w:space="0" w:color="auto"/>
              <w:left w:val="nil"/>
              <w:bottom w:val="single" w:sz="4" w:space="0" w:color="auto"/>
              <w:right w:val="nil"/>
            </w:tcBorders>
            <w:shd w:val="clear" w:color="auto" w:fill="auto"/>
            <w:noWrap/>
            <w:vAlign w:val="bottom"/>
            <w:hideMark/>
          </w:tcPr>
          <w:p w14:paraId="7BA3865F" w14:textId="1F59364C" w:rsidR="00777512" w:rsidRPr="00652870" w:rsidRDefault="00777512" w:rsidP="004558C6">
            <w:pPr>
              <w:spacing w:line="240" w:lineRule="auto"/>
              <w:jc w:val="both"/>
              <w:rPr>
                <w:rFonts w:asciiTheme="minorHAnsi" w:eastAsia="Calibri" w:hAnsiTheme="minorHAnsi" w:cstheme="minorHAnsi"/>
                <w:sz w:val="22"/>
                <w:szCs w:val="22"/>
                <w:lang w:val="en-US" w:eastAsia="en-US"/>
              </w:rPr>
            </w:pPr>
            <w:r w:rsidRPr="00652870">
              <w:rPr>
                <w:rFonts w:asciiTheme="minorHAnsi" w:eastAsia="Calibri" w:hAnsiTheme="minorHAnsi" w:cstheme="minorHAnsi"/>
                <w:sz w:val="22"/>
                <w:szCs w:val="22"/>
                <w:lang w:val="en-US" w:eastAsia="en-US"/>
              </w:rPr>
              <w:t>Industry</w:t>
            </w:r>
            <w:r w:rsidRPr="00652870">
              <w:rPr>
                <w:rFonts w:asciiTheme="minorHAnsi" w:eastAsia="Calibri" w:hAnsiTheme="minorHAnsi" w:cstheme="minorHAnsi"/>
                <w:sz w:val="22"/>
                <w:szCs w:val="22"/>
                <w:lang w:val="en-US" w:eastAsia="en-US"/>
              </w:rPr>
              <w:tab/>
              <w:t xml:space="preserve">           α</w:t>
            </w:r>
            <w:r w:rsidRPr="00652870">
              <w:rPr>
                <w:rFonts w:asciiTheme="minorHAnsi" w:eastAsia="Calibri" w:hAnsiTheme="minorHAnsi" w:cstheme="minorHAnsi"/>
                <w:sz w:val="22"/>
                <w:szCs w:val="22"/>
                <w:lang w:val="en-US" w:eastAsia="en-US"/>
              </w:rPr>
              <w:tab/>
              <w:t xml:space="preserve">          </w:t>
            </w:r>
            <w:r w:rsidR="00B84355" w:rsidRPr="00652870">
              <w:rPr>
                <w:rFonts w:asciiTheme="minorHAnsi" w:eastAsia="Calibri" w:hAnsiTheme="minorHAnsi" w:cstheme="minorHAnsi"/>
                <w:sz w:val="22"/>
                <w:szCs w:val="22"/>
                <w:lang w:val="en-US" w:eastAsia="en-US"/>
              </w:rPr>
              <w:t xml:space="preserve">        </w:t>
            </w:r>
            <m:oMath>
              <m:sSub>
                <m:sSubPr>
                  <m:ctrlPr>
                    <w:rPr>
                      <w:rFonts w:ascii="Cambria Math" w:eastAsia="Calibri" w:hAnsi="Cambria Math" w:cstheme="minorHAnsi"/>
                      <w:sz w:val="22"/>
                      <w:szCs w:val="22"/>
                      <w:lang w:eastAsia="en-US"/>
                    </w:rPr>
                  </m:ctrlPr>
                </m:sSubPr>
                <m:e>
                  <m:r>
                    <w:rPr>
                      <w:rFonts w:ascii="Cambria Math" w:eastAsia="Calibri" w:hAnsi="Cambria Math" w:cstheme="minorHAnsi"/>
                      <w:sz w:val="22"/>
                      <w:szCs w:val="22"/>
                      <w:lang w:eastAsia="en-US"/>
                    </w:rPr>
                    <m:t>γ</m:t>
                  </m:r>
                </m:e>
                <m:sub>
                  <m:r>
                    <m:rPr>
                      <m:sty m:val="p"/>
                    </m:rPr>
                    <w:rPr>
                      <w:rFonts w:ascii="Cambria Math" w:eastAsia="Calibri" w:hAnsi="Cambria Math" w:cstheme="minorHAnsi"/>
                      <w:sz w:val="22"/>
                      <w:szCs w:val="22"/>
                      <w:lang w:eastAsia="en-US"/>
                    </w:rPr>
                    <m:t>1</m:t>
                  </m:r>
                </m:sub>
              </m:sSub>
            </m:oMath>
            <w:r w:rsidRPr="00652870">
              <w:rPr>
                <w:rFonts w:asciiTheme="minorHAnsi" w:eastAsia="Calibri" w:hAnsiTheme="minorHAnsi" w:cstheme="minorHAnsi"/>
                <w:sz w:val="22"/>
                <w:szCs w:val="22"/>
                <w:lang w:val="en-US" w:eastAsia="en-US"/>
              </w:rPr>
              <w:t xml:space="preserve">                   </w:t>
            </w:r>
            <m:oMath>
              <m:sSub>
                <m:sSubPr>
                  <m:ctrlPr>
                    <w:rPr>
                      <w:rFonts w:ascii="Cambria Math" w:eastAsia="Calibri" w:hAnsi="Cambria Math" w:cstheme="minorHAnsi"/>
                      <w:sz w:val="22"/>
                      <w:szCs w:val="22"/>
                      <w:lang w:eastAsia="en-US"/>
                    </w:rPr>
                  </m:ctrlPr>
                </m:sSubPr>
                <m:e>
                  <m:r>
                    <w:rPr>
                      <w:rFonts w:ascii="Cambria Math" w:eastAsia="Calibri" w:hAnsi="Cambria Math" w:cstheme="minorHAnsi"/>
                      <w:sz w:val="22"/>
                      <w:szCs w:val="22"/>
                      <w:lang w:eastAsia="en-US"/>
                    </w:rPr>
                    <m:t>γ</m:t>
                  </m:r>
                </m:e>
                <m:sub>
                  <m:r>
                    <m:rPr>
                      <m:sty m:val="p"/>
                    </m:rPr>
                    <w:rPr>
                      <w:rFonts w:ascii="Cambria Math" w:eastAsia="Calibri" w:hAnsi="Cambria Math" w:cstheme="minorHAnsi"/>
                      <w:sz w:val="22"/>
                      <w:szCs w:val="22"/>
                      <w:lang w:eastAsia="en-US"/>
                    </w:rPr>
                    <m:t>2</m:t>
                  </m:r>
                </m:sub>
              </m:sSub>
            </m:oMath>
            <w:r w:rsidRPr="00652870">
              <w:rPr>
                <w:rFonts w:asciiTheme="minorHAnsi" w:eastAsia="Calibri" w:hAnsiTheme="minorHAnsi" w:cstheme="minorHAnsi"/>
                <w:sz w:val="22"/>
                <w:szCs w:val="22"/>
                <w:vertAlign w:val="subscript"/>
                <w:lang w:val="en-US" w:eastAsia="en-US"/>
              </w:rPr>
              <w:tab/>
              <w:t xml:space="preserve">        </w:t>
            </w:r>
            <w:r w:rsidR="00B84355" w:rsidRPr="00652870">
              <w:rPr>
                <w:rFonts w:asciiTheme="minorHAnsi" w:eastAsia="Calibri" w:hAnsiTheme="minorHAnsi" w:cstheme="minorHAnsi"/>
                <w:sz w:val="22"/>
                <w:szCs w:val="22"/>
                <w:vertAlign w:val="subscript"/>
                <w:lang w:val="en-US" w:eastAsia="en-US"/>
              </w:rPr>
              <w:t xml:space="preserve"> </w:t>
            </w:r>
            <m:oMath>
              <m:sSub>
                <m:sSubPr>
                  <m:ctrlPr>
                    <w:rPr>
                      <w:rFonts w:ascii="Cambria Math" w:eastAsia="Calibri" w:hAnsi="Cambria Math" w:cstheme="minorHAnsi"/>
                      <w:sz w:val="22"/>
                      <w:szCs w:val="22"/>
                      <w:lang w:eastAsia="en-US"/>
                    </w:rPr>
                  </m:ctrlPr>
                </m:sSubPr>
                <m:e>
                  <m:r>
                    <w:rPr>
                      <w:rFonts w:ascii="Cambria Math" w:eastAsia="Calibri" w:hAnsi="Cambria Math" w:cstheme="minorHAnsi"/>
                      <w:sz w:val="22"/>
                      <w:szCs w:val="22"/>
                      <w:lang w:eastAsia="en-US"/>
                    </w:rPr>
                    <m:t>γ</m:t>
                  </m:r>
                </m:e>
                <m:sub>
                  <m:r>
                    <m:rPr>
                      <m:sty m:val="p"/>
                    </m:rPr>
                    <w:rPr>
                      <w:rFonts w:ascii="Cambria Math" w:eastAsia="Calibri" w:hAnsi="Cambria Math" w:cstheme="minorHAnsi"/>
                      <w:sz w:val="22"/>
                      <w:szCs w:val="22"/>
                      <w:lang w:eastAsia="en-US"/>
                    </w:rPr>
                    <m:t>3</m:t>
                  </m:r>
                </m:sub>
              </m:sSub>
            </m:oMath>
            <w:r w:rsidRPr="00652870">
              <w:rPr>
                <w:rFonts w:asciiTheme="minorHAnsi" w:eastAsia="Calibri" w:hAnsiTheme="minorHAnsi" w:cstheme="minorHAnsi"/>
                <w:sz w:val="22"/>
                <w:szCs w:val="22"/>
                <w:lang w:val="en-US" w:eastAsia="en-US"/>
              </w:rPr>
              <w:tab/>
              <w:t xml:space="preserve">        </w:t>
            </w:r>
            <w:r w:rsidR="001724F4" w:rsidRPr="00652870">
              <w:rPr>
                <w:rFonts w:asciiTheme="minorHAnsi" w:eastAsia="Calibri" w:hAnsiTheme="minorHAnsi" w:cstheme="minorHAnsi"/>
                <w:sz w:val="22"/>
                <w:szCs w:val="22"/>
                <w:lang w:val="en-US" w:eastAsia="en-US"/>
              </w:rPr>
              <w:t xml:space="preserve">     </w:t>
            </w:r>
            <m:oMath>
              <m:sSub>
                <m:sSubPr>
                  <m:ctrlPr>
                    <w:rPr>
                      <w:rFonts w:ascii="Cambria Math" w:eastAsia="Calibri" w:hAnsi="Cambria Math" w:cstheme="minorHAnsi"/>
                      <w:sz w:val="22"/>
                      <w:szCs w:val="22"/>
                      <w:lang w:eastAsia="en-US"/>
                    </w:rPr>
                  </m:ctrlPr>
                </m:sSubPr>
                <m:e>
                  <m:r>
                    <w:rPr>
                      <w:rFonts w:ascii="Cambria Math" w:eastAsia="Calibri" w:hAnsi="Cambria Math" w:cstheme="minorHAnsi"/>
                      <w:sz w:val="22"/>
                      <w:szCs w:val="22"/>
                      <w:lang w:eastAsia="en-US"/>
                    </w:rPr>
                    <m:t>γ</m:t>
                  </m:r>
                </m:e>
                <m:sub>
                  <m:r>
                    <m:rPr>
                      <m:sty m:val="p"/>
                    </m:rPr>
                    <w:rPr>
                      <w:rFonts w:ascii="Cambria Math" w:eastAsia="Calibri" w:hAnsi="Cambria Math" w:cstheme="minorHAnsi"/>
                      <w:sz w:val="22"/>
                      <w:szCs w:val="22"/>
                      <w:lang w:eastAsia="en-US"/>
                    </w:rPr>
                    <m:t>4</m:t>
                  </m:r>
                </m:sub>
              </m:sSub>
            </m:oMath>
            <w:r w:rsidRPr="00652870">
              <w:rPr>
                <w:rFonts w:asciiTheme="minorHAnsi" w:eastAsia="Calibri" w:hAnsiTheme="minorHAnsi" w:cstheme="minorHAnsi"/>
                <w:sz w:val="22"/>
                <w:szCs w:val="22"/>
                <w:lang w:val="en-US" w:eastAsia="en-US"/>
              </w:rPr>
              <w:t xml:space="preserve">                  </w:t>
            </w:r>
          </w:p>
        </w:tc>
        <w:tc>
          <w:tcPr>
            <w:tcW w:w="741" w:type="pct"/>
            <w:gridSpan w:val="2"/>
            <w:tcBorders>
              <w:top w:val="single" w:sz="4" w:space="0" w:color="auto"/>
              <w:left w:val="nil"/>
              <w:bottom w:val="single" w:sz="4" w:space="0" w:color="auto"/>
              <w:right w:val="nil"/>
            </w:tcBorders>
            <w:shd w:val="clear" w:color="auto" w:fill="auto"/>
            <w:noWrap/>
            <w:vAlign w:val="bottom"/>
            <w:hideMark/>
          </w:tcPr>
          <w:p w14:paraId="4B66D429" w14:textId="39A98BB2" w:rsidR="00777512" w:rsidRPr="00652870" w:rsidRDefault="00777512" w:rsidP="004558C6">
            <w:pPr>
              <w:spacing w:line="240" w:lineRule="auto"/>
              <w:jc w:val="both"/>
              <w:rPr>
                <w:rFonts w:asciiTheme="minorHAnsi" w:eastAsia="Calibri" w:hAnsiTheme="minorHAnsi" w:cstheme="minorHAnsi"/>
                <w:sz w:val="22"/>
                <w:szCs w:val="22"/>
                <w:lang w:val="en-US" w:eastAsia="en-US"/>
              </w:rPr>
            </w:pPr>
            <w:r w:rsidRPr="00652870">
              <w:rPr>
                <w:rFonts w:asciiTheme="minorHAnsi" w:eastAsia="Calibri" w:hAnsiTheme="minorHAnsi" w:cstheme="minorHAnsi"/>
                <w:sz w:val="22"/>
                <w:szCs w:val="22"/>
                <w:lang w:val="en-US" w:eastAsia="en-US"/>
              </w:rPr>
              <w:t xml:space="preserve">      </w:t>
            </w:r>
            <w:r w:rsidR="00DD5A82" w:rsidRPr="00652870">
              <w:rPr>
                <w:rFonts w:asciiTheme="minorHAnsi" w:eastAsia="Calibri" w:hAnsiTheme="minorHAnsi" w:cstheme="minorHAnsi"/>
                <w:sz w:val="22"/>
                <w:szCs w:val="22"/>
                <w:lang w:val="en-US" w:eastAsia="en-US"/>
              </w:rPr>
              <w:t xml:space="preserve">    </w:t>
            </w:r>
            <w:r w:rsidRPr="00652870">
              <w:rPr>
                <w:rFonts w:asciiTheme="minorHAnsi" w:eastAsia="Calibri" w:hAnsiTheme="minorHAnsi" w:cstheme="minorHAnsi"/>
                <w:sz w:val="22"/>
                <w:szCs w:val="22"/>
                <w:lang w:val="en-US" w:eastAsia="en-US"/>
              </w:rPr>
              <w:t>Adj.R</w:t>
            </w:r>
            <w:r w:rsidRPr="00652870">
              <w:rPr>
                <w:rFonts w:asciiTheme="minorHAnsi" w:eastAsia="Calibri" w:hAnsiTheme="minorHAnsi" w:cstheme="minorHAnsi"/>
                <w:sz w:val="22"/>
                <w:szCs w:val="22"/>
                <w:vertAlign w:val="superscript"/>
                <w:lang w:val="en-US" w:eastAsia="en-US"/>
              </w:rPr>
              <w:t>2</w:t>
            </w:r>
          </w:p>
        </w:tc>
        <w:tc>
          <w:tcPr>
            <w:tcW w:w="131" w:type="pct"/>
            <w:tcBorders>
              <w:top w:val="single" w:sz="4" w:space="0" w:color="auto"/>
              <w:left w:val="nil"/>
              <w:bottom w:val="single" w:sz="4" w:space="0" w:color="auto"/>
              <w:right w:val="nil"/>
            </w:tcBorders>
            <w:shd w:val="clear" w:color="auto" w:fill="auto"/>
            <w:noWrap/>
            <w:vAlign w:val="bottom"/>
            <w:hideMark/>
          </w:tcPr>
          <w:p w14:paraId="42E6073B" w14:textId="77777777" w:rsidR="00777512" w:rsidRPr="00652870" w:rsidRDefault="00777512" w:rsidP="004558C6">
            <w:pPr>
              <w:spacing w:line="240" w:lineRule="auto"/>
              <w:rPr>
                <w:rFonts w:asciiTheme="minorHAnsi" w:eastAsia="Calibri" w:hAnsiTheme="minorHAnsi" w:cstheme="minorHAnsi"/>
                <w:sz w:val="22"/>
                <w:szCs w:val="22"/>
                <w:lang w:val="en-US" w:eastAsia="en-US"/>
              </w:rPr>
            </w:pPr>
          </w:p>
        </w:tc>
      </w:tr>
      <w:tr w:rsidR="004B02B1" w:rsidRPr="00652870" w14:paraId="58A536FF" w14:textId="77777777" w:rsidTr="004B02B1">
        <w:trPr>
          <w:trHeight w:val="375"/>
        </w:trPr>
        <w:tc>
          <w:tcPr>
            <w:tcW w:w="1071" w:type="pct"/>
            <w:tcBorders>
              <w:top w:val="nil"/>
              <w:left w:val="nil"/>
              <w:bottom w:val="nil"/>
              <w:right w:val="nil"/>
            </w:tcBorders>
            <w:shd w:val="clear" w:color="auto" w:fill="auto"/>
            <w:noWrap/>
            <w:vAlign w:val="bottom"/>
          </w:tcPr>
          <w:p w14:paraId="3B364FEC" w14:textId="77777777" w:rsidR="00777512" w:rsidRPr="00652870" w:rsidRDefault="00777512" w:rsidP="004558C6">
            <w:pPr>
              <w:spacing w:line="240" w:lineRule="auto"/>
              <w:rPr>
                <w:rFonts w:asciiTheme="minorHAnsi" w:eastAsia="Calibri" w:hAnsiTheme="minorHAnsi" w:cstheme="minorHAnsi"/>
                <w:sz w:val="22"/>
                <w:szCs w:val="22"/>
                <w:lang w:val="en-US" w:eastAsia="en-US"/>
              </w:rPr>
            </w:pPr>
          </w:p>
        </w:tc>
        <w:tc>
          <w:tcPr>
            <w:tcW w:w="1271" w:type="pct"/>
            <w:gridSpan w:val="2"/>
            <w:tcBorders>
              <w:top w:val="nil"/>
              <w:left w:val="nil"/>
              <w:bottom w:val="nil"/>
              <w:right w:val="nil"/>
            </w:tcBorders>
            <w:shd w:val="clear" w:color="auto" w:fill="auto"/>
            <w:noWrap/>
            <w:vAlign w:val="bottom"/>
          </w:tcPr>
          <w:p w14:paraId="2DA4F570" w14:textId="77777777" w:rsidR="00777512" w:rsidRPr="00652870" w:rsidRDefault="00777512" w:rsidP="004558C6">
            <w:pPr>
              <w:spacing w:line="240" w:lineRule="auto"/>
              <w:rPr>
                <w:rFonts w:asciiTheme="minorHAnsi" w:eastAsia="Calibri" w:hAnsiTheme="minorHAnsi" w:cstheme="minorHAnsi"/>
                <w:sz w:val="22"/>
                <w:szCs w:val="22"/>
                <w:lang w:val="en-US" w:eastAsia="en-US"/>
              </w:rPr>
            </w:pPr>
          </w:p>
        </w:tc>
        <w:tc>
          <w:tcPr>
            <w:tcW w:w="659" w:type="pct"/>
            <w:gridSpan w:val="2"/>
            <w:tcBorders>
              <w:top w:val="nil"/>
              <w:left w:val="nil"/>
              <w:bottom w:val="nil"/>
              <w:right w:val="nil"/>
            </w:tcBorders>
            <w:shd w:val="clear" w:color="auto" w:fill="auto"/>
            <w:noWrap/>
            <w:vAlign w:val="bottom"/>
          </w:tcPr>
          <w:p w14:paraId="2C68A853" w14:textId="77777777" w:rsidR="00777512" w:rsidRPr="00652870" w:rsidRDefault="00777512" w:rsidP="004558C6">
            <w:pPr>
              <w:spacing w:line="240" w:lineRule="auto"/>
              <w:rPr>
                <w:rFonts w:asciiTheme="minorHAnsi" w:eastAsia="Calibri" w:hAnsiTheme="minorHAnsi" w:cstheme="minorHAnsi"/>
                <w:sz w:val="22"/>
                <w:szCs w:val="22"/>
                <w:lang w:val="en-US" w:eastAsia="en-US"/>
              </w:rPr>
            </w:pPr>
          </w:p>
        </w:tc>
        <w:tc>
          <w:tcPr>
            <w:tcW w:w="565" w:type="pct"/>
            <w:gridSpan w:val="2"/>
            <w:tcBorders>
              <w:top w:val="nil"/>
              <w:left w:val="nil"/>
              <w:bottom w:val="nil"/>
              <w:right w:val="nil"/>
            </w:tcBorders>
            <w:shd w:val="clear" w:color="auto" w:fill="auto"/>
            <w:noWrap/>
            <w:vAlign w:val="bottom"/>
          </w:tcPr>
          <w:p w14:paraId="460E3B70" w14:textId="77777777" w:rsidR="00777512" w:rsidRPr="00652870" w:rsidRDefault="00777512" w:rsidP="004558C6">
            <w:pPr>
              <w:spacing w:line="240" w:lineRule="auto"/>
              <w:rPr>
                <w:rFonts w:asciiTheme="minorHAnsi" w:eastAsia="Calibri" w:hAnsiTheme="minorHAnsi" w:cstheme="minorHAnsi"/>
                <w:sz w:val="22"/>
                <w:szCs w:val="22"/>
                <w:lang w:val="en-US" w:eastAsia="en-US"/>
              </w:rPr>
            </w:pPr>
          </w:p>
        </w:tc>
        <w:tc>
          <w:tcPr>
            <w:tcW w:w="562" w:type="pct"/>
            <w:gridSpan w:val="2"/>
            <w:tcBorders>
              <w:top w:val="nil"/>
              <w:left w:val="nil"/>
              <w:bottom w:val="nil"/>
              <w:right w:val="nil"/>
            </w:tcBorders>
            <w:shd w:val="clear" w:color="auto" w:fill="auto"/>
            <w:noWrap/>
            <w:vAlign w:val="bottom"/>
          </w:tcPr>
          <w:p w14:paraId="2B0B15E0" w14:textId="77777777" w:rsidR="00777512" w:rsidRPr="00652870" w:rsidRDefault="00777512" w:rsidP="004558C6">
            <w:pPr>
              <w:spacing w:line="240" w:lineRule="auto"/>
              <w:rPr>
                <w:rFonts w:asciiTheme="minorHAnsi" w:eastAsia="Calibri" w:hAnsiTheme="minorHAnsi" w:cstheme="minorHAnsi"/>
                <w:sz w:val="22"/>
                <w:szCs w:val="22"/>
                <w:lang w:val="en-US" w:eastAsia="en-US"/>
              </w:rPr>
            </w:pPr>
          </w:p>
        </w:tc>
        <w:tc>
          <w:tcPr>
            <w:tcW w:w="741" w:type="pct"/>
            <w:gridSpan w:val="2"/>
            <w:tcBorders>
              <w:top w:val="nil"/>
              <w:left w:val="nil"/>
              <w:bottom w:val="nil"/>
              <w:right w:val="nil"/>
            </w:tcBorders>
            <w:shd w:val="clear" w:color="auto" w:fill="auto"/>
            <w:noWrap/>
            <w:vAlign w:val="bottom"/>
          </w:tcPr>
          <w:p w14:paraId="6352F236" w14:textId="77777777" w:rsidR="00777512" w:rsidRPr="00652870" w:rsidRDefault="00777512" w:rsidP="004558C6">
            <w:pPr>
              <w:spacing w:line="240" w:lineRule="auto"/>
              <w:rPr>
                <w:rFonts w:asciiTheme="minorHAnsi" w:eastAsia="Calibri" w:hAnsiTheme="minorHAnsi" w:cstheme="minorHAnsi"/>
                <w:sz w:val="22"/>
                <w:szCs w:val="22"/>
                <w:lang w:val="en-US" w:eastAsia="en-US"/>
              </w:rPr>
            </w:pPr>
          </w:p>
        </w:tc>
        <w:tc>
          <w:tcPr>
            <w:tcW w:w="131" w:type="pct"/>
            <w:tcBorders>
              <w:top w:val="nil"/>
              <w:left w:val="nil"/>
              <w:bottom w:val="nil"/>
              <w:right w:val="nil"/>
            </w:tcBorders>
            <w:shd w:val="clear" w:color="auto" w:fill="auto"/>
            <w:noWrap/>
            <w:vAlign w:val="bottom"/>
          </w:tcPr>
          <w:p w14:paraId="0022F888" w14:textId="77777777" w:rsidR="00777512" w:rsidRPr="00652870" w:rsidRDefault="00777512" w:rsidP="004558C6">
            <w:pPr>
              <w:spacing w:line="240" w:lineRule="auto"/>
              <w:rPr>
                <w:rFonts w:asciiTheme="minorHAnsi" w:eastAsia="Calibri" w:hAnsiTheme="minorHAnsi" w:cstheme="minorHAnsi"/>
                <w:sz w:val="22"/>
                <w:szCs w:val="22"/>
                <w:lang w:val="en-US" w:eastAsia="en-US"/>
              </w:rPr>
            </w:pPr>
          </w:p>
        </w:tc>
      </w:tr>
      <w:tr w:rsidR="004B02B1" w:rsidRPr="00652870" w14:paraId="5C8E6A88" w14:textId="77777777" w:rsidTr="00652870">
        <w:trPr>
          <w:trHeight w:val="300"/>
        </w:trPr>
        <w:tc>
          <w:tcPr>
            <w:tcW w:w="1071" w:type="pct"/>
            <w:tcBorders>
              <w:top w:val="nil"/>
              <w:left w:val="nil"/>
              <w:bottom w:val="nil"/>
              <w:right w:val="nil"/>
            </w:tcBorders>
            <w:shd w:val="clear" w:color="auto" w:fill="auto"/>
            <w:noWrap/>
            <w:vAlign w:val="center"/>
            <w:hideMark/>
          </w:tcPr>
          <w:p w14:paraId="7B489C56" w14:textId="2AA880F9" w:rsidR="00CD5725" w:rsidRPr="00652870" w:rsidRDefault="00CD5725" w:rsidP="00652870">
            <w:pPr>
              <w:spacing w:line="240" w:lineRule="auto"/>
              <w:rPr>
                <w:rFonts w:asciiTheme="minorHAnsi" w:eastAsia="Calibri" w:hAnsiTheme="minorHAnsi" w:cstheme="minorHAnsi"/>
                <w:sz w:val="22"/>
                <w:szCs w:val="22"/>
                <w:lang w:val="en-US" w:eastAsia="en-US"/>
              </w:rPr>
            </w:pPr>
            <w:r w:rsidRPr="00652870">
              <w:rPr>
                <w:rFonts w:asciiTheme="minorHAnsi" w:eastAsia="Calibri" w:hAnsiTheme="minorHAnsi" w:cstheme="minorHAnsi"/>
                <w:sz w:val="22"/>
                <w:szCs w:val="22"/>
                <w:lang w:val="en-US" w:eastAsia="en-US"/>
              </w:rPr>
              <w:t xml:space="preserve">Basic </w:t>
            </w:r>
            <w:r w:rsidR="007F1CD5">
              <w:rPr>
                <w:rFonts w:asciiTheme="minorHAnsi" w:eastAsia="Calibri" w:hAnsiTheme="minorHAnsi" w:cstheme="minorHAnsi"/>
                <w:sz w:val="22"/>
                <w:szCs w:val="22"/>
                <w:lang w:val="en-US" w:eastAsia="en-US"/>
              </w:rPr>
              <w:t>Materials</w:t>
            </w:r>
          </w:p>
        </w:tc>
        <w:tc>
          <w:tcPr>
            <w:tcW w:w="697" w:type="pct"/>
            <w:tcBorders>
              <w:top w:val="nil"/>
              <w:left w:val="nil"/>
              <w:bottom w:val="nil"/>
              <w:right w:val="nil"/>
            </w:tcBorders>
            <w:shd w:val="clear" w:color="auto" w:fill="auto"/>
            <w:noWrap/>
            <w:vAlign w:val="center"/>
            <w:hideMark/>
          </w:tcPr>
          <w:p w14:paraId="2BA28F85" w14:textId="08362D9B" w:rsidR="00CD5725" w:rsidRPr="00652870" w:rsidRDefault="00CD5725"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0.8275</w:t>
            </w:r>
          </w:p>
        </w:tc>
        <w:tc>
          <w:tcPr>
            <w:tcW w:w="641" w:type="pct"/>
            <w:gridSpan w:val="2"/>
            <w:tcBorders>
              <w:top w:val="nil"/>
              <w:left w:val="nil"/>
              <w:bottom w:val="nil"/>
              <w:right w:val="nil"/>
            </w:tcBorders>
            <w:shd w:val="clear" w:color="auto" w:fill="auto"/>
            <w:noWrap/>
            <w:vAlign w:val="center"/>
            <w:hideMark/>
          </w:tcPr>
          <w:p w14:paraId="1668B9F6" w14:textId="50B843BC" w:rsidR="00CD5725" w:rsidRPr="00652870" w:rsidRDefault="00CD5725"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-1.2353</w:t>
            </w:r>
          </w:p>
        </w:tc>
        <w:tc>
          <w:tcPr>
            <w:tcW w:w="642" w:type="pct"/>
            <w:gridSpan w:val="2"/>
            <w:tcBorders>
              <w:top w:val="nil"/>
              <w:left w:val="nil"/>
              <w:bottom w:val="nil"/>
              <w:right w:val="nil"/>
            </w:tcBorders>
            <w:shd w:val="clear" w:color="auto" w:fill="auto"/>
            <w:noWrap/>
            <w:vAlign w:val="center"/>
            <w:hideMark/>
          </w:tcPr>
          <w:p w14:paraId="4AB2C146" w14:textId="78066D9D" w:rsidR="00CD5725" w:rsidRPr="00652870" w:rsidRDefault="00CD5725"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-1.8304</w:t>
            </w:r>
          </w:p>
        </w:tc>
        <w:tc>
          <w:tcPr>
            <w:tcW w:w="636" w:type="pct"/>
            <w:gridSpan w:val="2"/>
            <w:tcBorders>
              <w:top w:val="nil"/>
              <w:left w:val="nil"/>
              <w:bottom w:val="nil"/>
              <w:right w:val="nil"/>
            </w:tcBorders>
            <w:shd w:val="clear" w:color="auto" w:fill="auto"/>
            <w:noWrap/>
            <w:vAlign w:val="center"/>
            <w:hideMark/>
          </w:tcPr>
          <w:p w14:paraId="46AD6908" w14:textId="3322E7BD" w:rsidR="00CD5725" w:rsidRPr="00652870" w:rsidRDefault="00CD5725"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2.9628</w:t>
            </w:r>
          </w:p>
        </w:tc>
        <w:tc>
          <w:tcPr>
            <w:tcW w:w="737" w:type="pct"/>
            <w:gridSpan w:val="2"/>
            <w:tcBorders>
              <w:top w:val="nil"/>
              <w:left w:val="nil"/>
              <w:bottom w:val="nil"/>
              <w:right w:val="nil"/>
            </w:tcBorders>
            <w:shd w:val="clear" w:color="auto" w:fill="auto"/>
            <w:noWrap/>
            <w:vAlign w:val="center"/>
            <w:hideMark/>
          </w:tcPr>
          <w:p w14:paraId="05A32024" w14:textId="556AAAE4" w:rsidR="00CD5725" w:rsidRPr="00652870" w:rsidRDefault="00CD5725"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3.7316</w:t>
            </w:r>
          </w:p>
        </w:tc>
        <w:tc>
          <w:tcPr>
            <w:tcW w:w="576" w:type="pct"/>
            <w:gridSpan w:val="2"/>
            <w:tcBorders>
              <w:top w:val="nil"/>
              <w:left w:val="nil"/>
              <w:bottom w:val="nil"/>
              <w:right w:val="nil"/>
            </w:tcBorders>
            <w:shd w:val="clear" w:color="auto" w:fill="auto"/>
            <w:noWrap/>
            <w:vAlign w:val="center"/>
            <w:hideMark/>
          </w:tcPr>
          <w:p w14:paraId="5E14BC73" w14:textId="1FAF1648" w:rsidR="00CD5725" w:rsidRPr="00652870" w:rsidRDefault="00CD5725"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64.66%</w:t>
            </w:r>
          </w:p>
        </w:tc>
      </w:tr>
      <w:tr w:rsidR="004B02B1" w:rsidRPr="00652870" w14:paraId="2B104ABC" w14:textId="77777777" w:rsidTr="00652870">
        <w:trPr>
          <w:trHeight w:val="300"/>
        </w:trPr>
        <w:tc>
          <w:tcPr>
            <w:tcW w:w="1071" w:type="pct"/>
            <w:tcBorders>
              <w:top w:val="nil"/>
              <w:left w:val="nil"/>
              <w:bottom w:val="nil"/>
              <w:right w:val="nil"/>
            </w:tcBorders>
            <w:shd w:val="clear" w:color="auto" w:fill="auto"/>
            <w:noWrap/>
            <w:vAlign w:val="center"/>
            <w:hideMark/>
          </w:tcPr>
          <w:p w14:paraId="5E99CCAE" w14:textId="77777777" w:rsidR="00CD5725" w:rsidRPr="00652870" w:rsidRDefault="00CD5725" w:rsidP="00652870">
            <w:pPr>
              <w:spacing w:line="240" w:lineRule="auto"/>
              <w:rPr>
                <w:rFonts w:asciiTheme="minorHAnsi" w:eastAsia="Calibri" w:hAnsiTheme="minorHAnsi" w:cstheme="minorHAnsi"/>
                <w:sz w:val="22"/>
                <w:szCs w:val="22"/>
                <w:lang w:val="en-US" w:eastAsia="en-US"/>
              </w:rPr>
            </w:pPr>
          </w:p>
        </w:tc>
        <w:tc>
          <w:tcPr>
            <w:tcW w:w="697" w:type="pct"/>
            <w:tcBorders>
              <w:top w:val="nil"/>
              <w:left w:val="nil"/>
              <w:bottom w:val="nil"/>
              <w:right w:val="nil"/>
            </w:tcBorders>
            <w:shd w:val="clear" w:color="auto" w:fill="auto"/>
            <w:noWrap/>
            <w:vAlign w:val="center"/>
            <w:hideMark/>
          </w:tcPr>
          <w:p w14:paraId="4D4E10EB" w14:textId="390877B8" w:rsidR="00CD5725" w:rsidRPr="00652870" w:rsidRDefault="00415EDD"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CD5725" w:rsidRPr="00652870">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hideMark/>
          </w:tcPr>
          <w:p w14:paraId="46EBDBD1" w14:textId="45DDDE98" w:rsidR="00CD5725" w:rsidRPr="00652870" w:rsidRDefault="00415EDD"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CD5725" w:rsidRPr="00652870">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hideMark/>
          </w:tcPr>
          <w:p w14:paraId="615CAF99" w14:textId="0DE57AC2" w:rsidR="00CD5725" w:rsidRPr="00652870" w:rsidRDefault="00415EDD"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CD5725" w:rsidRPr="00652870">
              <w:rPr>
                <w:rFonts w:ascii="Calibri" w:hAnsi="Calibri" w:cs="Calibri"/>
                <w:color w:val="000000"/>
                <w:sz w:val="22"/>
                <w:szCs w:val="22"/>
              </w:rPr>
              <w:t>0.0000</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hideMark/>
          </w:tcPr>
          <w:p w14:paraId="3BC97625" w14:textId="086D2B36" w:rsidR="00CD5725" w:rsidRPr="00652870" w:rsidRDefault="00415EDD"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CD5725" w:rsidRPr="00652870">
              <w:rPr>
                <w:rFonts w:ascii="Calibri" w:hAnsi="Calibri" w:cs="Calibri"/>
                <w:color w:val="000000"/>
                <w:sz w:val="22"/>
                <w:szCs w:val="22"/>
              </w:rPr>
              <w:t>0.0000</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hideMark/>
          </w:tcPr>
          <w:p w14:paraId="3AC6430E" w14:textId="52EB2FC1" w:rsidR="00CD5725" w:rsidRPr="00652870" w:rsidRDefault="00415EDD"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CD5725" w:rsidRPr="00652870">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hideMark/>
          </w:tcPr>
          <w:p w14:paraId="63075337" w14:textId="77777777" w:rsidR="00CD5725" w:rsidRPr="00652870" w:rsidRDefault="00CD5725" w:rsidP="00652870">
            <w:pPr>
              <w:spacing w:line="240" w:lineRule="auto"/>
              <w:rPr>
                <w:rFonts w:asciiTheme="minorHAnsi" w:eastAsia="Calibri" w:hAnsiTheme="minorHAnsi" w:cstheme="minorHAnsi"/>
                <w:sz w:val="22"/>
                <w:szCs w:val="22"/>
                <w:lang w:val="en-US" w:eastAsia="en-US"/>
              </w:rPr>
            </w:pPr>
          </w:p>
        </w:tc>
      </w:tr>
      <w:tr w:rsidR="004B02B1" w:rsidRPr="00652870" w14:paraId="4B8427C9" w14:textId="77777777" w:rsidTr="00652870">
        <w:trPr>
          <w:trHeight w:val="300"/>
        </w:trPr>
        <w:tc>
          <w:tcPr>
            <w:tcW w:w="1071" w:type="pct"/>
            <w:tcBorders>
              <w:top w:val="nil"/>
              <w:left w:val="nil"/>
              <w:bottom w:val="nil"/>
              <w:right w:val="nil"/>
            </w:tcBorders>
            <w:shd w:val="clear" w:color="auto" w:fill="auto"/>
            <w:noWrap/>
            <w:vAlign w:val="center"/>
            <w:hideMark/>
          </w:tcPr>
          <w:p w14:paraId="76452B49" w14:textId="3727B941" w:rsidR="00CD5725" w:rsidRPr="00652870" w:rsidRDefault="00CD5725" w:rsidP="00652870">
            <w:pPr>
              <w:spacing w:line="240" w:lineRule="auto"/>
              <w:rPr>
                <w:rFonts w:asciiTheme="minorHAnsi" w:eastAsia="Calibri" w:hAnsiTheme="minorHAnsi" w:cstheme="minorHAnsi"/>
                <w:sz w:val="22"/>
                <w:szCs w:val="22"/>
                <w:lang w:val="en-US" w:eastAsia="en-US"/>
              </w:rPr>
            </w:pPr>
            <w:r w:rsidRPr="00652870">
              <w:rPr>
                <w:rFonts w:asciiTheme="minorHAnsi" w:eastAsia="Calibri" w:hAnsiTheme="minorHAnsi" w:cstheme="minorHAnsi"/>
                <w:sz w:val="22"/>
                <w:szCs w:val="22"/>
                <w:lang w:val="en-US"/>
              </w:rPr>
              <w:t>C</w:t>
            </w:r>
            <w:r w:rsidR="00190FE2" w:rsidRPr="00652870">
              <w:rPr>
                <w:rFonts w:asciiTheme="minorHAnsi" w:eastAsia="Calibri" w:hAnsiTheme="minorHAnsi" w:cstheme="minorHAnsi"/>
                <w:sz w:val="22"/>
                <w:szCs w:val="22"/>
                <w:lang w:val="en-US"/>
              </w:rPr>
              <w:t>onsumer Staples</w:t>
            </w:r>
          </w:p>
        </w:tc>
        <w:tc>
          <w:tcPr>
            <w:tcW w:w="697" w:type="pct"/>
            <w:tcBorders>
              <w:top w:val="nil"/>
              <w:left w:val="nil"/>
              <w:bottom w:val="nil"/>
              <w:right w:val="nil"/>
            </w:tcBorders>
            <w:shd w:val="clear" w:color="auto" w:fill="auto"/>
            <w:noWrap/>
            <w:vAlign w:val="center"/>
            <w:hideMark/>
          </w:tcPr>
          <w:p w14:paraId="569A9497" w14:textId="1959C284" w:rsidR="00CD5725" w:rsidRPr="00652870" w:rsidRDefault="00CD5725"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0.0098</w:t>
            </w:r>
          </w:p>
        </w:tc>
        <w:tc>
          <w:tcPr>
            <w:tcW w:w="641" w:type="pct"/>
            <w:gridSpan w:val="2"/>
            <w:tcBorders>
              <w:top w:val="nil"/>
              <w:left w:val="nil"/>
              <w:bottom w:val="nil"/>
              <w:right w:val="nil"/>
            </w:tcBorders>
            <w:shd w:val="clear" w:color="auto" w:fill="auto"/>
            <w:noWrap/>
            <w:vAlign w:val="center"/>
            <w:hideMark/>
          </w:tcPr>
          <w:p w14:paraId="0343557A" w14:textId="34B3AE0B" w:rsidR="00CD5725" w:rsidRPr="00652870" w:rsidRDefault="00CD5725"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0.3661</w:t>
            </w:r>
          </w:p>
        </w:tc>
        <w:tc>
          <w:tcPr>
            <w:tcW w:w="642" w:type="pct"/>
            <w:gridSpan w:val="2"/>
            <w:tcBorders>
              <w:top w:val="nil"/>
              <w:left w:val="nil"/>
              <w:bottom w:val="nil"/>
              <w:right w:val="nil"/>
            </w:tcBorders>
            <w:shd w:val="clear" w:color="auto" w:fill="auto"/>
            <w:noWrap/>
            <w:vAlign w:val="center"/>
            <w:hideMark/>
          </w:tcPr>
          <w:p w14:paraId="4932DD05" w14:textId="705BE9D8" w:rsidR="00CD5725" w:rsidRPr="00652870" w:rsidRDefault="00CD5725"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0.3400</w:t>
            </w:r>
          </w:p>
        </w:tc>
        <w:tc>
          <w:tcPr>
            <w:tcW w:w="636" w:type="pct"/>
            <w:gridSpan w:val="2"/>
            <w:tcBorders>
              <w:top w:val="nil"/>
              <w:left w:val="nil"/>
              <w:bottom w:val="nil"/>
              <w:right w:val="nil"/>
            </w:tcBorders>
            <w:shd w:val="clear" w:color="auto" w:fill="auto"/>
            <w:noWrap/>
            <w:vAlign w:val="center"/>
            <w:hideMark/>
          </w:tcPr>
          <w:p w14:paraId="3F55EF65" w14:textId="1DE4D057" w:rsidR="00CD5725" w:rsidRPr="00652870" w:rsidRDefault="00CD5725"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0.6457</w:t>
            </w:r>
          </w:p>
        </w:tc>
        <w:tc>
          <w:tcPr>
            <w:tcW w:w="737" w:type="pct"/>
            <w:gridSpan w:val="2"/>
            <w:tcBorders>
              <w:top w:val="nil"/>
              <w:left w:val="nil"/>
              <w:bottom w:val="nil"/>
              <w:right w:val="nil"/>
            </w:tcBorders>
            <w:shd w:val="clear" w:color="auto" w:fill="auto"/>
            <w:noWrap/>
            <w:vAlign w:val="center"/>
            <w:hideMark/>
          </w:tcPr>
          <w:p w14:paraId="5ECDD9B8" w14:textId="5F88E3F1" w:rsidR="00CD5725" w:rsidRPr="00652870" w:rsidRDefault="00CD5725"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0.5579</w:t>
            </w:r>
          </w:p>
        </w:tc>
        <w:tc>
          <w:tcPr>
            <w:tcW w:w="576" w:type="pct"/>
            <w:gridSpan w:val="2"/>
            <w:tcBorders>
              <w:top w:val="nil"/>
              <w:left w:val="nil"/>
              <w:bottom w:val="nil"/>
              <w:right w:val="nil"/>
            </w:tcBorders>
            <w:shd w:val="clear" w:color="auto" w:fill="auto"/>
            <w:noWrap/>
            <w:vAlign w:val="center"/>
            <w:hideMark/>
          </w:tcPr>
          <w:p w14:paraId="1A26547E" w14:textId="30757A6E" w:rsidR="00CD5725" w:rsidRPr="00652870" w:rsidRDefault="00CD5725"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30.19%</w:t>
            </w:r>
          </w:p>
        </w:tc>
      </w:tr>
      <w:tr w:rsidR="004B02B1" w:rsidRPr="00652870" w14:paraId="5F12CA74" w14:textId="77777777" w:rsidTr="00652870">
        <w:trPr>
          <w:trHeight w:val="300"/>
        </w:trPr>
        <w:tc>
          <w:tcPr>
            <w:tcW w:w="1071" w:type="pct"/>
            <w:tcBorders>
              <w:top w:val="nil"/>
              <w:left w:val="nil"/>
              <w:bottom w:val="nil"/>
              <w:right w:val="nil"/>
            </w:tcBorders>
            <w:shd w:val="clear" w:color="auto" w:fill="auto"/>
            <w:noWrap/>
            <w:vAlign w:val="center"/>
            <w:hideMark/>
          </w:tcPr>
          <w:p w14:paraId="27F724D6" w14:textId="77777777" w:rsidR="00CD5725" w:rsidRPr="00652870" w:rsidRDefault="00CD5725" w:rsidP="00652870">
            <w:pPr>
              <w:spacing w:line="240" w:lineRule="auto"/>
              <w:rPr>
                <w:rFonts w:asciiTheme="minorHAnsi" w:eastAsia="Calibri" w:hAnsiTheme="minorHAnsi" w:cstheme="minorHAnsi"/>
                <w:sz w:val="22"/>
                <w:szCs w:val="22"/>
                <w:lang w:val="en-US" w:eastAsia="en-US"/>
              </w:rPr>
            </w:pPr>
          </w:p>
        </w:tc>
        <w:tc>
          <w:tcPr>
            <w:tcW w:w="697" w:type="pct"/>
            <w:tcBorders>
              <w:top w:val="nil"/>
              <w:left w:val="nil"/>
              <w:bottom w:val="nil"/>
              <w:right w:val="nil"/>
            </w:tcBorders>
            <w:shd w:val="clear" w:color="auto" w:fill="auto"/>
            <w:noWrap/>
            <w:vAlign w:val="center"/>
            <w:hideMark/>
          </w:tcPr>
          <w:p w14:paraId="4F4CDEE9" w14:textId="16DAE404" w:rsidR="00CD5725"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CD5725" w:rsidRPr="00652870">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hideMark/>
          </w:tcPr>
          <w:p w14:paraId="53108130" w14:textId="14B9CB61" w:rsidR="00CD5725"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CD5725" w:rsidRPr="00652870">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hideMark/>
          </w:tcPr>
          <w:p w14:paraId="3B38E189" w14:textId="6785ECB0" w:rsidR="00CD5725"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CD5725" w:rsidRPr="00652870">
              <w:rPr>
                <w:rFonts w:ascii="Calibri" w:hAnsi="Calibri" w:cs="Calibri"/>
                <w:color w:val="000000"/>
                <w:sz w:val="22"/>
                <w:szCs w:val="22"/>
              </w:rPr>
              <w:t>0.0000</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hideMark/>
          </w:tcPr>
          <w:p w14:paraId="1031091B" w14:textId="0C27C112" w:rsidR="00CD5725"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CD5725" w:rsidRPr="00652870">
              <w:rPr>
                <w:rFonts w:ascii="Calibri" w:hAnsi="Calibri" w:cs="Calibri"/>
                <w:color w:val="000000"/>
                <w:sz w:val="22"/>
                <w:szCs w:val="22"/>
              </w:rPr>
              <w:t>0.0485</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hideMark/>
          </w:tcPr>
          <w:p w14:paraId="44371D76" w14:textId="1FE3FAF1" w:rsidR="00CD5725"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CD5725" w:rsidRPr="00652870">
              <w:rPr>
                <w:rFonts w:ascii="Calibri" w:hAnsi="Calibri" w:cs="Calibri"/>
                <w:color w:val="000000"/>
                <w:sz w:val="22"/>
                <w:szCs w:val="22"/>
              </w:rPr>
              <w:t>0.0179</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hideMark/>
          </w:tcPr>
          <w:p w14:paraId="11720ABE" w14:textId="77777777" w:rsidR="00CD5725" w:rsidRPr="00652870" w:rsidRDefault="00CD5725" w:rsidP="00652870">
            <w:pPr>
              <w:spacing w:line="240" w:lineRule="auto"/>
              <w:rPr>
                <w:rFonts w:asciiTheme="minorHAnsi" w:eastAsia="Calibri" w:hAnsiTheme="minorHAnsi" w:cstheme="minorHAnsi"/>
                <w:sz w:val="22"/>
                <w:szCs w:val="22"/>
                <w:lang w:val="en-US" w:eastAsia="en-US"/>
              </w:rPr>
            </w:pPr>
          </w:p>
        </w:tc>
      </w:tr>
      <w:tr w:rsidR="004B02B1" w:rsidRPr="00652870" w14:paraId="74AED6A3" w14:textId="77777777" w:rsidTr="00652870">
        <w:trPr>
          <w:trHeight w:val="300"/>
        </w:trPr>
        <w:tc>
          <w:tcPr>
            <w:tcW w:w="1071" w:type="pct"/>
            <w:tcBorders>
              <w:top w:val="nil"/>
              <w:left w:val="nil"/>
              <w:bottom w:val="nil"/>
              <w:right w:val="nil"/>
            </w:tcBorders>
            <w:shd w:val="clear" w:color="auto" w:fill="auto"/>
            <w:noWrap/>
            <w:vAlign w:val="center"/>
            <w:hideMark/>
          </w:tcPr>
          <w:p w14:paraId="6EED9D27" w14:textId="017C98B9"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Theme="minorHAnsi" w:eastAsia="Calibri" w:hAnsiTheme="minorHAnsi" w:cstheme="minorHAnsi"/>
                <w:sz w:val="22"/>
                <w:szCs w:val="22"/>
                <w:lang w:val="en-US"/>
              </w:rPr>
              <w:t>Energy</w:t>
            </w:r>
          </w:p>
        </w:tc>
        <w:tc>
          <w:tcPr>
            <w:tcW w:w="697" w:type="pct"/>
            <w:tcBorders>
              <w:top w:val="nil"/>
              <w:left w:val="nil"/>
              <w:bottom w:val="nil"/>
              <w:right w:val="nil"/>
            </w:tcBorders>
            <w:shd w:val="clear" w:color="auto" w:fill="auto"/>
            <w:noWrap/>
            <w:vAlign w:val="center"/>
            <w:hideMark/>
          </w:tcPr>
          <w:p w14:paraId="2CB2D948" w14:textId="030F24BD"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0.0112</w:t>
            </w:r>
          </w:p>
        </w:tc>
        <w:tc>
          <w:tcPr>
            <w:tcW w:w="641" w:type="pct"/>
            <w:gridSpan w:val="2"/>
            <w:tcBorders>
              <w:top w:val="nil"/>
              <w:left w:val="nil"/>
              <w:bottom w:val="nil"/>
              <w:right w:val="nil"/>
            </w:tcBorders>
            <w:shd w:val="clear" w:color="auto" w:fill="auto"/>
            <w:noWrap/>
            <w:vAlign w:val="center"/>
            <w:hideMark/>
          </w:tcPr>
          <w:p w14:paraId="64465939" w14:textId="007420F8"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0.3536</w:t>
            </w:r>
          </w:p>
        </w:tc>
        <w:tc>
          <w:tcPr>
            <w:tcW w:w="642" w:type="pct"/>
            <w:gridSpan w:val="2"/>
            <w:tcBorders>
              <w:top w:val="nil"/>
              <w:left w:val="nil"/>
              <w:bottom w:val="nil"/>
              <w:right w:val="nil"/>
            </w:tcBorders>
            <w:shd w:val="clear" w:color="auto" w:fill="auto"/>
            <w:noWrap/>
            <w:vAlign w:val="center"/>
            <w:hideMark/>
          </w:tcPr>
          <w:p w14:paraId="79D9D724" w14:textId="5C3100D0"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0.2975</w:t>
            </w:r>
          </w:p>
        </w:tc>
        <w:tc>
          <w:tcPr>
            <w:tcW w:w="636" w:type="pct"/>
            <w:gridSpan w:val="2"/>
            <w:tcBorders>
              <w:top w:val="nil"/>
              <w:left w:val="nil"/>
              <w:bottom w:val="nil"/>
              <w:right w:val="nil"/>
            </w:tcBorders>
            <w:shd w:val="clear" w:color="auto" w:fill="auto"/>
            <w:noWrap/>
            <w:vAlign w:val="center"/>
            <w:hideMark/>
          </w:tcPr>
          <w:p w14:paraId="351F6E73" w14:textId="11FF0ED0"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0.1684</w:t>
            </w:r>
          </w:p>
        </w:tc>
        <w:tc>
          <w:tcPr>
            <w:tcW w:w="737" w:type="pct"/>
            <w:gridSpan w:val="2"/>
            <w:tcBorders>
              <w:top w:val="nil"/>
              <w:left w:val="nil"/>
              <w:bottom w:val="nil"/>
              <w:right w:val="nil"/>
            </w:tcBorders>
            <w:shd w:val="clear" w:color="auto" w:fill="auto"/>
            <w:noWrap/>
            <w:vAlign w:val="center"/>
            <w:hideMark/>
          </w:tcPr>
          <w:p w14:paraId="11DCFAB0" w14:textId="5FDB1958"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1.2508</w:t>
            </w:r>
          </w:p>
        </w:tc>
        <w:tc>
          <w:tcPr>
            <w:tcW w:w="576" w:type="pct"/>
            <w:gridSpan w:val="2"/>
            <w:tcBorders>
              <w:top w:val="nil"/>
              <w:left w:val="nil"/>
              <w:bottom w:val="nil"/>
              <w:right w:val="nil"/>
            </w:tcBorders>
            <w:shd w:val="clear" w:color="auto" w:fill="auto"/>
            <w:noWrap/>
            <w:vAlign w:val="center"/>
            <w:hideMark/>
          </w:tcPr>
          <w:p w14:paraId="6589DB4C" w14:textId="7DEB5764"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40.61%</w:t>
            </w:r>
          </w:p>
        </w:tc>
      </w:tr>
      <w:tr w:rsidR="004B02B1" w:rsidRPr="00652870" w14:paraId="7D5F3877" w14:textId="77777777" w:rsidTr="00652870">
        <w:trPr>
          <w:trHeight w:val="300"/>
        </w:trPr>
        <w:tc>
          <w:tcPr>
            <w:tcW w:w="1071" w:type="pct"/>
            <w:tcBorders>
              <w:top w:val="nil"/>
              <w:left w:val="nil"/>
              <w:bottom w:val="nil"/>
              <w:right w:val="nil"/>
            </w:tcBorders>
            <w:shd w:val="clear" w:color="auto" w:fill="auto"/>
            <w:noWrap/>
            <w:vAlign w:val="center"/>
            <w:hideMark/>
          </w:tcPr>
          <w:p w14:paraId="726D17DC" w14:textId="77777777" w:rsidR="00190FE2" w:rsidRPr="00652870" w:rsidRDefault="00190FE2" w:rsidP="00652870">
            <w:pPr>
              <w:spacing w:line="240" w:lineRule="auto"/>
              <w:rPr>
                <w:rFonts w:asciiTheme="minorHAnsi" w:eastAsia="Calibri" w:hAnsiTheme="minorHAnsi" w:cstheme="minorHAnsi"/>
                <w:sz w:val="22"/>
                <w:szCs w:val="22"/>
                <w:lang w:val="en-US" w:eastAsia="en-US"/>
              </w:rPr>
            </w:pPr>
          </w:p>
        </w:tc>
        <w:tc>
          <w:tcPr>
            <w:tcW w:w="697" w:type="pct"/>
            <w:tcBorders>
              <w:top w:val="nil"/>
              <w:left w:val="nil"/>
              <w:bottom w:val="nil"/>
              <w:right w:val="nil"/>
            </w:tcBorders>
            <w:shd w:val="clear" w:color="auto" w:fill="auto"/>
            <w:noWrap/>
            <w:vAlign w:val="center"/>
            <w:hideMark/>
          </w:tcPr>
          <w:p w14:paraId="5E393B72" w14:textId="1CEAB7FD"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hideMark/>
          </w:tcPr>
          <w:p w14:paraId="54AA6D3D" w14:textId="6180D715"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hideMark/>
          </w:tcPr>
          <w:p w14:paraId="292D9B6C" w14:textId="65B7BEBF"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0.0000</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hideMark/>
          </w:tcPr>
          <w:p w14:paraId="55B0450A" w14:textId="6ADCC0C1"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0.3259</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hideMark/>
          </w:tcPr>
          <w:p w14:paraId="6655836C" w14:textId="4F35A1CC"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hideMark/>
          </w:tcPr>
          <w:p w14:paraId="799FAA8F" w14:textId="77777777" w:rsidR="00190FE2" w:rsidRPr="00652870" w:rsidRDefault="00190FE2" w:rsidP="00652870">
            <w:pPr>
              <w:spacing w:line="240" w:lineRule="auto"/>
              <w:rPr>
                <w:rFonts w:asciiTheme="minorHAnsi" w:eastAsia="Calibri" w:hAnsiTheme="minorHAnsi" w:cstheme="minorHAnsi"/>
                <w:sz w:val="22"/>
                <w:szCs w:val="22"/>
                <w:lang w:val="en-US" w:eastAsia="en-US"/>
              </w:rPr>
            </w:pPr>
          </w:p>
        </w:tc>
      </w:tr>
      <w:tr w:rsidR="004B02B1" w:rsidRPr="00652870" w14:paraId="6F4DB49C" w14:textId="77777777" w:rsidTr="00652870">
        <w:trPr>
          <w:trHeight w:val="300"/>
        </w:trPr>
        <w:tc>
          <w:tcPr>
            <w:tcW w:w="1071" w:type="pct"/>
            <w:tcBorders>
              <w:top w:val="nil"/>
              <w:left w:val="nil"/>
              <w:bottom w:val="nil"/>
              <w:right w:val="nil"/>
            </w:tcBorders>
            <w:shd w:val="clear" w:color="auto" w:fill="auto"/>
            <w:noWrap/>
            <w:vAlign w:val="center"/>
          </w:tcPr>
          <w:p w14:paraId="2BA837DC" w14:textId="0043D2EC"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Theme="minorHAnsi" w:eastAsia="Calibri" w:hAnsiTheme="minorHAnsi" w:cstheme="minorHAnsi"/>
                <w:sz w:val="22"/>
                <w:szCs w:val="22"/>
                <w:lang w:val="en-US"/>
              </w:rPr>
              <w:t>Financials</w:t>
            </w:r>
          </w:p>
        </w:tc>
        <w:tc>
          <w:tcPr>
            <w:tcW w:w="697" w:type="pct"/>
            <w:tcBorders>
              <w:top w:val="nil"/>
              <w:left w:val="nil"/>
              <w:bottom w:val="nil"/>
              <w:right w:val="nil"/>
            </w:tcBorders>
            <w:shd w:val="clear" w:color="auto" w:fill="auto"/>
            <w:noWrap/>
            <w:vAlign w:val="center"/>
          </w:tcPr>
          <w:p w14:paraId="6F73AB31" w14:textId="35E919CA"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0.9294</w:t>
            </w:r>
          </w:p>
        </w:tc>
        <w:tc>
          <w:tcPr>
            <w:tcW w:w="641" w:type="pct"/>
            <w:gridSpan w:val="2"/>
            <w:tcBorders>
              <w:top w:val="nil"/>
              <w:left w:val="nil"/>
              <w:bottom w:val="nil"/>
              <w:right w:val="nil"/>
            </w:tcBorders>
            <w:shd w:val="clear" w:color="auto" w:fill="auto"/>
            <w:noWrap/>
            <w:vAlign w:val="center"/>
          </w:tcPr>
          <w:p w14:paraId="437B6073" w14:textId="70D95723"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0.1178</w:t>
            </w:r>
          </w:p>
        </w:tc>
        <w:tc>
          <w:tcPr>
            <w:tcW w:w="642" w:type="pct"/>
            <w:gridSpan w:val="2"/>
            <w:tcBorders>
              <w:top w:val="nil"/>
              <w:left w:val="nil"/>
              <w:bottom w:val="nil"/>
              <w:right w:val="nil"/>
            </w:tcBorders>
            <w:shd w:val="clear" w:color="auto" w:fill="auto"/>
            <w:noWrap/>
            <w:vAlign w:val="center"/>
          </w:tcPr>
          <w:p w14:paraId="6F2FFA1C" w14:textId="1E49A51B"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0.1283</w:t>
            </w:r>
          </w:p>
        </w:tc>
        <w:tc>
          <w:tcPr>
            <w:tcW w:w="636" w:type="pct"/>
            <w:gridSpan w:val="2"/>
            <w:tcBorders>
              <w:top w:val="nil"/>
              <w:left w:val="nil"/>
              <w:bottom w:val="nil"/>
              <w:right w:val="nil"/>
            </w:tcBorders>
            <w:shd w:val="clear" w:color="auto" w:fill="auto"/>
            <w:noWrap/>
            <w:vAlign w:val="center"/>
          </w:tcPr>
          <w:p w14:paraId="1E9AF850" w14:textId="2DFF9422"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-0.0630</w:t>
            </w:r>
          </w:p>
        </w:tc>
        <w:tc>
          <w:tcPr>
            <w:tcW w:w="737" w:type="pct"/>
            <w:gridSpan w:val="2"/>
            <w:tcBorders>
              <w:top w:val="nil"/>
              <w:left w:val="nil"/>
              <w:bottom w:val="nil"/>
              <w:right w:val="nil"/>
            </w:tcBorders>
            <w:shd w:val="clear" w:color="auto" w:fill="auto"/>
            <w:noWrap/>
            <w:vAlign w:val="center"/>
          </w:tcPr>
          <w:p w14:paraId="3A34DD85" w14:textId="522701FC"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-0.0587</w:t>
            </w:r>
          </w:p>
        </w:tc>
        <w:tc>
          <w:tcPr>
            <w:tcW w:w="576" w:type="pct"/>
            <w:gridSpan w:val="2"/>
            <w:tcBorders>
              <w:top w:val="nil"/>
              <w:left w:val="nil"/>
              <w:bottom w:val="nil"/>
              <w:right w:val="nil"/>
            </w:tcBorders>
            <w:shd w:val="clear" w:color="auto" w:fill="auto"/>
            <w:noWrap/>
            <w:vAlign w:val="center"/>
          </w:tcPr>
          <w:p w14:paraId="19230399" w14:textId="0B37D8FE"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0.74%</w:t>
            </w:r>
          </w:p>
        </w:tc>
      </w:tr>
      <w:tr w:rsidR="004B02B1" w:rsidRPr="00652870" w14:paraId="3549279F" w14:textId="77777777" w:rsidTr="00652870">
        <w:trPr>
          <w:trHeight w:val="300"/>
        </w:trPr>
        <w:tc>
          <w:tcPr>
            <w:tcW w:w="1071" w:type="pct"/>
            <w:tcBorders>
              <w:top w:val="nil"/>
              <w:left w:val="nil"/>
              <w:bottom w:val="nil"/>
              <w:right w:val="nil"/>
            </w:tcBorders>
            <w:shd w:val="clear" w:color="auto" w:fill="auto"/>
            <w:noWrap/>
            <w:vAlign w:val="center"/>
          </w:tcPr>
          <w:p w14:paraId="1CBC4EF4" w14:textId="77777777" w:rsidR="00190FE2" w:rsidRPr="00652870" w:rsidRDefault="00190FE2" w:rsidP="00652870">
            <w:pPr>
              <w:spacing w:line="240" w:lineRule="auto"/>
              <w:rPr>
                <w:rFonts w:asciiTheme="minorHAnsi" w:eastAsia="Calibri" w:hAnsiTheme="minorHAnsi" w:cstheme="minorHAnsi"/>
                <w:sz w:val="22"/>
                <w:szCs w:val="22"/>
                <w:lang w:val="en-US" w:eastAsia="en-US"/>
              </w:rPr>
            </w:pPr>
          </w:p>
        </w:tc>
        <w:tc>
          <w:tcPr>
            <w:tcW w:w="697" w:type="pct"/>
            <w:tcBorders>
              <w:top w:val="nil"/>
              <w:left w:val="nil"/>
              <w:bottom w:val="nil"/>
              <w:right w:val="nil"/>
            </w:tcBorders>
            <w:shd w:val="clear" w:color="auto" w:fill="auto"/>
            <w:noWrap/>
            <w:vAlign w:val="center"/>
          </w:tcPr>
          <w:p w14:paraId="7F2D9BE9" w14:textId="570A7ED5"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tcPr>
          <w:p w14:paraId="13C33F78" w14:textId="38C28A8A"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tcPr>
          <w:p w14:paraId="4466A1F4" w14:textId="18B1141F"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0.0000</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tcPr>
          <w:p w14:paraId="305FF2CC" w14:textId="0F752346"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0.0000</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tcPr>
          <w:p w14:paraId="6BF237D3" w14:textId="34EF4187"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tcPr>
          <w:p w14:paraId="465490F0" w14:textId="77777777" w:rsidR="00190FE2" w:rsidRPr="00652870" w:rsidRDefault="00190FE2" w:rsidP="00652870">
            <w:pPr>
              <w:spacing w:line="240" w:lineRule="auto"/>
              <w:rPr>
                <w:rFonts w:asciiTheme="minorHAnsi" w:eastAsia="Calibri" w:hAnsiTheme="minorHAnsi" w:cstheme="minorHAnsi"/>
                <w:sz w:val="22"/>
                <w:szCs w:val="22"/>
                <w:lang w:val="en-US" w:eastAsia="en-US"/>
              </w:rPr>
            </w:pPr>
          </w:p>
        </w:tc>
      </w:tr>
      <w:tr w:rsidR="004B02B1" w:rsidRPr="00652870" w14:paraId="32E002B7" w14:textId="77777777" w:rsidTr="00652870">
        <w:trPr>
          <w:trHeight w:val="300"/>
        </w:trPr>
        <w:tc>
          <w:tcPr>
            <w:tcW w:w="1071" w:type="pct"/>
            <w:tcBorders>
              <w:top w:val="nil"/>
              <w:left w:val="nil"/>
              <w:bottom w:val="nil"/>
              <w:right w:val="nil"/>
            </w:tcBorders>
            <w:shd w:val="clear" w:color="auto" w:fill="auto"/>
            <w:noWrap/>
            <w:vAlign w:val="center"/>
            <w:hideMark/>
          </w:tcPr>
          <w:p w14:paraId="49062BA2" w14:textId="22F2E879"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Theme="minorHAnsi" w:eastAsia="Calibri" w:hAnsiTheme="minorHAnsi" w:cstheme="minorHAnsi"/>
                <w:sz w:val="22"/>
                <w:szCs w:val="22"/>
                <w:lang w:val="en-US" w:eastAsia="en-US"/>
              </w:rPr>
              <w:t>Health Care</w:t>
            </w:r>
          </w:p>
        </w:tc>
        <w:tc>
          <w:tcPr>
            <w:tcW w:w="697" w:type="pct"/>
            <w:tcBorders>
              <w:top w:val="nil"/>
              <w:left w:val="nil"/>
              <w:bottom w:val="nil"/>
              <w:right w:val="nil"/>
            </w:tcBorders>
            <w:shd w:val="clear" w:color="auto" w:fill="auto"/>
            <w:noWrap/>
            <w:vAlign w:val="center"/>
            <w:hideMark/>
          </w:tcPr>
          <w:p w14:paraId="0CC4D02E" w14:textId="470254BF"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1.5878</w:t>
            </w:r>
          </w:p>
        </w:tc>
        <w:tc>
          <w:tcPr>
            <w:tcW w:w="641" w:type="pct"/>
            <w:gridSpan w:val="2"/>
            <w:tcBorders>
              <w:top w:val="nil"/>
              <w:left w:val="nil"/>
              <w:bottom w:val="nil"/>
              <w:right w:val="nil"/>
            </w:tcBorders>
            <w:shd w:val="clear" w:color="auto" w:fill="auto"/>
            <w:noWrap/>
            <w:vAlign w:val="center"/>
            <w:hideMark/>
          </w:tcPr>
          <w:p w14:paraId="75731E85" w14:textId="48D735F8"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-0.2869</w:t>
            </w:r>
          </w:p>
        </w:tc>
        <w:tc>
          <w:tcPr>
            <w:tcW w:w="642" w:type="pct"/>
            <w:gridSpan w:val="2"/>
            <w:tcBorders>
              <w:top w:val="nil"/>
              <w:left w:val="nil"/>
              <w:bottom w:val="nil"/>
              <w:right w:val="nil"/>
            </w:tcBorders>
            <w:shd w:val="clear" w:color="auto" w:fill="auto"/>
            <w:noWrap/>
            <w:vAlign w:val="center"/>
            <w:hideMark/>
          </w:tcPr>
          <w:p w14:paraId="5C66BBCA" w14:textId="07E44B1E"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-0.3370</w:t>
            </w:r>
          </w:p>
        </w:tc>
        <w:tc>
          <w:tcPr>
            <w:tcW w:w="636" w:type="pct"/>
            <w:gridSpan w:val="2"/>
            <w:tcBorders>
              <w:top w:val="nil"/>
              <w:left w:val="nil"/>
              <w:bottom w:val="nil"/>
              <w:right w:val="nil"/>
            </w:tcBorders>
            <w:shd w:val="clear" w:color="auto" w:fill="auto"/>
            <w:noWrap/>
            <w:vAlign w:val="center"/>
            <w:hideMark/>
          </w:tcPr>
          <w:p w14:paraId="6C3F2EBD" w14:textId="3377F51B"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12.8614</w:t>
            </w:r>
          </w:p>
        </w:tc>
        <w:tc>
          <w:tcPr>
            <w:tcW w:w="737" w:type="pct"/>
            <w:gridSpan w:val="2"/>
            <w:tcBorders>
              <w:top w:val="nil"/>
              <w:left w:val="nil"/>
              <w:bottom w:val="nil"/>
              <w:right w:val="nil"/>
            </w:tcBorders>
            <w:shd w:val="clear" w:color="auto" w:fill="auto"/>
            <w:noWrap/>
            <w:vAlign w:val="center"/>
            <w:hideMark/>
          </w:tcPr>
          <w:p w14:paraId="4EF0FA40" w14:textId="35E16548"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15.8113</w:t>
            </w:r>
          </w:p>
        </w:tc>
        <w:tc>
          <w:tcPr>
            <w:tcW w:w="576" w:type="pct"/>
            <w:gridSpan w:val="2"/>
            <w:tcBorders>
              <w:top w:val="nil"/>
              <w:left w:val="nil"/>
              <w:bottom w:val="nil"/>
              <w:right w:val="nil"/>
            </w:tcBorders>
            <w:shd w:val="clear" w:color="auto" w:fill="auto"/>
            <w:noWrap/>
            <w:vAlign w:val="center"/>
            <w:hideMark/>
          </w:tcPr>
          <w:p w14:paraId="0DBD512E" w14:textId="02069488"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0.11%</w:t>
            </w:r>
          </w:p>
        </w:tc>
      </w:tr>
      <w:tr w:rsidR="004B02B1" w:rsidRPr="00652870" w14:paraId="719D88B0" w14:textId="77777777" w:rsidTr="00652870">
        <w:trPr>
          <w:trHeight w:val="300"/>
        </w:trPr>
        <w:tc>
          <w:tcPr>
            <w:tcW w:w="1071" w:type="pct"/>
            <w:tcBorders>
              <w:top w:val="nil"/>
              <w:left w:val="nil"/>
              <w:bottom w:val="nil"/>
              <w:right w:val="nil"/>
            </w:tcBorders>
            <w:shd w:val="clear" w:color="auto" w:fill="auto"/>
            <w:noWrap/>
            <w:vAlign w:val="center"/>
            <w:hideMark/>
          </w:tcPr>
          <w:p w14:paraId="56D4F860" w14:textId="77777777" w:rsidR="00190FE2" w:rsidRPr="00652870" w:rsidRDefault="00190FE2" w:rsidP="00652870">
            <w:pPr>
              <w:spacing w:line="240" w:lineRule="auto"/>
              <w:rPr>
                <w:rFonts w:asciiTheme="minorHAnsi" w:eastAsia="Calibri" w:hAnsiTheme="minorHAnsi" w:cstheme="minorHAnsi"/>
                <w:sz w:val="22"/>
                <w:szCs w:val="22"/>
                <w:lang w:val="en-US" w:eastAsia="en-US"/>
              </w:rPr>
            </w:pPr>
          </w:p>
        </w:tc>
        <w:tc>
          <w:tcPr>
            <w:tcW w:w="697" w:type="pct"/>
            <w:tcBorders>
              <w:top w:val="nil"/>
              <w:left w:val="nil"/>
              <w:bottom w:val="nil"/>
              <w:right w:val="nil"/>
            </w:tcBorders>
            <w:shd w:val="clear" w:color="auto" w:fill="auto"/>
            <w:noWrap/>
            <w:vAlign w:val="center"/>
            <w:hideMark/>
          </w:tcPr>
          <w:p w14:paraId="4349692B" w14:textId="2713499F"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hideMark/>
          </w:tcPr>
          <w:p w14:paraId="72547ED8" w14:textId="433A4C8D"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0.3244</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hideMark/>
          </w:tcPr>
          <w:p w14:paraId="2E9317B6" w14:textId="0A513E0E"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0.2419</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hideMark/>
          </w:tcPr>
          <w:p w14:paraId="5C0162AE" w14:textId="78712EF2"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0.0740</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hideMark/>
          </w:tcPr>
          <w:p w14:paraId="3C338494" w14:textId="3E9FDA1C"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0.0109</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hideMark/>
          </w:tcPr>
          <w:p w14:paraId="1F71F3AA" w14:textId="77777777" w:rsidR="00190FE2" w:rsidRPr="00652870" w:rsidRDefault="00190FE2" w:rsidP="00652870">
            <w:pPr>
              <w:spacing w:line="240" w:lineRule="auto"/>
              <w:rPr>
                <w:rFonts w:asciiTheme="minorHAnsi" w:eastAsia="Calibri" w:hAnsiTheme="minorHAnsi" w:cstheme="minorHAnsi"/>
                <w:sz w:val="22"/>
                <w:szCs w:val="22"/>
                <w:lang w:val="en-US" w:eastAsia="en-US"/>
              </w:rPr>
            </w:pPr>
          </w:p>
        </w:tc>
      </w:tr>
      <w:tr w:rsidR="004B02B1" w:rsidRPr="00652870" w14:paraId="1C2D5B43" w14:textId="77777777" w:rsidTr="00652870">
        <w:trPr>
          <w:trHeight w:val="300"/>
        </w:trPr>
        <w:tc>
          <w:tcPr>
            <w:tcW w:w="1071" w:type="pct"/>
            <w:tcBorders>
              <w:top w:val="nil"/>
              <w:left w:val="nil"/>
              <w:bottom w:val="nil"/>
              <w:right w:val="nil"/>
            </w:tcBorders>
            <w:shd w:val="clear" w:color="auto" w:fill="auto"/>
            <w:noWrap/>
            <w:vAlign w:val="center"/>
            <w:hideMark/>
          </w:tcPr>
          <w:p w14:paraId="55022FD1" w14:textId="7A0F8CFF"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Theme="minorHAnsi" w:eastAsia="Calibri" w:hAnsiTheme="minorHAnsi" w:cstheme="minorHAnsi"/>
                <w:sz w:val="22"/>
                <w:szCs w:val="22"/>
                <w:lang w:val="en-US" w:eastAsia="en-US"/>
              </w:rPr>
              <w:t>Industrials</w:t>
            </w:r>
          </w:p>
        </w:tc>
        <w:tc>
          <w:tcPr>
            <w:tcW w:w="697" w:type="pct"/>
            <w:tcBorders>
              <w:top w:val="nil"/>
              <w:left w:val="nil"/>
              <w:bottom w:val="nil"/>
              <w:right w:val="nil"/>
            </w:tcBorders>
            <w:shd w:val="clear" w:color="auto" w:fill="auto"/>
            <w:noWrap/>
            <w:vAlign w:val="center"/>
            <w:hideMark/>
          </w:tcPr>
          <w:p w14:paraId="4FF14F19" w14:textId="25382FD5"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1.5751</w:t>
            </w:r>
          </w:p>
        </w:tc>
        <w:tc>
          <w:tcPr>
            <w:tcW w:w="641" w:type="pct"/>
            <w:gridSpan w:val="2"/>
            <w:tcBorders>
              <w:top w:val="nil"/>
              <w:left w:val="nil"/>
              <w:bottom w:val="nil"/>
              <w:right w:val="nil"/>
            </w:tcBorders>
            <w:shd w:val="clear" w:color="auto" w:fill="auto"/>
            <w:noWrap/>
            <w:vAlign w:val="center"/>
            <w:hideMark/>
          </w:tcPr>
          <w:p w14:paraId="77745AAE" w14:textId="61C04C89"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1.5284</w:t>
            </w:r>
          </w:p>
        </w:tc>
        <w:tc>
          <w:tcPr>
            <w:tcW w:w="642" w:type="pct"/>
            <w:gridSpan w:val="2"/>
            <w:tcBorders>
              <w:top w:val="nil"/>
              <w:left w:val="nil"/>
              <w:bottom w:val="nil"/>
              <w:right w:val="nil"/>
            </w:tcBorders>
            <w:shd w:val="clear" w:color="auto" w:fill="auto"/>
            <w:noWrap/>
            <w:vAlign w:val="center"/>
            <w:hideMark/>
          </w:tcPr>
          <w:p w14:paraId="45C7B4EE" w14:textId="58BC0495"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1.4540</w:t>
            </w:r>
          </w:p>
        </w:tc>
        <w:tc>
          <w:tcPr>
            <w:tcW w:w="636" w:type="pct"/>
            <w:gridSpan w:val="2"/>
            <w:tcBorders>
              <w:top w:val="nil"/>
              <w:left w:val="nil"/>
              <w:bottom w:val="nil"/>
              <w:right w:val="nil"/>
            </w:tcBorders>
            <w:shd w:val="clear" w:color="auto" w:fill="auto"/>
            <w:noWrap/>
            <w:vAlign w:val="center"/>
            <w:hideMark/>
          </w:tcPr>
          <w:p w14:paraId="1974E1B5" w14:textId="26B33356"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-9.0786</w:t>
            </w:r>
          </w:p>
        </w:tc>
        <w:tc>
          <w:tcPr>
            <w:tcW w:w="737" w:type="pct"/>
            <w:gridSpan w:val="2"/>
            <w:tcBorders>
              <w:top w:val="nil"/>
              <w:left w:val="nil"/>
              <w:bottom w:val="nil"/>
              <w:right w:val="nil"/>
            </w:tcBorders>
            <w:shd w:val="clear" w:color="auto" w:fill="auto"/>
            <w:noWrap/>
            <w:vAlign w:val="center"/>
            <w:hideMark/>
          </w:tcPr>
          <w:p w14:paraId="3403AF07" w14:textId="7ECF4DF5"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-6.4755</w:t>
            </w:r>
          </w:p>
        </w:tc>
        <w:tc>
          <w:tcPr>
            <w:tcW w:w="576" w:type="pct"/>
            <w:gridSpan w:val="2"/>
            <w:tcBorders>
              <w:top w:val="nil"/>
              <w:left w:val="nil"/>
              <w:bottom w:val="nil"/>
              <w:right w:val="nil"/>
            </w:tcBorders>
            <w:shd w:val="clear" w:color="auto" w:fill="auto"/>
            <w:noWrap/>
            <w:vAlign w:val="center"/>
            <w:hideMark/>
          </w:tcPr>
          <w:p w14:paraId="0C5E63F5" w14:textId="6BA301BE" w:rsidR="00190FE2" w:rsidRPr="00652870" w:rsidRDefault="00190FE2"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2.19%</w:t>
            </w:r>
          </w:p>
        </w:tc>
      </w:tr>
      <w:tr w:rsidR="004B02B1" w:rsidRPr="00652870" w14:paraId="5379598F" w14:textId="77777777" w:rsidTr="00652870">
        <w:trPr>
          <w:trHeight w:val="300"/>
        </w:trPr>
        <w:tc>
          <w:tcPr>
            <w:tcW w:w="1071" w:type="pct"/>
            <w:tcBorders>
              <w:top w:val="nil"/>
              <w:left w:val="nil"/>
              <w:bottom w:val="nil"/>
              <w:right w:val="nil"/>
            </w:tcBorders>
            <w:shd w:val="clear" w:color="auto" w:fill="auto"/>
            <w:noWrap/>
            <w:vAlign w:val="center"/>
            <w:hideMark/>
          </w:tcPr>
          <w:p w14:paraId="1312E818" w14:textId="77777777" w:rsidR="00190FE2" w:rsidRPr="00652870" w:rsidRDefault="00190FE2" w:rsidP="00652870">
            <w:pPr>
              <w:spacing w:line="240" w:lineRule="auto"/>
              <w:rPr>
                <w:rFonts w:asciiTheme="minorHAnsi" w:eastAsia="Calibri" w:hAnsiTheme="minorHAnsi" w:cstheme="minorHAnsi"/>
                <w:sz w:val="22"/>
                <w:szCs w:val="22"/>
                <w:lang w:val="en-US" w:eastAsia="en-US"/>
              </w:rPr>
            </w:pPr>
          </w:p>
        </w:tc>
        <w:tc>
          <w:tcPr>
            <w:tcW w:w="697" w:type="pct"/>
            <w:tcBorders>
              <w:top w:val="nil"/>
              <w:left w:val="nil"/>
              <w:bottom w:val="nil"/>
              <w:right w:val="nil"/>
            </w:tcBorders>
            <w:shd w:val="clear" w:color="auto" w:fill="auto"/>
            <w:noWrap/>
            <w:vAlign w:val="center"/>
            <w:hideMark/>
          </w:tcPr>
          <w:p w14:paraId="575E9086" w14:textId="71CDA1F8"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hideMark/>
          </w:tcPr>
          <w:p w14:paraId="61DB3A2C" w14:textId="371D48F2"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hideMark/>
          </w:tcPr>
          <w:p w14:paraId="32538D7E" w14:textId="52F83393"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0.0000</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hideMark/>
          </w:tcPr>
          <w:p w14:paraId="4A67D6A4" w14:textId="5EB60366"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0.0282</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hideMark/>
          </w:tcPr>
          <w:p w14:paraId="0CA23071" w14:textId="1D6A42A8" w:rsidR="00190FE2"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190FE2" w:rsidRPr="00652870">
              <w:rPr>
                <w:rFonts w:ascii="Calibri" w:hAnsi="Calibri" w:cs="Calibri"/>
                <w:color w:val="000000"/>
                <w:sz w:val="22"/>
                <w:szCs w:val="22"/>
              </w:rPr>
              <w:t>0.0557</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hideMark/>
          </w:tcPr>
          <w:p w14:paraId="452910E1" w14:textId="77777777" w:rsidR="00190FE2" w:rsidRPr="00652870" w:rsidRDefault="00190FE2" w:rsidP="00652870">
            <w:pPr>
              <w:spacing w:line="240" w:lineRule="auto"/>
              <w:rPr>
                <w:rFonts w:asciiTheme="minorHAnsi" w:eastAsia="Calibri" w:hAnsiTheme="minorHAnsi" w:cstheme="minorHAnsi"/>
                <w:sz w:val="22"/>
                <w:szCs w:val="22"/>
                <w:lang w:val="en-US" w:eastAsia="en-US"/>
              </w:rPr>
            </w:pPr>
          </w:p>
        </w:tc>
      </w:tr>
      <w:tr w:rsidR="004B02B1" w:rsidRPr="00652870" w14:paraId="7EDC7451" w14:textId="77777777" w:rsidTr="00652870">
        <w:trPr>
          <w:trHeight w:val="300"/>
        </w:trPr>
        <w:tc>
          <w:tcPr>
            <w:tcW w:w="1071" w:type="pct"/>
            <w:tcBorders>
              <w:top w:val="nil"/>
              <w:left w:val="nil"/>
              <w:bottom w:val="nil"/>
              <w:right w:val="nil"/>
            </w:tcBorders>
            <w:shd w:val="clear" w:color="auto" w:fill="auto"/>
            <w:noWrap/>
            <w:vAlign w:val="center"/>
            <w:hideMark/>
          </w:tcPr>
          <w:p w14:paraId="1E369A73" w14:textId="44AA1586" w:rsidR="004B02B1" w:rsidRPr="00652870" w:rsidRDefault="004B02B1" w:rsidP="00652870">
            <w:pPr>
              <w:spacing w:line="240" w:lineRule="auto"/>
              <w:rPr>
                <w:rFonts w:asciiTheme="minorHAnsi" w:eastAsia="Calibri" w:hAnsiTheme="minorHAnsi" w:cstheme="minorHAnsi"/>
                <w:sz w:val="22"/>
                <w:szCs w:val="22"/>
                <w:lang w:val="en-US" w:eastAsia="en-US"/>
              </w:rPr>
            </w:pPr>
            <w:r w:rsidRPr="00652870">
              <w:rPr>
                <w:rFonts w:asciiTheme="minorHAnsi" w:eastAsia="Calibri" w:hAnsiTheme="minorHAnsi" w:cstheme="minorHAnsi"/>
                <w:sz w:val="22"/>
                <w:szCs w:val="22"/>
                <w:lang w:val="en-US" w:eastAsia="en-US"/>
              </w:rPr>
              <w:t>Real Estate</w:t>
            </w:r>
          </w:p>
        </w:tc>
        <w:tc>
          <w:tcPr>
            <w:tcW w:w="697" w:type="pct"/>
            <w:tcBorders>
              <w:top w:val="nil"/>
              <w:left w:val="nil"/>
              <w:bottom w:val="nil"/>
              <w:right w:val="nil"/>
            </w:tcBorders>
            <w:shd w:val="clear" w:color="auto" w:fill="auto"/>
            <w:noWrap/>
            <w:vAlign w:val="center"/>
            <w:hideMark/>
          </w:tcPr>
          <w:p w14:paraId="2FCFFEC7" w14:textId="6FF839F9" w:rsidR="004B02B1" w:rsidRPr="00652870" w:rsidRDefault="004B02B1"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1.4600</w:t>
            </w:r>
          </w:p>
        </w:tc>
        <w:tc>
          <w:tcPr>
            <w:tcW w:w="641" w:type="pct"/>
            <w:gridSpan w:val="2"/>
            <w:tcBorders>
              <w:top w:val="nil"/>
              <w:left w:val="nil"/>
              <w:bottom w:val="nil"/>
              <w:right w:val="nil"/>
            </w:tcBorders>
            <w:shd w:val="clear" w:color="auto" w:fill="auto"/>
            <w:noWrap/>
            <w:vAlign w:val="center"/>
            <w:hideMark/>
          </w:tcPr>
          <w:p w14:paraId="596DD954" w14:textId="2732D6F9" w:rsidR="004B02B1" w:rsidRPr="00652870" w:rsidRDefault="004B02B1"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5.6927</w:t>
            </w:r>
          </w:p>
        </w:tc>
        <w:tc>
          <w:tcPr>
            <w:tcW w:w="642" w:type="pct"/>
            <w:gridSpan w:val="2"/>
            <w:tcBorders>
              <w:top w:val="nil"/>
              <w:left w:val="nil"/>
              <w:bottom w:val="nil"/>
              <w:right w:val="nil"/>
            </w:tcBorders>
            <w:shd w:val="clear" w:color="auto" w:fill="auto"/>
            <w:noWrap/>
            <w:vAlign w:val="center"/>
            <w:hideMark/>
          </w:tcPr>
          <w:p w14:paraId="66375ED4" w14:textId="65F72E7B" w:rsidR="004B02B1" w:rsidRPr="00652870" w:rsidRDefault="004B02B1"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5.3760</w:t>
            </w:r>
          </w:p>
        </w:tc>
        <w:tc>
          <w:tcPr>
            <w:tcW w:w="636" w:type="pct"/>
            <w:gridSpan w:val="2"/>
            <w:tcBorders>
              <w:top w:val="nil"/>
              <w:left w:val="nil"/>
              <w:bottom w:val="nil"/>
              <w:right w:val="nil"/>
            </w:tcBorders>
            <w:shd w:val="clear" w:color="auto" w:fill="auto"/>
            <w:noWrap/>
            <w:vAlign w:val="center"/>
            <w:hideMark/>
          </w:tcPr>
          <w:p w14:paraId="753DD9C2" w14:textId="79CC7A1D" w:rsidR="004B02B1" w:rsidRPr="00652870" w:rsidRDefault="004B02B1"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-32.6439</w:t>
            </w:r>
          </w:p>
        </w:tc>
        <w:tc>
          <w:tcPr>
            <w:tcW w:w="737" w:type="pct"/>
            <w:gridSpan w:val="2"/>
            <w:tcBorders>
              <w:top w:val="nil"/>
              <w:left w:val="nil"/>
              <w:bottom w:val="nil"/>
              <w:right w:val="nil"/>
            </w:tcBorders>
            <w:shd w:val="clear" w:color="auto" w:fill="auto"/>
            <w:noWrap/>
            <w:vAlign w:val="center"/>
            <w:hideMark/>
          </w:tcPr>
          <w:p w14:paraId="60D7D326" w14:textId="203B10F6" w:rsidR="004B02B1" w:rsidRPr="00652870" w:rsidRDefault="004B02B1"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-26.5081</w:t>
            </w:r>
          </w:p>
        </w:tc>
        <w:tc>
          <w:tcPr>
            <w:tcW w:w="576" w:type="pct"/>
            <w:gridSpan w:val="2"/>
            <w:tcBorders>
              <w:top w:val="nil"/>
              <w:left w:val="nil"/>
              <w:bottom w:val="nil"/>
              <w:right w:val="nil"/>
            </w:tcBorders>
            <w:shd w:val="clear" w:color="auto" w:fill="auto"/>
            <w:noWrap/>
            <w:vAlign w:val="center"/>
            <w:hideMark/>
          </w:tcPr>
          <w:p w14:paraId="52CC3364" w14:textId="310BACA6" w:rsidR="004B02B1" w:rsidRPr="00652870" w:rsidRDefault="004B02B1"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3.25%</w:t>
            </w:r>
          </w:p>
        </w:tc>
      </w:tr>
      <w:tr w:rsidR="004B02B1" w:rsidRPr="00652870" w14:paraId="2166C427" w14:textId="77777777" w:rsidTr="00652870">
        <w:trPr>
          <w:trHeight w:val="300"/>
        </w:trPr>
        <w:tc>
          <w:tcPr>
            <w:tcW w:w="1071" w:type="pct"/>
            <w:tcBorders>
              <w:top w:val="nil"/>
              <w:left w:val="nil"/>
              <w:right w:val="nil"/>
            </w:tcBorders>
            <w:shd w:val="clear" w:color="auto" w:fill="auto"/>
            <w:noWrap/>
            <w:vAlign w:val="center"/>
            <w:hideMark/>
          </w:tcPr>
          <w:p w14:paraId="6A674454" w14:textId="77777777" w:rsidR="004B02B1" w:rsidRPr="00652870" w:rsidRDefault="004B02B1" w:rsidP="00652870">
            <w:pPr>
              <w:spacing w:line="240" w:lineRule="auto"/>
              <w:rPr>
                <w:rFonts w:asciiTheme="minorHAnsi" w:eastAsia="Calibri" w:hAnsiTheme="minorHAnsi" w:cstheme="minorHAnsi"/>
                <w:sz w:val="22"/>
                <w:szCs w:val="22"/>
                <w:lang w:val="en-US" w:eastAsia="en-US"/>
              </w:rPr>
            </w:pPr>
          </w:p>
        </w:tc>
        <w:tc>
          <w:tcPr>
            <w:tcW w:w="697" w:type="pct"/>
            <w:tcBorders>
              <w:top w:val="nil"/>
              <w:left w:val="nil"/>
              <w:right w:val="nil"/>
            </w:tcBorders>
            <w:shd w:val="clear" w:color="auto" w:fill="auto"/>
            <w:noWrap/>
            <w:vAlign w:val="center"/>
            <w:hideMark/>
          </w:tcPr>
          <w:p w14:paraId="16B542EE" w14:textId="626CA653" w:rsidR="004B02B1"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4B02B1" w:rsidRPr="00652870">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right w:val="nil"/>
            </w:tcBorders>
            <w:shd w:val="clear" w:color="auto" w:fill="auto"/>
            <w:noWrap/>
            <w:vAlign w:val="center"/>
            <w:hideMark/>
          </w:tcPr>
          <w:p w14:paraId="42D553F7" w14:textId="0F6796AB" w:rsidR="004B02B1"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4B02B1" w:rsidRPr="00652870">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right w:val="nil"/>
            </w:tcBorders>
            <w:shd w:val="clear" w:color="auto" w:fill="auto"/>
            <w:noWrap/>
            <w:vAlign w:val="center"/>
            <w:hideMark/>
          </w:tcPr>
          <w:p w14:paraId="0D030AB8" w14:textId="25941F53" w:rsidR="004B02B1"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4B02B1" w:rsidRPr="00652870">
              <w:rPr>
                <w:rFonts w:ascii="Calibri" w:hAnsi="Calibri" w:cs="Calibri"/>
                <w:color w:val="000000"/>
                <w:sz w:val="22"/>
                <w:szCs w:val="22"/>
              </w:rPr>
              <w:t>0.0000</w:t>
            </w:r>
            <w:r>
              <w:rPr>
                <w:rFonts w:ascii="Calibri" w:hAnsi="Calibri" w:cs="Calibri"/>
                <w:color w:val="000000"/>
                <w:sz w:val="22"/>
                <w:szCs w:val="22"/>
              </w:rPr>
              <w:t>)</w:t>
            </w:r>
          </w:p>
        </w:tc>
        <w:tc>
          <w:tcPr>
            <w:tcW w:w="636" w:type="pct"/>
            <w:gridSpan w:val="2"/>
            <w:tcBorders>
              <w:top w:val="nil"/>
              <w:left w:val="nil"/>
              <w:right w:val="nil"/>
            </w:tcBorders>
            <w:shd w:val="clear" w:color="auto" w:fill="auto"/>
            <w:noWrap/>
            <w:vAlign w:val="center"/>
            <w:hideMark/>
          </w:tcPr>
          <w:p w14:paraId="48BEDC1B" w14:textId="2D122FDE" w:rsidR="004B02B1"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4B02B1" w:rsidRPr="00652870">
              <w:rPr>
                <w:rFonts w:ascii="Calibri" w:hAnsi="Calibri" w:cs="Calibri"/>
                <w:color w:val="000000"/>
                <w:sz w:val="22"/>
                <w:szCs w:val="22"/>
              </w:rPr>
              <w:t>0.0000</w:t>
            </w:r>
            <w:r>
              <w:rPr>
                <w:rFonts w:ascii="Calibri" w:hAnsi="Calibri" w:cs="Calibri"/>
                <w:color w:val="000000"/>
                <w:sz w:val="22"/>
                <w:szCs w:val="22"/>
              </w:rPr>
              <w:t>)</w:t>
            </w:r>
          </w:p>
        </w:tc>
        <w:tc>
          <w:tcPr>
            <w:tcW w:w="737" w:type="pct"/>
            <w:gridSpan w:val="2"/>
            <w:tcBorders>
              <w:top w:val="nil"/>
              <w:left w:val="nil"/>
              <w:right w:val="nil"/>
            </w:tcBorders>
            <w:shd w:val="clear" w:color="auto" w:fill="auto"/>
            <w:noWrap/>
            <w:vAlign w:val="center"/>
            <w:hideMark/>
          </w:tcPr>
          <w:p w14:paraId="5D0ED88A" w14:textId="31297E4B" w:rsidR="004B02B1"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4B02B1" w:rsidRPr="00652870">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right w:val="nil"/>
            </w:tcBorders>
            <w:shd w:val="clear" w:color="auto" w:fill="auto"/>
            <w:noWrap/>
            <w:vAlign w:val="center"/>
            <w:hideMark/>
          </w:tcPr>
          <w:p w14:paraId="1D961315" w14:textId="77777777" w:rsidR="004B02B1" w:rsidRPr="00652870" w:rsidRDefault="004B02B1" w:rsidP="00652870">
            <w:pPr>
              <w:spacing w:line="240" w:lineRule="auto"/>
              <w:rPr>
                <w:rFonts w:asciiTheme="minorHAnsi" w:eastAsia="Calibri" w:hAnsiTheme="minorHAnsi" w:cstheme="minorHAnsi"/>
                <w:sz w:val="22"/>
                <w:szCs w:val="22"/>
                <w:lang w:val="en-US" w:eastAsia="en-US"/>
              </w:rPr>
            </w:pPr>
          </w:p>
        </w:tc>
      </w:tr>
      <w:tr w:rsidR="004B02B1" w:rsidRPr="00652870" w14:paraId="1C221965" w14:textId="77777777" w:rsidTr="00652870">
        <w:trPr>
          <w:trHeight w:val="300"/>
        </w:trPr>
        <w:tc>
          <w:tcPr>
            <w:tcW w:w="1071" w:type="pct"/>
            <w:tcBorders>
              <w:top w:val="nil"/>
              <w:left w:val="nil"/>
              <w:bottom w:val="nil"/>
              <w:right w:val="nil"/>
            </w:tcBorders>
            <w:shd w:val="clear" w:color="auto" w:fill="auto"/>
            <w:noWrap/>
            <w:vAlign w:val="center"/>
            <w:hideMark/>
          </w:tcPr>
          <w:p w14:paraId="7E7FD67E" w14:textId="77777777" w:rsidR="004B02B1" w:rsidRPr="00652870" w:rsidRDefault="004B02B1" w:rsidP="00652870">
            <w:pPr>
              <w:spacing w:line="240" w:lineRule="auto"/>
              <w:rPr>
                <w:rFonts w:asciiTheme="minorHAnsi" w:eastAsia="Calibri" w:hAnsiTheme="minorHAnsi" w:cstheme="minorHAnsi"/>
                <w:sz w:val="22"/>
                <w:szCs w:val="22"/>
                <w:lang w:val="en-US" w:eastAsia="en-US"/>
              </w:rPr>
            </w:pPr>
            <w:r w:rsidRPr="00652870">
              <w:rPr>
                <w:rFonts w:asciiTheme="minorHAnsi" w:eastAsia="Calibri" w:hAnsiTheme="minorHAnsi" w:cstheme="minorHAnsi"/>
                <w:sz w:val="22"/>
                <w:szCs w:val="22"/>
                <w:lang w:val="en-US" w:eastAsia="en-US"/>
              </w:rPr>
              <w:t>Technology</w:t>
            </w:r>
          </w:p>
        </w:tc>
        <w:tc>
          <w:tcPr>
            <w:tcW w:w="697" w:type="pct"/>
            <w:tcBorders>
              <w:top w:val="nil"/>
              <w:left w:val="nil"/>
              <w:bottom w:val="nil"/>
              <w:right w:val="nil"/>
            </w:tcBorders>
            <w:shd w:val="clear" w:color="auto" w:fill="auto"/>
            <w:noWrap/>
            <w:vAlign w:val="center"/>
            <w:hideMark/>
          </w:tcPr>
          <w:p w14:paraId="0954A72C" w14:textId="4DB55F97" w:rsidR="004B02B1" w:rsidRPr="00652870" w:rsidRDefault="004B02B1"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1.5138</w:t>
            </w:r>
          </w:p>
        </w:tc>
        <w:tc>
          <w:tcPr>
            <w:tcW w:w="641" w:type="pct"/>
            <w:gridSpan w:val="2"/>
            <w:tcBorders>
              <w:top w:val="nil"/>
              <w:left w:val="nil"/>
              <w:bottom w:val="nil"/>
              <w:right w:val="nil"/>
            </w:tcBorders>
            <w:shd w:val="clear" w:color="auto" w:fill="auto"/>
            <w:noWrap/>
            <w:vAlign w:val="center"/>
            <w:hideMark/>
          </w:tcPr>
          <w:p w14:paraId="0F9DFF28" w14:textId="073B6122" w:rsidR="004B02B1" w:rsidRPr="00652870" w:rsidRDefault="004B02B1"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-3.2685</w:t>
            </w:r>
          </w:p>
        </w:tc>
        <w:tc>
          <w:tcPr>
            <w:tcW w:w="642" w:type="pct"/>
            <w:gridSpan w:val="2"/>
            <w:tcBorders>
              <w:top w:val="nil"/>
              <w:left w:val="nil"/>
              <w:bottom w:val="nil"/>
              <w:right w:val="nil"/>
            </w:tcBorders>
            <w:shd w:val="clear" w:color="auto" w:fill="auto"/>
            <w:noWrap/>
            <w:vAlign w:val="center"/>
            <w:hideMark/>
          </w:tcPr>
          <w:p w14:paraId="3B524F8A" w14:textId="770A49CE" w:rsidR="004B02B1" w:rsidRPr="00652870" w:rsidRDefault="004B02B1"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-0.9999</w:t>
            </w:r>
          </w:p>
        </w:tc>
        <w:tc>
          <w:tcPr>
            <w:tcW w:w="636" w:type="pct"/>
            <w:gridSpan w:val="2"/>
            <w:tcBorders>
              <w:top w:val="nil"/>
              <w:left w:val="nil"/>
              <w:bottom w:val="nil"/>
              <w:right w:val="nil"/>
            </w:tcBorders>
            <w:shd w:val="clear" w:color="auto" w:fill="auto"/>
            <w:noWrap/>
            <w:vAlign w:val="center"/>
            <w:hideMark/>
          </w:tcPr>
          <w:p w14:paraId="5FC228D6" w14:textId="045E1662" w:rsidR="004B02B1" w:rsidRPr="00652870" w:rsidRDefault="004B02B1"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21.0510</w:t>
            </w:r>
          </w:p>
        </w:tc>
        <w:tc>
          <w:tcPr>
            <w:tcW w:w="737" w:type="pct"/>
            <w:gridSpan w:val="2"/>
            <w:tcBorders>
              <w:top w:val="nil"/>
              <w:left w:val="nil"/>
              <w:bottom w:val="nil"/>
              <w:right w:val="nil"/>
            </w:tcBorders>
            <w:shd w:val="clear" w:color="auto" w:fill="auto"/>
            <w:noWrap/>
            <w:vAlign w:val="center"/>
            <w:hideMark/>
          </w:tcPr>
          <w:p w14:paraId="36A5936D" w14:textId="5125C135" w:rsidR="004B02B1" w:rsidRPr="00652870" w:rsidRDefault="004B02B1"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30.9220</w:t>
            </w:r>
          </w:p>
        </w:tc>
        <w:tc>
          <w:tcPr>
            <w:tcW w:w="576" w:type="pct"/>
            <w:gridSpan w:val="2"/>
            <w:tcBorders>
              <w:top w:val="nil"/>
              <w:left w:val="nil"/>
              <w:bottom w:val="nil"/>
              <w:right w:val="nil"/>
            </w:tcBorders>
            <w:shd w:val="clear" w:color="auto" w:fill="auto"/>
            <w:noWrap/>
            <w:vAlign w:val="center"/>
            <w:hideMark/>
          </w:tcPr>
          <w:p w14:paraId="091595D7" w14:textId="1CD912C8" w:rsidR="004B02B1" w:rsidRPr="00652870" w:rsidRDefault="004B02B1"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3.23%</w:t>
            </w:r>
          </w:p>
        </w:tc>
      </w:tr>
      <w:tr w:rsidR="004B02B1" w:rsidRPr="00652870" w14:paraId="0AECE590" w14:textId="77777777" w:rsidTr="00652870">
        <w:trPr>
          <w:trHeight w:val="300"/>
        </w:trPr>
        <w:tc>
          <w:tcPr>
            <w:tcW w:w="1071" w:type="pct"/>
            <w:tcBorders>
              <w:top w:val="nil"/>
              <w:left w:val="nil"/>
              <w:bottom w:val="nil"/>
              <w:right w:val="nil"/>
            </w:tcBorders>
            <w:shd w:val="clear" w:color="auto" w:fill="auto"/>
            <w:noWrap/>
            <w:vAlign w:val="center"/>
            <w:hideMark/>
          </w:tcPr>
          <w:p w14:paraId="63350BAF" w14:textId="77777777" w:rsidR="004B02B1" w:rsidRPr="00652870" w:rsidRDefault="004B02B1" w:rsidP="00652870">
            <w:pPr>
              <w:spacing w:line="240" w:lineRule="auto"/>
              <w:rPr>
                <w:rFonts w:asciiTheme="minorHAnsi" w:eastAsia="Calibri" w:hAnsiTheme="minorHAnsi" w:cstheme="minorHAnsi"/>
                <w:sz w:val="22"/>
                <w:szCs w:val="22"/>
                <w:lang w:val="en-US" w:eastAsia="en-US"/>
              </w:rPr>
            </w:pPr>
          </w:p>
        </w:tc>
        <w:tc>
          <w:tcPr>
            <w:tcW w:w="697" w:type="pct"/>
            <w:tcBorders>
              <w:top w:val="nil"/>
              <w:left w:val="nil"/>
              <w:bottom w:val="nil"/>
              <w:right w:val="nil"/>
            </w:tcBorders>
            <w:shd w:val="clear" w:color="auto" w:fill="auto"/>
            <w:noWrap/>
            <w:vAlign w:val="center"/>
            <w:hideMark/>
          </w:tcPr>
          <w:p w14:paraId="050E2A2B" w14:textId="44362244" w:rsidR="004B02B1"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4B02B1" w:rsidRPr="00652870">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hideMark/>
          </w:tcPr>
          <w:p w14:paraId="0B747530" w14:textId="438563ED" w:rsidR="004B02B1"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4B02B1" w:rsidRPr="00652870">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hideMark/>
          </w:tcPr>
          <w:p w14:paraId="0DC06372" w14:textId="01996CF0" w:rsidR="004B02B1"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4B02B1" w:rsidRPr="00652870">
              <w:rPr>
                <w:rFonts w:ascii="Calibri" w:hAnsi="Calibri" w:cs="Calibri"/>
                <w:color w:val="000000"/>
                <w:sz w:val="22"/>
                <w:szCs w:val="22"/>
              </w:rPr>
              <w:t>0.0010</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hideMark/>
          </w:tcPr>
          <w:p w14:paraId="28B3B7F3" w14:textId="4D2571BE" w:rsidR="004B02B1"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4B02B1" w:rsidRPr="00652870">
              <w:rPr>
                <w:rFonts w:ascii="Calibri" w:hAnsi="Calibri" w:cs="Calibri"/>
                <w:color w:val="000000"/>
                <w:sz w:val="22"/>
                <w:szCs w:val="22"/>
              </w:rPr>
              <w:t>0.0001</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hideMark/>
          </w:tcPr>
          <w:p w14:paraId="11A4AD36" w14:textId="23F852E3" w:rsidR="004B02B1" w:rsidRPr="00652870" w:rsidRDefault="003751C2" w:rsidP="00652870">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4B02B1" w:rsidRPr="00652870">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hideMark/>
          </w:tcPr>
          <w:p w14:paraId="7595B27A" w14:textId="77777777" w:rsidR="004B02B1" w:rsidRPr="00652870" w:rsidRDefault="004B02B1" w:rsidP="00652870">
            <w:pPr>
              <w:spacing w:line="240" w:lineRule="auto"/>
              <w:rPr>
                <w:rFonts w:asciiTheme="minorHAnsi" w:eastAsia="Calibri" w:hAnsiTheme="minorHAnsi" w:cstheme="minorHAnsi"/>
                <w:sz w:val="22"/>
                <w:szCs w:val="22"/>
                <w:lang w:val="en-US" w:eastAsia="en-US"/>
              </w:rPr>
            </w:pPr>
          </w:p>
        </w:tc>
      </w:tr>
      <w:tr w:rsidR="004B02B1" w:rsidRPr="00652870" w14:paraId="2679554A" w14:textId="77777777" w:rsidTr="00652870">
        <w:trPr>
          <w:trHeight w:val="300"/>
        </w:trPr>
        <w:tc>
          <w:tcPr>
            <w:tcW w:w="1071" w:type="pct"/>
            <w:tcBorders>
              <w:top w:val="nil"/>
              <w:left w:val="nil"/>
              <w:bottom w:val="nil"/>
              <w:right w:val="nil"/>
            </w:tcBorders>
            <w:shd w:val="clear" w:color="auto" w:fill="auto"/>
            <w:noWrap/>
            <w:vAlign w:val="center"/>
          </w:tcPr>
          <w:p w14:paraId="7160BEDF" w14:textId="0332AB1E" w:rsidR="004B02B1" w:rsidRPr="00652870" w:rsidRDefault="00652870"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Telecoms</w:t>
            </w:r>
          </w:p>
        </w:tc>
        <w:tc>
          <w:tcPr>
            <w:tcW w:w="697" w:type="pct"/>
            <w:tcBorders>
              <w:top w:val="nil"/>
              <w:left w:val="nil"/>
              <w:bottom w:val="nil"/>
              <w:right w:val="nil"/>
            </w:tcBorders>
            <w:shd w:val="clear" w:color="auto" w:fill="auto"/>
            <w:noWrap/>
            <w:vAlign w:val="center"/>
          </w:tcPr>
          <w:p w14:paraId="27875677" w14:textId="052AB482" w:rsidR="004B02B1" w:rsidRPr="00652870" w:rsidRDefault="004B02B1" w:rsidP="00652870">
            <w:pPr>
              <w:spacing w:line="240" w:lineRule="auto"/>
              <w:rPr>
                <w:rFonts w:ascii="Calibri" w:hAnsi="Calibri" w:cs="Calibri"/>
                <w:color w:val="000000"/>
                <w:sz w:val="22"/>
                <w:szCs w:val="22"/>
              </w:rPr>
            </w:pPr>
            <w:r w:rsidRPr="00652870">
              <w:rPr>
                <w:rFonts w:ascii="Calibri" w:hAnsi="Calibri" w:cs="Calibri"/>
                <w:color w:val="000000"/>
                <w:sz w:val="22"/>
                <w:szCs w:val="22"/>
              </w:rPr>
              <w:t>0.0082</w:t>
            </w:r>
          </w:p>
        </w:tc>
        <w:tc>
          <w:tcPr>
            <w:tcW w:w="641" w:type="pct"/>
            <w:gridSpan w:val="2"/>
            <w:tcBorders>
              <w:top w:val="nil"/>
              <w:left w:val="nil"/>
              <w:bottom w:val="nil"/>
              <w:right w:val="nil"/>
            </w:tcBorders>
            <w:shd w:val="clear" w:color="auto" w:fill="auto"/>
            <w:noWrap/>
            <w:vAlign w:val="center"/>
          </w:tcPr>
          <w:p w14:paraId="0E0CEAFA" w14:textId="525B84EA" w:rsidR="004B02B1" w:rsidRPr="00652870" w:rsidRDefault="004B02B1" w:rsidP="00652870">
            <w:pPr>
              <w:spacing w:line="240" w:lineRule="auto"/>
              <w:rPr>
                <w:rFonts w:ascii="Calibri" w:hAnsi="Calibri" w:cs="Calibri"/>
                <w:color w:val="000000"/>
                <w:sz w:val="22"/>
                <w:szCs w:val="22"/>
              </w:rPr>
            </w:pPr>
            <w:r w:rsidRPr="00652870">
              <w:rPr>
                <w:rFonts w:ascii="Calibri" w:hAnsi="Calibri" w:cs="Calibri"/>
                <w:color w:val="000000"/>
                <w:sz w:val="22"/>
                <w:szCs w:val="22"/>
              </w:rPr>
              <w:t>0.4876</w:t>
            </w:r>
          </w:p>
        </w:tc>
        <w:tc>
          <w:tcPr>
            <w:tcW w:w="642" w:type="pct"/>
            <w:gridSpan w:val="2"/>
            <w:tcBorders>
              <w:top w:val="nil"/>
              <w:left w:val="nil"/>
              <w:bottom w:val="nil"/>
              <w:right w:val="nil"/>
            </w:tcBorders>
            <w:shd w:val="clear" w:color="auto" w:fill="auto"/>
            <w:noWrap/>
            <w:vAlign w:val="center"/>
          </w:tcPr>
          <w:p w14:paraId="209F20D6" w14:textId="1C06ECDC" w:rsidR="004B02B1" w:rsidRPr="00652870" w:rsidRDefault="004B02B1" w:rsidP="00652870">
            <w:pPr>
              <w:spacing w:line="240" w:lineRule="auto"/>
              <w:rPr>
                <w:rFonts w:ascii="Calibri" w:hAnsi="Calibri" w:cs="Calibri"/>
                <w:color w:val="000000"/>
                <w:sz w:val="22"/>
                <w:szCs w:val="22"/>
              </w:rPr>
            </w:pPr>
            <w:r w:rsidRPr="00652870">
              <w:rPr>
                <w:rFonts w:ascii="Calibri" w:hAnsi="Calibri" w:cs="Calibri"/>
                <w:color w:val="000000"/>
                <w:sz w:val="22"/>
                <w:szCs w:val="22"/>
              </w:rPr>
              <w:t>0.4159</w:t>
            </w:r>
          </w:p>
        </w:tc>
        <w:tc>
          <w:tcPr>
            <w:tcW w:w="636" w:type="pct"/>
            <w:gridSpan w:val="2"/>
            <w:tcBorders>
              <w:top w:val="nil"/>
              <w:left w:val="nil"/>
              <w:bottom w:val="nil"/>
              <w:right w:val="nil"/>
            </w:tcBorders>
            <w:shd w:val="clear" w:color="auto" w:fill="auto"/>
            <w:noWrap/>
            <w:vAlign w:val="center"/>
          </w:tcPr>
          <w:p w14:paraId="13BB6512" w14:textId="50B98452" w:rsidR="004B02B1" w:rsidRPr="00652870" w:rsidRDefault="004B02B1" w:rsidP="00652870">
            <w:pPr>
              <w:spacing w:line="240" w:lineRule="auto"/>
              <w:rPr>
                <w:rFonts w:ascii="Calibri" w:hAnsi="Calibri" w:cs="Calibri"/>
                <w:color w:val="000000"/>
                <w:sz w:val="22"/>
                <w:szCs w:val="22"/>
              </w:rPr>
            </w:pPr>
            <w:r w:rsidRPr="00652870">
              <w:rPr>
                <w:rFonts w:ascii="Calibri" w:hAnsi="Calibri" w:cs="Calibri"/>
                <w:color w:val="000000"/>
                <w:sz w:val="22"/>
                <w:szCs w:val="22"/>
              </w:rPr>
              <w:t>-0.9825</w:t>
            </w:r>
          </w:p>
        </w:tc>
        <w:tc>
          <w:tcPr>
            <w:tcW w:w="737" w:type="pct"/>
            <w:gridSpan w:val="2"/>
            <w:tcBorders>
              <w:top w:val="nil"/>
              <w:left w:val="nil"/>
              <w:bottom w:val="nil"/>
              <w:right w:val="nil"/>
            </w:tcBorders>
            <w:shd w:val="clear" w:color="auto" w:fill="auto"/>
            <w:noWrap/>
            <w:vAlign w:val="center"/>
          </w:tcPr>
          <w:p w14:paraId="17212747" w14:textId="781613CE" w:rsidR="004B02B1" w:rsidRPr="00652870" w:rsidRDefault="004B02B1" w:rsidP="00652870">
            <w:pPr>
              <w:spacing w:line="240" w:lineRule="auto"/>
              <w:rPr>
                <w:rFonts w:ascii="Calibri" w:hAnsi="Calibri" w:cs="Calibri"/>
                <w:color w:val="000000"/>
                <w:sz w:val="22"/>
                <w:szCs w:val="22"/>
              </w:rPr>
            </w:pPr>
            <w:r w:rsidRPr="00652870">
              <w:rPr>
                <w:rFonts w:ascii="Calibri" w:hAnsi="Calibri" w:cs="Calibri"/>
                <w:color w:val="000000"/>
                <w:sz w:val="22"/>
                <w:szCs w:val="22"/>
              </w:rPr>
              <w:t>-1.6303</w:t>
            </w:r>
          </w:p>
        </w:tc>
        <w:tc>
          <w:tcPr>
            <w:tcW w:w="576" w:type="pct"/>
            <w:gridSpan w:val="2"/>
            <w:tcBorders>
              <w:top w:val="nil"/>
              <w:left w:val="nil"/>
              <w:bottom w:val="nil"/>
              <w:right w:val="nil"/>
            </w:tcBorders>
            <w:shd w:val="clear" w:color="auto" w:fill="auto"/>
            <w:noWrap/>
            <w:vAlign w:val="center"/>
          </w:tcPr>
          <w:p w14:paraId="6DEC8A0F" w14:textId="0202B3C3" w:rsidR="004B02B1" w:rsidRPr="00652870" w:rsidRDefault="004B02B1"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24.04%</w:t>
            </w:r>
          </w:p>
        </w:tc>
      </w:tr>
      <w:tr w:rsidR="004B02B1" w:rsidRPr="00652870" w14:paraId="34A58FCE" w14:textId="77777777" w:rsidTr="00652870">
        <w:trPr>
          <w:trHeight w:val="300"/>
        </w:trPr>
        <w:tc>
          <w:tcPr>
            <w:tcW w:w="1071" w:type="pct"/>
            <w:tcBorders>
              <w:top w:val="nil"/>
              <w:left w:val="nil"/>
              <w:bottom w:val="nil"/>
              <w:right w:val="nil"/>
            </w:tcBorders>
            <w:shd w:val="clear" w:color="auto" w:fill="auto"/>
            <w:noWrap/>
            <w:vAlign w:val="center"/>
          </w:tcPr>
          <w:p w14:paraId="191453A9" w14:textId="6EFC37C9" w:rsidR="004B02B1" w:rsidRPr="00652870" w:rsidRDefault="004B02B1"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 xml:space="preserve"> </w:t>
            </w:r>
          </w:p>
        </w:tc>
        <w:tc>
          <w:tcPr>
            <w:tcW w:w="697" w:type="pct"/>
            <w:tcBorders>
              <w:top w:val="nil"/>
              <w:left w:val="nil"/>
              <w:bottom w:val="nil"/>
              <w:right w:val="nil"/>
            </w:tcBorders>
            <w:shd w:val="clear" w:color="auto" w:fill="auto"/>
            <w:noWrap/>
            <w:vAlign w:val="center"/>
          </w:tcPr>
          <w:p w14:paraId="3BDA2C5F" w14:textId="2CD57534" w:rsidR="004B02B1" w:rsidRPr="00652870" w:rsidRDefault="003751C2" w:rsidP="00652870">
            <w:pPr>
              <w:spacing w:line="240" w:lineRule="auto"/>
              <w:rPr>
                <w:rFonts w:ascii="Calibri" w:hAnsi="Calibri" w:cs="Calibri"/>
                <w:color w:val="000000"/>
                <w:sz w:val="22"/>
                <w:szCs w:val="22"/>
              </w:rPr>
            </w:pPr>
            <w:r>
              <w:rPr>
                <w:rFonts w:ascii="Calibri" w:hAnsi="Calibri" w:cs="Calibri"/>
                <w:color w:val="000000"/>
                <w:sz w:val="22"/>
                <w:szCs w:val="22"/>
              </w:rPr>
              <w:t>(</w:t>
            </w:r>
            <w:r w:rsidR="004B02B1" w:rsidRPr="00652870">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tcPr>
          <w:p w14:paraId="3BE51845" w14:textId="1736D167" w:rsidR="004B02B1" w:rsidRPr="00652870" w:rsidRDefault="003751C2" w:rsidP="00652870">
            <w:pPr>
              <w:spacing w:line="240" w:lineRule="auto"/>
              <w:rPr>
                <w:rFonts w:ascii="Calibri" w:hAnsi="Calibri" w:cs="Calibri"/>
                <w:color w:val="000000"/>
                <w:sz w:val="22"/>
                <w:szCs w:val="22"/>
              </w:rPr>
            </w:pPr>
            <w:r>
              <w:rPr>
                <w:rFonts w:ascii="Calibri" w:hAnsi="Calibri" w:cs="Calibri"/>
                <w:color w:val="000000"/>
                <w:sz w:val="22"/>
                <w:szCs w:val="22"/>
              </w:rPr>
              <w:t>(</w:t>
            </w:r>
            <w:r w:rsidR="004B02B1" w:rsidRPr="00652870">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tcPr>
          <w:p w14:paraId="5EE0EE26" w14:textId="4479C277" w:rsidR="004B02B1" w:rsidRPr="00652870" w:rsidRDefault="003751C2" w:rsidP="00652870">
            <w:pPr>
              <w:spacing w:line="240" w:lineRule="auto"/>
              <w:rPr>
                <w:rFonts w:ascii="Calibri" w:hAnsi="Calibri" w:cs="Calibri"/>
                <w:color w:val="000000"/>
                <w:sz w:val="22"/>
                <w:szCs w:val="22"/>
              </w:rPr>
            </w:pPr>
            <w:r>
              <w:rPr>
                <w:rFonts w:ascii="Calibri" w:hAnsi="Calibri" w:cs="Calibri"/>
                <w:color w:val="000000"/>
                <w:sz w:val="22"/>
                <w:szCs w:val="22"/>
              </w:rPr>
              <w:t>(</w:t>
            </w:r>
            <w:r w:rsidR="004B02B1" w:rsidRPr="00652870">
              <w:rPr>
                <w:rFonts w:ascii="Calibri" w:hAnsi="Calibri" w:cs="Calibri"/>
                <w:color w:val="000000"/>
                <w:sz w:val="22"/>
                <w:szCs w:val="22"/>
              </w:rPr>
              <w:t>0.0040</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tcPr>
          <w:p w14:paraId="761D14E6" w14:textId="684A717C" w:rsidR="004B02B1" w:rsidRPr="00652870" w:rsidRDefault="003751C2" w:rsidP="00652870">
            <w:pPr>
              <w:spacing w:line="240" w:lineRule="auto"/>
              <w:rPr>
                <w:rFonts w:ascii="Calibri" w:hAnsi="Calibri" w:cs="Calibri"/>
                <w:color w:val="000000"/>
                <w:sz w:val="22"/>
                <w:szCs w:val="22"/>
              </w:rPr>
            </w:pPr>
            <w:r>
              <w:rPr>
                <w:rFonts w:ascii="Calibri" w:hAnsi="Calibri" w:cs="Calibri"/>
                <w:color w:val="000000"/>
                <w:sz w:val="22"/>
                <w:szCs w:val="22"/>
              </w:rPr>
              <w:t>(</w:t>
            </w:r>
            <w:r w:rsidR="004B02B1" w:rsidRPr="00652870">
              <w:rPr>
                <w:rFonts w:ascii="Calibri" w:hAnsi="Calibri" w:cs="Calibri"/>
                <w:color w:val="000000"/>
                <w:sz w:val="22"/>
                <w:szCs w:val="22"/>
              </w:rPr>
              <w:t>0.0000</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tcPr>
          <w:p w14:paraId="54B7A760" w14:textId="4BC40BF9" w:rsidR="004B02B1" w:rsidRPr="00652870" w:rsidRDefault="003751C2" w:rsidP="00652870">
            <w:pPr>
              <w:spacing w:line="240" w:lineRule="auto"/>
              <w:rPr>
                <w:rFonts w:ascii="Calibri" w:hAnsi="Calibri" w:cs="Calibri"/>
                <w:color w:val="000000"/>
                <w:sz w:val="22"/>
                <w:szCs w:val="22"/>
              </w:rPr>
            </w:pPr>
            <w:r>
              <w:rPr>
                <w:rFonts w:ascii="Calibri" w:hAnsi="Calibri" w:cs="Calibri"/>
                <w:color w:val="000000"/>
                <w:sz w:val="22"/>
                <w:szCs w:val="22"/>
              </w:rPr>
              <w:t>(</w:t>
            </w:r>
            <w:r w:rsidR="004B02B1" w:rsidRPr="00652870">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tcPr>
          <w:p w14:paraId="249CF667" w14:textId="77777777" w:rsidR="004B02B1" w:rsidRPr="00652870" w:rsidRDefault="004B02B1" w:rsidP="00652870">
            <w:pPr>
              <w:spacing w:line="240" w:lineRule="auto"/>
              <w:rPr>
                <w:rFonts w:asciiTheme="minorHAnsi" w:eastAsia="Calibri" w:hAnsiTheme="minorHAnsi" w:cstheme="minorHAnsi"/>
                <w:sz w:val="22"/>
                <w:szCs w:val="22"/>
                <w:lang w:val="en-US" w:eastAsia="en-US"/>
              </w:rPr>
            </w:pPr>
          </w:p>
        </w:tc>
      </w:tr>
      <w:tr w:rsidR="004B02B1" w:rsidRPr="00652870" w14:paraId="7B48F76C" w14:textId="77777777" w:rsidTr="00652870">
        <w:trPr>
          <w:trHeight w:val="300"/>
        </w:trPr>
        <w:tc>
          <w:tcPr>
            <w:tcW w:w="1071" w:type="pct"/>
            <w:tcBorders>
              <w:top w:val="nil"/>
              <w:left w:val="nil"/>
              <w:bottom w:val="nil"/>
              <w:right w:val="nil"/>
            </w:tcBorders>
            <w:shd w:val="clear" w:color="auto" w:fill="auto"/>
            <w:noWrap/>
            <w:vAlign w:val="center"/>
          </w:tcPr>
          <w:p w14:paraId="51CF9F19" w14:textId="1341B9F5" w:rsidR="004B02B1" w:rsidRPr="00652870" w:rsidRDefault="004B02B1" w:rsidP="00652870">
            <w:pPr>
              <w:spacing w:line="240" w:lineRule="auto"/>
              <w:rPr>
                <w:rFonts w:asciiTheme="minorHAnsi" w:eastAsia="Calibri" w:hAnsiTheme="minorHAnsi" w:cstheme="minorHAnsi"/>
                <w:sz w:val="22"/>
                <w:szCs w:val="22"/>
                <w:lang w:val="en-US" w:eastAsia="en-US"/>
              </w:rPr>
            </w:pPr>
            <w:r w:rsidRPr="00652870">
              <w:rPr>
                <w:rFonts w:asciiTheme="minorHAnsi" w:eastAsia="Calibri" w:hAnsiTheme="minorHAnsi" w:cstheme="minorHAnsi"/>
                <w:sz w:val="22"/>
                <w:szCs w:val="22"/>
                <w:lang w:val="en-US" w:eastAsia="en-US"/>
              </w:rPr>
              <w:t>Utilities</w:t>
            </w:r>
          </w:p>
        </w:tc>
        <w:tc>
          <w:tcPr>
            <w:tcW w:w="697" w:type="pct"/>
            <w:tcBorders>
              <w:top w:val="nil"/>
              <w:left w:val="nil"/>
              <w:bottom w:val="nil"/>
              <w:right w:val="nil"/>
            </w:tcBorders>
            <w:shd w:val="clear" w:color="auto" w:fill="auto"/>
            <w:noWrap/>
            <w:vAlign w:val="center"/>
          </w:tcPr>
          <w:p w14:paraId="251775B3" w14:textId="50C8F77B" w:rsidR="004B02B1" w:rsidRPr="00652870" w:rsidRDefault="004B02B1" w:rsidP="00652870">
            <w:pPr>
              <w:spacing w:line="240" w:lineRule="auto"/>
              <w:rPr>
                <w:rFonts w:ascii="Calibri" w:hAnsi="Calibri" w:cs="Calibri"/>
                <w:color w:val="000000"/>
                <w:sz w:val="22"/>
                <w:szCs w:val="22"/>
              </w:rPr>
            </w:pPr>
            <w:r w:rsidRPr="00652870">
              <w:rPr>
                <w:rFonts w:ascii="Calibri" w:hAnsi="Calibri" w:cs="Calibri"/>
                <w:color w:val="000000"/>
                <w:sz w:val="22"/>
                <w:szCs w:val="22"/>
              </w:rPr>
              <w:t>0.0065</w:t>
            </w:r>
          </w:p>
        </w:tc>
        <w:tc>
          <w:tcPr>
            <w:tcW w:w="641" w:type="pct"/>
            <w:gridSpan w:val="2"/>
            <w:tcBorders>
              <w:top w:val="nil"/>
              <w:left w:val="nil"/>
              <w:bottom w:val="nil"/>
              <w:right w:val="nil"/>
            </w:tcBorders>
            <w:shd w:val="clear" w:color="auto" w:fill="auto"/>
            <w:noWrap/>
            <w:vAlign w:val="center"/>
          </w:tcPr>
          <w:p w14:paraId="100B11EC" w14:textId="48CB17D4" w:rsidR="004B02B1" w:rsidRPr="00652870" w:rsidRDefault="004B02B1" w:rsidP="00652870">
            <w:pPr>
              <w:spacing w:line="240" w:lineRule="auto"/>
              <w:rPr>
                <w:rFonts w:ascii="Calibri" w:hAnsi="Calibri" w:cs="Calibri"/>
                <w:color w:val="000000"/>
                <w:sz w:val="22"/>
                <w:szCs w:val="22"/>
              </w:rPr>
            </w:pPr>
            <w:r w:rsidRPr="00652870">
              <w:rPr>
                <w:rFonts w:ascii="Calibri" w:hAnsi="Calibri" w:cs="Calibri"/>
                <w:color w:val="000000"/>
                <w:sz w:val="22"/>
                <w:szCs w:val="22"/>
              </w:rPr>
              <w:t>0.0054</w:t>
            </w:r>
          </w:p>
        </w:tc>
        <w:tc>
          <w:tcPr>
            <w:tcW w:w="642" w:type="pct"/>
            <w:gridSpan w:val="2"/>
            <w:tcBorders>
              <w:top w:val="nil"/>
              <w:left w:val="nil"/>
              <w:bottom w:val="nil"/>
              <w:right w:val="nil"/>
            </w:tcBorders>
            <w:shd w:val="clear" w:color="auto" w:fill="auto"/>
            <w:noWrap/>
            <w:vAlign w:val="center"/>
          </w:tcPr>
          <w:p w14:paraId="13BB3F90" w14:textId="325DFA4E" w:rsidR="004B02B1" w:rsidRPr="00652870" w:rsidRDefault="004B02B1" w:rsidP="00652870">
            <w:pPr>
              <w:spacing w:line="240" w:lineRule="auto"/>
              <w:rPr>
                <w:rFonts w:ascii="Calibri" w:hAnsi="Calibri" w:cs="Calibri"/>
                <w:color w:val="000000"/>
                <w:sz w:val="22"/>
                <w:szCs w:val="22"/>
              </w:rPr>
            </w:pPr>
            <w:r w:rsidRPr="00652870">
              <w:rPr>
                <w:rFonts w:ascii="Calibri" w:hAnsi="Calibri" w:cs="Calibri"/>
                <w:color w:val="000000"/>
                <w:sz w:val="22"/>
                <w:szCs w:val="22"/>
              </w:rPr>
              <w:t>0.0083</w:t>
            </w:r>
          </w:p>
        </w:tc>
        <w:tc>
          <w:tcPr>
            <w:tcW w:w="636" w:type="pct"/>
            <w:gridSpan w:val="2"/>
            <w:tcBorders>
              <w:top w:val="nil"/>
              <w:left w:val="nil"/>
              <w:bottom w:val="nil"/>
              <w:right w:val="nil"/>
            </w:tcBorders>
            <w:shd w:val="clear" w:color="auto" w:fill="auto"/>
            <w:noWrap/>
            <w:vAlign w:val="center"/>
          </w:tcPr>
          <w:p w14:paraId="11822CF7" w14:textId="5A585774" w:rsidR="004B02B1" w:rsidRPr="00652870" w:rsidRDefault="004B02B1" w:rsidP="00652870">
            <w:pPr>
              <w:spacing w:line="240" w:lineRule="auto"/>
              <w:rPr>
                <w:rFonts w:ascii="Calibri" w:hAnsi="Calibri" w:cs="Calibri"/>
                <w:color w:val="000000"/>
                <w:sz w:val="22"/>
                <w:szCs w:val="22"/>
              </w:rPr>
            </w:pPr>
            <w:r w:rsidRPr="00652870">
              <w:rPr>
                <w:rFonts w:ascii="Calibri" w:hAnsi="Calibri" w:cs="Calibri"/>
                <w:color w:val="000000"/>
                <w:sz w:val="22"/>
                <w:szCs w:val="22"/>
              </w:rPr>
              <w:t>-0.0074</w:t>
            </w:r>
          </w:p>
        </w:tc>
        <w:tc>
          <w:tcPr>
            <w:tcW w:w="737" w:type="pct"/>
            <w:gridSpan w:val="2"/>
            <w:tcBorders>
              <w:top w:val="nil"/>
              <w:left w:val="nil"/>
              <w:bottom w:val="nil"/>
              <w:right w:val="nil"/>
            </w:tcBorders>
            <w:shd w:val="clear" w:color="auto" w:fill="auto"/>
            <w:noWrap/>
            <w:vAlign w:val="center"/>
          </w:tcPr>
          <w:p w14:paraId="4A03B54E" w14:textId="0A1FE42C" w:rsidR="004B02B1" w:rsidRPr="00652870" w:rsidRDefault="004B02B1" w:rsidP="00652870">
            <w:pPr>
              <w:spacing w:line="240" w:lineRule="auto"/>
              <w:rPr>
                <w:rFonts w:ascii="Calibri" w:hAnsi="Calibri" w:cs="Calibri"/>
                <w:color w:val="000000"/>
                <w:sz w:val="22"/>
                <w:szCs w:val="22"/>
              </w:rPr>
            </w:pPr>
            <w:r w:rsidRPr="00652870">
              <w:rPr>
                <w:rFonts w:ascii="Calibri" w:hAnsi="Calibri" w:cs="Calibri"/>
                <w:color w:val="000000"/>
                <w:sz w:val="22"/>
                <w:szCs w:val="22"/>
              </w:rPr>
              <w:t>-0.0083</w:t>
            </w:r>
          </w:p>
        </w:tc>
        <w:tc>
          <w:tcPr>
            <w:tcW w:w="576" w:type="pct"/>
            <w:gridSpan w:val="2"/>
            <w:tcBorders>
              <w:top w:val="nil"/>
              <w:left w:val="nil"/>
              <w:bottom w:val="nil"/>
              <w:right w:val="nil"/>
            </w:tcBorders>
            <w:shd w:val="clear" w:color="auto" w:fill="auto"/>
            <w:noWrap/>
            <w:vAlign w:val="center"/>
          </w:tcPr>
          <w:p w14:paraId="0B4F464F" w14:textId="04811619" w:rsidR="004B02B1" w:rsidRPr="00652870" w:rsidRDefault="004B02B1" w:rsidP="00652870">
            <w:pPr>
              <w:spacing w:line="240" w:lineRule="auto"/>
              <w:rPr>
                <w:rFonts w:asciiTheme="minorHAnsi" w:eastAsia="Calibri" w:hAnsiTheme="minorHAnsi" w:cstheme="minorHAnsi"/>
                <w:sz w:val="22"/>
                <w:szCs w:val="22"/>
                <w:lang w:val="en-US" w:eastAsia="en-US"/>
              </w:rPr>
            </w:pPr>
            <w:r w:rsidRPr="00652870">
              <w:rPr>
                <w:rFonts w:ascii="Calibri" w:hAnsi="Calibri" w:cs="Calibri"/>
                <w:color w:val="000000"/>
                <w:sz w:val="22"/>
                <w:szCs w:val="22"/>
              </w:rPr>
              <w:t>2.02%</w:t>
            </w:r>
          </w:p>
        </w:tc>
      </w:tr>
      <w:tr w:rsidR="00652870" w:rsidRPr="00652870" w14:paraId="09B76260" w14:textId="77777777" w:rsidTr="00652870">
        <w:trPr>
          <w:trHeight w:val="300"/>
        </w:trPr>
        <w:tc>
          <w:tcPr>
            <w:tcW w:w="1071" w:type="pct"/>
            <w:tcBorders>
              <w:top w:val="nil"/>
              <w:left w:val="nil"/>
              <w:bottom w:val="single" w:sz="4" w:space="0" w:color="auto"/>
              <w:right w:val="nil"/>
            </w:tcBorders>
            <w:shd w:val="clear" w:color="auto" w:fill="auto"/>
            <w:noWrap/>
            <w:vAlign w:val="bottom"/>
          </w:tcPr>
          <w:p w14:paraId="29B5AE37" w14:textId="77777777" w:rsidR="00652870" w:rsidRPr="00652870" w:rsidRDefault="00652870" w:rsidP="00652870">
            <w:pPr>
              <w:spacing w:line="240" w:lineRule="auto"/>
              <w:rPr>
                <w:rFonts w:asciiTheme="minorHAnsi" w:eastAsia="Calibri" w:hAnsiTheme="minorHAnsi" w:cstheme="minorHAnsi"/>
                <w:sz w:val="22"/>
                <w:szCs w:val="22"/>
                <w:lang w:val="en-US" w:eastAsia="en-US"/>
              </w:rPr>
            </w:pPr>
          </w:p>
        </w:tc>
        <w:tc>
          <w:tcPr>
            <w:tcW w:w="697" w:type="pct"/>
            <w:tcBorders>
              <w:top w:val="nil"/>
              <w:left w:val="nil"/>
              <w:bottom w:val="single" w:sz="4" w:space="0" w:color="auto"/>
              <w:right w:val="nil"/>
            </w:tcBorders>
            <w:shd w:val="clear" w:color="auto" w:fill="auto"/>
            <w:noWrap/>
            <w:vAlign w:val="center"/>
          </w:tcPr>
          <w:p w14:paraId="39E92F19" w14:textId="5F8478A8" w:rsidR="00652870" w:rsidRPr="00652870" w:rsidRDefault="003751C2" w:rsidP="00652870">
            <w:pPr>
              <w:spacing w:line="240" w:lineRule="auto"/>
              <w:rPr>
                <w:rFonts w:ascii="Calibri" w:hAnsi="Calibri" w:cs="Calibri"/>
                <w:color w:val="000000"/>
                <w:sz w:val="22"/>
                <w:szCs w:val="22"/>
              </w:rPr>
            </w:pPr>
            <w:r>
              <w:rPr>
                <w:rFonts w:ascii="Calibri" w:hAnsi="Calibri" w:cs="Calibri"/>
                <w:color w:val="000000"/>
                <w:sz w:val="22"/>
                <w:szCs w:val="22"/>
              </w:rPr>
              <w:t>(</w:t>
            </w:r>
            <w:r w:rsidR="00652870" w:rsidRPr="00652870">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single" w:sz="4" w:space="0" w:color="auto"/>
              <w:right w:val="nil"/>
            </w:tcBorders>
            <w:shd w:val="clear" w:color="auto" w:fill="auto"/>
            <w:noWrap/>
            <w:vAlign w:val="center"/>
          </w:tcPr>
          <w:p w14:paraId="41C0B7FC" w14:textId="70D2DECD" w:rsidR="00652870" w:rsidRPr="00652870" w:rsidRDefault="003751C2" w:rsidP="00652870">
            <w:pPr>
              <w:spacing w:line="240" w:lineRule="auto"/>
              <w:rPr>
                <w:rFonts w:ascii="Calibri" w:hAnsi="Calibri" w:cs="Calibri"/>
                <w:color w:val="000000"/>
                <w:sz w:val="22"/>
                <w:szCs w:val="22"/>
              </w:rPr>
            </w:pPr>
            <w:r>
              <w:rPr>
                <w:rFonts w:ascii="Calibri" w:hAnsi="Calibri" w:cs="Calibri"/>
                <w:color w:val="000000"/>
                <w:sz w:val="22"/>
                <w:szCs w:val="22"/>
              </w:rPr>
              <w:t>(</w:t>
            </w:r>
            <w:r w:rsidR="00652870" w:rsidRPr="00652870">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single" w:sz="4" w:space="0" w:color="auto"/>
              <w:right w:val="nil"/>
            </w:tcBorders>
            <w:shd w:val="clear" w:color="auto" w:fill="auto"/>
            <w:noWrap/>
            <w:vAlign w:val="center"/>
          </w:tcPr>
          <w:p w14:paraId="195F1996" w14:textId="5B75F41D" w:rsidR="00652870" w:rsidRPr="00652870" w:rsidRDefault="003751C2" w:rsidP="00652870">
            <w:pPr>
              <w:spacing w:line="240" w:lineRule="auto"/>
              <w:rPr>
                <w:rFonts w:ascii="Calibri" w:hAnsi="Calibri" w:cs="Calibri"/>
                <w:color w:val="000000"/>
                <w:sz w:val="22"/>
                <w:szCs w:val="22"/>
              </w:rPr>
            </w:pPr>
            <w:r>
              <w:rPr>
                <w:rFonts w:ascii="Calibri" w:hAnsi="Calibri" w:cs="Calibri"/>
                <w:color w:val="000000"/>
                <w:sz w:val="22"/>
                <w:szCs w:val="22"/>
              </w:rPr>
              <w:t>(</w:t>
            </w:r>
            <w:r w:rsidR="00652870" w:rsidRPr="00652870">
              <w:rPr>
                <w:rFonts w:ascii="Calibri" w:hAnsi="Calibri" w:cs="Calibri"/>
                <w:color w:val="000000"/>
                <w:sz w:val="22"/>
                <w:szCs w:val="22"/>
              </w:rPr>
              <w:t>0.0000</w:t>
            </w:r>
            <w:r>
              <w:rPr>
                <w:rFonts w:ascii="Calibri" w:hAnsi="Calibri" w:cs="Calibri"/>
                <w:color w:val="000000"/>
                <w:sz w:val="22"/>
                <w:szCs w:val="22"/>
              </w:rPr>
              <w:t>)</w:t>
            </w:r>
          </w:p>
        </w:tc>
        <w:tc>
          <w:tcPr>
            <w:tcW w:w="636" w:type="pct"/>
            <w:gridSpan w:val="2"/>
            <w:tcBorders>
              <w:top w:val="nil"/>
              <w:left w:val="nil"/>
              <w:bottom w:val="single" w:sz="4" w:space="0" w:color="auto"/>
              <w:right w:val="nil"/>
            </w:tcBorders>
            <w:shd w:val="clear" w:color="auto" w:fill="auto"/>
            <w:noWrap/>
            <w:vAlign w:val="center"/>
          </w:tcPr>
          <w:p w14:paraId="70655D91" w14:textId="6EE00E89" w:rsidR="00652870" w:rsidRPr="00652870" w:rsidRDefault="003751C2" w:rsidP="00652870">
            <w:pPr>
              <w:spacing w:line="240" w:lineRule="auto"/>
              <w:rPr>
                <w:rFonts w:ascii="Calibri" w:hAnsi="Calibri" w:cs="Calibri"/>
                <w:color w:val="000000"/>
                <w:sz w:val="22"/>
                <w:szCs w:val="22"/>
              </w:rPr>
            </w:pPr>
            <w:r>
              <w:rPr>
                <w:rFonts w:ascii="Calibri" w:hAnsi="Calibri" w:cs="Calibri"/>
                <w:color w:val="000000"/>
                <w:sz w:val="22"/>
                <w:szCs w:val="22"/>
              </w:rPr>
              <w:t>(</w:t>
            </w:r>
            <w:r w:rsidR="00652870" w:rsidRPr="00652870">
              <w:rPr>
                <w:rFonts w:ascii="Calibri" w:hAnsi="Calibri" w:cs="Calibri"/>
                <w:color w:val="000000"/>
                <w:sz w:val="22"/>
                <w:szCs w:val="22"/>
              </w:rPr>
              <w:t>0.0000</w:t>
            </w:r>
            <w:r>
              <w:rPr>
                <w:rFonts w:ascii="Calibri" w:hAnsi="Calibri" w:cs="Calibri"/>
                <w:color w:val="000000"/>
                <w:sz w:val="22"/>
                <w:szCs w:val="22"/>
              </w:rPr>
              <w:t>)</w:t>
            </w:r>
          </w:p>
        </w:tc>
        <w:tc>
          <w:tcPr>
            <w:tcW w:w="737" w:type="pct"/>
            <w:gridSpan w:val="2"/>
            <w:tcBorders>
              <w:top w:val="nil"/>
              <w:left w:val="nil"/>
              <w:bottom w:val="single" w:sz="4" w:space="0" w:color="auto"/>
              <w:right w:val="nil"/>
            </w:tcBorders>
            <w:shd w:val="clear" w:color="auto" w:fill="auto"/>
            <w:noWrap/>
            <w:vAlign w:val="center"/>
          </w:tcPr>
          <w:p w14:paraId="7BC367DA" w14:textId="58B421C2" w:rsidR="00652870" w:rsidRPr="00652870" w:rsidRDefault="003751C2" w:rsidP="00652870">
            <w:pPr>
              <w:spacing w:line="240" w:lineRule="auto"/>
              <w:rPr>
                <w:rFonts w:ascii="Calibri" w:hAnsi="Calibri" w:cs="Calibri"/>
                <w:color w:val="000000"/>
                <w:sz w:val="22"/>
                <w:szCs w:val="22"/>
              </w:rPr>
            </w:pPr>
            <w:r>
              <w:rPr>
                <w:rFonts w:ascii="Calibri" w:hAnsi="Calibri" w:cs="Calibri"/>
                <w:color w:val="000000"/>
                <w:sz w:val="22"/>
                <w:szCs w:val="22"/>
              </w:rPr>
              <w:t>(</w:t>
            </w:r>
            <w:r w:rsidR="00652870" w:rsidRPr="00652870">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single" w:sz="4" w:space="0" w:color="auto"/>
              <w:right w:val="nil"/>
            </w:tcBorders>
            <w:shd w:val="clear" w:color="auto" w:fill="auto"/>
            <w:noWrap/>
            <w:vAlign w:val="center"/>
          </w:tcPr>
          <w:p w14:paraId="127410DB" w14:textId="77777777" w:rsidR="00652870" w:rsidRPr="00652870" w:rsidRDefault="00652870" w:rsidP="00652870">
            <w:pPr>
              <w:spacing w:line="240" w:lineRule="auto"/>
              <w:rPr>
                <w:rFonts w:asciiTheme="minorHAnsi" w:eastAsia="Calibri" w:hAnsiTheme="minorHAnsi" w:cstheme="minorHAnsi"/>
                <w:sz w:val="22"/>
                <w:szCs w:val="22"/>
                <w:lang w:val="en-US" w:eastAsia="en-US"/>
              </w:rPr>
            </w:pPr>
          </w:p>
        </w:tc>
      </w:tr>
    </w:tbl>
    <w:p w14:paraId="66432E89" w14:textId="77777777" w:rsidR="00A16488" w:rsidRDefault="00A16488" w:rsidP="00415EDD">
      <w:pPr>
        <w:spacing w:line="240" w:lineRule="auto"/>
        <w:rPr>
          <w:rFonts w:asciiTheme="minorHAnsi" w:eastAsia="Calibri" w:hAnsiTheme="minorHAnsi" w:cstheme="minorHAnsi"/>
          <w:i/>
          <w:iCs/>
          <w:sz w:val="22"/>
          <w:szCs w:val="22"/>
          <w:lang w:val="en-US" w:eastAsia="en-US"/>
        </w:rPr>
      </w:pPr>
    </w:p>
    <w:p w14:paraId="0FDC2E5D" w14:textId="5AFE3BA6" w:rsidR="00415EDD" w:rsidRDefault="00777512" w:rsidP="00415EDD">
      <w:pPr>
        <w:spacing w:line="240" w:lineRule="auto"/>
        <w:rPr>
          <w:rFonts w:asciiTheme="minorHAnsi" w:eastAsia="Calibri" w:hAnsiTheme="minorHAnsi" w:cstheme="minorHAnsi"/>
          <w:sz w:val="22"/>
          <w:szCs w:val="22"/>
          <w:lang w:val="en-US"/>
        </w:rPr>
      </w:pPr>
      <w:r w:rsidRPr="004558C6">
        <w:rPr>
          <w:rFonts w:asciiTheme="minorHAnsi" w:eastAsia="Calibri" w:hAnsiTheme="minorHAnsi" w:cstheme="minorHAnsi"/>
          <w:i/>
          <w:iCs/>
          <w:sz w:val="22"/>
          <w:szCs w:val="22"/>
          <w:lang w:val="en-US" w:eastAsia="en-US"/>
        </w:rPr>
        <w:t>Note:</w:t>
      </w:r>
      <w:r w:rsidRPr="00D712FE">
        <w:rPr>
          <w:rFonts w:asciiTheme="minorHAnsi" w:eastAsia="Calibri" w:hAnsiTheme="minorHAnsi" w:cstheme="minorHAnsi"/>
          <w:sz w:val="22"/>
          <w:szCs w:val="22"/>
          <w:lang w:val="en-US" w:eastAsia="en-US"/>
        </w:rPr>
        <w:t xml:space="preserve"> Table </w:t>
      </w:r>
      <w:r w:rsidR="008502D1" w:rsidRPr="00D712FE">
        <w:rPr>
          <w:rFonts w:asciiTheme="minorHAnsi" w:eastAsia="Calibri" w:hAnsiTheme="minorHAnsi" w:cstheme="minorHAnsi"/>
          <w:sz w:val="22"/>
          <w:szCs w:val="22"/>
          <w:lang w:val="en-US" w:eastAsia="en-US"/>
        </w:rPr>
        <w:t>3.</w:t>
      </w:r>
      <w:r w:rsidRPr="00D712FE">
        <w:rPr>
          <w:rFonts w:asciiTheme="minorHAnsi" w:eastAsia="Calibri" w:hAnsiTheme="minorHAnsi" w:cstheme="minorHAnsi"/>
          <w:sz w:val="22"/>
          <w:szCs w:val="22"/>
          <w:lang w:val="en-US" w:eastAsia="en-US"/>
        </w:rPr>
        <w:t xml:space="preserve">4. reports the estimates from </w:t>
      </w:r>
      <w:r w:rsidR="00451703">
        <w:rPr>
          <w:rFonts w:asciiTheme="minorHAnsi" w:eastAsia="Calibri" w:hAnsiTheme="minorHAnsi" w:cstheme="minorHAnsi"/>
          <w:sz w:val="22"/>
          <w:szCs w:val="22"/>
          <w:lang w:val="en-US" w:eastAsia="en-US"/>
        </w:rPr>
        <w:t>model 2</w:t>
      </w:r>
      <w:r w:rsidRPr="00D712FE">
        <w:rPr>
          <w:rFonts w:asciiTheme="minorHAnsi" w:eastAsia="Calibri" w:hAnsiTheme="minorHAnsi" w:cstheme="minorHAnsi"/>
          <w:sz w:val="22"/>
          <w:szCs w:val="22"/>
          <w:lang w:val="en-US" w:eastAsia="en-US"/>
        </w:rPr>
        <w:t xml:space="preserve">. </w:t>
      </w:r>
      <w:r w:rsidR="00415EDD">
        <w:rPr>
          <w:rFonts w:asciiTheme="minorHAnsi" w:eastAsia="Calibri" w:hAnsiTheme="minorHAnsi" w:cstheme="minorHAnsi"/>
          <w:sz w:val="22"/>
          <w:szCs w:val="22"/>
          <w:lang w:val="en-US" w:eastAsia="en-US"/>
        </w:rPr>
        <w:t xml:space="preserve">The </w:t>
      </w:r>
      <w:r w:rsidR="00415EDD" w:rsidRPr="00415EDD">
        <w:rPr>
          <w:rFonts w:asciiTheme="minorHAnsi" w:eastAsia="Calibri" w:hAnsiTheme="minorHAnsi" w:cstheme="minorHAnsi"/>
          <w:sz w:val="22"/>
          <w:szCs w:val="22"/>
          <w:lang w:val="en-US" w:eastAsia="en-US"/>
        </w:rPr>
        <w:t xml:space="preserve">associated p-values </w:t>
      </w:r>
      <w:r w:rsidR="00415EDD" w:rsidRPr="004556EC">
        <w:rPr>
          <w:rFonts w:asciiTheme="minorHAnsi" w:eastAsia="Calibri" w:hAnsiTheme="minorHAnsi" w:cstheme="minorHAnsi"/>
          <w:sz w:val="22"/>
          <w:szCs w:val="22"/>
          <w:lang w:val="en-US" w:eastAsia="en-US"/>
        </w:rPr>
        <w:t>are reported in parentheses</w:t>
      </w:r>
      <w:r w:rsidR="00415EDD">
        <w:rPr>
          <w:rFonts w:asciiTheme="minorHAnsi" w:eastAsia="Calibri" w:hAnsiTheme="minorHAnsi" w:cstheme="minorHAnsi"/>
          <w:sz w:val="22"/>
          <w:szCs w:val="22"/>
          <w:lang w:val="en-US" w:eastAsia="en-US"/>
        </w:rPr>
        <w:t xml:space="preserve">. </w:t>
      </w:r>
    </w:p>
    <w:p w14:paraId="109A62EC" w14:textId="609754A1" w:rsidR="00777512" w:rsidRPr="004556EC" w:rsidRDefault="00DF749E" w:rsidP="004558C6">
      <w:pPr>
        <w:spacing w:line="360" w:lineRule="auto"/>
        <w:jc w:val="both"/>
        <w:rPr>
          <w:rFonts w:asciiTheme="minorHAnsi" w:eastAsia="Calibri" w:hAnsiTheme="minorHAnsi" w:cstheme="minorHAnsi"/>
          <w:sz w:val="22"/>
          <w:szCs w:val="22"/>
          <w:lang w:val="en-US" w:eastAsia="en-US"/>
        </w:rPr>
      </w:pPr>
      <w:r w:rsidRPr="004556EC">
        <w:rPr>
          <w:rFonts w:asciiTheme="minorHAnsi" w:eastAsia="Calibri" w:hAnsiTheme="minorHAnsi" w:cstheme="minorHAnsi"/>
          <w:lang w:val="en-US"/>
        </w:rPr>
        <w:t xml:space="preserve"> </w:t>
      </w:r>
    </w:p>
    <w:p w14:paraId="65C207AB" w14:textId="40A7C839" w:rsidR="00411C27" w:rsidRPr="004556EC" w:rsidRDefault="008502D1" w:rsidP="004558C6">
      <w:pPr>
        <w:pStyle w:val="Heading3"/>
        <w:rPr>
          <w:rFonts w:asciiTheme="minorHAnsi" w:eastAsia="Calibri" w:hAnsiTheme="minorHAnsi" w:cstheme="minorHAnsi"/>
          <w:lang w:val="en-US" w:eastAsia="en-US"/>
        </w:rPr>
      </w:pPr>
      <w:r w:rsidRPr="004556EC">
        <w:rPr>
          <w:rFonts w:asciiTheme="minorHAnsi" w:hAnsiTheme="minorHAnsi" w:cstheme="minorHAnsi"/>
        </w:rPr>
        <w:lastRenderedPageBreak/>
        <w:t>3.4</w:t>
      </w:r>
      <w:r w:rsidR="00F82B4A" w:rsidRPr="004556EC">
        <w:rPr>
          <w:rFonts w:asciiTheme="minorHAnsi" w:hAnsiTheme="minorHAnsi" w:cstheme="minorHAnsi"/>
        </w:rPr>
        <w:t xml:space="preserve">. </w:t>
      </w:r>
      <w:r w:rsidR="00411C27" w:rsidRPr="004556EC">
        <w:rPr>
          <w:rFonts w:asciiTheme="minorHAnsi" w:hAnsiTheme="minorHAnsi" w:cstheme="minorHAnsi"/>
        </w:rPr>
        <w:t>The effect of volatility on herding</w:t>
      </w:r>
    </w:p>
    <w:p w14:paraId="6C54FA8D" w14:textId="4A03D5EA" w:rsidR="000426FF" w:rsidRDefault="0031024F" w:rsidP="004558C6">
      <w:pPr>
        <w:pStyle w:val="Newparagraph"/>
        <w:spacing w:line="360" w:lineRule="auto"/>
        <w:ind w:firstLine="0"/>
        <w:jc w:val="both"/>
        <w:rPr>
          <w:rFonts w:asciiTheme="minorHAnsi" w:eastAsia="Calibri" w:hAnsiTheme="minorHAnsi" w:cstheme="minorHAnsi"/>
          <w:lang w:eastAsia="en-US"/>
        </w:rPr>
      </w:pPr>
      <w:r w:rsidRPr="004556EC">
        <w:rPr>
          <w:rFonts w:asciiTheme="minorHAnsi" w:eastAsia="Calibri" w:hAnsiTheme="minorHAnsi" w:cstheme="minorHAnsi"/>
          <w:lang w:val="en-US" w:eastAsia="en-US"/>
        </w:rPr>
        <w:t xml:space="preserve">To examine whether there is a relationship between herding and volatility, we </w:t>
      </w:r>
      <w:r w:rsidRPr="004556EC">
        <w:rPr>
          <w:rFonts w:asciiTheme="minorHAnsi" w:eastAsia="Calibri" w:hAnsiTheme="minorHAnsi" w:cstheme="minorHAnsi"/>
          <w:lang w:eastAsia="en-US"/>
        </w:rPr>
        <w:t xml:space="preserve">use equation (5) to capture a possible asymmetric relationship between CSAD and return volatility. The findings for the overall market are presented in Table </w:t>
      </w:r>
      <w:r w:rsidR="00F82B4A" w:rsidRPr="004556EC">
        <w:rPr>
          <w:rFonts w:asciiTheme="minorHAnsi" w:eastAsia="Calibri" w:hAnsiTheme="minorHAnsi" w:cstheme="minorHAnsi"/>
          <w:lang w:eastAsia="en-US"/>
        </w:rPr>
        <w:t>3.</w:t>
      </w:r>
      <w:r w:rsidR="00490980" w:rsidRPr="004556EC">
        <w:rPr>
          <w:rFonts w:asciiTheme="minorHAnsi" w:eastAsia="Calibri" w:hAnsiTheme="minorHAnsi" w:cstheme="minorHAnsi"/>
          <w:lang w:eastAsia="en-US"/>
        </w:rPr>
        <w:t xml:space="preserve">5. </w:t>
      </w:r>
      <w:r w:rsidR="00F26151">
        <w:rPr>
          <w:rFonts w:asciiTheme="minorHAnsi" w:eastAsia="Calibri" w:hAnsiTheme="minorHAnsi" w:cstheme="minorHAnsi"/>
          <w:lang w:eastAsia="en-US"/>
        </w:rPr>
        <w:t>The</w:t>
      </w:r>
      <w:r w:rsidR="000426FF" w:rsidRPr="004556EC">
        <w:rPr>
          <w:rFonts w:asciiTheme="minorHAnsi" w:eastAsia="Calibri" w:hAnsiTheme="minorHAnsi" w:cstheme="minorHAnsi"/>
          <w:lang w:eastAsia="en-US"/>
        </w:rPr>
        <w:t xml:space="preserve"> results reveal that herd behaviour is </w:t>
      </w:r>
      <w:r w:rsidR="009C634B">
        <w:rPr>
          <w:rFonts w:asciiTheme="minorHAnsi" w:eastAsia="Calibri" w:hAnsiTheme="minorHAnsi" w:cstheme="minorHAnsi"/>
          <w:lang w:eastAsia="en-US"/>
        </w:rPr>
        <w:t>absent in both low and high volatility periods, both coefficients are positive and statistically significant</w:t>
      </w:r>
      <w:r w:rsidR="005D0C68">
        <w:rPr>
          <w:rFonts w:asciiTheme="minorHAnsi" w:eastAsia="Calibri" w:hAnsiTheme="minorHAnsi" w:cstheme="minorHAnsi"/>
          <w:lang w:eastAsia="en-US"/>
        </w:rPr>
        <w:t xml:space="preserve">. </w:t>
      </w:r>
      <w:r w:rsidR="000426FF" w:rsidRPr="004556EC">
        <w:rPr>
          <w:rFonts w:asciiTheme="minorHAnsi" w:eastAsia="Calibri" w:hAnsiTheme="minorHAnsi" w:cstheme="minorHAnsi"/>
          <w:lang w:eastAsia="en-US"/>
        </w:rPr>
        <w:t xml:space="preserve">This implies that </w:t>
      </w:r>
      <w:r w:rsidR="00AE4061">
        <w:rPr>
          <w:rFonts w:asciiTheme="minorHAnsi" w:eastAsia="Calibri" w:hAnsiTheme="minorHAnsi" w:cstheme="minorHAnsi"/>
          <w:lang w:eastAsia="en-US"/>
        </w:rPr>
        <w:t xml:space="preserve">there is no asymmetric relationship between herding and volatility </w:t>
      </w:r>
      <w:r w:rsidR="005D0C68">
        <w:rPr>
          <w:rFonts w:asciiTheme="minorHAnsi" w:eastAsia="Calibri" w:hAnsiTheme="minorHAnsi" w:cstheme="minorHAnsi"/>
          <w:lang w:eastAsia="en-US"/>
        </w:rPr>
        <w:t xml:space="preserve">at the market level. </w:t>
      </w:r>
      <w:r w:rsidR="00E535B2">
        <w:rPr>
          <w:rFonts w:asciiTheme="minorHAnsi" w:eastAsia="Calibri" w:hAnsiTheme="minorHAnsi" w:cstheme="minorHAnsi"/>
          <w:lang w:eastAsia="en-US"/>
        </w:rPr>
        <w:t xml:space="preserve">It is noteworthy that the </w:t>
      </w:r>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4</m:t>
            </m:r>
          </m:sub>
        </m:sSub>
      </m:oMath>
      <w:r w:rsidR="00E535B2" w:rsidRPr="004556EC">
        <w:rPr>
          <w:rFonts w:asciiTheme="minorHAnsi" w:eastAsia="Calibri" w:hAnsiTheme="minorHAnsi" w:cstheme="minorHAnsi"/>
          <w:vertAlign w:val="subscript"/>
          <w:lang w:val="en-US"/>
        </w:rPr>
        <w:t xml:space="preserve"> </w:t>
      </w:r>
      <w:r w:rsidR="00E535B2" w:rsidRPr="004556EC">
        <w:rPr>
          <w:rFonts w:asciiTheme="minorHAnsi" w:eastAsia="Calibri" w:hAnsiTheme="minorHAnsi" w:cstheme="minorHAnsi"/>
          <w:lang w:val="en-US"/>
        </w:rPr>
        <w:t>is positive and significant</w:t>
      </w:r>
      <w:r w:rsidR="00E535B2">
        <w:rPr>
          <w:rFonts w:asciiTheme="minorHAnsi" w:eastAsia="Calibri" w:hAnsiTheme="minorHAnsi" w:cstheme="minorHAnsi"/>
          <w:lang w:val="en-US"/>
        </w:rPr>
        <w:t xml:space="preserve">, providing evidence in </w:t>
      </w:r>
      <w:proofErr w:type="spellStart"/>
      <w:r w:rsidR="00E535B2">
        <w:rPr>
          <w:rFonts w:asciiTheme="minorHAnsi" w:eastAsia="Calibri" w:hAnsiTheme="minorHAnsi" w:cstheme="minorHAnsi"/>
          <w:lang w:val="en-US"/>
        </w:rPr>
        <w:t>favour</w:t>
      </w:r>
      <w:proofErr w:type="spellEnd"/>
      <w:r w:rsidR="00E535B2">
        <w:rPr>
          <w:rFonts w:asciiTheme="minorHAnsi" w:eastAsia="Calibri" w:hAnsiTheme="minorHAnsi" w:cstheme="minorHAnsi"/>
          <w:lang w:val="en-US"/>
        </w:rPr>
        <w:t xml:space="preserve"> of ant</w:t>
      </w:r>
      <w:r w:rsidR="004563BF">
        <w:rPr>
          <w:rFonts w:asciiTheme="minorHAnsi" w:eastAsia="Calibri" w:hAnsiTheme="minorHAnsi" w:cstheme="minorHAnsi"/>
          <w:lang w:val="en-US"/>
        </w:rPr>
        <w:t>i</w:t>
      </w:r>
      <w:r w:rsidR="00E535B2">
        <w:rPr>
          <w:rFonts w:asciiTheme="minorHAnsi" w:eastAsia="Calibri" w:hAnsiTheme="minorHAnsi" w:cstheme="minorHAnsi"/>
          <w:lang w:val="en-US"/>
        </w:rPr>
        <w:t xml:space="preserve">-herding. </w:t>
      </w:r>
      <w:r w:rsidR="004563BF">
        <w:rPr>
          <w:rFonts w:asciiTheme="minorHAnsi" w:eastAsia="Calibri" w:hAnsiTheme="minorHAnsi" w:cstheme="minorHAnsi"/>
          <w:lang w:val="en-US"/>
        </w:rPr>
        <w:t xml:space="preserve">This implies that the market anti-herds </w:t>
      </w:r>
      <w:r w:rsidR="00CB2D51">
        <w:rPr>
          <w:rFonts w:asciiTheme="minorHAnsi" w:eastAsia="Calibri" w:hAnsiTheme="minorHAnsi" w:cstheme="minorHAnsi"/>
          <w:lang w:val="en-US"/>
        </w:rPr>
        <w:t>during periods of low volatility</w:t>
      </w:r>
      <w:r w:rsidR="00A472C3">
        <w:rPr>
          <w:rFonts w:asciiTheme="minorHAnsi" w:eastAsia="Calibri" w:hAnsiTheme="minorHAnsi" w:cstheme="minorHAnsi"/>
          <w:lang w:val="en-US"/>
        </w:rPr>
        <w:t xml:space="preserve">. </w:t>
      </w:r>
    </w:p>
    <w:p w14:paraId="5421E5A0" w14:textId="52AF184E" w:rsidR="00895F55" w:rsidRDefault="00895F55" w:rsidP="004558C6">
      <w:pPr>
        <w:pStyle w:val="Newparagraph"/>
        <w:spacing w:line="360" w:lineRule="auto"/>
        <w:ind w:firstLine="0"/>
        <w:jc w:val="both"/>
        <w:rPr>
          <w:rFonts w:asciiTheme="minorHAnsi" w:eastAsia="Calibri" w:hAnsiTheme="minorHAnsi" w:cstheme="minorHAnsi"/>
          <w:lang w:eastAsia="en-US"/>
        </w:rPr>
      </w:pPr>
    </w:p>
    <w:p w14:paraId="224438F6" w14:textId="77777777" w:rsidR="00895F55" w:rsidRPr="004556EC" w:rsidRDefault="00895F55" w:rsidP="004558C6">
      <w:pPr>
        <w:pStyle w:val="Newparagraph"/>
        <w:spacing w:line="360" w:lineRule="auto"/>
        <w:ind w:firstLine="0"/>
        <w:jc w:val="both"/>
        <w:rPr>
          <w:rFonts w:asciiTheme="minorHAnsi" w:eastAsia="Calibri" w:hAnsiTheme="minorHAnsi" w:cstheme="minorHAnsi"/>
          <w:lang w:eastAsia="en-US"/>
        </w:rPr>
      </w:pPr>
    </w:p>
    <w:p w14:paraId="183A7A2D" w14:textId="49D63255" w:rsidR="00777512" w:rsidRPr="004556EC" w:rsidRDefault="00777512" w:rsidP="004558C6">
      <w:pPr>
        <w:pStyle w:val="Caption"/>
        <w:spacing w:line="360" w:lineRule="auto"/>
        <w:jc w:val="center"/>
        <w:rPr>
          <w:rFonts w:asciiTheme="minorHAnsi" w:eastAsia="Calibri" w:hAnsiTheme="minorHAnsi" w:cstheme="minorHAnsi"/>
          <w:b w:val="0"/>
          <w:szCs w:val="24"/>
          <w:lang w:val="en-US"/>
        </w:rPr>
      </w:pPr>
      <w:bookmarkStart w:id="5" w:name="_Toc534716703"/>
      <w:r w:rsidRPr="004556EC">
        <w:rPr>
          <w:rFonts w:asciiTheme="minorHAnsi" w:hAnsiTheme="minorHAnsi" w:cstheme="minorHAnsi"/>
        </w:rPr>
        <w:t xml:space="preserve">Table </w:t>
      </w:r>
      <w:r w:rsidR="00F82B4A" w:rsidRPr="004556EC">
        <w:rPr>
          <w:rFonts w:asciiTheme="minorHAnsi" w:hAnsiTheme="minorHAnsi" w:cstheme="minorHAnsi"/>
        </w:rPr>
        <w:t>3.</w:t>
      </w:r>
      <w:r w:rsidRPr="004556EC">
        <w:rPr>
          <w:rFonts w:asciiTheme="minorHAnsi" w:hAnsiTheme="minorHAnsi" w:cstheme="minorHAnsi"/>
        </w:rPr>
        <w:t>5</w:t>
      </w:r>
      <w:r w:rsidR="00F82B4A" w:rsidRPr="004556EC">
        <w:rPr>
          <w:rFonts w:asciiTheme="minorHAnsi" w:hAnsiTheme="minorHAnsi" w:cstheme="minorHAnsi"/>
        </w:rPr>
        <w:t>.</w:t>
      </w:r>
      <w:r w:rsidRPr="004556EC">
        <w:rPr>
          <w:rFonts w:asciiTheme="minorHAnsi" w:hAnsiTheme="minorHAnsi" w:cstheme="minorHAnsi"/>
        </w:rPr>
        <w:t xml:space="preserve"> Estimates of herding during periods of high and low volatility for the overall US market</w:t>
      </w:r>
      <w:bookmarkEnd w:id="5"/>
    </w:p>
    <w:tbl>
      <w:tblPr>
        <w:tblW w:w="7978" w:type="dxa"/>
        <w:tblLook w:val="04A0" w:firstRow="1" w:lastRow="0" w:firstColumn="1" w:lastColumn="0" w:noHBand="0" w:noVBand="1"/>
      </w:tblPr>
      <w:tblGrid>
        <w:gridCol w:w="1728"/>
        <w:gridCol w:w="1142"/>
        <w:gridCol w:w="1099"/>
        <w:gridCol w:w="1276"/>
        <w:gridCol w:w="1134"/>
        <w:gridCol w:w="1134"/>
        <w:gridCol w:w="935"/>
      </w:tblGrid>
      <w:tr w:rsidR="00777512" w:rsidRPr="001974B9" w14:paraId="63B8C725" w14:textId="77777777" w:rsidTr="00361409">
        <w:trPr>
          <w:trHeight w:val="307"/>
        </w:trPr>
        <w:tc>
          <w:tcPr>
            <w:tcW w:w="1728" w:type="dxa"/>
            <w:tcBorders>
              <w:top w:val="single" w:sz="4" w:space="0" w:color="auto"/>
              <w:left w:val="nil"/>
              <w:bottom w:val="single" w:sz="4" w:space="0" w:color="auto"/>
              <w:right w:val="nil"/>
            </w:tcBorders>
            <w:shd w:val="clear" w:color="auto" w:fill="auto"/>
            <w:noWrap/>
            <w:vAlign w:val="bottom"/>
            <w:hideMark/>
          </w:tcPr>
          <w:p w14:paraId="166DC1E1" w14:textId="77777777" w:rsidR="00777512" w:rsidRPr="001974B9" w:rsidRDefault="00777512" w:rsidP="004558C6">
            <w:pPr>
              <w:spacing w:line="360" w:lineRule="auto"/>
              <w:rPr>
                <w:rFonts w:asciiTheme="minorHAnsi" w:hAnsiTheme="minorHAnsi" w:cstheme="minorHAnsi"/>
                <w:lang w:val="en-US"/>
              </w:rPr>
            </w:pPr>
            <w:r w:rsidRPr="001974B9">
              <w:rPr>
                <w:rFonts w:asciiTheme="minorHAnsi" w:hAnsiTheme="minorHAnsi" w:cstheme="minorHAnsi"/>
                <w:lang w:val="en-US"/>
              </w:rPr>
              <w:t>Estimated Parameters</w:t>
            </w:r>
          </w:p>
        </w:tc>
        <w:tc>
          <w:tcPr>
            <w:tcW w:w="1142" w:type="dxa"/>
            <w:tcBorders>
              <w:top w:val="single" w:sz="4" w:space="0" w:color="auto"/>
              <w:left w:val="nil"/>
              <w:bottom w:val="single" w:sz="4" w:space="0" w:color="auto"/>
              <w:right w:val="nil"/>
            </w:tcBorders>
            <w:shd w:val="clear" w:color="auto" w:fill="auto"/>
            <w:noWrap/>
            <w:vAlign w:val="center"/>
            <w:hideMark/>
          </w:tcPr>
          <w:p w14:paraId="0BB38AB1" w14:textId="77777777" w:rsidR="00777512" w:rsidRPr="001974B9" w:rsidRDefault="00777512" w:rsidP="00361409">
            <w:pPr>
              <w:spacing w:line="360" w:lineRule="auto"/>
              <w:jc w:val="center"/>
              <w:rPr>
                <w:rFonts w:asciiTheme="minorHAnsi" w:hAnsiTheme="minorHAnsi" w:cstheme="minorHAnsi"/>
                <w:lang w:val="en-US"/>
              </w:rPr>
            </w:pPr>
            <w:r w:rsidRPr="001974B9">
              <w:rPr>
                <w:rFonts w:asciiTheme="minorHAnsi" w:hAnsiTheme="minorHAnsi" w:cstheme="minorHAnsi"/>
                <w:lang w:val="en-US"/>
              </w:rPr>
              <w:t>α</w:t>
            </w:r>
          </w:p>
        </w:tc>
        <w:tc>
          <w:tcPr>
            <w:tcW w:w="1099" w:type="dxa"/>
            <w:tcBorders>
              <w:top w:val="single" w:sz="4" w:space="0" w:color="auto"/>
              <w:left w:val="nil"/>
              <w:bottom w:val="single" w:sz="4" w:space="0" w:color="auto"/>
              <w:right w:val="nil"/>
            </w:tcBorders>
            <w:shd w:val="clear" w:color="auto" w:fill="auto"/>
            <w:noWrap/>
            <w:vAlign w:val="center"/>
            <w:hideMark/>
          </w:tcPr>
          <w:p w14:paraId="01DC5364" w14:textId="6F47E66B" w:rsidR="00777512" w:rsidRPr="001974B9" w:rsidRDefault="00895ECF" w:rsidP="00361409">
            <w:pPr>
              <w:spacing w:line="360" w:lineRule="auto"/>
              <w:jc w:val="center"/>
              <w:rPr>
                <w:rFonts w:asciiTheme="minorHAnsi" w:hAnsiTheme="minorHAnsi" w:cstheme="minorHAnsi"/>
                <w:lang w:val="en-US"/>
              </w:rPr>
            </w:pPr>
            <m:oMathPara>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1  </m:t>
                    </m:r>
                  </m:sub>
                </m:sSub>
              </m:oMath>
            </m:oMathPara>
          </w:p>
        </w:tc>
        <w:tc>
          <w:tcPr>
            <w:tcW w:w="1276" w:type="dxa"/>
            <w:tcBorders>
              <w:top w:val="single" w:sz="4" w:space="0" w:color="auto"/>
              <w:left w:val="nil"/>
              <w:bottom w:val="single" w:sz="4" w:space="0" w:color="auto"/>
              <w:right w:val="nil"/>
            </w:tcBorders>
            <w:shd w:val="clear" w:color="auto" w:fill="auto"/>
            <w:noWrap/>
            <w:vAlign w:val="center"/>
            <w:hideMark/>
          </w:tcPr>
          <w:p w14:paraId="7C77C172" w14:textId="345F90A1" w:rsidR="00777512" w:rsidRPr="001974B9" w:rsidRDefault="00895ECF" w:rsidP="00361409">
            <w:pPr>
              <w:spacing w:line="360" w:lineRule="auto"/>
              <w:jc w:val="center"/>
              <w:rPr>
                <w:rFonts w:asciiTheme="minorHAnsi" w:hAnsiTheme="minorHAnsi" w:cstheme="minorHAnsi"/>
                <w:lang w:val="en-US"/>
              </w:rPr>
            </w:pPr>
            <m:oMathPara>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2  </m:t>
                    </m:r>
                  </m:sub>
                </m:sSub>
              </m:oMath>
            </m:oMathPara>
          </w:p>
        </w:tc>
        <w:tc>
          <w:tcPr>
            <w:tcW w:w="1134" w:type="dxa"/>
            <w:tcBorders>
              <w:top w:val="single" w:sz="4" w:space="0" w:color="auto"/>
              <w:left w:val="nil"/>
              <w:bottom w:val="single" w:sz="4" w:space="0" w:color="auto"/>
              <w:right w:val="nil"/>
            </w:tcBorders>
            <w:shd w:val="clear" w:color="auto" w:fill="auto"/>
            <w:noWrap/>
            <w:vAlign w:val="center"/>
            <w:hideMark/>
          </w:tcPr>
          <w:p w14:paraId="1945335F" w14:textId="513C50C5" w:rsidR="00777512" w:rsidRPr="001974B9" w:rsidRDefault="00895ECF" w:rsidP="00361409">
            <w:pPr>
              <w:spacing w:line="360" w:lineRule="auto"/>
              <w:jc w:val="center"/>
              <w:rPr>
                <w:rFonts w:asciiTheme="minorHAnsi" w:hAnsiTheme="minorHAnsi" w:cstheme="minorHAnsi"/>
                <w:lang w:val="en-US"/>
              </w:rPr>
            </w:pPr>
            <m:oMathPara>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3  </m:t>
                    </m:r>
                  </m:sub>
                </m:sSub>
              </m:oMath>
            </m:oMathPara>
          </w:p>
        </w:tc>
        <w:tc>
          <w:tcPr>
            <w:tcW w:w="1134" w:type="dxa"/>
            <w:tcBorders>
              <w:top w:val="single" w:sz="4" w:space="0" w:color="auto"/>
              <w:left w:val="nil"/>
              <w:bottom w:val="single" w:sz="4" w:space="0" w:color="auto"/>
              <w:right w:val="nil"/>
            </w:tcBorders>
            <w:shd w:val="clear" w:color="auto" w:fill="auto"/>
            <w:noWrap/>
            <w:vAlign w:val="center"/>
            <w:hideMark/>
          </w:tcPr>
          <w:p w14:paraId="0ED07EC9" w14:textId="11F37F12" w:rsidR="00777512" w:rsidRPr="001974B9" w:rsidRDefault="00895ECF" w:rsidP="00361409">
            <w:pPr>
              <w:spacing w:line="360" w:lineRule="auto"/>
              <w:jc w:val="center"/>
              <w:rPr>
                <w:rFonts w:asciiTheme="minorHAnsi" w:hAnsiTheme="minorHAnsi" w:cstheme="minorHAnsi"/>
                <w:lang w:val="en-US"/>
              </w:rPr>
            </w:pPr>
            <m:oMathPara>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4  </m:t>
                    </m:r>
                  </m:sub>
                </m:sSub>
              </m:oMath>
            </m:oMathPara>
          </w:p>
        </w:tc>
        <w:tc>
          <w:tcPr>
            <w:tcW w:w="465" w:type="dxa"/>
            <w:tcBorders>
              <w:top w:val="single" w:sz="4" w:space="0" w:color="auto"/>
              <w:left w:val="nil"/>
              <w:bottom w:val="single" w:sz="4" w:space="0" w:color="auto"/>
              <w:right w:val="nil"/>
            </w:tcBorders>
            <w:shd w:val="clear" w:color="auto" w:fill="auto"/>
            <w:noWrap/>
            <w:vAlign w:val="center"/>
            <w:hideMark/>
          </w:tcPr>
          <w:p w14:paraId="6F9C8C21" w14:textId="455E7F6D" w:rsidR="00777512" w:rsidRPr="001974B9" w:rsidRDefault="00777512" w:rsidP="00361409">
            <w:pPr>
              <w:spacing w:line="360" w:lineRule="auto"/>
              <w:jc w:val="center"/>
              <w:rPr>
                <w:rFonts w:asciiTheme="minorHAnsi" w:hAnsiTheme="minorHAnsi" w:cstheme="minorHAnsi"/>
                <w:lang w:val="en-US"/>
              </w:rPr>
            </w:pPr>
            <w:r w:rsidRPr="001974B9">
              <w:rPr>
                <w:rFonts w:asciiTheme="minorHAnsi" w:hAnsiTheme="minorHAnsi" w:cstheme="minorHAnsi"/>
                <w:lang w:val="en-US"/>
              </w:rPr>
              <w:t>Adj. R</w:t>
            </w:r>
            <w:r w:rsidRPr="001974B9">
              <w:rPr>
                <w:rFonts w:asciiTheme="minorHAnsi" w:hAnsiTheme="minorHAnsi" w:cstheme="minorHAnsi"/>
                <w:vertAlign w:val="superscript"/>
                <w:lang w:val="en-US"/>
              </w:rPr>
              <w:t>2</w:t>
            </w:r>
          </w:p>
        </w:tc>
      </w:tr>
      <w:tr w:rsidR="00777512" w:rsidRPr="001974B9" w14:paraId="78835EED" w14:textId="77777777" w:rsidTr="00ED52FF">
        <w:trPr>
          <w:trHeight w:val="307"/>
        </w:trPr>
        <w:tc>
          <w:tcPr>
            <w:tcW w:w="1728" w:type="dxa"/>
            <w:tcBorders>
              <w:top w:val="nil"/>
              <w:left w:val="nil"/>
              <w:bottom w:val="nil"/>
              <w:right w:val="nil"/>
            </w:tcBorders>
            <w:shd w:val="clear" w:color="auto" w:fill="auto"/>
            <w:noWrap/>
            <w:vAlign w:val="bottom"/>
            <w:hideMark/>
          </w:tcPr>
          <w:p w14:paraId="42BCCBB4" w14:textId="77777777" w:rsidR="00777512" w:rsidRPr="001974B9" w:rsidRDefault="00777512" w:rsidP="004558C6">
            <w:pPr>
              <w:spacing w:line="360" w:lineRule="auto"/>
              <w:rPr>
                <w:rFonts w:asciiTheme="minorHAnsi" w:hAnsiTheme="minorHAnsi" w:cstheme="minorHAnsi"/>
                <w:lang w:val="en-US"/>
              </w:rPr>
            </w:pPr>
            <w:r w:rsidRPr="001974B9">
              <w:rPr>
                <w:rFonts w:asciiTheme="minorHAnsi" w:hAnsiTheme="minorHAnsi" w:cstheme="minorHAnsi"/>
                <w:lang w:val="en-US"/>
              </w:rPr>
              <w:t> </w:t>
            </w:r>
          </w:p>
        </w:tc>
        <w:tc>
          <w:tcPr>
            <w:tcW w:w="1142" w:type="dxa"/>
            <w:tcBorders>
              <w:top w:val="nil"/>
              <w:left w:val="nil"/>
              <w:bottom w:val="nil"/>
              <w:right w:val="nil"/>
            </w:tcBorders>
            <w:shd w:val="clear" w:color="auto" w:fill="auto"/>
            <w:noWrap/>
            <w:vAlign w:val="bottom"/>
            <w:hideMark/>
          </w:tcPr>
          <w:p w14:paraId="5FDF9C7E" w14:textId="6564E821" w:rsidR="00777512" w:rsidRPr="001974B9" w:rsidRDefault="00652870" w:rsidP="004558C6">
            <w:pPr>
              <w:spacing w:line="360" w:lineRule="auto"/>
              <w:rPr>
                <w:rFonts w:asciiTheme="minorHAnsi" w:hAnsiTheme="minorHAnsi" w:cstheme="minorHAnsi"/>
                <w:lang w:val="en-US"/>
              </w:rPr>
            </w:pPr>
            <w:r w:rsidRPr="001974B9">
              <w:rPr>
                <w:rFonts w:asciiTheme="minorHAnsi" w:hAnsiTheme="minorHAnsi" w:cstheme="minorHAnsi"/>
              </w:rPr>
              <w:t>0.0088</w:t>
            </w:r>
          </w:p>
        </w:tc>
        <w:tc>
          <w:tcPr>
            <w:tcW w:w="1099" w:type="dxa"/>
            <w:tcBorders>
              <w:top w:val="nil"/>
              <w:left w:val="nil"/>
              <w:bottom w:val="nil"/>
              <w:right w:val="nil"/>
            </w:tcBorders>
            <w:shd w:val="clear" w:color="auto" w:fill="auto"/>
            <w:noWrap/>
            <w:vAlign w:val="bottom"/>
            <w:hideMark/>
          </w:tcPr>
          <w:p w14:paraId="20838164" w14:textId="628B3152" w:rsidR="00777512" w:rsidRPr="001974B9" w:rsidRDefault="00652870" w:rsidP="004558C6">
            <w:pPr>
              <w:spacing w:line="360" w:lineRule="auto"/>
              <w:rPr>
                <w:rFonts w:asciiTheme="minorHAnsi" w:hAnsiTheme="minorHAnsi" w:cstheme="minorHAnsi"/>
                <w:lang w:val="en-US"/>
              </w:rPr>
            </w:pPr>
            <w:r w:rsidRPr="001974B9">
              <w:rPr>
                <w:rFonts w:asciiTheme="minorHAnsi" w:hAnsiTheme="minorHAnsi" w:cstheme="minorHAnsi"/>
              </w:rPr>
              <w:t>0.5278</w:t>
            </w:r>
          </w:p>
        </w:tc>
        <w:tc>
          <w:tcPr>
            <w:tcW w:w="1276" w:type="dxa"/>
            <w:tcBorders>
              <w:top w:val="nil"/>
              <w:left w:val="nil"/>
              <w:bottom w:val="nil"/>
              <w:right w:val="nil"/>
            </w:tcBorders>
            <w:shd w:val="clear" w:color="auto" w:fill="auto"/>
            <w:noWrap/>
            <w:vAlign w:val="bottom"/>
            <w:hideMark/>
          </w:tcPr>
          <w:p w14:paraId="70079737" w14:textId="6C20864D" w:rsidR="00777512" w:rsidRPr="001974B9" w:rsidRDefault="00652870" w:rsidP="004558C6">
            <w:pPr>
              <w:spacing w:line="360" w:lineRule="auto"/>
              <w:rPr>
                <w:rFonts w:asciiTheme="minorHAnsi" w:hAnsiTheme="minorHAnsi" w:cstheme="minorHAnsi"/>
                <w:lang w:val="en-US"/>
              </w:rPr>
            </w:pPr>
            <w:r w:rsidRPr="001974B9">
              <w:rPr>
                <w:rFonts w:asciiTheme="minorHAnsi" w:hAnsiTheme="minorHAnsi" w:cstheme="minorHAnsi"/>
              </w:rPr>
              <w:t>0.8809</w:t>
            </w:r>
          </w:p>
        </w:tc>
        <w:tc>
          <w:tcPr>
            <w:tcW w:w="1134" w:type="dxa"/>
            <w:tcBorders>
              <w:top w:val="nil"/>
              <w:left w:val="nil"/>
              <w:bottom w:val="nil"/>
              <w:right w:val="nil"/>
            </w:tcBorders>
            <w:shd w:val="clear" w:color="auto" w:fill="auto"/>
            <w:noWrap/>
            <w:vAlign w:val="bottom"/>
            <w:hideMark/>
          </w:tcPr>
          <w:p w14:paraId="6E411A87" w14:textId="12DE6EC9" w:rsidR="00777512" w:rsidRPr="001974B9" w:rsidRDefault="00652870" w:rsidP="004558C6">
            <w:pPr>
              <w:spacing w:line="360" w:lineRule="auto"/>
              <w:rPr>
                <w:rFonts w:asciiTheme="minorHAnsi" w:hAnsiTheme="minorHAnsi" w:cstheme="minorHAnsi"/>
                <w:lang w:val="en-US"/>
              </w:rPr>
            </w:pPr>
            <w:r w:rsidRPr="001974B9">
              <w:rPr>
                <w:rFonts w:asciiTheme="minorHAnsi" w:hAnsiTheme="minorHAnsi" w:cstheme="minorHAnsi"/>
              </w:rPr>
              <w:t>5.0633</w:t>
            </w:r>
          </w:p>
        </w:tc>
        <w:tc>
          <w:tcPr>
            <w:tcW w:w="1134" w:type="dxa"/>
            <w:tcBorders>
              <w:top w:val="nil"/>
              <w:left w:val="nil"/>
              <w:bottom w:val="nil"/>
              <w:right w:val="nil"/>
            </w:tcBorders>
            <w:shd w:val="clear" w:color="auto" w:fill="auto"/>
            <w:noWrap/>
            <w:vAlign w:val="bottom"/>
            <w:hideMark/>
          </w:tcPr>
          <w:p w14:paraId="52A3AF7E" w14:textId="66C3A063" w:rsidR="00777512" w:rsidRPr="001974B9" w:rsidRDefault="00652870" w:rsidP="004558C6">
            <w:pPr>
              <w:spacing w:line="360" w:lineRule="auto"/>
              <w:rPr>
                <w:rFonts w:asciiTheme="minorHAnsi" w:hAnsiTheme="minorHAnsi" w:cstheme="minorHAnsi"/>
                <w:lang w:val="en-US"/>
              </w:rPr>
            </w:pPr>
            <w:r w:rsidRPr="001974B9">
              <w:rPr>
                <w:rFonts w:asciiTheme="minorHAnsi" w:hAnsiTheme="minorHAnsi" w:cstheme="minorHAnsi"/>
              </w:rPr>
              <w:t>3.4404</w:t>
            </w:r>
          </w:p>
        </w:tc>
        <w:tc>
          <w:tcPr>
            <w:tcW w:w="465" w:type="dxa"/>
            <w:tcBorders>
              <w:top w:val="nil"/>
              <w:left w:val="nil"/>
              <w:bottom w:val="nil"/>
              <w:right w:val="nil"/>
            </w:tcBorders>
            <w:shd w:val="clear" w:color="auto" w:fill="auto"/>
            <w:noWrap/>
            <w:vAlign w:val="bottom"/>
            <w:hideMark/>
          </w:tcPr>
          <w:p w14:paraId="6C9057C0" w14:textId="4629ACE8" w:rsidR="00777512" w:rsidRPr="001974B9" w:rsidRDefault="007F1CD5" w:rsidP="004558C6">
            <w:pPr>
              <w:spacing w:line="360" w:lineRule="auto"/>
              <w:rPr>
                <w:rFonts w:asciiTheme="minorHAnsi" w:hAnsiTheme="minorHAnsi" w:cstheme="minorHAnsi"/>
                <w:lang w:val="en-US"/>
              </w:rPr>
            </w:pPr>
            <w:r w:rsidRPr="001974B9">
              <w:rPr>
                <w:rFonts w:asciiTheme="minorHAnsi" w:hAnsiTheme="minorHAnsi" w:cstheme="minorHAnsi"/>
              </w:rPr>
              <w:t>60.26%</w:t>
            </w:r>
          </w:p>
        </w:tc>
      </w:tr>
      <w:tr w:rsidR="00777512" w:rsidRPr="001974B9" w14:paraId="49D6D03A" w14:textId="77777777" w:rsidTr="00ED52FF">
        <w:trPr>
          <w:trHeight w:val="307"/>
        </w:trPr>
        <w:tc>
          <w:tcPr>
            <w:tcW w:w="1728" w:type="dxa"/>
            <w:tcBorders>
              <w:top w:val="nil"/>
              <w:left w:val="nil"/>
              <w:bottom w:val="single" w:sz="4" w:space="0" w:color="auto"/>
              <w:right w:val="nil"/>
            </w:tcBorders>
            <w:shd w:val="clear" w:color="auto" w:fill="auto"/>
            <w:noWrap/>
            <w:vAlign w:val="bottom"/>
            <w:hideMark/>
          </w:tcPr>
          <w:p w14:paraId="62DDA5CD" w14:textId="77777777" w:rsidR="00777512" w:rsidRPr="001974B9" w:rsidRDefault="00777512" w:rsidP="004558C6">
            <w:pPr>
              <w:spacing w:line="360" w:lineRule="auto"/>
              <w:rPr>
                <w:rFonts w:asciiTheme="minorHAnsi" w:hAnsiTheme="minorHAnsi" w:cstheme="minorHAnsi"/>
                <w:lang w:val="en-US"/>
              </w:rPr>
            </w:pPr>
            <w:r w:rsidRPr="001974B9">
              <w:rPr>
                <w:rFonts w:asciiTheme="minorHAnsi" w:hAnsiTheme="minorHAnsi" w:cstheme="minorHAnsi"/>
                <w:lang w:val="en-US"/>
              </w:rPr>
              <w:t> </w:t>
            </w:r>
          </w:p>
        </w:tc>
        <w:tc>
          <w:tcPr>
            <w:tcW w:w="1142" w:type="dxa"/>
            <w:tcBorders>
              <w:top w:val="nil"/>
              <w:left w:val="nil"/>
              <w:bottom w:val="single" w:sz="4" w:space="0" w:color="auto"/>
              <w:right w:val="nil"/>
            </w:tcBorders>
            <w:shd w:val="clear" w:color="auto" w:fill="auto"/>
            <w:noWrap/>
            <w:vAlign w:val="bottom"/>
            <w:hideMark/>
          </w:tcPr>
          <w:p w14:paraId="6C2EA57A" w14:textId="1F27C44A" w:rsidR="00777512" w:rsidRPr="001974B9" w:rsidRDefault="003751C2" w:rsidP="004558C6">
            <w:pPr>
              <w:spacing w:line="360" w:lineRule="auto"/>
              <w:rPr>
                <w:rFonts w:asciiTheme="minorHAnsi" w:hAnsiTheme="minorHAnsi" w:cstheme="minorHAnsi"/>
                <w:lang w:val="en-US"/>
              </w:rPr>
            </w:pPr>
            <w:r>
              <w:rPr>
                <w:rFonts w:asciiTheme="minorHAnsi" w:hAnsiTheme="minorHAnsi" w:cstheme="minorHAnsi"/>
              </w:rPr>
              <w:t>(</w:t>
            </w:r>
            <w:r w:rsidR="007F1CD5" w:rsidRPr="001974B9">
              <w:rPr>
                <w:rFonts w:asciiTheme="minorHAnsi" w:hAnsiTheme="minorHAnsi" w:cstheme="minorHAnsi"/>
              </w:rPr>
              <w:t>0.0000</w:t>
            </w:r>
            <w:r>
              <w:rPr>
                <w:rFonts w:asciiTheme="minorHAnsi" w:hAnsiTheme="minorHAnsi" w:cstheme="minorHAnsi"/>
              </w:rPr>
              <w:t>)</w:t>
            </w:r>
          </w:p>
        </w:tc>
        <w:tc>
          <w:tcPr>
            <w:tcW w:w="1099" w:type="dxa"/>
            <w:tcBorders>
              <w:top w:val="nil"/>
              <w:left w:val="nil"/>
              <w:bottom w:val="single" w:sz="4" w:space="0" w:color="auto"/>
              <w:right w:val="nil"/>
            </w:tcBorders>
            <w:shd w:val="clear" w:color="auto" w:fill="auto"/>
            <w:noWrap/>
            <w:vAlign w:val="bottom"/>
            <w:hideMark/>
          </w:tcPr>
          <w:p w14:paraId="548F2AC3" w14:textId="0D9B8810" w:rsidR="00777512" w:rsidRPr="001974B9" w:rsidRDefault="003751C2" w:rsidP="004558C6">
            <w:pPr>
              <w:spacing w:line="360" w:lineRule="auto"/>
              <w:rPr>
                <w:rFonts w:asciiTheme="minorHAnsi" w:hAnsiTheme="minorHAnsi" w:cstheme="minorHAnsi"/>
                <w:lang w:val="en-US"/>
              </w:rPr>
            </w:pPr>
            <w:r>
              <w:rPr>
                <w:rFonts w:asciiTheme="minorHAnsi" w:hAnsiTheme="minorHAnsi" w:cstheme="minorHAnsi"/>
              </w:rPr>
              <w:t>(</w:t>
            </w:r>
            <w:r w:rsidR="007F1CD5" w:rsidRPr="001974B9">
              <w:rPr>
                <w:rFonts w:asciiTheme="minorHAnsi" w:hAnsiTheme="minorHAnsi" w:cstheme="minorHAnsi"/>
              </w:rPr>
              <w:t>0.0000</w:t>
            </w:r>
            <w:r>
              <w:rPr>
                <w:rFonts w:asciiTheme="minorHAnsi" w:hAnsiTheme="minorHAnsi" w:cstheme="minorHAnsi"/>
              </w:rPr>
              <w:t>)</w:t>
            </w:r>
          </w:p>
        </w:tc>
        <w:tc>
          <w:tcPr>
            <w:tcW w:w="1276" w:type="dxa"/>
            <w:tcBorders>
              <w:top w:val="nil"/>
              <w:left w:val="nil"/>
              <w:bottom w:val="single" w:sz="4" w:space="0" w:color="auto"/>
              <w:right w:val="nil"/>
            </w:tcBorders>
            <w:shd w:val="clear" w:color="auto" w:fill="auto"/>
            <w:noWrap/>
            <w:vAlign w:val="bottom"/>
            <w:hideMark/>
          </w:tcPr>
          <w:p w14:paraId="136854FB" w14:textId="2B593CD2" w:rsidR="00777512" w:rsidRPr="001974B9" w:rsidRDefault="003751C2" w:rsidP="004558C6">
            <w:pPr>
              <w:spacing w:line="360" w:lineRule="auto"/>
              <w:rPr>
                <w:rFonts w:asciiTheme="minorHAnsi" w:hAnsiTheme="minorHAnsi" w:cstheme="minorHAnsi"/>
                <w:lang w:val="en-US"/>
              </w:rPr>
            </w:pPr>
            <w:r>
              <w:rPr>
                <w:rFonts w:asciiTheme="minorHAnsi" w:hAnsiTheme="minorHAnsi" w:cstheme="minorHAnsi"/>
              </w:rPr>
              <w:t>(</w:t>
            </w:r>
            <w:r w:rsidR="007F1CD5" w:rsidRPr="001974B9">
              <w:rPr>
                <w:rFonts w:asciiTheme="minorHAnsi" w:hAnsiTheme="minorHAnsi" w:cstheme="minorHAnsi"/>
              </w:rPr>
              <w:t>0.0000</w:t>
            </w:r>
            <w:r>
              <w:rPr>
                <w:rFonts w:asciiTheme="minorHAnsi" w:hAnsiTheme="minorHAnsi" w:cstheme="minorHAnsi"/>
              </w:rPr>
              <w:t>)</w:t>
            </w:r>
          </w:p>
        </w:tc>
        <w:tc>
          <w:tcPr>
            <w:tcW w:w="1134" w:type="dxa"/>
            <w:tcBorders>
              <w:top w:val="nil"/>
              <w:left w:val="nil"/>
              <w:bottom w:val="single" w:sz="4" w:space="0" w:color="auto"/>
              <w:right w:val="nil"/>
            </w:tcBorders>
            <w:shd w:val="clear" w:color="auto" w:fill="auto"/>
            <w:noWrap/>
            <w:vAlign w:val="bottom"/>
            <w:hideMark/>
          </w:tcPr>
          <w:p w14:paraId="2490E85E" w14:textId="37D141EB" w:rsidR="00777512" w:rsidRPr="001974B9" w:rsidRDefault="003751C2" w:rsidP="004558C6">
            <w:pPr>
              <w:spacing w:line="360" w:lineRule="auto"/>
              <w:rPr>
                <w:rFonts w:asciiTheme="minorHAnsi" w:hAnsiTheme="minorHAnsi" w:cstheme="minorHAnsi"/>
                <w:lang w:val="en-US"/>
              </w:rPr>
            </w:pPr>
            <w:r>
              <w:rPr>
                <w:rFonts w:asciiTheme="minorHAnsi" w:hAnsiTheme="minorHAnsi" w:cstheme="minorHAnsi"/>
              </w:rPr>
              <w:t>(</w:t>
            </w:r>
            <w:r w:rsidR="007F1CD5" w:rsidRPr="001974B9">
              <w:rPr>
                <w:rFonts w:asciiTheme="minorHAnsi" w:hAnsiTheme="minorHAnsi" w:cstheme="minorHAnsi"/>
              </w:rPr>
              <w:t>0.5725</w:t>
            </w:r>
            <w:r>
              <w:rPr>
                <w:rFonts w:asciiTheme="minorHAnsi" w:hAnsiTheme="minorHAnsi" w:cstheme="minorHAnsi"/>
              </w:rPr>
              <w:t>)</w:t>
            </w:r>
          </w:p>
        </w:tc>
        <w:tc>
          <w:tcPr>
            <w:tcW w:w="1134" w:type="dxa"/>
            <w:tcBorders>
              <w:top w:val="nil"/>
              <w:left w:val="nil"/>
              <w:bottom w:val="single" w:sz="4" w:space="0" w:color="auto"/>
              <w:right w:val="nil"/>
            </w:tcBorders>
            <w:shd w:val="clear" w:color="auto" w:fill="auto"/>
            <w:noWrap/>
            <w:vAlign w:val="bottom"/>
            <w:hideMark/>
          </w:tcPr>
          <w:p w14:paraId="662F270D" w14:textId="6BB9520A" w:rsidR="00777512" w:rsidRPr="001974B9" w:rsidRDefault="003751C2" w:rsidP="004558C6">
            <w:pPr>
              <w:spacing w:line="360" w:lineRule="auto"/>
              <w:rPr>
                <w:rFonts w:asciiTheme="minorHAnsi" w:hAnsiTheme="minorHAnsi" w:cstheme="minorHAnsi"/>
                <w:lang w:val="en-US"/>
              </w:rPr>
            </w:pPr>
            <w:r>
              <w:rPr>
                <w:rFonts w:asciiTheme="minorHAnsi" w:hAnsiTheme="minorHAnsi" w:cstheme="minorHAnsi"/>
              </w:rPr>
              <w:t>(</w:t>
            </w:r>
            <w:r w:rsidR="007F1CD5" w:rsidRPr="001974B9">
              <w:rPr>
                <w:rFonts w:asciiTheme="minorHAnsi" w:hAnsiTheme="minorHAnsi" w:cstheme="minorHAnsi"/>
              </w:rPr>
              <w:t>0.0000</w:t>
            </w:r>
            <w:r>
              <w:rPr>
                <w:rFonts w:asciiTheme="minorHAnsi" w:hAnsiTheme="minorHAnsi" w:cstheme="minorHAnsi"/>
              </w:rPr>
              <w:t>)</w:t>
            </w:r>
          </w:p>
        </w:tc>
        <w:tc>
          <w:tcPr>
            <w:tcW w:w="465" w:type="dxa"/>
            <w:tcBorders>
              <w:top w:val="nil"/>
              <w:left w:val="nil"/>
              <w:bottom w:val="single" w:sz="4" w:space="0" w:color="auto"/>
              <w:right w:val="nil"/>
            </w:tcBorders>
            <w:shd w:val="clear" w:color="auto" w:fill="auto"/>
            <w:noWrap/>
            <w:vAlign w:val="bottom"/>
            <w:hideMark/>
          </w:tcPr>
          <w:p w14:paraId="39FA13CF" w14:textId="77777777" w:rsidR="00777512" w:rsidRPr="001974B9" w:rsidRDefault="00777512" w:rsidP="004558C6">
            <w:pPr>
              <w:spacing w:line="360" w:lineRule="auto"/>
              <w:rPr>
                <w:rFonts w:asciiTheme="minorHAnsi" w:hAnsiTheme="minorHAnsi" w:cstheme="minorHAnsi"/>
                <w:lang w:val="en-US"/>
              </w:rPr>
            </w:pPr>
            <w:r w:rsidRPr="001974B9">
              <w:rPr>
                <w:rFonts w:asciiTheme="minorHAnsi" w:hAnsiTheme="minorHAnsi" w:cstheme="minorHAnsi"/>
                <w:lang w:val="en-US"/>
              </w:rPr>
              <w:t> </w:t>
            </w:r>
          </w:p>
        </w:tc>
      </w:tr>
    </w:tbl>
    <w:p w14:paraId="0408A713" w14:textId="77777777" w:rsidR="00A16488" w:rsidRDefault="00A16488" w:rsidP="003751C2">
      <w:pPr>
        <w:spacing w:line="240" w:lineRule="auto"/>
        <w:rPr>
          <w:rFonts w:asciiTheme="minorHAnsi" w:eastAsia="Calibri" w:hAnsiTheme="minorHAnsi" w:cstheme="minorHAnsi"/>
          <w:i/>
          <w:iCs/>
          <w:sz w:val="22"/>
          <w:szCs w:val="22"/>
          <w:lang w:val="en-US"/>
        </w:rPr>
      </w:pPr>
    </w:p>
    <w:p w14:paraId="43CB3C69" w14:textId="2834936E" w:rsidR="003751C2" w:rsidRDefault="00777512" w:rsidP="003751C2">
      <w:pPr>
        <w:spacing w:line="240" w:lineRule="auto"/>
        <w:rPr>
          <w:rFonts w:asciiTheme="minorHAnsi" w:eastAsia="Calibri" w:hAnsiTheme="minorHAnsi" w:cstheme="minorHAnsi"/>
          <w:sz w:val="22"/>
          <w:szCs w:val="22"/>
          <w:lang w:val="en-US"/>
        </w:rPr>
      </w:pPr>
      <w:r w:rsidRPr="004558C6">
        <w:rPr>
          <w:rFonts w:asciiTheme="minorHAnsi" w:eastAsia="Calibri" w:hAnsiTheme="minorHAnsi" w:cstheme="minorHAnsi"/>
          <w:i/>
          <w:iCs/>
          <w:sz w:val="22"/>
          <w:szCs w:val="22"/>
          <w:lang w:val="en-US"/>
        </w:rPr>
        <w:t>Note:</w:t>
      </w:r>
      <w:r w:rsidRPr="004556EC">
        <w:rPr>
          <w:rFonts w:asciiTheme="minorHAnsi" w:eastAsia="Calibri" w:hAnsiTheme="minorHAnsi" w:cstheme="minorHAnsi"/>
          <w:sz w:val="22"/>
          <w:szCs w:val="22"/>
          <w:lang w:val="en-US"/>
        </w:rPr>
        <w:t xml:space="preserve"> Table </w:t>
      </w:r>
      <w:r w:rsidR="00F82B4A" w:rsidRPr="004556EC">
        <w:rPr>
          <w:rFonts w:asciiTheme="minorHAnsi" w:eastAsia="Calibri" w:hAnsiTheme="minorHAnsi" w:cstheme="minorHAnsi"/>
          <w:sz w:val="22"/>
          <w:szCs w:val="22"/>
          <w:lang w:val="en-US"/>
        </w:rPr>
        <w:t>3.</w:t>
      </w:r>
      <w:r w:rsidRPr="004556EC">
        <w:rPr>
          <w:rFonts w:asciiTheme="minorHAnsi" w:eastAsia="Calibri" w:hAnsiTheme="minorHAnsi" w:cstheme="minorHAnsi"/>
          <w:sz w:val="22"/>
          <w:szCs w:val="22"/>
          <w:lang w:val="en-US"/>
        </w:rPr>
        <w:t xml:space="preserve">5 reports the estimates from </w:t>
      </w:r>
      <w:r w:rsidR="00451703">
        <w:rPr>
          <w:rFonts w:asciiTheme="minorHAnsi" w:eastAsia="Calibri" w:hAnsiTheme="minorHAnsi" w:cstheme="minorHAnsi"/>
          <w:sz w:val="22"/>
          <w:szCs w:val="22"/>
          <w:lang w:val="en-US"/>
        </w:rPr>
        <w:t>model 3.</w:t>
      </w:r>
      <w:r w:rsidRPr="004556EC">
        <w:rPr>
          <w:rFonts w:asciiTheme="minorHAnsi" w:eastAsia="Calibri" w:hAnsiTheme="minorHAnsi" w:cstheme="minorHAnsi"/>
          <w:sz w:val="22"/>
          <w:szCs w:val="22"/>
          <w:lang w:val="en-US" w:eastAsia="en-US"/>
        </w:rPr>
        <w:t xml:space="preserve"> </w:t>
      </w:r>
      <w:r w:rsidR="003751C2">
        <w:rPr>
          <w:rFonts w:asciiTheme="minorHAnsi" w:eastAsia="Calibri" w:hAnsiTheme="minorHAnsi" w:cstheme="minorHAnsi"/>
          <w:sz w:val="22"/>
          <w:szCs w:val="22"/>
          <w:lang w:val="en-US" w:eastAsia="en-US"/>
        </w:rPr>
        <w:t xml:space="preserve">The </w:t>
      </w:r>
      <w:r w:rsidR="003751C2" w:rsidRPr="00415EDD">
        <w:rPr>
          <w:rFonts w:asciiTheme="minorHAnsi" w:eastAsia="Calibri" w:hAnsiTheme="minorHAnsi" w:cstheme="minorHAnsi"/>
          <w:sz w:val="22"/>
          <w:szCs w:val="22"/>
          <w:lang w:val="en-US" w:eastAsia="en-US"/>
        </w:rPr>
        <w:t xml:space="preserve">associated p-values </w:t>
      </w:r>
      <w:r w:rsidR="003751C2" w:rsidRPr="004556EC">
        <w:rPr>
          <w:rFonts w:asciiTheme="minorHAnsi" w:eastAsia="Calibri" w:hAnsiTheme="minorHAnsi" w:cstheme="minorHAnsi"/>
          <w:sz w:val="22"/>
          <w:szCs w:val="22"/>
          <w:lang w:val="en-US" w:eastAsia="en-US"/>
        </w:rPr>
        <w:t>are reported in parentheses</w:t>
      </w:r>
      <w:r w:rsidR="003751C2">
        <w:rPr>
          <w:rFonts w:asciiTheme="minorHAnsi" w:eastAsia="Calibri" w:hAnsiTheme="minorHAnsi" w:cstheme="minorHAnsi"/>
          <w:sz w:val="22"/>
          <w:szCs w:val="22"/>
          <w:lang w:val="en-US" w:eastAsia="en-US"/>
        </w:rPr>
        <w:t xml:space="preserve">. </w:t>
      </w:r>
    </w:p>
    <w:p w14:paraId="0E0C6D0C" w14:textId="66D953E5" w:rsidR="00777512" w:rsidRPr="004556EC" w:rsidRDefault="00777512" w:rsidP="004558C6">
      <w:pPr>
        <w:spacing w:line="240" w:lineRule="auto"/>
        <w:jc w:val="both"/>
        <w:rPr>
          <w:rFonts w:asciiTheme="minorHAnsi" w:eastAsia="Calibri" w:hAnsiTheme="minorHAnsi" w:cstheme="minorHAnsi"/>
          <w:sz w:val="22"/>
          <w:szCs w:val="22"/>
          <w:lang w:val="en-US" w:eastAsia="en-US"/>
        </w:rPr>
      </w:pPr>
    </w:p>
    <w:p w14:paraId="566BB493" w14:textId="77777777" w:rsidR="00777512" w:rsidRPr="004556EC" w:rsidRDefault="00777512" w:rsidP="004558C6">
      <w:pPr>
        <w:pStyle w:val="Newparagraph"/>
        <w:spacing w:line="360" w:lineRule="auto"/>
        <w:jc w:val="both"/>
        <w:rPr>
          <w:rFonts w:asciiTheme="minorHAnsi" w:eastAsia="Calibri" w:hAnsiTheme="minorHAnsi" w:cstheme="minorHAnsi"/>
          <w:lang w:eastAsia="en-US"/>
        </w:rPr>
      </w:pPr>
    </w:p>
    <w:p w14:paraId="131CF587" w14:textId="5D9CF16A" w:rsidR="001236AE" w:rsidRDefault="001236AE" w:rsidP="004558C6">
      <w:pPr>
        <w:pStyle w:val="NormalWeb"/>
        <w:spacing w:line="360" w:lineRule="auto"/>
        <w:jc w:val="both"/>
        <w:rPr>
          <w:rFonts w:asciiTheme="minorHAnsi" w:eastAsia="Calibri" w:hAnsiTheme="minorHAnsi" w:cstheme="minorHAnsi"/>
          <w:lang w:val="en-US"/>
        </w:rPr>
      </w:pPr>
      <w:r w:rsidRPr="004556EC">
        <w:rPr>
          <w:rFonts w:asciiTheme="minorHAnsi" w:eastAsia="Calibri" w:hAnsiTheme="minorHAnsi" w:cstheme="minorHAnsi"/>
          <w:lang w:eastAsia="en-US"/>
        </w:rPr>
        <w:t xml:space="preserve">The results for </w:t>
      </w:r>
      <w:r w:rsidR="005D0C68">
        <w:rPr>
          <w:rFonts w:asciiTheme="minorHAnsi" w:eastAsia="Calibri" w:hAnsiTheme="minorHAnsi" w:cstheme="minorHAnsi"/>
          <w:lang w:eastAsia="en-US"/>
        </w:rPr>
        <w:t xml:space="preserve">the </w:t>
      </w:r>
      <w:r w:rsidR="00827C84" w:rsidRPr="004556EC">
        <w:rPr>
          <w:rFonts w:asciiTheme="minorHAnsi" w:eastAsia="Calibri" w:hAnsiTheme="minorHAnsi" w:cstheme="minorHAnsi"/>
          <w:lang w:eastAsia="en-US"/>
        </w:rPr>
        <w:t>effect of high (low) volatility</w:t>
      </w:r>
      <w:r w:rsidRPr="004556EC">
        <w:rPr>
          <w:rFonts w:asciiTheme="minorHAnsi" w:eastAsia="Calibri" w:hAnsiTheme="minorHAnsi" w:cstheme="minorHAnsi"/>
          <w:lang w:eastAsia="en-US"/>
        </w:rPr>
        <w:t xml:space="preserve"> on herding at the sector level is</w:t>
      </w:r>
      <w:r w:rsidRPr="004556EC">
        <w:rPr>
          <w:rFonts w:asciiTheme="minorHAnsi" w:eastAsia="Calibri" w:hAnsiTheme="minorHAnsi" w:cstheme="minorHAnsi"/>
          <w:lang w:val="en-US" w:eastAsia="en-US"/>
        </w:rPr>
        <w:t xml:space="preserve"> presented in Table </w:t>
      </w:r>
      <w:r w:rsidR="00F82B4A" w:rsidRPr="004556EC">
        <w:rPr>
          <w:rFonts w:asciiTheme="minorHAnsi" w:eastAsia="Calibri" w:hAnsiTheme="minorHAnsi" w:cstheme="minorHAnsi"/>
          <w:lang w:val="en-US" w:eastAsia="en-US"/>
        </w:rPr>
        <w:t>3.</w:t>
      </w:r>
      <w:r w:rsidRPr="004556EC">
        <w:rPr>
          <w:rFonts w:asciiTheme="minorHAnsi" w:eastAsia="Calibri" w:hAnsiTheme="minorHAnsi" w:cstheme="minorHAnsi"/>
          <w:lang w:val="en-US" w:eastAsia="en-US"/>
        </w:rPr>
        <w:t xml:space="preserve">6. Notably, there is no evidence of herd formation during periods of high volatility in </w:t>
      </w:r>
      <w:r w:rsidR="005D0C68">
        <w:rPr>
          <w:rFonts w:asciiTheme="minorHAnsi" w:eastAsia="Calibri" w:hAnsiTheme="minorHAnsi" w:cstheme="minorHAnsi"/>
          <w:lang w:val="en-US" w:eastAsia="en-US"/>
        </w:rPr>
        <w:t xml:space="preserve">all the </w:t>
      </w:r>
      <w:r w:rsidRPr="004556EC">
        <w:rPr>
          <w:rFonts w:asciiTheme="minorHAnsi" w:eastAsia="Calibri" w:hAnsiTheme="minorHAnsi" w:cstheme="minorHAnsi"/>
          <w:lang w:val="en-US" w:eastAsia="en-US"/>
        </w:rPr>
        <w:t>sectors</w:t>
      </w:r>
      <w:r w:rsidR="005D0C68">
        <w:rPr>
          <w:rFonts w:asciiTheme="minorHAnsi" w:eastAsia="Calibri" w:hAnsiTheme="minorHAnsi" w:cstheme="minorHAnsi"/>
          <w:lang w:val="en-US" w:eastAsia="en-US"/>
        </w:rPr>
        <w:t xml:space="preserve">. </w:t>
      </w:r>
      <w:r w:rsidR="00D15586">
        <w:rPr>
          <w:rFonts w:asciiTheme="minorHAnsi" w:eastAsia="Calibri" w:hAnsiTheme="minorHAnsi" w:cstheme="minorHAnsi"/>
          <w:lang w:val="en-US"/>
        </w:rPr>
        <w:t>We obtain</w:t>
      </w:r>
      <w:r w:rsidR="00800525" w:rsidRPr="004556EC">
        <w:rPr>
          <w:rFonts w:asciiTheme="minorHAnsi" w:eastAsia="Calibri" w:hAnsiTheme="minorHAnsi" w:cstheme="minorHAnsi"/>
          <w:lang w:val="en-US"/>
        </w:rPr>
        <w:t xml:space="preserve"> positive and statistically significant </w:t>
      </w:r>
      <w:r w:rsidR="0051384D">
        <w:rPr>
          <w:rFonts w:asciiTheme="minorHAnsi" w:eastAsia="Calibri" w:hAnsiTheme="minorHAnsi" w:cstheme="minorHAnsi"/>
          <w:lang w:val="en-US"/>
        </w:rPr>
        <w:t xml:space="preserve">coefficients in most sectors except Financials, Technology and Telecoms. This result </w:t>
      </w:r>
      <w:r w:rsidR="00800525" w:rsidRPr="004556EC">
        <w:rPr>
          <w:rFonts w:asciiTheme="minorHAnsi" w:eastAsia="Calibri" w:hAnsiTheme="minorHAnsi" w:cstheme="minorHAnsi"/>
          <w:lang w:val="en-US"/>
        </w:rPr>
        <w:t>indicat</w:t>
      </w:r>
      <w:r w:rsidR="0051384D">
        <w:rPr>
          <w:rFonts w:asciiTheme="minorHAnsi" w:eastAsia="Calibri" w:hAnsiTheme="minorHAnsi" w:cstheme="minorHAnsi"/>
          <w:lang w:val="en-US"/>
        </w:rPr>
        <w:t>es</w:t>
      </w:r>
      <w:r w:rsidR="00800525" w:rsidRPr="004556EC">
        <w:rPr>
          <w:rFonts w:asciiTheme="minorHAnsi" w:eastAsia="Calibri" w:hAnsiTheme="minorHAnsi" w:cstheme="minorHAnsi"/>
          <w:lang w:val="en-US"/>
        </w:rPr>
        <w:t xml:space="preserve"> an increasing relationship between equity return dispersion and high market volatility</w:t>
      </w:r>
      <w:r w:rsidR="0051384D">
        <w:rPr>
          <w:rFonts w:asciiTheme="minorHAnsi" w:eastAsia="Calibri" w:hAnsiTheme="minorHAnsi" w:cstheme="minorHAnsi"/>
          <w:lang w:val="en-US"/>
        </w:rPr>
        <w:t xml:space="preserve">, which is inconsistent with earlier findings of herding behaviour during low volatility periods (see </w:t>
      </w:r>
      <w:r w:rsidR="0051384D" w:rsidRPr="0051384D">
        <w:rPr>
          <w:rFonts w:asciiTheme="minorHAnsi" w:eastAsia="Calibri" w:hAnsiTheme="minorHAnsi" w:cstheme="minorHAnsi"/>
          <w:i/>
          <w:iCs/>
          <w:lang w:val="en-US"/>
        </w:rPr>
        <w:t>inter alia</w:t>
      </w:r>
      <w:r w:rsidR="0051384D">
        <w:rPr>
          <w:rFonts w:asciiTheme="minorHAnsi" w:eastAsia="Calibri" w:hAnsiTheme="minorHAnsi" w:cstheme="minorHAnsi"/>
          <w:lang w:val="en-US"/>
        </w:rPr>
        <w:t xml:space="preserve"> Holmes, et al., 2013).</w:t>
      </w:r>
    </w:p>
    <w:p w14:paraId="6665814A" w14:textId="6182BB34" w:rsidR="007F1CD5" w:rsidRDefault="007F1CD5" w:rsidP="007F1CD5">
      <w:pPr>
        <w:spacing w:after="200" w:line="240" w:lineRule="auto"/>
        <w:rPr>
          <w:rFonts w:asciiTheme="minorHAnsi" w:eastAsia="Calibri" w:hAnsiTheme="minorHAnsi" w:cstheme="minorHAnsi"/>
          <w:b/>
          <w:iCs/>
          <w:szCs w:val="18"/>
          <w:lang w:eastAsia="en-US"/>
        </w:rPr>
      </w:pPr>
      <w:bookmarkStart w:id="6" w:name="_Toc534716704"/>
    </w:p>
    <w:p w14:paraId="6F54A676" w14:textId="1D82DE47" w:rsidR="0011693D" w:rsidRDefault="0011693D" w:rsidP="007F1CD5">
      <w:pPr>
        <w:spacing w:after="200" w:line="240" w:lineRule="auto"/>
        <w:rPr>
          <w:rFonts w:asciiTheme="minorHAnsi" w:eastAsia="Calibri" w:hAnsiTheme="minorHAnsi" w:cstheme="minorHAnsi"/>
          <w:b/>
          <w:iCs/>
          <w:szCs w:val="18"/>
          <w:lang w:eastAsia="en-US"/>
        </w:rPr>
      </w:pPr>
    </w:p>
    <w:p w14:paraId="4096025D" w14:textId="77777777" w:rsidR="0011693D" w:rsidRDefault="0011693D" w:rsidP="007F1CD5">
      <w:pPr>
        <w:spacing w:after="200" w:line="240" w:lineRule="auto"/>
        <w:rPr>
          <w:rFonts w:asciiTheme="minorHAnsi" w:eastAsia="Calibri" w:hAnsiTheme="minorHAnsi" w:cstheme="minorHAnsi"/>
          <w:b/>
          <w:iCs/>
          <w:szCs w:val="18"/>
          <w:lang w:eastAsia="en-US"/>
        </w:rPr>
      </w:pPr>
    </w:p>
    <w:p w14:paraId="48C0B448" w14:textId="291BCA4E" w:rsidR="00777512" w:rsidRDefault="007F1CD5" w:rsidP="007F1CD5">
      <w:pPr>
        <w:spacing w:after="200" w:line="240" w:lineRule="auto"/>
        <w:rPr>
          <w:rFonts w:asciiTheme="minorHAnsi" w:eastAsia="Calibri" w:hAnsiTheme="minorHAnsi" w:cstheme="minorHAnsi"/>
          <w:b/>
          <w:iCs/>
          <w:szCs w:val="18"/>
          <w:lang w:eastAsia="en-US"/>
        </w:rPr>
      </w:pPr>
      <w:r>
        <w:rPr>
          <w:rFonts w:asciiTheme="minorHAnsi" w:eastAsia="Calibri" w:hAnsiTheme="minorHAnsi" w:cstheme="minorHAnsi"/>
          <w:b/>
          <w:iCs/>
          <w:szCs w:val="18"/>
          <w:lang w:eastAsia="en-US"/>
        </w:rPr>
        <w:lastRenderedPageBreak/>
        <w:t xml:space="preserve">     </w:t>
      </w:r>
      <w:r w:rsidR="00777512" w:rsidRPr="004556EC">
        <w:rPr>
          <w:rFonts w:asciiTheme="minorHAnsi" w:eastAsia="Calibri" w:hAnsiTheme="minorHAnsi" w:cstheme="minorHAnsi"/>
          <w:b/>
          <w:iCs/>
          <w:szCs w:val="18"/>
          <w:lang w:eastAsia="en-US"/>
        </w:rPr>
        <w:t xml:space="preserve">Table </w:t>
      </w:r>
      <w:r w:rsidR="00F82B4A" w:rsidRPr="004556EC">
        <w:rPr>
          <w:rFonts w:asciiTheme="minorHAnsi" w:eastAsia="Calibri" w:hAnsiTheme="minorHAnsi" w:cstheme="minorHAnsi"/>
          <w:b/>
          <w:iCs/>
          <w:szCs w:val="18"/>
          <w:lang w:eastAsia="en-US"/>
        </w:rPr>
        <w:t>3.</w:t>
      </w:r>
      <w:r w:rsidR="00777512" w:rsidRPr="004556EC">
        <w:rPr>
          <w:rFonts w:asciiTheme="minorHAnsi" w:eastAsia="Calibri" w:hAnsiTheme="minorHAnsi" w:cstheme="minorHAnsi"/>
          <w:b/>
          <w:iCs/>
          <w:szCs w:val="18"/>
          <w:lang w:eastAsia="en-US"/>
        </w:rPr>
        <w:t>6. Estimates of herding for US sectors in periods of high and low volatility</w:t>
      </w:r>
      <w:bookmarkEnd w:id="6"/>
    </w:p>
    <w:p w14:paraId="2A2CCC55" w14:textId="77777777" w:rsidR="00A16488" w:rsidRDefault="00A16488" w:rsidP="007F1CD5">
      <w:pPr>
        <w:spacing w:after="200" w:line="240" w:lineRule="auto"/>
        <w:rPr>
          <w:rFonts w:asciiTheme="minorHAnsi" w:eastAsia="Calibri" w:hAnsiTheme="minorHAnsi" w:cstheme="minorHAnsi"/>
          <w:b/>
          <w:iCs/>
          <w:szCs w:val="18"/>
          <w:lang w:eastAsia="en-US"/>
        </w:rPr>
      </w:pPr>
    </w:p>
    <w:tbl>
      <w:tblPr>
        <w:tblW w:w="5000" w:type="pct"/>
        <w:tblLook w:val="04A0" w:firstRow="1" w:lastRow="0" w:firstColumn="1" w:lastColumn="0" w:noHBand="0" w:noVBand="1"/>
      </w:tblPr>
      <w:tblGrid>
        <w:gridCol w:w="1821"/>
        <w:gridCol w:w="1184"/>
        <w:gridCol w:w="976"/>
        <w:gridCol w:w="114"/>
        <w:gridCol w:w="1006"/>
        <w:gridCol w:w="85"/>
        <w:gridCol w:w="875"/>
        <w:gridCol w:w="206"/>
        <w:gridCol w:w="750"/>
        <w:gridCol w:w="503"/>
        <w:gridCol w:w="756"/>
        <w:gridCol w:w="223"/>
      </w:tblGrid>
      <w:tr w:rsidR="007F1CD5" w:rsidRPr="007F1CD5" w14:paraId="3D2BEC31" w14:textId="77777777" w:rsidTr="00621757">
        <w:trPr>
          <w:trHeight w:val="588"/>
        </w:trPr>
        <w:tc>
          <w:tcPr>
            <w:tcW w:w="4128" w:type="pct"/>
            <w:gridSpan w:val="9"/>
            <w:tcBorders>
              <w:top w:val="single" w:sz="4" w:space="0" w:color="auto"/>
              <w:left w:val="nil"/>
              <w:bottom w:val="single" w:sz="4" w:space="0" w:color="auto"/>
              <w:right w:val="nil"/>
            </w:tcBorders>
            <w:shd w:val="clear" w:color="auto" w:fill="auto"/>
            <w:noWrap/>
            <w:vAlign w:val="bottom"/>
            <w:hideMark/>
          </w:tcPr>
          <w:p w14:paraId="7683D14C" w14:textId="77777777" w:rsidR="007F1CD5" w:rsidRPr="007F1CD5" w:rsidRDefault="007F1CD5" w:rsidP="00621757">
            <w:pPr>
              <w:spacing w:line="240" w:lineRule="auto"/>
              <w:jc w:val="both"/>
              <w:rPr>
                <w:rFonts w:asciiTheme="minorHAnsi" w:eastAsia="Calibri" w:hAnsiTheme="minorHAnsi" w:cstheme="minorHAnsi"/>
                <w:sz w:val="22"/>
                <w:szCs w:val="22"/>
                <w:lang w:val="en-US" w:eastAsia="en-US"/>
              </w:rPr>
            </w:pPr>
            <w:r w:rsidRPr="007F1CD5">
              <w:rPr>
                <w:rFonts w:asciiTheme="minorHAnsi" w:eastAsia="Calibri" w:hAnsiTheme="minorHAnsi" w:cstheme="minorHAnsi"/>
                <w:sz w:val="22"/>
                <w:szCs w:val="22"/>
                <w:lang w:val="en-US" w:eastAsia="en-US"/>
              </w:rPr>
              <w:t>Industry</w:t>
            </w:r>
            <w:r w:rsidRPr="007F1CD5">
              <w:rPr>
                <w:rFonts w:asciiTheme="minorHAnsi" w:eastAsia="Calibri" w:hAnsiTheme="minorHAnsi" w:cstheme="minorHAnsi"/>
                <w:sz w:val="22"/>
                <w:szCs w:val="22"/>
                <w:lang w:val="en-US" w:eastAsia="en-US"/>
              </w:rPr>
              <w:tab/>
              <w:t xml:space="preserve">           α</w:t>
            </w:r>
            <w:r w:rsidRPr="007F1CD5">
              <w:rPr>
                <w:rFonts w:asciiTheme="minorHAnsi" w:eastAsia="Calibri" w:hAnsiTheme="minorHAnsi" w:cstheme="minorHAnsi"/>
                <w:sz w:val="22"/>
                <w:szCs w:val="22"/>
                <w:lang w:val="en-US" w:eastAsia="en-US"/>
              </w:rPr>
              <w:tab/>
              <w:t xml:space="preserve">                  </w:t>
            </w:r>
            <m:oMath>
              <m:sSub>
                <m:sSubPr>
                  <m:ctrlPr>
                    <w:rPr>
                      <w:rFonts w:ascii="Cambria Math" w:eastAsia="Calibri" w:hAnsi="Cambria Math" w:cstheme="minorHAnsi"/>
                      <w:sz w:val="22"/>
                      <w:szCs w:val="22"/>
                      <w:lang w:eastAsia="en-US"/>
                    </w:rPr>
                  </m:ctrlPr>
                </m:sSubPr>
                <m:e>
                  <m:r>
                    <w:rPr>
                      <w:rFonts w:ascii="Cambria Math" w:eastAsia="Calibri" w:hAnsi="Cambria Math" w:cstheme="minorHAnsi"/>
                      <w:sz w:val="22"/>
                      <w:szCs w:val="22"/>
                      <w:lang w:eastAsia="en-US"/>
                    </w:rPr>
                    <m:t>γ</m:t>
                  </m:r>
                </m:e>
                <m:sub>
                  <m:r>
                    <m:rPr>
                      <m:sty m:val="p"/>
                    </m:rPr>
                    <w:rPr>
                      <w:rFonts w:ascii="Cambria Math" w:eastAsia="Calibri" w:hAnsi="Cambria Math" w:cstheme="minorHAnsi"/>
                      <w:sz w:val="22"/>
                      <w:szCs w:val="22"/>
                      <w:lang w:eastAsia="en-US"/>
                    </w:rPr>
                    <m:t>1</m:t>
                  </m:r>
                </m:sub>
              </m:sSub>
            </m:oMath>
            <w:r w:rsidRPr="007F1CD5">
              <w:rPr>
                <w:rFonts w:asciiTheme="minorHAnsi" w:eastAsia="Calibri" w:hAnsiTheme="minorHAnsi" w:cstheme="minorHAnsi"/>
                <w:sz w:val="22"/>
                <w:szCs w:val="22"/>
                <w:lang w:val="en-US" w:eastAsia="en-US"/>
              </w:rPr>
              <w:t xml:space="preserve">                   </w:t>
            </w:r>
            <m:oMath>
              <m:sSub>
                <m:sSubPr>
                  <m:ctrlPr>
                    <w:rPr>
                      <w:rFonts w:ascii="Cambria Math" w:eastAsia="Calibri" w:hAnsi="Cambria Math" w:cstheme="minorHAnsi"/>
                      <w:sz w:val="22"/>
                      <w:szCs w:val="22"/>
                      <w:lang w:eastAsia="en-US"/>
                    </w:rPr>
                  </m:ctrlPr>
                </m:sSubPr>
                <m:e>
                  <m:r>
                    <w:rPr>
                      <w:rFonts w:ascii="Cambria Math" w:eastAsia="Calibri" w:hAnsi="Cambria Math" w:cstheme="minorHAnsi"/>
                      <w:sz w:val="22"/>
                      <w:szCs w:val="22"/>
                      <w:lang w:eastAsia="en-US"/>
                    </w:rPr>
                    <m:t>γ</m:t>
                  </m:r>
                </m:e>
                <m:sub>
                  <m:r>
                    <m:rPr>
                      <m:sty m:val="p"/>
                    </m:rPr>
                    <w:rPr>
                      <w:rFonts w:ascii="Cambria Math" w:eastAsia="Calibri" w:hAnsi="Cambria Math" w:cstheme="minorHAnsi"/>
                      <w:sz w:val="22"/>
                      <w:szCs w:val="22"/>
                      <w:lang w:eastAsia="en-US"/>
                    </w:rPr>
                    <m:t>2</m:t>
                  </m:r>
                </m:sub>
              </m:sSub>
            </m:oMath>
            <w:r w:rsidRPr="007F1CD5">
              <w:rPr>
                <w:rFonts w:asciiTheme="minorHAnsi" w:eastAsia="Calibri" w:hAnsiTheme="minorHAnsi" w:cstheme="minorHAnsi"/>
                <w:sz w:val="22"/>
                <w:szCs w:val="22"/>
                <w:vertAlign w:val="subscript"/>
                <w:lang w:val="en-US" w:eastAsia="en-US"/>
              </w:rPr>
              <w:tab/>
              <w:t xml:space="preserve">         </w:t>
            </w:r>
            <m:oMath>
              <m:sSub>
                <m:sSubPr>
                  <m:ctrlPr>
                    <w:rPr>
                      <w:rFonts w:ascii="Cambria Math" w:eastAsia="Calibri" w:hAnsi="Cambria Math" w:cstheme="minorHAnsi"/>
                      <w:sz w:val="22"/>
                      <w:szCs w:val="22"/>
                      <w:lang w:eastAsia="en-US"/>
                    </w:rPr>
                  </m:ctrlPr>
                </m:sSubPr>
                <m:e>
                  <m:r>
                    <w:rPr>
                      <w:rFonts w:ascii="Cambria Math" w:eastAsia="Calibri" w:hAnsi="Cambria Math" w:cstheme="minorHAnsi"/>
                      <w:sz w:val="22"/>
                      <w:szCs w:val="22"/>
                      <w:lang w:eastAsia="en-US"/>
                    </w:rPr>
                    <m:t>γ</m:t>
                  </m:r>
                </m:e>
                <m:sub>
                  <m:r>
                    <m:rPr>
                      <m:sty m:val="p"/>
                    </m:rPr>
                    <w:rPr>
                      <w:rFonts w:ascii="Cambria Math" w:eastAsia="Calibri" w:hAnsi="Cambria Math" w:cstheme="minorHAnsi"/>
                      <w:sz w:val="22"/>
                      <w:szCs w:val="22"/>
                      <w:lang w:eastAsia="en-US"/>
                    </w:rPr>
                    <m:t>3</m:t>
                  </m:r>
                </m:sub>
              </m:sSub>
            </m:oMath>
            <w:r w:rsidRPr="007F1CD5">
              <w:rPr>
                <w:rFonts w:asciiTheme="minorHAnsi" w:eastAsia="Calibri" w:hAnsiTheme="minorHAnsi" w:cstheme="minorHAnsi"/>
                <w:sz w:val="22"/>
                <w:szCs w:val="22"/>
                <w:lang w:val="en-US" w:eastAsia="en-US"/>
              </w:rPr>
              <w:tab/>
              <w:t xml:space="preserve">             </w:t>
            </w:r>
            <m:oMath>
              <m:sSub>
                <m:sSubPr>
                  <m:ctrlPr>
                    <w:rPr>
                      <w:rFonts w:ascii="Cambria Math" w:eastAsia="Calibri" w:hAnsi="Cambria Math" w:cstheme="minorHAnsi"/>
                      <w:sz w:val="22"/>
                      <w:szCs w:val="22"/>
                      <w:lang w:eastAsia="en-US"/>
                    </w:rPr>
                  </m:ctrlPr>
                </m:sSubPr>
                <m:e>
                  <m:r>
                    <w:rPr>
                      <w:rFonts w:ascii="Cambria Math" w:eastAsia="Calibri" w:hAnsi="Cambria Math" w:cstheme="minorHAnsi"/>
                      <w:sz w:val="22"/>
                      <w:szCs w:val="22"/>
                      <w:lang w:eastAsia="en-US"/>
                    </w:rPr>
                    <m:t>γ</m:t>
                  </m:r>
                </m:e>
                <m:sub>
                  <m:r>
                    <m:rPr>
                      <m:sty m:val="p"/>
                    </m:rPr>
                    <w:rPr>
                      <w:rFonts w:ascii="Cambria Math" w:eastAsia="Calibri" w:hAnsi="Cambria Math" w:cstheme="minorHAnsi"/>
                      <w:sz w:val="22"/>
                      <w:szCs w:val="22"/>
                      <w:lang w:eastAsia="en-US"/>
                    </w:rPr>
                    <m:t>4</m:t>
                  </m:r>
                </m:sub>
              </m:sSub>
            </m:oMath>
            <w:r w:rsidRPr="007F1CD5">
              <w:rPr>
                <w:rFonts w:asciiTheme="minorHAnsi" w:eastAsia="Calibri" w:hAnsiTheme="minorHAnsi" w:cstheme="minorHAnsi"/>
                <w:sz w:val="22"/>
                <w:szCs w:val="22"/>
                <w:lang w:val="en-US" w:eastAsia="en-US"/>
              </w:rPr>
              <w:t xml:space="preserve">                  </w:t>
            </w:r>
          </w:p>
        </w:tc>
        <w:tc>
          <w:tcPr>
            <w:tcW w:w="741" w:type="pct"/>
            <w:gridSpan w:val="2"/>
            <w:tcBorders>
              <w:top w:val="single" w:sz="4" w:space="0" w:color="auto"/>
              <w:left w:val="nil"/>
              <w:bottom w:val="single" w:sz="4" w:space="0" w:color="auto"/>
              <w:right w:val="nil"/>
            </w:tcBorders>
            <w:shd w:val="clear" w:color="auto" w:fill="auto"/>
            <w:noWrap/>
            <w:vAlign w:val="bottom"/>
            <w:hideMark/>
          </w:tcPr>
          <w:p w14:paraId="3A013982" w14:textId="77777777" w:rsidR="007F1CD5" w:rsidRPr="007F1CD5" w:rsidRDefault="007F1CD5" w:rsidP="00621757">
            <w:pPr>
              <w:spacing w:line="240" w:lineRule="auto"/>
              <w:jc w:val="both"/>
              <w:rPr>
                <w:rFonts w:asciiTheme="minorHAnsi" w:eastAsia="Calibri" w:hAnsiTheme="minorHAnsi" w:cstheme="minorHAnsi"/>
                <w:sz w:val="22"/>
                <w:szCs w:val="22"/>
                <w:lang w:val="en-US" w:eastAsia="en-US"/>
              </w:rPr>
            </w:pPr>
            <w:r w:rsidRPr="007F1CD5">
              <w:rPr>
                <w:rFonts w:asciiTheme="minorHAnsi" w:eastAsia="Calibri" w:hAnsiTheme="minorHAnsi" w:cstheme="minorHAnsi"/>
                <w:sz w:val="22"/>
                <w:szCs w:val="22"/>
                <w:lang w:val="en-US" w:eastAsia="en-US"/>
              </w:rPr>
              <w:t xml:space="preserve">          Adj.R</w:t>
            </w:r>
            <w:r w:rsidRPr="007F1CD5">
              <w:rPr>
                <w:rFonts w:asciiTheme="minorHAnsi" w:eastAsia="Calibri" w:hAnsiTheme="minorHAnsi" w:cstheme="minorHAnsi"/>
                <w:sz w:val="22"/>
                <w:szCs w:val="22"/>
                <w:vertAlign w:val="superscript"/>
                <w:lang w:val="en-US" w:eastAsia="en-US"/>
              </w:rPr>
              <w:t>2</w:t>
            </w:r>
          </w:p>
        </w:tc>
        <w:tc>
          <w:tcPr>
            <w:tcW w:w="131" w:type="pct"/>
            <w:tcBorders>
              <w:top w:val="single" w:sz="4" w:space="0" w:color="auto"/>
              <w:left w:val="nil"/>
              <w:bottom w:val="single" w:sz="4" w:space="0" w:color="auto"/>
              <w:right w:val="nil"/>
            </w:tcBorders>
            <w:shd w:val="clear" w:color="auto" w:fill="auto"/>
            <w:noWrap/>
            <w:vAlign w:val="bottom"/>
            <w:hideMark/>
          </w:tcPr>
          <w:p w14:paraId="5C081574" w14:textId="77777777" w:rsidR="007F1CD5" w:rsidRPr="007F1CD5" w:rsidRDefault="007F1CD5" w:rsidP="00621757">
            <w:pPr>
              <w:spacing w:line="240" w:lineRule="auto"/>
              <w:rPr>
                <w:rFonts w:asciiTheme="minorHAnsi" w:eastAsia="Calibri" w:hAnsiTheme="minorHAnsi" w:cstheme="minorHAnsi"/>
                <w:sz w:val="22"/>
                <w:szCs w:val="22"/>
                <w:lang w:val="en-US" w:eastAsia="en-US"/>
              </w:rPr>
            </w:pPr>
          </w:p>
        </w:tc>
      </w:tr>
      <w:tr w:rsidR="007F1CD5" w:rsidRPr="007F1CD5" w14:paraId="79A2969B" w14:textId="77777777" w:rsidTr="00621757">
        <w:trPr>
          <w:trHeight w:val="375"/>
        </w:trPr>
        <w:tc>
          <w:tcPr>
            <w:tcW w:w="1071" w:type="pct"/>
            <w:tcBorders>
              <w:top w:val="nil"/>
              <w:left w:val="nil"/>
              <w:bottom w:val="nil"/>
              <w:right w:val="nil"/>
            </w:tcBorders>
            <w:shd w:val="clear" w:color="auto" w:fill="auto"/>
            <w:noWrap/>
            <w:vAlign w:val="bottom"/>
          </w:tcPr>
          <w:p w14:paraId="5910E09A" w14:textId="77777777" w:rsidR="007F1CD5" w:rsidRPr="007F1CD5" w:rsidRDefault="007F1CD5" w:rsidP="00621757">
            <w:pPr>
              <w:spacing w:line="240" w:lineRule="auto"/>
              <w:rPr>
                <w:rFonts w:asciiTheme="minorHAnsi" w:eastAsia="Calibri" w:hAnsiTheme="minorHAnsi" w:cstheme="minorHAnsi"/>
                <w:sz w:val="22"/>
                <w:szCs w:val="22"/>
                <w:lang w:val="en-US" w:eastAsia="en-US"/>
              </w:rPr>
            </w:pPr>
          </w:p>
        </w:tc>
        <w:tc>
          <w:tcPr>
            <w:tcW w:w="1271" w:type="pct"/>
            <w:gridSpan w:val="2"/>
            <w:tcBorders>
              <w:top w:val="nil"/>
              <w:left w:val="nil"/>
              <w:bottom w:val="nil"/>
              <w:right w:val="nil"/>
            </w:tcBorders>
            <w:shd w:val="clear" w:color="auto" w:fill="auto"/>
            <w:noWrap/>
            <w:vAlign w:val="bottom"/>
          </w:tcPr>
          <w:p w14:paraId="778554C0" w14:textId="77777777" w:rsidR="007F1CD5" w:rsidRPr="007F1CD5" w:rsidRDefault="007F1CD5" w:rsidP="00621757">
            <w:pPr>
              <w:spacing w:line="240" w:lineRule="auto"/>
              <w:rPr>
                <w:rFonts w:asciiTheme="minorHAnsi" w:eastAsia="Calibri" w:hAnsiTheme="minorHAnsi" w:cstheme="minorHAnsi"/>
                <w:sz w:val="22"/>
                <w:szCs w:val="22"/>
                <w:lang w:val="en-US" w:eastAsia="en-US"/>
              </w:rPr>
            </w:pPr>
          </w:p>
        </w:tc>
        <w:tc>
          <w:tcPr>
            <w:tcW w:w="659" w:type="pct"/>
            <w:gridSpan w:val="2"/>
            <w:tcBorders>
              <w:top w:val="nil"/>
              <w:left w:val="nil"/>
              <w:bottom w:val="nil"/>
              <w:right w:val="nil"/>
            </w:tcBorders>
            <w:shd w:val="clear" w:color="auto" w:fill="auto"/>
            <w:noWrap/>
            <w:vAlign w:val="bottom"/>
          </w:tcPr>
          <w:p w14:paraId="51113DAA" w14:textId="77777777" w:rsidR="007F1CD5" w:rsidRPr="007F1CD5" w:rsidRDefault="007F1CD5" w:rsidP="00621757">
            <w:pPr>
              <w:spacing w:line="240" w:lineRule="auto"/>
              <w:rPr>
                <w:rFonts w:asciiTheme="minorHAnsi" w:eastAsia="Calibri" w:hAnsiTheme="minorHAnsi" w:cstheme="minorHAnsi"/>
                <w:sz w:val="22"/>
                <w:szCs w:val="22"/>
                <w:lang w:val="en-US" w:eastAsia="en-US"/>
              </w:rPr>
            </w:pPr>
          </w:p>
        </w:tc>
        <w:tc>
          <w:tcPr>
            <w:tcW w:w="565" w:type="pct"/>
            <w:gridSpan w:val="2"/>
            <w:tcBorders>
              <w:top w:val="nil"/>
              <w:left w:val="nil"/>
              <w:bottom w:val="nil"/>
              <w:right w:val="nil"/>
            </w:tcBorders>
            <w:shd w:val="clear" w:color="auto" w:fill="auto"/>
            <w:noWrap/>
            <w:vAlign w:val="bottom"/>
          </w:tcPr>
          <w:p w14:paraId="1D777C99" w14:textId="77777777" w:rsidR="007F1CD5" w:rsidRPr="007F1CD5" w:rsidRDefault="007F1CD5" w:rsidP="00621757">
            <w:pPr>
              <w:spacing w:line="240" w:lineRule="auto"/>
              <w:rPr>
                <w:rFonts w:asciiTheme="minorHAnsi" w:eastAsia="Calibri" w:hAnsiTheme="minorHAnsi" w:cstheme="minorHAnsi"/>
                <w:sz w:val="22"/>
                <w:szCs w:val="22"/>
                <w:lang w:val="en-US" w:eastAsia="en-US"/>
              </w:rPr>
            </w:pPr>
          </w:p>
        </w:tc>
        <w:tc>
          <w:tcPr>
            <w:tcW w:w="562" w:type="pct"/>
            <w:gridSpan w:val="2"/>
            <w:tcBorders>
              <w:top w:val="nil"/>
              <w:left w:val="nil"/>
              <w:bottom w:val="nil"/>
              <w:right w:val="nil"/>
            </w:tcBorders>
            <w:shd w:val="clear" w:color="auto" w:fill="auto"/>
            <w:noWrap/>
            <w:vAlign w:val="bottom"/>
          </w:tcPr>
          <w:p w14:paraId="0BF3CB42" w14:textId="77777777" w:rsidR="007F1CD5" w:rsidRPr="007F1CD5" w:rsidRDefault="007F1CD5" w:rsidP="00621757">
            <w:pPr>
              <w:spacing w:line="240" w:lineRule="auto"/>
              <w:rPr>
                <w:rFonts w:asciiTheme="minorHAnsi" w:eastAsia="Calibri" w:hAnsiTheme="minorHAnsi" w:cstheme="minorHAnsi"/>
                <w:sz w:val="22"/>
                <w:szCs w:val="22"/>
                <w:lang w:val="en-US" w:eastAsia="en-US"/>
              </w:rPr>
            </w:pPr>
          </w:p>
        </w:tc>
        <w:tc>
          <w:tcPr>
            <w:tcW w:w="741" w:type="pct"/>
            <w:gridSpan w:val="2"/>
            <w:tcBorders>
              <w:top w:val="nil"/>
              <w:left w:val="nil"/>
              <w:bottom w:val="nil"/>
              <w:right w:val="nil"/>
            </w:tcBorders>
            <w:shd w:val="clear" w:color="auto" w:fill="auto"/>
            <w:noWrap/>
            <w:vAlign w:val="bottom"/>
          </w:tcPr>
          <w:p w14:paraId="22C95601" w14:textId="77777777" w:rsidR="007F1CD5" w:rsidRPr="007F1CD5" w:rsidRDefault="007F1CD5" w:rsidP="00621757">
            <w:pPr>
              <w:spacing w:line="240" w:lineRule="auto"/>
              <w:rPr>
                <w:rFonts w:asciiTheme="minorHAnsi" w:eastAsia="Calibri" w:hAnsiTheme="minorHAnsi" w:cstheme="minorHAnsi"/>
                <w:sz w:val="22"/>
                <w:szCs w:val="22"/>
                <w:lang w:val="en-US" w:eastAsia="en-US"/>
              </w:rPr>
            </w:pPr>
          </w:p>
        </w:tc>
        <w:tc>
          <w:tcPr>
            <w:tcW w:w="131" w:type="pct"/>
            <w:tcBorders>
              <w:top w:val="nil"/>
              <w:left w:val="nil"/>
              <w:bottom w:val="nil"/>
              <w:right w:val="nil"/>
            </w:tcBorders>
            <w:shd w:val="clear" w:color="auto" w:fill="auto"/>
            <w:noWrap/>
            <w:vAlign w:val="bottom"/>
          </w:tcPr>
          <w:p w14:paraId="20F53297" w14:textId="77777777" w:rsidR="007F1CD5" w:rsidRPr="007F1CD5" w:rsidRDefault="007F1CD5" w:rsidP="00621757">
            <w:pPr>
              <w:spacing w:line="240" w:lineRule="auto"/>
              <w:rPr>
                <w:rFonts w:asciiTheme="minorHAnsi" w:eastAsia="Calibri" w:hAnsiTheme="minorHAnsi" w:cstheme="minorHAnsi"/>
                <w:sz w:val="22"/>
                <w:szCs w:val="22"/>
                <w:lang w:val="en-US" w:eastAsia="en-US"/>
              </w:rPr>
            </w:pPr>
          </w:p>
        </w:tc>
      </w:tr>
      <w:tr w:rsidR="007F1CD5" w:rsidRPr="007F1CD5" w14:paraId="476293E4" w14:textId="77777777" w:rsidTr="007F1CD5">
        <w:trPr>
          <w:trHeight w:val="300"/>
        </w:trPr>
        <w:tc>
          <w:tcPr>
            <w:tcW w:w="1071" w:type="pct"/>
            <w:tcBorders>
              <w:top w:val="nil"/>
              <w:left w:val="nil"/>
              <w:bottom w:val="nil"/>
              <w:right w:val="nil"/>
            </w:tcBorders>
            <w:shd w:val="clear" w:color="auto" w:fill="auto"/>
            <w:noWrap/>
            <w:vAlign w:val="center"/>
            <w:hideMark/>
          </w:tcPr>
          <w:p w14:paraId="6D78AAA6" w14:textId="06AA1693"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Theme="minorHAnsi" w:eastAsia="Calibri" w:hAnsiTheme="minorHAnsi" w:cstheme="minorHAnsi"/>
                <w:sz w:val="22"/>
                <w:szCs w:val="22"/>
                <w:lang w:val="en-US" w:eastAsia="en-US"/>
              </w:rPr>
              <w:t>Basic Materials</w:t>
            </w:r>
          </w:p>
        </w:tc>
        <w:tc>
          <w:tcPr>
            <w:tcW w:w="697" w:type="pct"/>
            <w:tcBorders>
              <w:top w:val="nil"/>
              <w:left w:val="nil"/>
              <w:bottom w:val="nil"/>
              <w:right w:val="nil"/>
            </w:tcBorders>
            <w:shd w:val="clear" w:color="auto" w:fill="auto"/>
            <w:noWrap/>
            <w:vAlign w:val="center"/>
            <w:hideMark/>
          </w:tcPr>
          <w:p w14:paraId="49378356" w14:textId="16B7ECEE"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0.2111</w:t>
            </w:r>
          </w:p>
        </w:tc>
        <w:tc>
          <w:tcPr>
            <w:tcW w:w="641" w:type="pct"/>
            <w:gridSpan w:val="2"/>
            <w:tcBorders>
              <w:top w:val="nil"/>
              <w:left w:val="nil"/>
              <w:bottom w:val="nil"/>
              <w:right w:val="nil"/>
            </w:tcBorders>
            <w:shd w:val="clear" w:color="auto" w:fill="auto"/>
            <w:noWrap/>
            <w:vAlign w:val="center"/>
            <w:hideMark/>
          </w:tcPr>
          <w:p w14:paraId="71B65CC5" w14:textId="619E8B08"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-0.3275</w:t>
            </w:r>
          </w:p>
        </w:tc>
        <w:tc>
          <w:tcPr>
            <w:tcW w:w="642" w:type="pct"/>
            <w:gridSpan w:val="2"/>
            <w:tcBorders>
              <w:top w:val="nil"/>
              <w:left w:val="nil"/>
              <w:bottom w:val="nil"/>
              <w:right w:val="nil"/>
            </w:tcBorders>
            <w:shd w:val="clear" w:color="auto" w:fill="auto"/>
            <w:noWrap/>
            <w:vAlign w:val="center"/>
            <w:hideMark/>
          </w:tcPr>
          <w:p w14:paraId="7C11EC4C" w14:textId="70955CF9"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-0.0473</w:t>
            </w:r>
          </w:p>
        </w:tc>
        <w:tc>
          <w:tcPr>
            <w:tcW w:w="636" w:type="pct"/>
            <w:gridSpan w:val="2"/>
            <w:tcBorders>
              <w:top w:val="nil"/>
              <w:left w:val="nil"/>
              <w:bottom w:val="nil"/>
              <w:right w:val="nil"/>
            </w:tcBorders>
            <w:shd w:val="clear" w:color="auto" w:fill="auto"/>
            <w:noWrap/>
            <w:vAlign w:val="center"/>
            <w:hideMark/>
          </w:tcPr>
          <w:p w14:paraId="56A30DD4" w14:textId="3FF1EE6C"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2.7737</w:t>
            </w:r>
          </w:p>
        </w:tc>
        <w:tc>
          <w:tcPr>
            <w:tcW w:w="737" w:type="pct"/>
            <w:gridSpan w:val="2"/>
            <w:tcBorders>
              <w:top w:val="nil"/>
              <w:left w:val="nil"/>
              <w:bottom w:val="nil"/>
              <w:right w:val="nil"/>
            </w:tcBorders>
            <w:shd w:val="clear" w:color="auto" w:fill="auto"/>
            <w:noWrap/>
            <w:vAlign w:val="center"/>
            <w:hideMark/>
          </w:tcPr>
          <w:p w14:paraId="48565F59" w14:textId="29C0D4E0"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3.2159</w:t>
            </w:r>
          </w:p>
        </w:tc>
        <w:tc>
          <w:tcPr>
            <w:tcW w:w="576" w:type="pct"/>
            <w:gridSpan w:val="2"/>
            <w:tcBorders>
              <w:top w:val="nil"/>
              <w:left w:val="nil"/>
              <w:bottom w:val="nil"/>
              <w:right w:val="nil"/>
            </w:tcBorders>
            <w:shd w:val="clear" w:color="auto" w:fill="auto"/>
            <w:noWrap/>
            <w:vAlign w:val="center"/>
            <w:hideMark/>
          </w:tcPr>
          <w:p w14:paraId="3494B14D" w14:textId="2CB365B3"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63.57%</w:t>
            </w:r>
          </w:p>
        </w:tc>
      </w:tr>
      <w:tr w:rsidR="007F1CD5" w:rsidRPr="007F1CD5" w14:paraId="11CAA804" w14:textId="77777777" w:rsidTr="007F1CD5">
        <w:trPr>
          <w:trHeight w:val="300"/>
        </w:trPr>
        <w:tc>
          <w:tcPr>
            <w:tcW w:w="1071" w:type="pct"/>
            <w:tcBorders>
              <w:top w:val="nil"/>
              <w:left w:val="nil"/>
              <w:bottom w:val="nil"/>
              <w:right w:val="nil"/>
            </w:tcBorders>
            <w:shd w:val="clear" w:color="auto" w:fill="auto"/>
            <w:noWrap/>
            <w:vAlign w:val="center"/>
            <w:hideMark/>
          </w:tcPr>
          <w:p w14:paraId="2BD05F28"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p>
        </w:tc>
        <w:tc>
          <w:tcPr>
            <w:tcW w:w="697" w:type="pct"/>
            <w:tcBorders>
              <w:top w:val="nil"/>
              <w:left w:val="nil"/>
              <w:bottom w:val="nil"/>
              <w:right w:val="nil"/>
            </w:tcBorders>
            <w:shd w:val="clear" w:color="auto" w:fill="auto"/>
            <w:noWrap/>
            <w:vAlign w:val="center"/>
            <w:hideMark/>
          </w:tcPr>
          <w:p w14:paraId="73DF4663" w14:textId="1D387E81" w:rsidR="007F1CD5" w:rsidRPr="007F1CD5" w:rsidRDefault="003751C2"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hideMark/>
          </w:tcPr>
          <w:p w14:paraId="579C4165" w14:textId="62B1CA38" w:rsidR="007F1CD5" w:rsidRPr="007F1CD5" w:rsidRDefault="003751C2"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hideMark/>
          </w:tcPr>
          <w:p w14:paraId="20859C3B" w14:textId="11DDD88A" w:rsidR="007F1CD5" w:rsidRPr="007F1CD5" w:rsidRDefault="003751C2"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hideMark/>
          </w:tcPr>
          <w:p w14:paraId="40C7436C" w14:textId="61CCCD4A" w:rsidR="007F1CD5" w:rsidRPr="007F1CD5" w:rsidRDefault="003751C2"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hideMark/>
          </w:tcPr>
          <w:p w14:paraId="377264B8" w14:textId="75F8F251" w:rsidR="007F1CD5" w:rsidRPr="007F1CD5" w:rsidRDefault="003751C2"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hideMark/>
          </w:tcPr>
          <w:p w14:paraId="3A8EC28E"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p>
        </w:tc>
      </w:tr>
      <w:tr w:rsidR="007F1CD5" w:rsidRPr="007F1CD5" w14:paraId="4A7929E1" w14:textId="77777777" w:rsidTr="007F1CD5">
        <w:trPr>
          <w:trHeight w:val="300"/>
        </w:trPr>
        <w:tc>
          <w:tcPr>
            <w:tcW w:w="1071" w:type="pct"/>
            <w:tcBorders>
              <w:top w:val="nil"/>
              <w:left w:val="nil"/>
              <w:bottom w:val="nil"/>
              <w:right w:val="nil"/>
            </w:tcBorders>
            <w:shd w:val="clear" w:color="auto" w:fill="auto"/>
            <w:noWrap/>
            <w:vAlign w:val="center"/>
            <w:hideMark/>
          </w:tcPr>
          <w:p w14:paraId="269C608B"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Theme="minorHAnsi" w:eastAsia="Calibri" w:hAnsiTheme="minorHAnsi" w:cstheme="minorHAnsi"/>
                <w:sz w:val="22"/>
                <w:szCs w:val="22"/>
                <w:lang w:val="en-US"/>
              </w:rPr>
              <w:t>Consumer Staples</w:t>
            </w:r>
          </w:p>
        </w:tc>
        <w:tc>
          <w:tcPr>
            <w:tcW w:w="697" w:type="pct"/>
            <w:tcBorders>
              <w:top w:val="nil"/>
              <w:left w:val="nil"/>
              <w:bottom w:val="nil"/>
              <w:right w:val="nil"/>
            </w:tcBorders>
            <w:shd w:val="clear" w:color="auto" w:fill="auto"/>
            <w:noWrap/>
            <w:vAlign w:val="center"/>
            <w:hideMark/>
          </w:tcPr>
          <w:p w14:paraId="58308C16" w14:textId="7F7D3952"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0.0115</w:t>
            </w:r>
          </w:p>
        </w:tc>
        <w:tc>
          <w:tcPr>
            <w:tcW w:w="641" w:type="pct"/>
            <w:gridSpan w:val="2"/>
            <w:tcBorders>
              <w:top w:val="nil"/>
              <w:left w:val="nil"/>
              <w:bottom w:val="nil"/>
              <w:right w:val="nil"/>
            </w:tcBorders>
            <w:shd w:val="clear" w:color="auto" w:fill="auto"/>
            <w:noWrap/>
            <w:vAlign w:val="center"/>
            <w:hideMark/>
          </w:tcPr>
          <w:p w14:paraId="597B0ECB" w14:textId="47AAA781"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0.0271</w:t>
            </w:r>
          </w:p>
        </w:tc>
        <w:tc>
          <w:tcPr>
            <w:tcW w:w="642" w:type="pct"/>
            <w:gridSpan w:val="2"/>
            <w:tcBorders>
              <w:top w:val="nil"/>
              <w:left w:val="nil"/>
              <w:bottom w:val="nil"/>
              <w:right w:val="nil"/>
            </w:tcBorders>
            <w:shd w:val="clear" w:color="auto" w:fill="auto"/>
            <w:noWrap/>
            <w:vAlign w:val="center"/>
            <w:hideMark/>
          </w:tcPr>
          <w:p w14:paraId="60F363AD" w14:textId="16766845"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0.0051</w:t>
            </w:r>
          </w:p>
        </w:tc>
        <w:tc>
          <w:tcPr>
            <w:tcW w:w="636" w:type="pct"/>
            <w:gridSpan w:val="2"/>
            <w:tcBorders>
              <w:top w:val="nil"/>
              <w:left w:val="nil"/>
              <w:bottom w:val="nil"/>
              <w:right w:val="nil"/>
            </w:tcBorders>
            <w:shd w:val="clear" w:color="auto" w:fill="auto"/>
            <w:noWrap/>
            <w:vAlign w:val="center"/>
            <w:hideMark/>
          </w:tcPr>
          <w:p w14:paraId="7443CD32" w14:textId="03F56D96"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5.5078</w:t>
            </w:r>
          </w:p>
        </w:tc>
        <w:tc>
          <w:tcPr>
            <w:tcW w:w="737" w:type="pct"/>
            <w:gridSpan w:val="2"/>
            <w:tcBorders>
              <w:top w:val="nil"/>
              <w:left w:val="nil"/>
              <w:bottom w:val="nil"/>
              <w:right w:val="nil"/>
            </w:tcBorders>
            <w:shd w:val="clear" w:color="auto" w:fill="auto"/>
            <w:noWrap/>
            <w:vAlign w:val="center"/>
            <w:hideMark/>
          </w:tcPr>
          <w:p w14:paraId="6823DFD6" w14:textId="4EE7345F"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21.2684</w:t>
            </w:r>
          </w:p>
        </w:tc>
        <w:tc>
          <w:tcPr>
            <w:tcW w:w="576" w:type="pct"/>
            <w:gridSpan w:val="2"/>
            <w:tcBorders>
              <w:top w:val="nil"/>
              <w:left w:val="nil"/>
              <w:bottom w:val="nil"/>
              <w:right w:val="nil"/>
            </w:tcBorders>
            <w:shd w:val="clear" w:color="auto" w:fill="auto"/>
            <w:noWrap/>
            <w:vAlign w:val="center"/>
            <w:hideMark/>
          </w:tcPr>
          <w:p w14:paraId="434F0B81" w14:textId="68F62DD1"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26.77%</w:t>
            </w:r>
          </w:p>
        </w:tc>
      </w:tr>
      <w:tr w:rsidR="007F1CD5" w:rsidRPr="007F1CD5" w14:paraId="5E837275" w14:textId="77777777" w:rsidTr="007F1CD5">
        <w:trPr>
          <w:trHeight w:val="300"/>
        </w:trPr>
        <w:tc>
          <w:tcPr>
            <w:tcW w:w="1071" w:type="pct"/>
            <w:tcBorders>
              <w:top w:val="nil"/>
              <w:left w:val="nil"/>
              <w:bottom w:val="nil"/>
              <w:right w:val="nil"/>
            </w:tcBorders>
            <w:shd w:val="clear" w:color="auto" w:fill="auto"/>
            <w:noWrap/>
            <w:vAlign w:val="center"/>
            <w:hideMark/>
          </w:tcPr>
          <w:p w14:paraId="25488AA9"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p>
        </w:tc>
        <w:tc>
          <w:tcPr>
            <w:tcW w:w="697" w:type="pct"/>
            <w:tcBorders>
              <w:top w:val="nil"/>
              <w:left w:val="nil"/>
              <w:bottom w:val="nil"/>
              <w:right w:val="nil"/>
            </w:tcBorders>
            <w:shd w:val="clear" w:color="auto" w:fill="auto"/>
            <w:noWrap/>
            <w:vAlign w:val="center"/>
            <w:hideMark/>
          </w:tcPr>
          <w:p w14:paraId="6AFC3AC7" w14:textId="26C3F4CF" w:rsidR="007F1CD5" w:rsidRPr="007F1CD5" w:rsidRDefault="003751C2"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hideMark/>
          </w:tcPr>
          <w:p w14:paraId="6967C5C6" w14:textId="1F0682A2" w:rsidR="007F1CD5" w:rsidRPr="007F1CD5" w:rsidRDefault="003751C2"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hideMark/>
          </w:tcPr>
          <w:p w14:paraId="4D1B22E8" w14:textId="222324FD" w:rsidR="007F1CD5" w:rsidRPr="007F1CD5" w:rsidRDefault="003751C2"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0.6566</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hideMark/>
          </w:tcPr>
          <w:p w14:paraId="2517004A" w14:textId="2D867D8F"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hideMark/>
          </w:tcPr>
          <w:p w14:paraId="7E72E0D5" w14:textId="54303EEC"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hideMark/>
          </w:tcPr>
          <w:p w14:paraId="1828564C"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p>
        </w:tc>
      </w:tr>
      <w:tr w:rsidR="007F1CD5" w:rsidRPr="007F1CD5" w14:paraId="03B9FAEB" w14:textId="77777777" w:rsidTr="007F1CD5">
        <w:trPr>
          <w:trHeight w:val="300"/>
        </w:trPr>
        <w:tc>
          <w:tcPr>
            <w:tcW w:w="1071" w:type="pct"/>
            <w:tcBorders>
              <w:top w:val="nil"/>
              <w:left w:val="nil"/>
              <w:bottom w:val="nil"/>
              <w:right w:val="nil"/>
            </w:tcBorders>
            <w:shd w:val="clear" w:color="auto" w:fill="auto"/>
            <w:noWrap/>
            <w:vAlign w:val="center"/>
            <w:hideMark/>
          </w:tcPr>
          <w:p w14:paraId="73CACBF7"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Theme="minorHAnsi" w:eastAsia="Calibri" w:hAnsiTheme="minorHAnsi" w:cstheme="minorHAnsi"/>
                <w:sz w:val="22"/>
                <w:szCs w:val="22"/>
                <w:lang w:val="en-US"/>
              </w:rPr>
              <w:t>Energy</w:t>
            </w:r>
          </w:p>
        </w:tc>
        <w:tc>
          <w:tcPr>
            <w:tcW w:w="697" w:type="pct"/>
            <w:tcBorders>
              <w:top w:val="nil"/>
              <w:left w:val="nil"/>
              <w:bottom w:val="nil"/>
              <w:right w:val="nil"/>
            </w:tcBorders>
            <w:shd w:val="clear" w:color="auto" w:fill="auto"/>
            <w:noWrap/>
            <w:vAlign w:val="center"/>
            <w:hideMark/>
          </w:tcPr>
          <w:p w14:paraId="45FFBE4A" w14:textId="56B33EBA"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0.0139</w:t>
            </w:r>
          </w:p>
        </w:tc>
        <w:tc>
          <w:tcPr>
            <w:tcW w:w="641" w:type="pct"/>
            <w:gridSpan w:val="2"/>
            <w:tcBorders>
              <w:top w:val="nil"/>
              <w:left w:val="nil"/>
              <w:bottom w:val="nil"/>
              <w:right w:val="nil"/>
            </w:tcBorders>
            <w:shd w:val="clear" w:color="auto" w:fill="auto"/>
            <w:noWrap/>
            <w:vAlign w:val="center"/>
            <w:hideMark/>
          </w:tcPr>
          <w:p w14:paraId="7F33E496" w14:textId="30E78DE6"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0.0116</w:t>
            </w:r>
          </w:p>
        </w:tc>
        <w:tc>
          <w:tcPr>
            <w:tcW w:w="642" w:type="pct"/>
            <w:gridSpan w:val="2"/>
            <w:tcBorders>
              <w:top w:val="nil"/>
              <w:left w:val="nil"/>
              <w:bottom w:val="nil"/>
              <w:right w:val="nil"/>
            </w:tcBorders>
            <w:shd w:val="clear" w:color="auto" w:fill="auto"/>
            <w:noWrap/>
            <w:vAlign w:val="center"/>
            <w:hideMark/>
          </w:tcPr>
          <w:p w14:paraId="04D5482E" w14:textId="0D221767"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-0.0036</w:t>
            </w:r>
          </w:p>
        </w:tc>
        <w:tc>
          <w:tcPr>
            <w:tcW w:w="636" w:type="pct"/>
            <w:gridSpan w:val="2"/>
            <w:tcBorders>
              <w:top w:val="nil"/>
              <w:left w:val="nil"/>
              <w:bottom w:val="nil"/>
              <w:right w:val="nil"/>
            </w:tcBorders>
            <w:shd w:val="clear" w:color="auto" w:fill="auto"/>
            <w:noWrap/>
            <w:vAlign w:val="center"/>
            <w:hideMark/>
          </w:tcPr>
          <w:p w14:paraId="053EBF97" w14:textId="445255F3"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2.9973</w:t>
            </w:r>
          </w:p>
        </w:tc>
        <w:tc>
          <w:tcPr>
            <w:tcW w:w="737" w:type="pct"/>
            <w:gridSpan w:val="2"/>
            <w:tcBorders>
              <w:top w:val="nil"/>
              <w:left w:val="nil"/>
              <w:bottom w:val="nil"/>
              <w:right w:val="nil"/>
            </w:tcBorders>
            <w:shd w:val="clear" w:color="auto" w:fill="auto"/>
            <w:noWrap/>
            <w:vAlign w:val="center"/>
            <w:hideMark/>
          </w:tcPr>
          <w:p w14:paraId="5348C425" w14:textId="26912942"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8.0262</w:t>
            </w:r>
          </w:p>
        </w:tc>
        <w:tc>
          <w:tcPr>
            <w:tcW w:w="576" w:type="pct"/>
            <w:gridSpan w:val="2"/>
            <w:tcBorders>
              <w:top w:val="nil"/>
              <w:left w:val="nil"/>
              <w:bottom w:val="nil"/>
              <w:right w:val="nil"/>
            </w:tcBorders>
            <w:shd w:val="clear" w:color="auto" w:fill="auto"/>
            <w:noWrap/>
            <w:vAlign w:val="center"/>
            <w:hideMark/>
          </w:tcPr>
          <w:p w14:paraId="29999370" w14:textId="5B8A4B4E"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32.42%</w:t>
            </w:r>
          </w:p>
        </w:tc>
      </w:tr>
      <w:tr w:rsidR="007F1CD5" w:rsidRPr="007F1CD5" w14:paraId="58409FD3" w14:textId="77777777" w:rsidTr="007F1CD5">
        <w:trPr>
          <w:trHeight w:val="300"/>
        </w:trPr>
        <w:tc>
          <w:tcPr>
            <w:tcW w:w="1071" w:type="pct"/>
            <w:tcBorders>
              <w:top w:val="nil"/>
              <w:left w:val="nil"/>
              <w:bottom w:val="nil"/>
              <w:right w:val="nil"/>
            </w:tcBorders>
            <w:shd w:val="clear" w:color="auto" w:fill="auto"/>
            <w:noWrap/>
            <w:vAlign w:val="center"/>
            <w:hideMark/>
          </w:tcPr>
          <w:p w14:paraId="10DBCAF0"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p>
        </w:tc>
        <w:tc>
          <w:tcPr>
            <w:tcW w:w="697" w:type="pct"/>
            <w:tcBorders>
              <w:top w:val="nil"/>
              <w:left w:val="nil"/>
              <w:bottom w:val="nil"/>
              <w:right w:val="nil"/>
            </w:tcBorders>
            <w:shd w:val="clear" w:color="auto" w:fill="auto"/>
            <w:noWrap/>
            <w:vAlign w:val="center"/>
            <w:hideMark/>
          </w:tcPr>
          <w:p w14:paraId="5B050A30" w14:textId="1FBC27F4"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hideMark/>
          </w:tcPr>
          <w:p w14:paraId="6B64CBB2" w14:textId="3A3E106E"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0.0234</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hideMark/>
          </w:tcPr>
          <w:p w14:paraId="14E759F6" w14:textId="4C803532"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0.7183</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hideMark/>
          </w:tcPr>
          <w:p w14:paraId="0A72F43C" w14:textId="399089EF"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hideMark/>
          </w:tcPr>
          <w:p w14:paraId="7710484F" w14:textId="5052453A"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hideMark/>
          </w:tcPr>
          <w:p w14:paraId="46B2E67A"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p>
        </w:tc>
      </w:tr>
      <w:tr w:rsidR="007F1CD5" w:rsidRPr="007F1CD5" w14:paraId="7B3AB264" w14:textId="77777777" w:rsidTr="007F1CD5">
        <w:trPr>
          <w:trHeight w:val="300"/>
        </w:trPr>
        <w:tc>
          <w:tcPr>
            <w:tcW w:w="1071" w:type="pct"/>
            <w:tcBorders>
              <w:top w:val="nil"/>
              <w:left w:val="nil"/>
              <w:bottom w:val="nil"/>
              <w:right w:val="nil"/>
            </w:tcBorders>
            <w:shd w:val="clear" w:color="auto" w:fill="auto"/>
            <w:noWrap/>
            <w:vAlign w:val="center"/>
          </w:tcPr>
          <w:p w14:paraId="424042C2"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Theme="minorHAnsi" w:eastAsia="Calibri" w:hAnsiTheme="minorHAnsi" w:cstheme="minorHAnsi"/>
                <w:sz w:val="22"/>
                <w:szCs w:val="22"/>
                <w:lang w:val="en-US"/>
              </w:rPr>
              <w:t>Financials</w:t>
            </w:r>
          </w:p>
        </w:tc>
        <w:tc>
          <w:tcPr>
            <w:tcW w:w="697" w:type="pct"/>
            <w:tcBorders>
              <w:top w:val="nil"/>
              <w:left w:val="nil"/>
              <w:bottom w:val="nil"/>
              <w:right w:val="nil"/>
            </w:tcBorders>
            <w:shd w:val="clear" w:color="auto" w:fill="auto"/>
            <w:noWrap/>
            <w:vAlign w:val="center"/>
          </w:tcPr>
          <w:p w14:paraId="364DF5E7" w14:textId="53F5DEBD"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0.9537</w:t>
            </w:r>
          </w:p>
        </w:tc>
        <w:tc>
          <w:tcPr>
            <w:tcW w:w="641" w:type="pct"/>
            <w:gridSpan w:val="2"/>
            <w:tcBorders>
              <w:top w:val="nil"/>
              <w:left w:val="nil"/>
              <w:bottom w:val="nil"/>
              <w:right w:val="nil"/>
            </w:tcBorders>
            <w:shd w:val="clear" w:color="auto" w:fill="auto"/>
            <w:noWrap/>
            <w:vAlign w:val="center"/>
          </w:tcPr>
          <w:p w14:paraId="67DF6832" w14:textId="27BF537C"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-0.0109</w:t>
            </w:r>
          </w:p>
        </w:tc>
        <w:tc>
          <w:tcPr>
            <w:tcW w:w="642" w:type="pct"/>
            <w:gridSpan w:val="2"/>
            <w:tcBorders>
              <w:top w:val="nil"/>
              <w:left w:val="nil"/>
              <w:bottom w:val="nil"/>
              <w:right w:val="nil"/>
            </w:tcBorders>
            <w:shd w:val="clear" w:color="auto" w:fill="auto"/>
            <w:noWrap/>
            <w:vAlign w:val="center"/>
          </w:tcPr>
          <w:p w14:paraId="00AD38BC" w14:textId="00D4C981"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0.0101</w:t>
            </w:r>
          </w:p>
        </w:tc>
        <w:tc>
          <w:tcPr>
            <w:tcW w:w="636" w:type="pct"/>
            <w:gridSpan w:val="2"/>
            <w:tcBorders>
              <w:top w:val="nil"/>
              <w:left w:val="nil"/>
              <w:bottom w:val="nil"/>
              <w:right w:val="nil"/>
            </w:tcBorders>
            <w:shd w:val="clear" w:color="auto" w:fill="auto"/>
            <w:noWrap/>
            <w:vAlign w:val="center"/>
          </w:tcPr>
          <w:p w14:paraId="10662D5C" w14:textId="6EC8043D"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-0.0034</w:t>
            </w:r>
          </w:p>
        </w:tc>
        <w:tc>
          <w:tcPr>
            <w:tcW w:w="737" w:type="pct"/>
            <w:gridSpan w:val="2"/>
            <w:tcBorders>
              <w:top w:val="nil"/>
              <w:left w:val="nil"/>
              <w:bottom w:val="nil"/>
              <w:right w:val="nil"/>
            </w:tcBorders>
            <w:shd w:val="clear" w:color="auto" w:fill="auto"/>
            <w:noWrap/>
            <w:vAlign w:val="center"/>
          </w:tcPr>
          <w:p w14:paraId="3AE6EA94" w14:textId="5D4EFB9A"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0.1226</w:t>
            </w:r>
          </w:p>
        </w:tc>
        <w:tc>
          <w:tcPr>
            <w:tcW w:w="576" w:type="pct"/>
            <w:gridSpan w:val="2"/>
            <w:tcBorders>
              <w:top w:val="nil"/>
              <w:left w:val="nil"/>
              <w:bottom w:val="nil"/>
              <w:right w:val="nil"/>
            </w:tcBorders>
            <w:shd w:val="clear" w:color="auto" w:fill="auto"/>
            <w:noWrap/>
            <w:vAlign w:val="center"/>
          </w:tcPr>
          <w:p w14:paraId="47C21209" w14:textId="23144411"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0.76%</w:t>
            </w:r>
          </w:p>
        </w:tc>
      </w:tr>
      <w:tr w:rsidR="007F1CD5" w:rsidRPr="007F1CD5" w14:paraId="1005B50B" w14:textId="77777777" w:rsidTr="007F1CD5">
        <w:trPr>
          <w:trHeight w:val="300"/>
        </w:trPr>
        <w:tc>
          <w:tcPr>
            <w:tcW w:w="1071" w:type="pct"/>
            <w:tcBorders>
              <w:top w:val="nil"/>
              <w:left w:val="nil"/>
              <w:bottom w:val="nil"/>
              <w:right w:val="nil"/>
            </w:tcBorders>
            <w:shd w:val="clear" w:color="auto" w:fill="auto"/>
            <w:noWrap/>
            <w:vAlign w:val="center"/>
          </w:tcPr>
          <w:p w14:paraId="15DA9F57"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p>
        </w:tc>
        <w:tc>
          <w:tcPr>
            <w:tcW w:w="697" w:type="pct"/>
            <w:tcBorders>
              <w:top w:val="nil"/>
              <w:left w:val="nil"/>
              <w:bottom w:val="nil"/>
              <w:right w:val="nil"/>
            </w:tcBorders>
            <w:shd w:val="clear" w:color="auto" w:fill="auto"/>
            <w:noWrap/>
            <w:vAlign w:val="center"/>
          </w:tcPr>
          <w:p w14:paraId="7F1F8D91" w14:textId="6E49FCD4"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tcPr>
          <w:p w14:paraId="7886E005" w14:textId="5A8025AD"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0.0308</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tcPr>
          <w:p w14:paraId="694D12D4" w14:textId="0063B789"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0.3328</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tcPr>
          <w:p w14:paraId="4CD84853" w14:textId="18B00DA3"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0.3298</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tcPr>
          <w:p w14:paraId="205B74EA" w14:textId="09202E03"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tcPr>
          <w:p w14:paraId="6FA109E6"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p>
        </w:tc>
      </w:tr>
      <w:tr w:rsidR="007F1CD5" w:rsidRPr="007F1CD5" w14:paraId="2C6E2D8E" w14:textId="77777777" w:rsidTr="007F1CD5">
        <w:trPr>
          <w:trHeight w:val="300"/>
        </w:trPr>
        <w:tc>
          <w:tcPr>
            <w:tcW w:w="1071" w:type="pct"/>
            <w:tcBorders>
              <w:top w:val="nil"/>
              <w:left w:val="nil"/>
              <w:bottom w:val="nil"/>
              <w:right w:val="nil"/>
            </w:tcBorders>
            <w:shd w:val="clear" w:color="auto" w:fill="auto"/>
            <w:noWrap/>
            <w:vAlign w:val="center"/>
            <w:hideMark/>
          </w:tcPr>
          <w:p w14:paraId="45FF1D78"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Theme="minorHAnsi" w:eastAsia="Calibri" w:hAnsiTheme="minorHAnsi" w:cstheme="minorHAnsi"/>
                <w:sz w:val="22"/>
                <w:szCs w:val="22"/>
                <w:lang w:val="en-US" w:eastAsia="en-US"/>
              </w:rPr>
              <w:t>Health Care</w:t>
            </w:r>
          </w:p>
        </w:tc>
        <w:tc>
          <w:tcPr>
            <w:tcW w:w="697" w:type="pct"/>
            <w:tcBorders>
              <w:top w:val="nil"/>
              <w:left w:val="nil"/>
              <w:bottom w:val="nil"/>
              <w:right w:val="nil"/>
            </w:tcBorders>
            <w:shd w:val="clear" w:color="auto" w:fill="auto"/>
            <w:noWrap/>
            <w:vAlign w:val="center"/>
            <w:hideMark/>
          </w:tcPr>
          <w:p w14:paraId="671A6074" w14:textId="3667E5F7"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1.5858</w:t>
            </w:r>
          </w:p>
        </w:tc>
        <w:tc>
          <w:tcPr>
            <w:tcW w:w="641" w:type="pct"/>
            <w:gridSpan w:val="2"/>
            <w:tcBorders>
              <w:top w:val="nil"/>
              <w:left w:val="nil"/>
              <w:bottom w:val="nil"/>
              <w:right w:val="nil"/>
            </w:tcBorders>
            <w:shd w:val="clear" w:color="auto" w:fill="auto"/>
            <w:noWrap/>
            <w:vAlign w:val="center"/>
            <w:hideMark/>
          </w:tcPr>
          <w:p w14:paraId="79F33680" w14:textId="29362E46"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-0.0832</w:t>
            </w:r>
          </w:p>
        </w:tc>
        <w:tc>
          <w:tcPr>
            <w:tcW w:w="642" w:type="pct"/>
            <w:gridSpan w:val="2"/>
            <w:tcBorders>
              <w:top w:val="nil"/>
              <w:left w:val="nil"/>
              <w:bottom w:val="nil"/>
              <w:right w:val="nil"/>
            </w:tcBorders>
            <w:shd w:val="clear" w:color="auto" w:fill="auto"/>
            <w:noWrap/>
            <w:vAlign w:val="center"/>
            <w:hideMark/>
          </w:tcPr>
          <w:p w14:paraId="027ED014" w14:textId="14BA1BBC"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0.0794</w:t>
            </w:r>
          </w:p>
        </w:tc>
        <w:tc>
          <w:tcPr>
            <w:tcW w:w="636" w:type="pct"/>
            <w:gridSpan w:val="2"/>
            <w:tcBorders>
              <w:top w:val="nil"/>
              <w:left w:val="nil"/>
              <w:bottom w:val="nil"/>
              <w:right w:val="nil"/>
            </w:tcBorders>
            <w:shd w:val="clear" w:color="auto" w:fill="auto"/>
            <w:noWrap/>
            <w:vAlign w:val="center"/>
            <w:hideMark/>
          </w:tcPr>
          <w:p w14:paraId="5601413E" w14:textId="5E816D31"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7.7159</w:t>
            </w:r>
          </w:p>
        </w:tc>
        <w:tc>
          <w:tcPr>
            <w:tcW w:w="737" w:type="pct"/>
            <w:gridSpan w:val="2"/>
            <w:tcBorders>
              <w:top w:val="nil"/>
              <w:left w:val="nil"/>
              <w:bottom w:val="nil"/>
              <w:right w:val="nil"/>
            </w:tcBorders>
            <w:shd w:val="clear" w:color="auto" w:fill="auto"/>
            <w:noWrap/>
            <w:vAlign w:val="center"/>
            <w:hideMark/>
          </w:tcPr>
          <w:p w14:paraId="0930C74A" w14:textId="055461B1"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57.4649</w:t>
            </w:r>
          </w:p>
        </w:tc>
        <w:tc>
          <w:tcPr>
            <w:tcW w:w="576" w:type="pct"/>
            <w:gridSpan w:val="2"/>
            <w:tcBorders>
              <w:top w:val="nil"/>
              <w:left w:val="nil"/>
              <w:bottom w:val="nil"/>
              <w:right w:val="nil"/>
            </w:tcBorders>
            <w:shd w:val="clear" w:color="auto" w:fill="auto"/>
            <w:noWrap/>
            <w:vAlign w:val="center"/>
            <w:hideMark/>
          </w:tcPr>
          <w:p w14:paraId="2F5A0B3F" w14:textId="26DCC986"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0.24%</w:t>
            </w:r>
          </w:p>
        </w:tc>
      </w:tr>
      <w:tr w:rsidR="007F1CD5" w:rsidRPr="007F1CD5" w14:paraId="0B458ADB" w14:textId="77777777" w:rsidTr="007F1CD5">
        <w:trPr>
          <w:trHeight w:val="300"/>
        </w:trPr>
        <w:tc>
          <w:tcPr>
            <w:tcW w:w="1071" w:type="pct"/>
            <w:tcBorders>
              <w:top w:val="nil"/>
              <w:left w:val="nil"/>
              <w:bottom w:val="nil"/>
              <w:right w:val="nil"/>
            </w:tcBorders>
            <w:shd w:val="clear" w:color="auto" w:fill="auto"/>
            <w:noWrap/>
            <w:vAlign w:val="center"/>
            <w:hideMark/>
          </w:tcPr>
          <w:p w14:paraId="19D666DF"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p>
        </w:tc>
        <w:tc>
          <w:tcPr>
            <w:tcW w:w="697" w:type="pct"/>
            <w:tcBorders>
              <w:top w:val="nil"/>
              <w:left w:val="nil"/>
              <w:bottom w:val="nil"/>
              <w:right w:val="nil"/>
            </w:tcBorders>
            <w:shd w:val="clear" w:color="auto" w:fill="auto"/>
            <w:noWrap/>
            <w:vAlign w:val="center"/>
            <w:hideMark/>
          </w:tcPr>
          <w:p w14:paraId="51353B06" w14:textId="1FE74270"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hideMark/>
          </w:tcPr>
          <w:p w14:paraId="02262FFF" w14:textId="5D9A629D"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0.4296</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hideMark/>
          </w:tcPr>
          <w:p w14:paraId="0E0C02CF" w14:textId="78C5408A"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0.7127</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hideMark/>
          </w:tcPr>
          <w:p w14:paraId="7DD48961" w14:textId="25B15460"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0.0051</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hideMark/>
          </w:tcPr>
          <w:p w14:paraId="5DA73856" w14:textId="2B963C49"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hideMark/>
          </w:tcPr>
          <w:p w14:paraId="73291CDF"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p>
        </w:tc>
      </w:tr>
      <w:tr w:rsidR="007F1CD5" w:rsidRPr="007F1CD5" w14:paraId="59C3834B" w14:textId="77777777" w:rsidTr="007F1CD5">
        <w:trPr>
          <w:trHeight w:val="300"/>
        </w:trPr>
        <w:tc>
          <w:tcPr>
            <w:tcW w:w="1071" w:type="pct"/>
            <w:tcBorders>
              <w:top w:val="nil"/>
              <w:left w:val="nil"/>
              <w:bottom w:val="nil"/>
              <w:right w:val="nil"/>
            </w:tcBorders>
            <w:shd w:val="clear" w:color="auto" w:fill="auto"/>
            <w:noWrap/>
            <w:vAlign w:val="center"/>
            <w:hideMark/>
          </w:tcPr>
          <w:p w14:paraId="05ECA025"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Theme="minorHAnsi" w:eastAsia="Calibri" w:hAnsiTheme="minorHAnsi" w:cstheme="minorHAnsi"/>
                <w:sz w:val="22"/>
                <w:szCs w:val="22"/>
                <w:lang w:val="en-US" w:eastAsia="en-US"/>
              </w:rPr>
              <w:t>Industrials</w:t>
            </w:r>
          </w:p>
        </w:tc>
        <w:tc>
          <w:tcPr>
            <w:tcW w:w="697" w:type="pct"/>
            <w:tcBorders>
              <w:top w:val="nil"/>
              <w:left w:val="nil"/>
              <w:bottom w:val="nil"/>
              <w:right w:val="nil"/>
            </w:tcBorders>
            <w:shd w:val="clear" w:color="auto" w:fill="auto"/>
            <w:noWrap/>
            <w:vAlign w:val="center"/>
            <w:hideMark/>
          </w:tcPr>
          <w:p w14:paraId="61C861D6" w14:textId="5E87F3F5"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1.5823</w:t>
            </w:r>
          </w:p>
        </w:tc>
        <w:tc>
          <w:tcPr>
            <w:tcW w:w="641" w:type="pct"/>
            <w:gridSpan w:val="2"/>
            <w:tcBorders>
              <w:top w:val="nil"/>
              <w:left w:val="nil"/>
              <w:bottom w:val="nil"/>
              <w:right w:val="nil"/>
            </w:tcBorders>
            <w:shd w:val="clear" w:color="auto" w:fill="auto"/>
            <w:noWrap/>
            <w:vAlign w:val="center"/>
            <w:hideMark/>
          </w:tcPr>
          <w:p w14:paraId="5F5E49FF" w14:textId="3C880192"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-0.0540</w:t>
            </w:r>
          </w:p>
        </w:tc>
        <w:tc>
          <w:tcPr>
            <w:tcW w:w="642" w:type="pct"/>
            <w:gridSpan w:val="2"/>
            <w:tcBorders>
              <w:top w:val="nil"/>
              <w:left w:val="nil"/>
              <w:bottom w:val="nil"/>
              <w:right w:val="nil"/>
            </w:tcBorders>
            <w:shd w:val="clear" w:color="auto" w:fill="auto"/>
            <w:noWrap/>
            <w:vAlign w:val="center"/>
            <w:hideMark/>
          </w:tcPr>
          <w:p w14:paraId="3F49B41F" w14:textId="4D2761D3"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0.2854</w:t>
            </w:r>
          </w:p>
        </w:tc>
        <w:tc>
          <w:tcPr>
            <w:tcW w:w="636" w:type="pct"/>
            <w:gridSpan w:val="2"/>
            <w:tcBorders>
              <w:top w:val="nil"/>
              <w:left w:val="nil"/>
              <w:bottom w:val="nil"/>
              <w:right w:val="nil"/>
            </w:tcBorders>
            <w:shd w:val="clear" w:color="auto" w:fill="auto"/>
            <w:noWrap/>
            <w:vAlign w:val="center"/>
            <w:hideMark/>
          </w:tcPr>
          <w:p w14:paraId="098FE61A" w14:textId="18B3BF0D"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12.9420</w:t>
            </w:r>
          </w:p>
        </w:tc>
        <w:tc>
          <w:tcPr>
            <w:tcW w:w="737" w:type="pct"/>
            <w:gridSpan w:val="2"/>
            <w:tcBorders>
              <w:top w:val="nil"/>
              <w:left w:val="nil"/>
              <w:bottom w:val="nil"/>
              <w:right w:val="nil"/>
            </w:tcBorders>
            <w:shd w:val="clear" w:color="auto" w:fill="auto"/>
            <w:noWrap/>
            <w:vAlign w:val="center"/>
            <w:hideMark/>
          </w:tcPr>
          <w:p w14:paraId="707B28F1" w14:textId="3AC3866F"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92.5116</w:t>
            </w:r>
          </w:p>
        </w:tc>
        <w:tc>
          <w:tcPr>
            <w:tcW w:w="576" w:type="pct"/>
            <w:gridSpan w:val="2"/>
            <w:tcBorders>
              <w:top w:val="nil"/>
              <w:left w:val="nil"/>
              <w:bottom w:val="nil"/>
              <w:right w:val="nil"/>
            </w:tcBorders>
            <w:shd w:val="clear" w:color="auto" w:fill="auto"/>
            <w:noWrap/>
            <w:vAlign w:val="center"/>
            <w:hideMark/>
          </w:tcPr>
          <w:p w14:paraId="3FDE99EA" w14:textId="4D8F1453"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2.18%</w:t>
            </w:r>
          </w:p>
        </w:tc>
      </w:tr>
      <w:tr w:rsidR="007F1CD5" w:rsidRPr="007F1CD5" w14:paraId="76BDFB15" w14:textId="77777777" w:rsidTr="007F1CD5">
        <w:trPr>
          <w:trHeight w:val="300"/>
        </w:trPr>
        <w:tc>
          <w:tcPr>
            <w:tcW w:w="1071" w:type="pct"/>
            <w:tcBorders>
              <w:top w:val="nil"/>
              <w:left w:val="nil"/>
              <w:bottom w:val="nil"/>
              <w:right w:val="nil"/>
            </w:tcBorders>
            <w:shd w:val="clear" w:color="auto" w:fill="auto"/>
            <w:noWrap/>
            <w:vAlign w:val="center"/>
            <w:hideMark/>
          </w:tcPr>
          <w:p w14:paraId="3C90B38E"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p>
        </w:tc>
        <w:tc>
          <w:tcPr>
            <w:tcW w:w="697" w:type="pct"/>
            <w:tcBorders>
              <w:top w:val="nil"/>
              <w:left w:val="nil"/>
              <w:bottom w:val="nil"/>
              <w:right w:val="nil"/>
            </w:tcBorders>
            <w:shd w:val="clear" w:color="auto" w:fill="auto"/>
            <w:noWrap/>
            <w:vAlign w:val="center"/>
            <w:hideMark/>
          </w:tcPr>
          <w:p w14:paraId="16452A3A" w14:textId="6215F7EE"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hideMark/>
          </w:tcPr>
          <w:p w14:paraId="7671AC2A" w14:textId="3309DD39"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0.4480</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hideMark/>
          </w:tcPr>
          <w:p w14:paraId="01E6B0D6" w14:textId="5B8CF234"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0.0616</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hideMark/>
          </w:tcPr>
          <w:p w14:paraId="0A1AB2AD" w14:textId="2289D2CA"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hideMark/>
          </w:tcPr>
          <w:p w14:paraId="3D453B6A" w14:textId="43C669E6"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hideMark/>
          </w:tcPr>
          <w:p w14:paraId="2405348E"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p>
        </w:tc>
      </w:tr>
      <w:tr w:rsidR="007F1CD5" w:rsidRPr="007F1CD5" w14:paraId="2C5788C9" w14:textId="77777777" w:rsidTr="007F1CD5">
        <w:trPr>
          <w:trHeight w:val="300"/>
        </w:trPr>
        <w:tc>
          <w:tcPr>
            <w:tcW w:w="1071" w:type="pct"/>
            <w:tcBorders>
              <w:top w:val="nil"/>
              <w:left w:val="nil"/>
              <w:bottom w:val="nil"/>
              <w:right w:val="nil"/>
            </w:tcBorders>
            <w:shd w:val="clear" w:color="auto" w:fill="auto"/>
            <w:noWrap/>
            <w:vAlign w:val="center"/>
            <w:hideMark/>
          </w:tcPr>
          <w:p w14:paraId="71564A1D"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Theme="minorHAnsi" w:eastAsia="Calibri" w:hAnsiTheme="minorHAnsi" w:cstheme="minorHAnsi"/>
                <w:sz w:val="22"/>
                <w:szCs w:val="22"/>
                <w:lang w:val="en-US" w:eastAsia="en-US"/>
              </w:rPr>
              <w:t>Real Estate</w:t>
            </w:r>
          </w:p>
        </w:tc>
        <w:tc>
          <w:tcPr>
            <w:tcW w:w="697" w:type="pct"/>
            <w:tcBorders>
              <w:top w:val="nil"/>
              <w:left w:val="nil"/>
              <w:bottom w:val="nil"/>
              <w:right w:val="nil"/>
            </w:tcBorders>
            <w:shd w:val="clear" w:color="auto" w:fill="auto"/>
            <w:noWrap/>
            <w:vAlign w:val="center"/>
            <w:hideMark/>
          </w:tcPr>
          <w:p w14:paraId="1666338C" w14:textId="71A0BDD7"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1.4960</w:t>
            </w:r>
          </w:p>
        </w:tc>
        <w:tc>
          <w:tcPr>
            <w:tcW w:w="641" w:type="pct"/>
            <w:gridSpan w:val="2"/>
            <w:tcBorders>
              <w:top w:val="nil"/>
              <w:left w:val="nil"/>
              <w:bottom w:val="nil"/>
              <w:right w:val="nil"/>
            </w:tcBorders>
            <w:shd w:val="clear" w:color="auto" w:fill="auto"/>
            <w:noWrap/>
            <w:vAlign w:val="center"/>
            <w:hideMark/>
          </w:tcPr>
          <w:p w14:paraId="69D442D2" w14:textId="15FDEC2C"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-0.1014</w:t>
            </w:r>
          </w:p>
        </w:tc>
        <w:tc>
          <w:tcPr>
            <w:tcW w:w="642" w:type="pct"/>
            <w:gridSpan w:val="2"/>
            <w:tcBorders>
              <w:top w:val="nil"/>
              <w:left w:val="nil"/>
              <w:bottom w:val="nil"/>
              <w:right w:val="nil"/>
            </w:tcBorders>
            <w:shd w:val="clear" w:color="auto" w:fill="auto"/>
            <w:noWrap/>
            <w:vAlign w:val="center"/>
            <w:hideMark/>
          </w:tcPr>
          <w:p w14:paraId="0F145EA4" w14:textId="2235797E"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0.2931</w:t>
            </w:r>
          </w:p>
        </w:tc>
        <w:tc>
          <w:tcPr>
            <w:tcW w:w="636" w:type="pct"/>
            <w:gridSpan w:val="2"/>
            <w:tcBorders>
              <w:top w:val="nil"/>
              <w:left w:val="nil"/>
              <w:bottom w:val="nil"/>
              <w:right w:val="nil"/>
            </w:tcBorders>
            <w:shd w:val="clear" w:color="auto" w:fill="auto"/>
            <w:noWrap/>
            <w:vAlign w:val="center"/>
            <w:hideMark/>
          </w:tcPr>
          <w:p w14:paraId="1B7F5FB8" w14:textId="4562CF60"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14.6122</w:t>
            </w:r>
          </w:p>
        </w:tc>
        <w:tc>
          <w:tcPr>
            <w:tcW w:w="737" w:type="pct"/>
            <w:gridSpan w:val="2"/>
            <w:tcBorders>
              <w:top w:val="nil"/>
              <w:left w:val="nil"/>
              <w:bottom w:val="nil"/>
              <w:right w:val="nil"/>
            </w:tcBorders>
            <w:shd w:val="clear" w:color="auto" w:fill="auto"/>
            <w:noWrap/>
            <w:vAlign w:val="center"/>
            <w:hideMark/>
          </w:tcPr>
          <w:p w14:paraId="0087DAC8" w14:textId="5DFD89E9"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93.0325</w:t>
            </w:r>
          </w:p>
        </w:tc>
        <w:tc>
          <w:tcPr>
            <w:tcW w:w="576" w:type="pct"/>
            <w:gridSpan w:val="2"/>
            <w:tcBorders>
              <w:top w:val="nil"/>
              <w:left w:val="nil"/>
              <w:bottom w:val="nil"/>
              <w:right w:val="nil"/>
            </w:tcBorders>
            <w:shd w:val="clear" w:color="auto" w:fill="auto"/>
            <w:noWrap/>
            <w:vAlign w:val="center"/>
            <w:hideMark/>
          </w:tcPr>
          <w:p w14:paraId="76E0E253" w14:textId="43A4AD45"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1.31%</w:t>
            </w:r>
          </w:p>
        </w:tc>
      </w:tr>
      <w:tr w:rsidR="007F1CD5" w:rsidRPr="007F1CD5" w14:paraId="628E2619" w14:textId="77777777" w:rsidTr="007F1CD5">
        <w:trPr>
          <w:trHeight w:val="300"/>
        </w:trPr>
        <w:tc>
          <w:tcPr>
            <w:tcW w:w="1071" w:type="pct"/>
            <w:tcBorders>
              <w:top w:val="nil"/>
              <w:left w:val="nil"/>
              <w:right w:val="nil"/>
            </w:tcBorders>
            <w:shd w:val="clear" w:color="auto" w:fill="auto"/>
            <w:noWrap/>
            <w:vAlign w:val="center"/>
            <w:hideMark/>
          </w:tcPr>
          <w:p w14:paraId="352744FC"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p>
        </w:tc>
        <w:tc>
          <w:tcPr>
            <w:tcW w:w="697" w:type="pct"/>
            <w:tcBorders>
              <w:top w:val="nil"/>
              <w:left w:val="nil"/>
              <w:right w:val="nil"/>
            </w:tcBorders>
            <w:shd w:val="clear" w:color="auto" w:fill="auto"/>
            <w:noWrap/>
            <w:vAlign w:val="center"/>
            <w:hideMark/>
          </w:tcPr>
          <w:p w14:paraId="3E8E59B4" w14:textId="08836AAE"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right w:val="nil"/>
            </w:tcBorders>
            <w:shd w:val="clear" w:color="auto" w:fill="auto"/>
            <w:noWrap/>
            <w:vAlign w:val="center"/>
            <w:hideMark/>
          </w:tcPr>
          <w:p w14:paraId="76142647" w14:textId="051F8D75"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0.6034</w:t>
            </w:r>
            <w:r>
              <w:rPr>
                <w:rFonts w:ascii="Calibri" w:hAnsi="Calibri" w:cs="Calibri"/>
                <w:color w:val="000000"/>
                <w:sz w:val="22"/>
                <w:szCs w:val="22"/>
              </w:rPr>
              <w:t>)</w:t>
            </w:r>
          </w:p>
        </w:tc>
        <w:tc>
          <w:tcPr>
            <w:tcW w:w="642" w:type="pct"/>
            <w:gridSpan w:val="2"/>
            <w:tcBorders>
              <w:top w:val="nil"/>
              <w:left w:val="nil"/>
              <w:right w:val="nil"/>
            </w:tcBorders>
            <w:shd w:val="clear" w:color="auto" w:fill="auto"/>
            <w:noWrap/>
            <w:vAlign w:val="center"/>
            <w:hideMark/>
          </w:tcPr>
          <w:p w14:paraId="7E0D7477" w14:textId="752D9A18"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0.4656</w:t>
            </w:r>
            <w:r>
              <w:rPr>
                <w:rFonts w:ascii="Calibri" w:hAnsi="Calibri" w:cs="Calibri"/>
                <w:color w:val="000000"/>
                <w:sz w:val="22"/>
                <w:szCs w:val="22"/>
              </w:rPr>
              <w:t>)</w:t>
            </w:r>
          </w:p>
        </w:tc>
        <w:tc>
          <w:tcPr>
            <w:tcW w:w="636" w:type="pct"/>
            <w:gridSpan w:val="2"/>
            <w:tcBorders>
              <w:top w:val="nil"/>
              <w:left w:val="nil"/>
              <w:right w:val="nil"/>
            </w:tcBorders>
            <w:shd w:val="clear" w:color="auto" w:fill="auto"/>
            <w:noWrap/>
            <w:vAlign w:val="center"/>
            <w:hideMark/>
          </w:tcPr>
          <w:p w14:paraId="6539F10A" w14:textId="784D1138"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737" w:type="pct"/>
            <w:gridSpan w:val="2"/>
            <w:tcBorders>
              <w:top w:val="nil"/>
              <w:left w:val="nil"/>
              <w:right w:val="nil"/>
            </w:tcBorders>
            <w:shd w:val="clear" w:color="auto" w:fill="auto"/>
            <w:noWrap/>
            <w:vAlign w:val="center"/>
            <w:hideMark/>
          </w:tcPr>
          <w:p w14:paraId="7AE0F78D" w14:textId="278F3C74"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right w:val="nil"/>
            </w:tcBorders>
            <w:shd w:val="clear" w:color="auto" w:fill="auto"/>
            <w:noWrap/>
            <w:vAlign w:val="center"/>
            <w:hideMark/>
          </w:tcPr>
          <w:p w14:paraId="2385E425"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p>
        </w:tc>
      </w:tr>
      <w:tr w:rsidR="007F1CD5" w:rsidRPr="007F1CD5" w14:paraId="21D604BF" w14:textId="77777777" w:rsidTr="007F1CD5">
        <w:trPr>
          <w:trHeight w:val="300"/>
        </w:trPr>
        <w:tc>
          <w:tcPr>
            <w:tcW w:w="1071" w:type="pct"/>
            <w:tcBorders>
              <w:top w:val="nil"/>
              <w:left w:val="nil"/>
              <w:bottom w:val="nil"/>
              <w:right w:val="nil"/>
            </w:tcBorders>
            <w:shd w:val="clear" w:color="auto" w:fill="auto"/>
            <w:noWrap/>
            <w:vAlign w:val="center"/>
            <w:hideMark/>
          </w:tcPr>
          <w:p w14:paraId="025871F1"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Theme="minorHAnsi" w:eastAsia="Calibri" w:hAnsiTheme="minorHAnsi" w:cstheme="minorHAnsi"/>
                <w:sz w:val="22"/>
                <w:szCs w:val="22"/>
                <w:lang w:val="en-US" w:eastAsia="en-US"/>
              </w:rPr>
              <w:t>Technology</w:t>
            </w:r>
          </w:p>
        </w:tc>
        <w:tc>
          <w:tcPr>
            <w:tcW w:w="697" w:type="pct"/>
            <w:tcBorders>
              <w:top w:val="nil"/>
              <w:left w:val="nil"/>
              <w:bottom w:val="nil"/>
              <w:right w:val="nil"/>
            </w:tcBorders>
            <w:shd w:val="clear" w:color="auto" w:fill="auto"/>
            <w:noWrap/>
            <w:vAlign w:val="center"/>
            <w:hideMark/>
          </w:tcPr>
          <w:p w14:paraId="1617CA66" w14:textId="5E27C647"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1.4991</w:t>
            </w:r>
          </w:p>
        </w:tc>
        <w:tc>
          <w:tcPr>
            <w:tcW w:w="641" w:type="pct"/>
            <w:gridSpan w:val="2"/>
            <w:tcBorders>
              <w:top w:val="nil"/>
              <w:left w:val="nil"/>
              <w:bottom w:val="nil"/>
              <w:right w:val="nil"/>
            </w:tcBorders>
            <w:shd w:val="clear" w:color="auto" w:fill="auto"/>
            <w:noWrap/>
            <w:vAlign w:val="center"/>
            <w:hideMark/>
          </w:tcPr>
          <w:p w14:paraId="29BC661A" w14:textId="74648EDB"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-1.3954</w:t>
            </w:r>
          </w:p>
        </w:tc>
        <w:tc>
          <w:tcPr>
            <w:tcW w:w="642" w:type="pct"/>
            <w:gridSpan w:val="2"/>
            <w:tcBorders>
              <w:top w:val="nil"/>
              <w:left w:val="nil"/>
              <w:bottom w:val="nil"/>
              <w:right w:val="nil"/>
            </w:tcBorders>
            <w:shd w:val="clear" w:color="auto" w:fill="auto"/>
            <w:noWrap/>
            <w:vAlign w:val="center"/>
            <w:hideMark/>
          </w:tcPr>
          <w:p w14:paraId="3BA5C305" w14:textId="586AE359"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-1.0051</w:t>
            </w:r>
          </w:p>
        </w:tc>
        <w:tc>
          <w:tcPr>
            <w:tcW w:w="636" w:type="pct"/>
            <w:gridSpan w:val="2"/>
            <w:tcBorders>
              <w:top w:val="nil"/>
              <w:left w:val="nil"/>
              <w:bottom w:val="nil"/>
              <w:right w:val="nil"/>
            </w:tcBorders>
            <w:shd w:val="clear" w:color="auto" w:fill="auto"/>
            <w:noWrap/>
            <w:vAlign w:val="center"/>
            <w:hideMark/>
          </w:tcPr>
          <w:p w14:paraId="61376CE8" w14:textId="0C0014B7"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-3.9467</w:t>
            </w:r>
          </w:p>
        </w:tc>
        <w:tc>
          <w:tcPr>
            <w:tcW w:w="737" w:type="pct"/>
            <w:gridSpan w:val="2"/>
            <w:tcBorders>
              <w:top w:val="nil"/>
              <w:left w:val="nil"/>
              <w:bottom w:val="nil"/>
              <w:right w:val="nil"/>
            </w:tcBorders>
            <w:shd w:val="clear" w:color="auto" w:fill="auto"/>
            <w:noWrap/>
            <w:vAlign w:val="center"/>
            <w:hideMark/>
          </w:tcPr>
          <w:p w14:paraId="2659F52C" w14:textId="56D0418B"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-20.2229</w:t>
            </w:r>
          </w:p>
        </w:tc>
        <w:tc>
          <w:tcPr>
            <w:tcW w:w="576" w:type="pct"/>
            <w:gridSpan w:val="2"/>
            <w:tcBorders>
              <w:top w:val="nil"/>
              <w:left w:val="nil"/>
              <w:bottom w:val="nil"/>
              <w:right w:val="nil"/>
            </w:tcBorders>
            <w:shd w:val="clear" w:color="auto" w:fill="auto"/>
            <w:noWrap/>
            <w:vAlign w:val="center"/>
            <w:hideMark/>
          </w:tcPr>
          <w:p w14:paraId="641F5A3F" w14:textId="5E707680"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2.48%</w:t>
            </w:r>
          </w:p>
        </w:tc>
      </w:tr>
      <w:tr w:rsidR="007F1CD5" w:rsidRPr="007F1CD5" w14:paraId="57CC2A10" w14:textId="77777777" w:rsidTr="007F1CD5">
        <w:trPr>
          <w:trHeight w:val="300"/>
        </w:trPr>
        <w:tc>
          <w:tcPr>
            <w:tcW w:w="1071" w:type="pct"/>
            <w:tcBorders>
              <w:top w:val="nil"/>
              <w:left w:val="nil"/>
              <w:bottom w:val="nil"/>
              <w:right w:val="nil"/>
            </w:tcBorders>
            <w:shd w:val="clear" w:color="auto" w:fill="auto"/>
            <w:noWrap/>
            <w:vAlign w:val="center"/>
            <w:hideMark/>
          </w:tcPr>
          <w:p w14:paraId="2A80CF68"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p>
        </w:tc>
        <w:tc>
          <w:tcPr>
            <w:tcW w:w="697" w:type="pct"/>
            <w:tcBorders>
              <w:top w:val="nil"/>
              <w:left w:val="nil"/>
              <w:bottom w:val="nil"/>
              <w:right w:val="nil"/>
            </w:tcBorders>
            <w:shd w:val="clear" w:color="auto" w:fill="auto"/>
            <w:noWrap/>
            <w:vAlign w:val="center"/>
            <w:hideMark/>
          </w:tcPr>
          <w:p w14:paraId="2AA18F37" w14:textId="0202F8C5"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hideMark/>
          </w:tcPr>
          <w:p w14:paraId="130000EF" w14:textId="09569B0C"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hideMark/>
          </w:tcPr>
          <w:p w14:paraId="02307D09" w14:textId="01B6AE0A"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hideMark/>
          </w:tcPr>
          <w:p w14:paraId="19397C31" w14:textId="110407A1"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0.0624</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hideMark/>
          </w:tcPr>
          <w:p w14:paraId="4D5E26F0" w14:textId="7E1C112F" w:rsidR="007F1CD5" w:rsidRPr="007F1CD5" w:rsidRDefault="00361409" w:rsidP="007F1CD5">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7F1CD5" w:rsidRPr="007F1CD5">
              <w:rPr>
                <w:rFonts w:ascii="Calibri" w:hAnsi="Calibri" w:cs="Calibri"/>
                <w:color w:val="000000"/>
                <w:sz w:val="22"/>
                <w:szCs w:val="22"/>
              </w:rPr>
              <w:t>0.0761</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hideMark/>
          </w:tcPr>
          <w:p w14:paraId="3008AC71"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p>
        </w:tc>
      </w:tr>
      <w:tr w:rsidR="007F1CD5" w:rsidRPr="007F1CD5" w14:paraId="00496C66" w14:textId="77777777" w:rsidTr="007F1CD5">
        <w:trPr>
          <w:trHeight w:val="300"/>
        </w:trPr>
        <w:tc>
          <w:tcPr>
            <w:tcW w:w="1071" w:type="pct"/>
            <w:tcBorders>
              <w:top w:val="nil"/>
              <w:left w:val="nil"/>
              <w:bottom w:val="nil"/>
              <w:right w:val="nil"/>
            </w:tcBorders>
            <w:shd w:val="clear" w:color="auto" w:fill="auto"/>
            <w:noWrap/>
            <w:vAlign w:val="center"/>
          </w:tcPr>
          <w:p w14:paraId="4E769ECC"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Telecoms</w:t>
            </w:r>
          </w:p>
        </w:tc>
        <w:tc>
          <w:tcPr>
            <w:tcW w:w="697" w:type="pct"/>
            <w:tcBorders>
              <w:top w:val="nil"/>
              <w:left w:val="nil"/>
              <w:bottom w:val="nil"/>
              <w:right w:val="nil"/>
            </w:tcBorders>
            <w:shd w:val="clear" w:color="auto" w:fill="auto"/>
            <w:noWrap/>
            <w:vAlign w:val="center"/>
          </w:tcPr>
          <w:p w14:paraId="37B6E308" w14:textId="5B2F0EF6" w:rsidR="007F1CD5" w:rsidRPr="007F1CD5" w:rsidRDefault="007F1CD5" w:rsidP="007F1CD5">
            <w:pPr>
              <w:spacing w:line="240" w:lineRule="auto"/>
              <w:rPr>
                <w:rFonts w:ascii="Calibri" w:hAnsi="Calibri" w:cs="Calibri"/>
                <w:color w:val="000000"/>
                <w:sz w:val="22"/>
                <w:szCs w:val="22"/>
              </w:rPr>
            </w:pPr>
            <w:r w:rsidRPr="007F1CD5">
              <w:rPr>
                <w:rFonts w:ascii="Calibri" w:hAnsi="Calibri" w:cs="Calibri"/>
                <w:color w:val="000000"/>
                <w:sz w:val="22"/>
                <w:szCs w:val="22"/>
              </w:rPr>
              <w:t>-0.8308</w:t>
            </w:r>
          </w:p>
        </w:tc>
        <w:tc>
          <w:tcPr>
            <w:tcW w:w="641" w:type="pct"/>
            <w:gridSpan w:val="2"/>
            <w:tcBorders>
              <w:top w:val="nil"/>
              <w:left w:val="nil"/>
              <w:bottom w:val="nil"/>
              <w:right w:val="nil"/>
            </w:tcBorders>
            <w:shd w:val="clear" w:color="auto" w:fill="auto"/>
            <w:noWrap/>
            <w:vAlign w:val="center"/>
          </w:tcPr>
          <w:p w14:paraId="7E308B76" w14:textId="28702F92" w:rsidR="007F1CD5" w:rsidRPr="007F1CD5" w:rsidRDefault="007F1CD5" w:rsidP="007F1CD5">
            <w:pPr>
              <w:spacing w:line="240" w:lineRule="auto"/>
              <w:rPr>
                <w:rFonts w:ascii="Calibri" w:hAnsi="Calibri" w:cs="Calibri"/>
                <w:color w:val="000000"/>
                <w:sz w:val="22"/>
                <w:szCs w:val="22"/>
              </w:rPr>
            </w:pPr>
            <w:r w:rsidRPr="007F1CD5">
              <w:rPr>
                <w:rFonts w:ascii="Calibri" w:hAnsi="Calibri" w:cs="Calibri"/>
                <w:color w:val="000000"/>
                <w:sz w:val="22"/>
                <w:szCs w:val="22"/>
              </w:rPr>
              <w:t>1.2242</w:t>
            </w:r>
          </w:p>
        </w:tc>
        <w:tc>
          <w:tcPr>
            <w:tcW w:w="642" w:type="pct"/>
            <w:gridSpan w:val="2"/>
            <w:tcBorders>
              <w:top w:val="nil"/>
              <w:left w:val="nil"/>
              <w:bottom w:val="nil"/>
              <w:right w:val="nil"/>
            </w:tcBorders>
            <w:shd w:val="clear" w:color="auto" w:fill="auto"/>
            <w:noWrap/>
            <w:vAlign w:val="center"/>
          </w:tcPr>
          <w:p w14:paraId="27631ABD" w14:textId="3D421B2F" w:rsidR="007F1CD5" w:rsidRPr="007F1CD5" w:rsidRDefault="007F1CD5" w:rsidP="007F1CD5">
            <w:pPr>
              <w:spacing w:line="240" w:lineRule="auto"/>
              <w:rPr>
                <w:rFonts w:ascii="Calibri" w:hAnsi="Calibri" w:cs="Calibri"/>
                <w:color w:val="000000"/>
                <w:sz w:val="22"/>
                <w:szCs w:val="22"/>
              </w:rPr>
            </w:pPr>
            <w:r w:rsidRPr="007F1CD5">
              <w:rPr>
                <w:rFonts w:ascii="Calibri" w:hAnsi="Calibri" w:cs="Calibri"/>
                <w:color w:val="000000"/>
                <w:sz w:val="22"/>
                <w:szCs w:val="22"/>
              </w:rPr>
              <w:t>2.0584</w:t>
            </w:r>
          </w:p>
        </w:tc>
        <w:tc>
          <w:tcPr>
            <w:tcW w:w="636" w:type="pct"/>
            <w:gridSpan w:val="2"/>
            <w:tcBorders>
              <w:top w:val="nil"/>
              <w:left w:val="nil"/>
              <w:bottom w:val="nil"/>
              <w:right w:val="nil"/>
            </w:tcBorders>
            <w:shd w:val="clear" w:color="auto" w:fill="auto"/>
            <w:noWrap/>
            <w:vAlign w:val="center"/>
          </w:tcPr>
          <w:p w14:paraId="20059BA7" w14:textId="71F25FD9" w:rsidR="007F1CD5" w:rsidRPr="007F1CD5" w:rsidRDefault="007F1CD5" w:rsidP="007F1CD5">
            <w:pPr>
              <w:spacing w:line="240" w:lineRule="auto"/>
              <w:rPr>
                <w:rFonts w:ascii="Calibri" w:hAnsi="Calibri" w:cs="Calibri"/>
                <w:color w:val="000000"/>
                <w:sz w:val="22"/>
                <w:szCs w:val="22"/>
              </w:rPr>
            </w:pPr>
            <w:r w:rsidRPr="007F1CD5">
              <w:rPr>
                <w:rFonts w:ascii="Calibri" w:hAnsi="Calibri" w:cs="Calibri"/>
                <w:color w:val="000000"/>
                <w:sz w:val="22"/>
                <w:szCs w:val="22"/>
              </w:rPr>
              <w:t>-0.3850</w:t>
            </w:r>
          </w:p>
        </w:tc>
        <w:tc>
          <w:tcPr>
            <w:tcW w:w="737" w:type="pct"/>
            <w:gridSpan w:val="2"/>
            <w:tcBorders>
              <w:top w:val="nil"/>
              <w:left w:val="nil"/>
              <w:bottom w:val="nil"/>
              <w:right w:val="nil"/>
            </w:tcBorders>
            <w:shd w:val="clear" w:color="auto" w:fill="auto"/>
            <w:noWrap/>
            <w:vAlign w:val="center"/>
          </w:tcPr>
          <w:p w14:paraId="12312B17" w14:textId="03C25EA9" w:rsidR="007F1CD5" w:rsidRPr="007F1CD5" w:rsidRDefault="007F1CD5" w:rsidP="007F1CD5">
            <w:pPr>
              <w:spacing w:line="240" w:lineRule="auto"/>
              <w:rPr>
                <w:rFonts w:ascii="Calibri" w:hAnsi="Calibri" w:cs="Calibri"/>
                <w:color w:val="000000"/>
                <w:sz w:val="22"/>
                <w:szCs w:val="22"/>
              </w:rPr>
            </w:pPr>
            <w:r w:rsidRPr="007F1CD5">
              <w:rPr>
                <w:rFonts w:ascii="Calibri" w:hAnsi="Calibri" w:cs="Calibri"/>
                <w:color w:val="000000"/>
                <w:sz w:val="22"/>
                <w:szCs w:val="22"/>
              </w:rPr>
              <w:t>-1.2190</w:t>
            </w:r>
          </w:p>
        </w:tc>
        <w:tc>
          <w:tcPr>
            <w:tcW w:w="576" w:type="pct"/>
            <w:gridSpan w:val="2"/>
            <w:tcBorders>
              <w:top w:val="nil"/>
              <w:left w:val="nil"/>
              <w:bottom w:val="nil"/>
              <w:right w:val="nil"/>
            </w:tcBorders>
            <w:shd w:val="clear" w:color="auto" w:fill="auto"/>
            <w:noWrap/>
            <w:vAlign w:val="center"/>
          </w:tcPr>
          <w:p w14:paraId="034EC788" w14:textId="30F8834A"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23.91%</w:t>
            </w:r>
          </w:p>
        </w:tc>
      </w:tr>
      <w:tr w:rsidR="007F1CD5" w:rsidRPr="007F1CD5" w14:paraId="0BF0926C" w14:textId="77777777" w:rsidTr="007F1CD5">
        <w:trPr>
          <w:trHeight w:val="300"/>
        </w:trPr>
        <w:tc>
          <w:tcPr>
            <w:tcW w:w="1071" w:type="pct"/>
            <w:tcBorders>
              <w:top w:val="nil"/>
              <w:left w:val="nil"/>
              <w:bottom w:val="nil"/>
              <w:right w:val="nil"/>
            </w:tcBorders>
            <w:shd w:val="clear" w:color="auto" w:fill="auto"/>
            <w:noWrap/>
            <w:vAlign w:val="center"/>
          </w:tcPr>
          <w:p w14:paraId="1BD03D2E"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 xml:space="preserve"> </w:t>
            </w:r>
          </w:p>
        </w:tc>
        <w:tc>
          <w:tcPr>
            <w:tcW w:w="697" w:type="pct"/>
            <w:tcBorders>
              <w:top w:val="nil"/>
              <w:left w:val="nil"/>
              <w:bottom w:val="nil"/>
              <w:right w:val="nil"/>
            </w:tcBorders>
            <w:shd w:val="clear" w:color="auto" w:fill="auto"/>
            <w:noWrap/>
            <w:vAlign w:val="center"/>
          </w:tcPr>
          <w:p w14:paraId="1EC7DA0F" w14:textId="53BACE71" w:rsidR="007F1CD5" w:rsidRPr="007F1CD5" w:rsidRDefault="00361409" w:rsidP="007F1CD5">
            <w:pPr>
              <w:spacing w:line="240" w:lineRule="auto"/>
              <w:rPr>
                <w:rFonts w:ascii="Calibri" w:hAnsi="Calibri" w:cs="Calibri"/>
                <w:color w:val="000000"/>
                <w:sz w:val="22"/>
                <w:szCs w:val="22"/>
              </w:rPr>
            </w:pPr>
            <w:r>
              <w:rPr>
                <w:rFonts w:ascii="Calibri" w:hAnsi="Calibri" w:cs="Calibri"/>
                <w:color w:val="000000"/>
                <w:sz w:val="22"/>
                <w:szCs w:val="22"/>
              </w:rPr>
              <w:t>(</w:t>
            </w:r>
            <w:r w:rsidR="007F1CD5" w:rsidRPr="007F1CD5">
              <w:rPr>
                <w:rFonts w:ascii="Calibri" w:hAnsi="Calibri" w:cs="Calibri"/>
                <w:color w:val="000000"/>
                <w:sz w:val="22"/>
                <w:szCs w:val="22"/>
              </w:rPr>
              <w:t>0.0014</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tcPr>
          <w:p w14:paraId="74053E8C" w14:textId="3CA2E948" w:rsidR="007F1CD5" w:rsidRPr="007F1CD5" w:rsidRDefault="00361409" w:rsidP="007F1CD5">
            <w:pPr>
              <w:spacing w:line="240" w:lineRule="auto"/>
              <w:rPr>
                <w:rFonts w:ascii="Calibri" w:hAnsi="Calibri" w:cs="Calibri"/>
                <w:color w:val="000000"/>
                <w:sz w:val="22"/>
                <w:szCs w:val="22"/>
              </w:rPr>
            </w:pPr>
            <w:r>
              <w:rPr>
                <w:rFonts w:ascii="Calibri" w:hAnsi="Calibri" w:cs="Calibri"/>
                <w:color w:val="000000"/>
                <w:sz w:val="22"/>
                <w:szCs w:val="22"/>
              </w:rPr>
              <w:t>(</w:t>
            </w:r>
            <w:r w:rsidR="007F1CD5" w:rsidRPr="007F1CD5">
              <w:rPr>
                <w:rFonts w:ascii="Calibri" w:hAnsi="Calibri" w:cs="Calibri"/>
                <w:color w:val="000000"/>
                <w:sz w:val="22"/>
                <w:szCs w:val="22"/>
              </w:rPr>
              <w:t>0.0155</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tcPr>
          <w:p w14:paraId="083D7D8B" w14:textId="2E258D98" w:rsidR="007F1CD5" w:rsidRPr="007F1CD5" w:rsidRDefault="00361409" w:rsidP="007F1CD5">
            <w:pPr>
              <w:spacing w:line="240" w:lineRule="auto"/>
              <w:rPr>
                <w:rFonts w:ascii="Calibri" w:hAnsi="Calibri" w:cs="Calibri"/>
                <w:color w:val="000000"/>
                <w:sz w:val="22"/>
                <w:szCs w:val="22"/>
              </w:rPr>
            </w:pPr>
            <w:r>
              <w:rPr>
                <w:rFonts w:ascii="Calibri" w:hAnsi="Calibri" w:cs="Calibri"/>
                <w:color w:val="000000"/>
                <w:sz w:val="22"/>
                <w:szCs w:val="22"/>
              </w:rPr>
              <w:t>(</w:t>
            </w:r>
            <w:r w:rsidR="007F1CD5" w:rsidRPr="007F1CD5">
              <w:rPr>
                <w:rFonts w:ascii="Calibri" w:hAnsi="Calibri" w:cs="Calibri"/>
                <w:color w:val="000000"/>
                <w:sz w:val="22"/>
                <w:szCs w:val="22"/>
              </w:rPr>
              <w:t>0.0001</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tcPr>
          <w:p w14:paraId="3A05FA90" w14:textId="66F174D6" w:rsidR="007F1CD5" w:rsidRPr="007F1CD5" w:rsidRDefault="00361409" w:rsidP="007F1CD5">
            <w:pPr>
              <w:spacing w:line="240" w:lineRule="auto"/>
              <w:rPr>
                <w:rFonts w:ascii="Calibri" w:hAnsi="Calibri" w:cs="Calibri"/>
                <w:color w:val="000000"/>
                <w:sz w:val="22"/>
                <w:szCs w:val="22"/>
              </w:rPr>
            </w:pPr>
            <w:r>
              <w:rPr>
                <w:rFonts w:ascii="Calibri" w:hAnsi="Calibri" w:cs="Calibri"/>
                <w:color w:val="000000"/>
                <w:sz w:val="22"/>
                <w:szCs w:val="22"/>
              </w:rPr>
              <w:t>(</w:t>
            </w:r>
            <w:r w:rsidR="007F1CD5" w:rsidRPr="007F1CD5">
              <w:rPr>
                <w:rFonts w:ascii="Calibri" w:hAnsi="Calibri" w:cs="Calibri"/>
                <w:color w:val="000000"/>
                <w:sz w:val="22"/>
                <w:szCs w:val="22"/>
              </w:rPr>
              <w:t>0.1182</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tcPr>
          <w:p w14:paraId="126A4194" w14:textId="4B9F29FC" w:rsidR="007F1CD5" w:rsidRPr="007F1CD5" w:rsidRDefault="00361409" w:rsidP="007F1CD5">
            <w:pPr>
              <w:spacing w:line="240" w:lineRule="auto"/>
              <w:rPr>
                <w:rFonts w:ascii="Calibri" w:hAnsi="Calibri" w:cs="Calibri"/>
                <w:color w:val="000000"/>
                <w:sz w:val="22"/>
                <w:szCs w:val="22"/>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tcPr>
          <w:p w14:paraId="11628763"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p>
        </w:tc>
      </w:tr>
      <w:tr w:rsidR="007F1CD5" w:rsidRPr="007F1CD5" w14:paraId="26143B07" w14:textId="77777777" w:rsidTr="007F1CD5">
        <w:trPr>
          <w:trHeight w:val="300"/>
        </w:trPr>
        <w:tc>
          <w:tcPr>
            <w:tcW w:w="1071" w:type="pct"/>
            <w:tcBorders>
              <w:top w:val="nil"/>
              <w:left w:val="nil"/>
              <w:bottom w:val="nil"/>
              <w:right w:val="nil"/>
            </w:tcBorders>
            <w:shd w:val="clear" w:color="auto" w:fill="auto"/>
            <w:noWrap/>
            <w:vAlign w:val="center"/>
          </w:tcPr>
          <w:p w14:paraId="272DE837"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Theme="minorHAnsi" w:eastAsia="Calibri" w:hAnsiTheme="minorHAnsi" w:cstheme="minorHAnsi"/>
                <w:sz w:val="22"/>
                <w:szCs w:val="22"/>
                <w:lang w:val="en-US" w:eastAsia="en-US"/>
              </w:rPr>
              <w:t>Utilities</w:t>
            </w:r>
          </w:p>
        </w:tc>
        <w:tc>
          <w:tcPr>
            <w:tcW w:w="697" w:type="pct"/>
            <w:tcBorders>
              <w:top w:val="nil"/>
              <w:left w:val="nil"/>
              <w:bottom w:val="nil"/>
              <w:right w:val="nil"/>
            </w:tcBorders>
            <w:shd w:val="clear" w:color="auto" w:fill="auto"/>
            <w:noWrap/>
            <w:vAlign w:val="center"/>
          </w:tcPr>
          <w:p w14:paraId="27325B8D" w14:textId="571E3029" w:rsidR="007F1CD5" w:rsidRPr="007F1CD5" w:rsidRDefault="007F1CD5" w:rsidP="007F1CD5">
            <w:pPr>
              <w:spacing w:line="240" w:lineRule="auto"/>
              <w:rPr>
                <w:rFonts w:ascii="Calibri" w:hAnsi="Calibri" w:cs="Calibri"/>
                <w:color w:val="000000"/>
                <w:sz w:val="22"/>
                <w:szCs w:val="22"/>
              </w:rPr>
            </w:pPr>
            <w:r w:rsidRPr="007F1CD5">
              <w:rPr>
                <w:rFonts w:ascii="Calibri" w:hAnsi="Calibri" w:cs="Calibri"/>
                <w:color w:val="000000"/>
                <w:sz w:val="22"/>
                <w:szCs w:val="22"/>
              </w:rPr>
              <w:t>0.0069</w:t>
            </w:r>
          </w:p>
        </w:tc>
        <w:tc>
          <w:tcPr>
            <w:tcW w:w="641" w:type="pct"/>
            <w:gridSpan w:val="2"/>
            <w:tcBorders>
              <w:top w:val="nil"/>
              <w:left w:val="nil"/>
              <w:bottom w:val="nil"/>
              <w:right w:val="nil"/>
            </w:tcBorders>
            <w:shd w:val="clear" w:color="auto" w:fill="auto"/>
            <w:noWrap/>
            <w:vAlign w:val="center"/>
          </w:tcPr>
          <w:p w14:paraId="51EEF455" w14:textId="42237CC3" w:rsidR="007F1CD5" w:rsidRPr="007F1CD5" w:rsidRDefault="007F1CD5" w:rsidP="007F1CD5">
            <w:pPr>
              <w:spacing w:line="240" w:lineRule="auto"/>
              <w:rPr>
                <w:rFonts w:ascii="Calibri" w:hAnsi="Calibri" w:cs="Calibri"/>
                <w:color w:val="000000"/>
                <w:sz w:val="22"/>
                <w:szCs w:val="22"/>
              </w:rPr>
            </w:pPr>
            <w:r w:rsidRPr="007F1CD5">
              <w:rPr>
                <w:rFonts w:ascii="Calibri" w:hAnsi="Calibri" w:cs="Calibri"/>
                <w:color w:val="000000"/>
                <w:sz w:val="22"/>
                <w:szCs w:val="22"/>
              </w:rPr>
              <w:t>-0.0010</w:t>
            </w:r>
          </w:p>
        </w:tc>
        <w:tc>
          <w:tcPr>
            <w:tcW w:w="642" w:type="pct"/>
            <w:gridSpan w:val="2"/>
            <w:tcBorders>
              <w:top w:val="nil"/>
              <w:left w:val="nil"/>
              <w:bottom w:val="nil"/>
              <w:right w:val="nil"/>
            </w:tcBorders>
            <w:shd w:val="clear" w:color="auto" w:fill="auto"/>
            <w:noWrap/>
            <w:vAlign w:val="center"/>
          </w:tcPr>
          <w:p w14:paraId="57203EFD" w14:textId="5E32F77B" w:rsidR="007F1CD5" w:rsidRPr="007F1CD5" w:rsidRDefault="007F1CD5" w:rsidP="007F1CD5">
            <w:pPr>
              <w:spacing w:line="240" w:lineRule="auto"/>
              <w:rPr>
                <w:rFonts w:ascii="Calibri" w:hAnsi="Calibri" w:cs="Calibri"/>
                <w:color w:val="000000"/>
                <w:sz w:val="22"/>
                <w:szCs w:val="22"/>
              </w:rPr>
            </w:pPr>
            <w:r w:rsidRPr="007F1CD5">
              <w:rPr>
                <w:rFonts w:ascii="Calibri" w:hAnsi="Calibri" w:cs="Calibri"/>
                <w:color w:val="000000"/>
                <w:sz w:val="22"/>
                <w:szCs w:val="22"/>
              </w:rPr>
              <w:t>-0.0013</w:t>
            </w:r>
          </w:p>
        </w:tc>
        <w:tc>
          <w:tcPr>
            <w:tcW w:w="636" w:type="pct"/>
            <w:gridSpan w:val="2"/>
            <w:tcBorders>
              <w:top w:val="nil"/>
              <w:left w:val="nil"/>
              <w:bottom w:val="nil"/>
              <w:right w:val="nil"/>
            </w:tcBorders>
            <w:shd w:val="clear" w:color="auto" w:fill="auto"/>
            <w:noWrap/>
            <w:vAlign w:val="center"/>
          </w:tcPr>
          <w:p w14:paraId="0B1D4F26" w14:textId="7E94C369" w:rsidR="007F1CD5" w:rsidRPr="007F1CD5" w:rsidRDefault="007F1CD5" w:rsidP="007F1CD5">
            <w:pPr>
              <w:spacing w:line="240" w:lineRule="auto"/>
              <w:rPr>
                <w:rFonts w:ascii="Calibri" w:hAnsi="Calibri" w:cs="Calibri"/>
                <w:color w:val="000000"/>
                <w:sz w:val="22"/>
                <w:szCs w:val="22"/>
              </w:rPr>
            </w:pPr>
            <w:r w:rsidRPr="007F1CD5">
              <w:rPr>
                <w:rFonts w:ascii="Calibri" w:hAnsi="Calibri" w:cs="Calibri"/>
                <w:color w:val="000000"/>
                <w:sz w:val="22"/>
                <w:szCs w:val="22"/>
              </w:rPr>
              <w:t>0.0015</w:t>
            </w:r>
          </w:p>
        </w:tc>
        <w:tc>
          <w:tcPr>
            <w:tcW w:w="737" w:type="pct"/>
            <w:gridSpan w:val="2"/>
            <w:tcBorders>
              <w:top w:val="nil"/>
              <w:left w:val="nil"/>
              <w:bottom w:val="nil"/>
              <w:right w:val="nil"/>
            </w:tcBorders>
            <w:shd w:val="clear" w:color="auto" w:fill="auto"/>
            <w:noWrap/>
            <w:vAlign w:val="center"/>
          </w:tcPr>
          <w:p w14:paraId="7E72131B" w14:textId="6B6D5821" w:rsidR="007F1CD5" w:rsidRPr="007F1CD5" w:rsidRDefault="007F1CD5" w:rsidP="007F1CD5">
            <w:pPr>
              <w:spacing w:line="240" w:lineRule="auto"/>
              <w:rPr>
                <w:rFonts w:ascii="Calibri" w:hAnsi="Calibri" w:cs="Calibri"/>
                <w:color w:val="000000"/>
                <w:sz w:val="22"/>
                <w:szCs w:val="22"/>
              </w:rPr>
            </w:pPr>
            <w:r w:rsidRPr="007F1CD5">
              <w:rPr>
                <w:rFonts w:ascii="Calibri" w:hAnsi="Calibri" w:cs="Calibri"/>
                <w:color w:val="000000"/>
                <w:sz w:val="22"/>
                <w:szCs w:val="22"/>
              </w:rPr>
              <w:t>0.0138</w:t>
            </w:r>
          </w:p>
        </w:tc>
        <w:tc>
          <w:tcPr>
            <w:tcW w:w="576" w:type="pct"/>
            <w:gridSpan w:val="2"/>
            <w:tcBorders>
              <w:top w:val="nil"/>
              <w:left w:val="nil"/>
              <w:bottom w:val="nil"/>
              <w:right w:val="nil"/>
            </w:tcBorders>
            <w:shd w:val="clear" w:color="auto" w:fill="auto"/>
            <w:noWrap/>
            <w:vAlign w:val="center"/>
          </w:tcPr>
          <w:p w14:paraId="7953FCC0" w14:textId="538E2009"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0.88%</w:t>
            </w:r>
          </w:p>
        </w:tc>
      </w:tr>
      <w:tr w:rsidR="007F1CD5" w:rsidRPr="007F1CD5" w14:paraId="4269CE12" w14:textId="77777777" w:rsidTr="007F1CD5">
        <w:trPr>
          <w:trHeight w:val="300"/>
        </w:trPr>
        <w:tc>
          <w:tcPr>
            <w:tcW w:w="1071" w:type="pct"/>
            <w:tcBorders>
              <w:top w:val="nil"/>
              <w:left w:val="nil"/>
              <w:bottom w:val="single" w:sz="4" w:space="0" w:color="auto"/>
              <w:right w:val="nil"/>
            </w:tcBorders>
            <w:shd w:val="clear" w:color="auto" w:fill="auto"/>
            <w:noWrap/>
            <w:vAlign w:val="bottom"/>
          </w:tcPr>
          <w:p w14:paraId="712936F5" w14:textId="77777777" w:rsidR="007F1CD5" w:rsidRPr="007F1CD5" w:rsidRDefault="007F1CD5" w:rsidP="007F1CD5">
            <w:pPr>
              <w:spacing w:line="240" w:lineRule="auto"/>
              <w:rPr>
                <w:rFonts w:asciiTheme="minorHAnsi" w:eastAsia="Calibri" w:hAnsiTheme="minorHAnsi" w:cstheme="minorHAnsi"/>
                <w:sz w:val="22"/>
                <w:szCs w:val="22"/>
                <w:lang w:val="en-US" w:eastAsia="en-US"/>
              </w:rPr>
            </w:pPr>
          </w:p>
        </w:tc>
        <w:tc>
          <w:tcPr>
            <w:tcW w:w="697" w:type="pct"/>
            <w:tcBorders>
              <w:top w:val="nil"/>
              <w:left w:val="nil"/>
              <w:bottom w:val="single" w:sz="4" w:space="0" w:color="auto"/>
              <w:right w:val="nil"/>
            </w:tcBorders>
            <w:shd w:val="clear" w:color="auto" w:fill="auto"/>
            <w:noWrap/>
            <w:vAlign w:val="center"/>
          </w:tcPr>
          <w:p w14:paraId="552E56C7" w14:textId="789E5AE9" w:rsidR="007F1CD5" w:rsidRPr="007F1CD5" w:rsidRDefault="00361409" w:rsidP="007F1CD5">
            <w:pPr>
              <w:spacing w:line="240" w:lineRule="auto"/>
              <w:rPr>
                <w:rFonts w:ascii="Calibri" w:hAnsi="Calibri" w:cs="Calibri"/>
                <w:color w:val="000000"/>
                <w:sz w:val="22"/>
                <w:szCs w:val="22"/>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single" w:sz="4" w:space="0" w:color="auto"/>
              <w:right w:val="nil"/>
            </w:tcBorders>
            <w:shd w:val="clear" w:color="auto" w:fill="auto"/>
            <w:noWrap/>
            <w:vAlign w:val="center"/>
          </w:tcPr>
          <w:p w14:paraId="6DC40135" w14:textId="57A86A27" w:rsidR="007F1CD5" w:rsidRPr="007F1CD5" w:rsidRDefault="00361409" w:rsidP="007F1CD5">
            <w:pPr>
              <w:spacing w:line="240" w:lineRule="auto"/>
              <w:rPr>
                <w:rFonts w:ascii="Calibri" w:hAnsi="Calibri" w:cs="Calibri"/>
                <w:color w:val="000000"/>
                <w:sz w:val="22"/>
                <w:szCs w:val="22"/>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single" w:sz="4" w:space="0" w:color="auto"/>
              <w:right w:val="nil"/>
            </w:tcBorders>
            <w:shd w:val="clear" w:color="auto" w:fill="auto"/>
            <w:noWrap/>
            <w:vAlign w:val="center"/>
          </w:tcPr>
          <w:p w14:paraId="136F4432" w14:textId="77003F8D" w:rsidR="007F1CD5" w:rsidRPr="007F1CD5" w:rsidRDefault="00361409" w:rsidP="007F1CD5">
            <w:pPr>
              <w:spacing w:line="240" w:lineRule="auto"/>
              <w:rPr>
                <w:rFonts w:ascii="Calibri" w:hAnsi="Calibri" w:cs="Calibri"/>
                <w:color w:val="000000"/>
                <w:sz w:val="22"/>
                <w:szCs w:val="22"/>
              </w:rPr>
            </w:pPr>
            <w:r>
              <w:rPr>
                <w:rFonts w:ascii="Calibri" w:hAnsi="Calibri" w:cs="Calibri"/>
                <w:color w:val="000000"/>
                <w:sz w:val="22"/>
                <w:szCs w:val="22"/>
              </w:rPr>
              <w:t>(</w:t>
            </w:r>
            <w:r w:rsidR="007F1CD5" w:rsidRPr="007F1CD5">
              <w:rPr>
                <w:rFonts w:ascii="Calibri" w:hAnsi="Calibri" w:cs="Calibri"/>
                <w:color w:val="000000"/>
                <w:sz w:val="22"/>
                <w:szCs w:val="22"/>
              </w:rPr>
              <w:t>0.0024</w:t>
            </w:r>
            <w:r>
              <w:rPr>
                <w:rFonts w:ascii="Calibri" w:hAnsi="Calibri" w:cs="Calibri"/>
                <w:color w:val="000000"/>
                <w:sz w:val="22"/>
                <w:szCs w:val="22"/>
              </w:rPr>
              <w:t>)</w:t>
            </w:r>
          </w:p>
        </w:tc>
        <w:tc>
          <w:tcPr>
            <w:tcW w:w="636" w:type="pct"/>
            <w:gridSpan w:val="2"/>
            <w:tcBorders>
              <w:top w:val="nil"/>
              <w:left w:val="nil"/>
              <w:bottom w:val="single" w:sz="4" w:space="0" w:color="auto"/>
              <w:right w:val="nil"/>
            </w:tcBorders>
            <w:shd w:val="clear" w:color="auto" w:fill="auto"/>
            <w:noWrap/>
            <w:vAlign w:val="center"/>
          </w:tcPr>
          <w:p w14:paraId="2E97E20B" w14:textId="23F5B42D" w:rsidR="007F1CD5" w:rsidRPr="007F1CD5" w:rsidRDefault="00361409" w:rsidP="007F1CD5">
            <w:pPr>
              <w:spacing w:line="240" w:lineRule="auto"/>
              <w:rPr>
                <w:rFonts w:ascii="Calibri" w:hAnsi="Calibri" w:cs="Calibri"/>
                <w:color w:val="000000"/>
                <w:sz w:val="22"/>
                <w:szCs w:val="22"/>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737" w:type="pct"/>
            <w:gridSpan w:val="2"/>
            <w:tcBorders>
              <w:top w:val="nil"/>
              <w:left w:val="nil"/>
              <w:bottom w:val="single" w:sz="4" w:space="0" w:color="auto"/>
              <w:right w:val="nil"/>
            </w:tcBorders>
            <w:shd w:val="clear" w:color="auto" w:fill="auto"/>
            <w:noWrap/>
            <w:vAlign w:val="center"/>
          </w:tcPr>
          <w:p w14:paraId="13C79C76" w14:textId="4662BCB0" w:rsidR="007F1CD5" w:rsidRPr="007F1CD5" w:rsidRDefault="00361409" w:rsidP="007F1CD5">
            <w:pPr>
              <w:spacing w:line="240" w:lineRule="auto"/>
              <w:rPr>
                <w:rFonts w:ascii="Calibri" w:hAnsi="Calibri" w:cs="Calibri"/>
                <w:color w:val="000000"/>
                <w:sz w:val="22"/>
                <w:szCs w:val="22"/>
              </w:rPr>
            </w:pPr>
            <w:r>
              <w:rPr>
                <w:rFonts w:ascii="Calibri" w:hAnsi="Calibri" w:cs="Calibri"/>
                <w:color w:val="000000"/>
                <w:sz w:val="22"/>
                <w:szCs w:val="22"/>
              </w:rPr>
              <w:t>(</w:t>
            </w:r>
            <w:r w:rsidR="007F1CD5" w:rsidRPr="007F1CD5">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single" w:sz="4" w:space="0" w:color="auto"/>
              <w:right w:val="nil"/>
            </w:tcBorders>
            <w:shd w:val="clear" w:color="auto" w:fill="auto"/>
            <w:noWrap/>
            <w:vAlign w:val="center"/>
          </w:tcPr>
          <w:p w14:paraId="6BCA13E3" w14:textId="2689A09D" w:rsidR="007F1CD5" w:rsidRPr="007F1CD5" w:rsidRDefault="007F1CD5" w:rsidP="007F1CD5">
            <w:pPr>
              <w:spacing w:line="240" w:lineRule="auto"/>
              <w:rPr>
                <w:rFonts w:asciiTheme="minorHAnsi" w:eastAsia="Calibri" w:hAnsiTheme="minorHAnsi" w:cstheme="minorHAnsi"/>
                <w:sz w:val="22"/>
                <w:szCs w:val="22"/>
                <w:lang w:val="en-US" w:eastAsia="en-US"/>
              </w:rPr>
            </w:pPr>
            <w:r w:rsidRPr="007F1CD5">
              <w:rPr>
                <w:rFonts w:ascii="Calibri" w:hAnsi="Calibri" w:cs="Calibri"/>
                <w:color w:val="000000"/>
                <w:sz w:val="22"/>
                <w:szCs w:val="22"/>
              </w:rPr>
              <w:t> </w:t>
            </w:r>
          </w:p>
        </w:tc>
      </w:tr>
    </w:tbl>
    <w:p w14:paraId="5D086430" w14:textId="77777777" w:rsidR="007F1CD5" w:rsidRPr="00265889" w:rsidRDefault="007F1CD5" w:rsidP="007F1CD5">
      <w:pPr>
        <w:spacing w:after="200" w:line="240" w:lineRule="auto"/>
        <w:rPr>
          <w:rFonts w:asciiTheme="minorHAnsi" w:eastAsia="Calibri" w:hAnsiTheme="minorHAnsi" w:cstheme="minorHAnsi"/>
          <w:iCs/>
          <w:lang w:val="en-US" w:eastAsia="en-US"/>
        </w:rPr>
      </w:pPr>
    </w:p>
    <w:p w14:paraId="2EE3900B" w14:textId="5E7CE458" w:rsidR="003751C2" w:rsidRDefault="00777512" w:rsidP="003751C2">
      <w:pPr>
        <w:spacing w:line="240" w:lineRule="auto"/>
        <w:rPr>
          <w:rFonts w:asciiTheme="minorHAnsi" w:eastAsia="Calibri" w:hAnsiTheme="minorHAnsi" w:cstheme="minorHAnsi"/>
          <w:sz w:val="22"/>
          <w:szCs w:val="22"/>
          <w:lang w:val="en-US"/>
        </w:rPr>
      </w:pPr>
      <w:r w:rsidRPr="00265889">
        <w:rPr>
          <w:rFonts w:asciiTheme="minorHAnsi" w:eastAsia="Calibri" w:hAnsiTheme="minorHAnsi" w:cstheme="minorHAnsi"/>
          <w:i/>
          <w:iCs/>
          <w:sz w:val="22"/>
          <w:szCs w:val="22"/>
          <w:lang w:val="en-US" w:eastAsia="en-US"/>
        </w:rPr>
        <w:t>Note:</w:t>
      </w:r>
      <w:r w:rsidRPr="004556EC">
        <w:rPr>
          <w:rFonts w:asciiTheme="minorHAnsi" w:eastAsia="Calibri" w:hAnsiTheme="minorHAnsi" w:cstheme="minorHAnsi"/>
          <w:sz w:val="22"/>
          <w:szCs w:val="22"/>
          <w:lang w:val="en-US" w:eastAsia="en-US"/>
        </w:rPr>
        <w:t xml:space="preserve"> Table </w:t>
      </w:r>
      <w:r w:rsidR="00F82B4A" w:rsidRPr="004556EC">
        <w:rPr>
          <w:rFonts w:asciiTheme="minorHAnsi" w:eastAsia="Calibri" w:hAnsiTheme="minorHAnsi" w:cstheme="minorHAnsi"/>
          <w:sz w:val="22"/>
          <w:szCs w:val="22"/>
          <w:lang w:val="en-US" w:eastAsia="en-US"/>
        </w:rPr>
        <w:t>3.</w:t>
      </w:r>
      <w:r w:rsidRPr="004556EC">
        <w:rPr>
          <w:rFonts w:asciiTheme="minorHAnsi" w:eastAsia="Calibri" w:hAnsiTheme="minorHAnsi" w:cstheme="minorHAnsi"/>
          <w:sz w:val="22"/>
          <w:szCs w:val="22"/>
          <w:lang w:val="en-US" w:eastAsia="en-US"/>
        </w:rPr>
        <w:t>6 reports the estimates from</w:t>
      </w:r>
      <w:r w:rsidR="00451703">
        <w:rPr>
          <w:rFonts w:asciiTheme="minorHAnsi" w:eastAsia="Calibri" w:hAnsiTheme="minorHAnsi" w:cstheme="minorHAnsi"/>
          <w:sz w:val="22"/>
          <w:szCs w:val="22"/>
          <w:lang w:val="en-US" w:eastAsia="en-US"/>
        </w:rPr>
        <w:t xml:space="preserve"> model 3.</w:t>
      </w:r>
      <w:r w:rsidRPr="004556EC">
        <w:rPr>
          <w:rFonts w:asciiTheme="minorHAnsi" w:eastAsia="Calibri" w:hAnsiTheme="minorHAnsi" w:cstheme="minorHAnsi"/>
          <w:sz w:val="22"/>
          <w:szCs w:val="22"/>
          <w:lang w:val="en-US" w:eastAsia="en-US"/>
        </w:rPr>
        <w:t xml:space="preserve"> </w:t>
      </w:r>
      <w:r w:rsidR="003751C2">
        <w:rPr>
          <w:rFonts w:asciiTheme="minorHAnsi" w:eastAsia="Calibri" w:hAnsiTheme="minorHAnsi" w:cstheme="minorHAnsi"/>
          <w:sz w:val="22"/>
          <w:szCs w:val="22"/>
          <w:lang w:val="en-US" w:eastAsia="en-US"/>
        </w:rPr>
        <w:t xml:space="preserve">The </w:t>
      </w:r>
      <w:r w:rsidR="003751C2" w:rsidRPr="00415EDD">
        <w:rPr>
          <w:rFonts w:asciiTheme="minorHAnsi" w:eastAsia="Calibri" w:hAnsiTheme="minorHAnsi" w:cstheme="minorHAnsi"/>
          <w:sz w:val="22"/>
          <w:szCs w:val="22"/>
          <w:lang w:val="en-US" w:eastAsia="en-US"/>
        </w:rPr>
        <w:t xml:space="preserve">associated p-values </w:t>
      </w:r>
      <w:r w:rsidR="003751C2" w:rsidRPr="004556EC">
        <w:rPr>
          <w:rFonts w:asciiTheme="minorHAnsi" w:eastAsia="Calibri" w:hAnsiTheme="minorHAnsi" w:cstheme="minorHAnsi"/>
          <w:sz w:val="22"/>
          <w:szCs w:val="22"/>
          <w:lang w:val="en-US" w:eastAsia="en-US"/>
        </w:rPr>
        <w:t>are reported in parentheses</w:t>
      </w:r>
      <w:r w:rsidR="003751C2">
        <w:rPr>
          <w:rFonts w:asciiTheme="minorHAnsi" w:eastAsia="Calibri" w:hAnsiTheme="minorHAnsi" w:cstheme="minorHAnsi"/>
          <w:sz w:val="22"/>
          <w:szCs w:val="22"/>
          <w:lang w:val="en-US" w:eastAsia="en-US"/>
        </w:rPr>
        <w:t xml:space="preserve">. </w:t>
      </w:r>
    </w:p>
    <w:p w14:paraId="26A9CEB5" w14:textId="6B19B9A7" w:rsidR="00800525" w:rsidRPr="004556EC" w:rsidRDefault="00800525" w:rsidP="003751C2">
      <w:pPr>
        <w:spacing w:line="240" w:lineRule="auto"/>
        <w:jc w:val="both"/>
        <w:rPr>
          <w:rFonts w:asciiTheme="minorHAnsi" w:eastAsia="Calibri" w:hAnsiTheme="minorHAnsi" w:cstheme="minorHAnsi"/>
          <w:lang w:val="en-US"/>
        </w:rPr>
      </w:pPr>
    </w:p>
    <w:p w14:paraId="271109EE" w14:textId="5C020D55" w:rsidR="00800525" w:rsidRPr="004556EC" w:rsidRDefault="00AE4061" w:rsidP="004558C6">
      <w:pPr>
        <w:spacing w:line="360" w:lineRule="auto"/>
        <w:jc w:val="both"/>
        <w:rPr>
          <w:rFonts w:asciiTheme="minorHAnsi" w:eastAsia="Calibri" w:hAnsiTheme="minorHAnsi" w:cstheme="minorHAnsi"/>
          <w:lang w:val="en-US"/>
        </w:rPr>
      </w:pPr>
      <w:r>
        <w:rPr>
          <w:rFonts w:asciiTheme="minorHAnsi" w:eastAsia="Calibri" w:hAnsiTheme="minorHAnsi" w:cstheme="minorHAnsi"/>
          <w:lang w:val="en-US"/>
        </w:rPr>
        <w:t xml:space="preserve">During </w:t>
      </w:r>
      <w:r w:rsidR="00800525" w:rsidRPr="004556EC">
        <w:rPr>
          <w:rFonts w:asciiTheme="minorHAnsi" w:eastAsia="Calibri" w:hAnsiTheme="minorHAnsi" w:cstheme="minorHAnsi"/>
          <w:lang w:val="en-US"/>
        </w:rPr>
        <w:t xml:space="preserve">low volatility </w:t>
      </w:r>
      <w:r>
        <w:rPr>
          <w:rFonts w:asciiTheme="minorHAnsi" w:eastAsia="Calibri" w:hAnsiTheme="minorHAnsi" w:cstheme="minorHAnsi"/>
          <w:lang w:val="en-US"/>
        </w:rPr>
        <w:t xml:space="preserve">periods, herding is only </w:t>
      </w:r>
      <w:r w:rsidR="00DB1DA1">
        <w:rPr>
          <w:rFonts w:asciiTheme="minorHAnsi" w:eastAsia="Calibri" w:hAnsiTheme="minorHAnsi" w:cstheme="minorHAnsi"/>
          <w:lang w:val="en-US"/>
        </w:rPr>
        <w:t xml:space="preserve">present in the Telecoms sector. </w:t>
      </w:r>
      <w:r w:rsidR="00AC5F25">
        <w:rPr>
          <w:rFonts w:asciiTheme="minorHAnsi" w:eastAsia="Calibri" w:hAnsiTheme="minorHAnsi" w:cstheme="minorHAnsi"/>
          <w:lang w:val="en-US"/>
        </w:rPr>
        <w:t xml:space="preserve">However, anti-herding is present in all other sectors except Telecoms. </w:t>
      </w:r>
    </w:p>
    <w:p w14:paraId="4250AFB5" w14:textId="3C4EA09E" w:rsidR="00921645" w:rsidRPr="004556EC" w:rsidRDefault="008502D1" w:rsidP="004558C6">
      <w:pPr>
        <w:pStyle w:val="Heading3"/>
        <w:rPr>
          <w:rFonts w:asciiTheme="minorHAnsi" w:eastAsia="Calibri" w:hAnsiTheme="minorHAnsi" w:cstheme="minorHAnsi"/>
          <w:lang w:val="en-US" w:eastAsia="en-US"/>
        </w:rPr>
      </w:pPr>
      <w:r w:rsidRPr="004556EC">
        <w:rPr>
          <w:rFonts w:asciiTheme="minorHAnsi" w:hAnsiTheme="minorHAnsi" w:cstheme="minorHAnsi"/>
          <w:lang w:eastAsia="en-US"/>
        </w:rPr>
        <w:t>3.5</w:t>
      </w:r>
      <w:r w:rsidR="00F82B4A" w:rsidRPr="004556EC">
        <w:rPr>
          <w:rFonts w:asciiTheme="minorHAnsi" w:hAnsiTheme="minorHAnsi" w:cstheme="minorHAnsi"/>
          <w:lang w:eastAsia="en-US"/>
        </w:rPr>
        <w:t xml:space="preserve">. </w:t>
      </w:r>
      <w:r w:rsidR="00921645" w:rsidRPr="004556EC">
        <w:rPr>
          <w:rFonts w:asciiTheme="minorHAnsi" w:hAnsiTheme="minorHAnsi" w:cstheme="minorHAnsi"/>
          <w:lang w:eastAsia="en-US"/>
        </w:rPr>
        <w:t>The effect of volume on herding</w:t>
      </w:r>
    </w:p>
    <w:p w14:paraId="5903EAB9" w14:textId="4BAE95D4" w:rsidR="00490980" w:rsidRDefault="00490980" w:rsidP="00265889">
      <w:pPr>
        <w:pStyle w:val="Newparagraph"/>
        <w:spacing w:line="360" w:lineRule="auto"/>
        <w:ind w:firstLine="0"/>
        <w:jc w:val="both"/>
        <w:rPr>
          <w:rFonts w:asciiTheme="minorHAnsi" w:eastAsia="Calibri" w:hAnsiTheme="minorHAnsi" w:cstheme="minorHAnsi"/>
          <w:lang w:eastAsia="en-US"/>
        </w:rPr>
      </w:pPr>
      <w:r w:rsidRPr="004556EC">
        <w:rPr>
          <w:rFonts w:asciiTheme="minorHAnsi" w:eastAsia="Calibri" w:hAnsiTheme="minorHAnsi" w:cstheme="minorHAnsi"/>
          <w:lang w:val="en-US" w:eastAsia="en-US"/>
        </w:rPr>
        <w:t>To</w:t>
      </w:r>
      <w:r w:rsidR="00442363" w:rsidRPr="004556EC">
        <w:rPr>
          <w:rFonts w:asciiTheme="minorHAnsi" w:eastAsia="Calibri" w:hAnsiTheme="minorHAnsi" w:cstheme="minorHAnsi"/>
          <w:lang w:val="en-US" w:eastAsia="en-US"/>
        </w:rPr>
        <w:t xml:space="preserve"> investigate herd behavio</w:t>
      </w:r>
      <w:r w:rsidR="00F2461A">
        <w:rPr>
          <w:rFonts w:asciiTheme="minorHAnsi" w:eastAsia="Calibri" w:hAnsiTheme="minorHAnsi" w:cstheme="minorHAnsi"/>
          <w:lang w:val="en-US" w:eastAsia="en-US"/>
        </w:rPr>
        <w:t>u</w:t>
      </w:r>
      <w:r w:rsidR="00442363" w:rsidRPr="004556EC">
        <w:rPr>
          <w:rFonts w:asciiTheme="minorHAnsi" w:eastAsia="Calibri" w:hAnsiTheme="minorHAnsi" w:cstheme="minorHAnsi"/>
          <w:lang w:val="en-US" w:eastAsia="en-US"/>
        </w:rPr>
        <w:t xml:space="preserve">r in periods of high and low trading volume, we </w:t>
      </w:r>
      <w:r w:rsidR="00442363" w:rsidRPr="004556EC">
        <w:rPr>
          <w:rFonts w:asciiTheme="minorHAnsi" w:eastAsia="Calibri" w:hAnsiTheme="minorHAnsi" w:cstheme="minorHAnsi"/>
          <w:noProof/>
          <w:lang w:val="en-US" w:eastAsia="en-US"/>
        </w:rPr>
        <w:t>utilise</w:t>
      </w:r>
      <w:r w:rsidR="00442363" w:rsidRPr="004556EC">
        <w:rPr>
          <w:rFonts w:asciiTheme="minorHAnsi" w:eastAsia="Calibri" w:hAnsiTheme="minorHAnsi" w:cstheme="minorHAnsi"/>
          <w:lang w:val="en-US" w:eastAsia="en-US"/>
        </w:rPr>
        <w:t xml:space="preserve"> </w:t>
      </w:r>
      <w:r w:rsidRPr="004556EC">
        <w:rPr>
          <w:rFonts w:asciiTheme="minorHAnsi" w:eastAsia="Calibri" w:hAnsiTheme="minorHAnsi" w:cstheme="minorHAnsi"/>
          <w:lang w:val="en-US" w:eastAsia="en-US"/>
        </w:rPr>
        <w:t>equation (5</w:t>
      </w:r>
      <w:r w:rsidR="00442363" w:rsidRPr="004556EC">
        <w:rPr>
          <w:rFonts w:asciiTheme="minorHAnsi" w:eastAsia="Calibri" w:hAnsiTheme="minorHAnsi" w:cstheme="minorHAnsi"/>
          <w:lang w:val="en-US" w:eastAsia="en-US"/>
        </w:rPr>
        <w:t>) to capture a possible asymmetric relationship between CSAD and trading volume.</w:t>
      </w:r>
      <w:r w:rsidR="002150F3" w:rsidRPr="004556EC">
        <w:rPr>
          <w:rFonts w:asciiTheme="minorHAnsi" w:eastAsia="Calibri" w:hAnsiTheme="minorHAnsi" w:cstheme="minorHAnsi"/>
          <w:lang w:val="en-US" w:eastAsia="en-US"/>
        </w:rPr>
        <w:t xml:space="preserve"> </w:t>
      </w:r>
      <w:r w:rsidRPr="004556EC">
        <w:rPr>
          <w:rFonts w:asciiTheme="minorHAnsi" w:eastAsia="Calibri" w:hAnsiTheme="minorHAnsi" w:cstheme="minorHAnsi"/>
          <w:lang w:val="en-US" w:eastAsia="en-US"/>
        </w:rPr>
        <w:t xml:space="preserve">The results for the overall market are reported in Table </w:t>
      </w:r>
      <w:r w:rsidR="00F82B4A" w:rsidRPr="004556EC">
        <w:rPr>
          <w:rFonts w:asciiTheme="minorHAnsi" w:eastAsia="Calibri" w:hAnsiTheme="minorHAnsi" w:cstheme="minorHAnsi"/>
          <w:lang w:val="en-US" w:eastAsia="en-US"/>
        </w:rPr>
        <w:t>3.</w:t>
      </w:r>
      <w:r w:rsidRPr="004556EC">
        <w:rPr>
          <w:rFonts w:asciiTheme="minorHAnsi" w:eastAsia="Calibri" w:hAnsiTheme="minorHAnsi" w:cstheme="minorHAnsi"/>
          <w:lang w:val="en-US" w:eastAsia="en-US"/>
        </w:rPr>
        <w:t xml:space="preserve">7. </w:t>
      </w:r>
      <w:r w:rsidRPr="004556EC">
        <w:rPr>
          <w:rFonts w:asciiTheme="minorHAnsi" w:eastAsia="Calibri" w:hAnsiTheme="minorHAnsi" w:cstheme="minorHAnsi"/>
          <w:lang w:eastAsia="en-US"/>
        </w:rPr>
        <w:t xml:space="preserve">In periods of high trading volume, the </w:t>
      </w:r>
      <m:oMath>
        <m:sSub>
          <m:sSubPr>
            <m:ctrlPr>
              <w:rPr>
                <w:rFonts w:ascii="Cambria Math" w:eastAsia="Calibri" w:hAnsi="Cambria Math" w:cstheme="minorHAnsi"/>
                <w:lang w:val="en-US" w:eastAsia="en-US"/>
              </w:rPr>
            </m:ctrlPr>
          </m:sSubPr>
          <m:e>
            <m:r>
              <w:rPr>
                <w:rFonts w:ascii="Cambria Math" w:eastAsia="Calibri" w:hAnsi="Cambria Math" w:cstheme="minorHAnsi"/>
                <w:lang w:val="en-US" w:eastAsia="en-US"/>
              </w:rPr>
              <m:t>γ</m:t>
            </m:r>
          </m:e>
          <m:sub>
            <m:r>
              <m:rPr>
                <m:sty m:val="p"/>
              </m:rPr>
              <w:rPr>
                <w:rFonts w:ascii="Cambria Math" w:eastAsia="Calibri" w:hAnsi="Cambria Math" w:cstheme="minorHAnsi"/>
                <w:lang w:val="en-US" w:eastAsia="en-US"/>
              </w:rPr>
              <m:t xml:space="preserve">3  </m:t>
            </m:r>
          </m:sub>
        </m:sSub>
      </m:oMath>
      <w:r w:rsidRPr="004556EC">
        <w:rPr>
          <w:rFonts w:asciiTheme="minorHAnsi" w:eastAsia="Calibri" w:hAnsiTheme="minorHAnsi" w:cstheme="minorHAnsi"/>
          <w:vertAlign w:val="subscript"/>
          <w:lang w:eastAsia="en-US"/>
        </w:rPr>
        <w:t xml:space="preserve"> </w:t>
      </w:r>
      <w:r w:rsidRPr="004556EC">
        <w:rPr>
          <w:rFonts w:asciiTheme="minorHAnsi" w:eastAsia="Calibri" w:hAnsiTheme="minorHAnsi" w:cstheme="minorHAnsi"/>
          <w:lang w:eastAsia="en-US"/>
        </w:rPr>
        <w:t xml:space="preserve">coefficient is positive and statistically </w:t>
      </w:r>
      <w:r w:rsidR="00D549EC">
        <w:rPr>
          <w:rFonts w:asciiTheme="minorHAnsi" w:eastAsia="Calibri" w:hAnsiTheme="minorHAnsi" w:cstheme="minorHAnsi"/>
          <w:lang w:eastAsia="en-US"/>
        </w:rPr>
        <w:t>in</w:t>
      </w:r>
      <w:r w:rsidRPr="004556EC">
        <w:rPr>
          <w:rFonts w:asciiTheme="minorHAnsi" w:eastAsia="Calibri" w:hAnsiTheme="minorHAnsi" w:cstheme="minorHAnsi"/>
          <w:lang w:eastAsia="en-US"/>
        </w:rPr>
        <w:t xml:space="preserve">significant, indicating that the cross-sectional dispersion is higher compared to levels suggested by rational asset pricing models. Hence, there is no asymmetric effect of herding during periods of </w:t>
      </w:r>
      <w:r w:rsidRPr="004556EC">
        <w:rPr>
          <w:rFonts w:asciiTheme="minorHAnsi" w:eastAsia="Calibri" w:hAnsiTheme="minorHAnsi" w:cstheme="minorHAnsi"/>
          <w:lang w:eastAsia="en-US"/>
        </w:rPr>
        <w:lastRenderedPageBreak/>
        <w:t xml:space="preserve">high trading volume. </w:t>
      </w:r>
      <w:r w:rsidR="007176FC">
        <w:rPr>
          <w:rFonts w:asciiTheme="minorHAnsi" w:eastAsia="Calibri" w:hAnsiTheme="minorHAnsi" w:cstheme="minorHAnsi"/>
          <w:lang w:eastAsia="en-US"/>
        </w:rPr>
        <w:t>We observe a</w:t>
      </w:r>
      <w:r w:rsidRPr="004556EC">
        <w:rPr>
          <w:rFonts w:asciiTheme="minorHAnsi" w:eastAsia="Calibri" w:hAnsiTheme="minorHAnsi" w:cstheme="minorHAnsi"/>
          <w:lang w:eastAsia="en-US"/>
        </w:rPr>
        <w:t xml:space="preserve"> </w:t>
      </w:r>
      <w:r w:rsidR="00D549EC">
        <w:rPr>
          <w:rFonts w:asciiTheme="minorHAnsi" w:eastAsia="Calibri" w:hAnsiTheme="minorHAnsi" w:cstheme="minorHAnsi"/>
          <w:lang w:eastAsia="en-US"/>
        </w:rPr>
        <w:t>positive and significant</w:t>
      </w:r>
      <w:r w:rsidRPr="004556EC">
        <w:rPr>
          <w:rFonts w:asciiTheme="minorHAnsi" w:eastAsia="Calibri" w:hAnsiTheme="minorHAnsi" w:cstheme="minorHAnsi"/>
          <w:lang w:eastAsia="en-US"/>
        </w:rPr>
        <w:t xml:space="preserve"> </w:t>
      </w:r>
      <m:oMath>
        <m:sSub>
          <m:sSubPr>
            <m:ctrlPr>
              <w:rPr>
                <w:rFonts w:ascii="Cambria Math" w:eastAsia="Calibri" w:hAnsi="Cambria Math" w:cstheme="minorHAnsi"/>
                <w:lang w:val="en-US" w:eastAsia="en-US"/>
              </w:rPr>
            </m:ctrlPr>
          </m:sSubPr>
          <m:e>
            <m:r>
              <w:rPr>
                <w:rFonts w:ascii="Cambria Math" w:eastAsia="Calibri" w:hAnsi="Cambria Math" w:cstheme="minorHAnsi"/>
                <w:lang w:val="en-US" w:eastAsia="en-US"/>
              </w:rPr>
              <m:t>γ</m:t>
            </m:r>
          </m:e>
          <m:sub>
            <m:r>
              <m:rPr>
                <m:sty m:val="p"/>
              </m:rPr>
              <w:rPr>
                <w:rFonts w:ascii="Cambria Math" w:eastAsia="Calibri" w:hAnsi="Cambria Math" w:cstheme="minorHAnsi"/>
                <w:lang w:val="en-US" w:eastAsia="en-US"/>
              </w:rPr>
              <m:t xml:space="preserve">4  </m:t>
            </m:r>
          </m:sub>
        </m:sSub>
      </m:oMath>
      <w:r w:rsidRPr="004556EC">
        <w:rPr>
          <w:rFonts w:asciiTheme="minorHAnsi" w:eastAsia="Calibri" w:hAnsiTheme="minorHAnsi" w:cstheme="minorHAnsi"/>
          <w:lang w:eastAsia="en-US"/>
        </w:rPr>
        <w:t xml:space="preserve"> coefficient</w:t>
      </w:r>
      <w:r w:rsidR="007176FC">
        <w:rPr>
          <w:rFonts w:asciiTheme="minorHAnsi" w:eastAsia="Calibri" w:hAnsiTheme="minorHAnsi" w:cstheme="minorHAnsi"/>
          <w:lang w:eastAsia="en-US"/>
        </w:rPr>
        <w:t xml:space="preserve"> during </w:t>
      </w:r>
      <w:r w:rsidR="007176FC" w:rsidRPr="004556EC">
        <w:rPr>
          <w:rFonts w:asciiTheme="minorHAnsi" w:eastAsia="Calibri" w:hAnsiTheme="minorHAnsi" w:cstheme="minorHAnsi"/>
          <w:lang w:eastAsia="en-US"/>
        </w:rPr>
        <w:t xml:space="preserve">low trading volume </w:t>
      </w:r>
      <w:r w:rsidR="007176FC">
        <w:rPr>
          <w:rFonts w:asciiTheme="minorHAnsi" w:eastAsia="Calibri" w:hAnsiTheme="minorHAnsi" w:cstheme="minorHAnsi"/>
          <w:lang w:eastAsia="en-US"/>
        </w:rPr>
        <w:t xml:space="preserve">periods, which indicates a tendency of investors to anti-herd. </w:t>
      </w:r>
      <w:r w:rsidR="00AA564D">
        <w:rPr>
          <w:rFonts w:asciiTheme="minorHAnsi" w:eastAsia="Calibri" w:hAnsiTheme="minorHAnsi" w:cstheme="minorHAnsi"/>
          <w:lang w:eastAsia="en-US"/>
        </w:rPr>
        <w:t>Overall, t</w:t>
      </w:r>
      <w:r w:rsidRPr="004556EC">
        <w:rPr>
          <w:rFonts w:asciiTheme="minorHAnsi" w:eastAsia="Calibri" w:hAnsiTheme="minorHAnsi" w:cstheme="minorHAnsi"/>
          <w:lang w:eastAsia="en-US"/>
        </w:rPr>
        <w:t xml:space="preserve">he evidence shows that using market level data, investors do not herd regardless of the trading volume hence herding is not related to trading volume. </w:t>
      </w:r>
    </w:p>
    <w:p w14:paraId="1FA63F3B" w14:textId="77777777" w:rsidR="00D662AC" w:rsidRDefault="00D662AC" w:rsidP="0011693D">
      <w:pPr>
        <w:spacing w:after="200" w:line="360" w:lineRule="auto"/>
        <w:rPr>
          <w:rFonts w:asciiTheme="minorHAnsi" w:eastAsia="Calibri" w:hAnsiTheme="minorHAnsi" w:cstheme="minorHAnsi"/>
          <w:b/>
          <w:iCs/>
          <w:szCs w:val="18"/>
          <w:lang w:eastAsia="en-US"/>
        </w:rPr>
      </w:pPr>
    </w:p>
    <w:p w14:paraId="5B0F977D" w14:textId="6D7E4191" w:rsidR="00777512" w:rsidRPr="004556EC" w:rsidRDefault="00777512" w:rsidP="00D662AC">
      <w:pPr>
        <w:spacing w:after="200" w:line="360" w:lineRule="auto"/>
        <w:ind w:firstLine="720"/>
        <w:jc w:val="center"/>
        <w:rPr>
          <w:rFonts w:asciiTheme="minorHAnsi" w:eastAsia="Calibri" w:hAnsiTheme="minorHAnsi" w:cstheme="minorHAnsi"/>
          <w:b/>
          <w:iCs/>
          <w:szCs w:val="18"/>
          <w:lang w:eastAsia="en-US"/>
        </w:rPr>
      </w:pPr>
      <w:r w:rsidRPr="004556EC">
        <w:rPr>
          <w:rFonts w:asciiTheme="minorHAnsi" w:eastAsia="Calibri" w:hAnsiTheme="minorHAnsi" w:cstheme="minorHAnsi"/>
          <w:b/>
          <w:iCs/>
          <w:szCs w:val="18"/>
          <w:lang w:eastAsia="en-US"/>
        </w:rPr>
        <w:t xml:space="preserve">Table </w:t>
      </w:r>
      <w:r w:rsidR="00F82B4A" w:rsidRPr="004556EC">
        <w:rPr>
          <w:rFonts w:asciiTheme="minorHAnsi" w:eastAsia="Calibri" w:hAnsiTheme="minorHAnsi" w:cstheme="minorHAnsi"/>
          <w:b/>
          <w:iCs/>
          <w:szCs w:val="18"/>
          <w:lang w:eastAsia="en-US"/>
        </w:rPr>
        <w:t>3.</w:t>
      </w:r>
      <w:r w:rsidRPr="004556EC">
        <w:rPr>
          <w:rFonts w:asciiTheme="minorHAnsi" w:eastAsia="Calibri" w:hAnsiTheme="minorHAnsi" w:cstheme="minorHAnsi"/>
          <w:b/>
          <w:iCs/>
          <w:szCs w:val="18"/>
          <w:lang w:eastAsia="en-US"/>
        </w:rPr>
        <w:t>7</w:t>
      </w:r>
      <w:r w:rsidR="00F82B4A" w:rsidRPr="004556EC">
        <w:rPr>
          <w:rFonts w:asciiTheme="minorHAnsi" w:eastAsia="Calibri" w:hAnsiTheme="minorHAnsi" w:cstheme="minorHAnsi"/>
          <w:b/>
          <w:iCs/>
          <w:szCs w:val="18"/>
          <w:lang w:eastAsia="en-US"/>
        </w:rPr>
        <w:t>.</w:t>
      </w:r>
      <w:r w:rsidRPr="004556EC">
        <w:rPr>
          <w:rFonts w:asciiTheme="minorHAnsi" w:eastAsia="Calibri" w:hAnsiTheme="minorHAnsi" w:cstheme="minorHAnsi"/>
          <w:b/>
          <w:iCs/>
          <w:szCs w:val="18"/>
          <w:lang w:eastAsia="en-US"/>
        </w:rPr>
        <w:t xml:space="preserve"> Estimates of herding during periods of high and low volume for the overall US market</w:t>
      </w:r>
    </w:p>
    <w:tbl>
      <w:tblPr>
        <w:tblW w:w="7978" w:type="dxa"/>
        <w:tblLook w:val="04A0" w:firstRow="1" w:lastRow="0" w:firstColumn="1" w:lastColumn="0" w:noHBand="0" w:noVBand="1"/>
      </w:tblPr>
      <w:tblGrid>
        <w:gridCol w:w="1728"/>
        <w:gridCol w:w="1142"/>
        <w:gridCol w:w="1099"/>
        <w:gridCol w:w="1276"/>
        <w:gridCol w:w="1134"/>
        <w:gridCol w:w="1134"/>
        <w:gridCol w:w="935"/>
      </w:tblGrid>
      <w:tr w:rsidR="008B6956" w:rsidRPr="001974B9" w14:paraId="7C251E68" w14:textId="77777777" w:rsidTr="00361409">
        <w:trPr>
          <w:trHeight w:val="307"/>
        </w:trPr>
        <w:tc>
          <w:tcPr>
            <w:tcW w:w="1728" w:type="dxa"/>
            <w:tcBorders>
              <w:top w:val="single" w:sz="4" w:space="0" w:color="auto"/>
              <w:left w:val="nil"/>
              <w:bottom w:val="single" w:sz="4" w:space="0" w:color="auto"/>
              <w:right w:val="nil"/>
            </w:tcBorders>
            <w:shd w:val="clear" w:color="auto" w:fill="auto"/>
            <w:noWrap/>
            <w:vAlign w:val="bottom"/>
            <w:hideMark/>
          </w:tcPr>
          <w:p w14:paraId="7EBFDF64" w14:textId="77777777" w:rsidR="008B6956" w:rsidRPr="001974B9" w:rsidRDefault="008B6956" w:rsidP="00621757">
            <w:pPr>
              <w:spacing w:line="360" w:lineRule="auto"/>
              <w:rPr>
                <w:rFonts w:asciiTheme="minorHAnsi" w:hAnsiTheme="minorHAnsi" w:cstheme="minorHAnsi"/>
                <w:lang w:val="en-US"/>
              </w:rPr>
            </w:pPr>
            <w:r w:rsidRPr="001974B9">
              <w:rPr>
                <w:rFonts w:asciiTheme="minorHAnsi" w:hAnsiTheme="minorHAnsi" w:cstheme="minorHAnsi"/>
                <w:lang w:val="en-US"/>
              </w:rPr>
              <w:t>Estimated Parameters</w:t>
            </w:r>
          </w:p>
        </w:tc>
        <w:tc>
          <w:tcPr>
            <w:tcW w:w="1142" w:type="dxa"/>
            <w:tcBorders>
              <w:top w:val="single" w:sz="4" w:space="0" w:color="auto"/>
              <w:left w:val="nil"/>
              <w:bottom w:val="single" w:sz="4" w:space="0" w:color="auto"/>
              <w:right w:val="nil"/>
            </w:tcBorders>
            <w:shd w:val="clear" w:color="auto" w:fill="auto"/>
            <w:noWrap/>
            <w:vAlign w:val="center"/>
            <w:hideMark/>
          </w:tcPr>
          <w:p w14:paraId="21E9F0EC" w14:textId="77777777" w:rsidR="008B6956" w:rsidRPr="001974B9" w:rsidRDefault="008B6956" w:rsidP="00361409">
            <w:pPr>
              <w:spacing w:line="360" w:lineRule="auto"/>
              <w:jc w:val="center"/>
              <w:rPr>
                <w:rFonts w:asciiTheme="minorHAnsi" w:hAnsiTheme="minorHAnsi" w:cstheme="minorHAnsi"/>
                <w:lang w:val="en-US"/>
              </w:rPr>
            </w:pPr>
            <w:r w:rsidRPr="001974B9">
              <w:rPr>
                <w:rFonts w:asciiTheme="minorHAnsi" w:hAnsiTheme="minorHAnsi" w:cstheme="minorHAnsi"/>
                <w:lang w:val="en-US"/>
              </w:rPr>
              <w:t>α</w:t>
            </w:r>
          </w:p>
        </w:tc>
        <w:tc>
          <w:tcPr>
            <w:tcW w:w="1099" w:type="dxa"/>
            <w:tcBorders>
              <w:top w:val="single" w:sz="4" w:space="0" w:color="auto"/>
              <w:left w:val="nil"/>
              <w:bottom w:val="single" w:sz="4" w:space="0" w:color="auto"/>
              <w:right w:val="nil"/>
            </w:tcBorders>
            <w:shd w:val="clear" w:color="auto" w:fill="auto"/>
            <w:noWrap/>
            <w:vAlign w:val="center"/>
            <w:hideMark/>
          </w:tcPr>
          <w:p w14:paraId="26CC4F4C" w14:textId="1E655A1C" w:rsidR="008B6956" w:rsidRPr="001974B9" w:rsidRDefault="008B6956" w:rsidP="00361409">
            <w:pPr>
              <w:spacing w:line="360" w:lineRule="auto"/>
              <w:jc w:val="center"/>
              <w:rPr>
                <w:rFonts w:asciiTheme="minorHAnsi" w:hAnsiTheme="minorHAnsi" w:cstheme="minorHAnsi"/>
                <w:lang w:val="en-US"/>
              </w:rPr>
            </w:pPr>
            <m:oMathPara>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1  </m:t>
                    </m:r>
                  </m:sub>
                </m:sSub>
              </m:oMath>
            </m:oMathPara>
          </w:p>
        </w:tc>
        <w:tc>
          <w:tcPr>
            <w:tcW w:w="1276" w:type="dxa"/>
            <w:tcBorders>
              <w:top w:val="single" w:sz="4" w:space="0" w:color="auto"/>
              <w:left w:val="nil"/>
              <w:bottom w:val="single" w:sz="4" w:space="0" w:color="auto"/>
              <w:right w:val="nil"/>
            </w:tcBorders>
            <w:shd w:val="clear" w:color="auto" w:fill="auto"/>
            <w:noWrap/>
            <w:vAlign w:val="center"/>
            <w:hideMark/>
          </w:tcPr>
          <w:p w14:paraId="070AEDFB" w14:textId="313E9B05" w:rsidR="008B6956" w:rsidRPr="001974B9" w:rsidRDefault="008B6956" w:rsidP="00361409">
            <w:pPr>
              <w:spacing w:line="360" w:lineRule="auto"/>
              <w:jc w:val="center"/>
              <w:rPr>
                <w:rFonts w:asciiTheme="minorHAnsi" w:hAnsiTheme="minorHAnsi" w:cstheme="minorHAnsi"/>
                <w:lang w:val="en-US"/>
              </w:rPr>
            </w:pPr>
            <m:oMathPara>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2  </m:t>
                    </m:r>
                  </m:sub>
                </m:sSub>
              </m:oMath>
            </m:oMathPara>
          </w:p>
        </w:tc>
        <w:tc>
          <w:tcPr>
            <w:tcW w:w="1134" w:type="dxa"/>
            <w:tcBorders>
              <w:top w:val="single" w:sz="4" w:space="0" w:color="auto"/>
              <w:left w:val="nil"/>
              <w:bottom w:val="single" w:sz="4" w:space="0" w:color="auto"/>
              <w:right w:val="nil"/>
            </w:tcBorders>
            <w:shd w:val="clear" w:color="auto" w:fill="auto"/>
            <w:noWrap/>
            <w:vAlign w:val="center"/>
            <w:hideMark/>
          </w:tcPr>
          <w:p w14:paraId="495861B7" w14:textId="49CDE728" w:rsidR="008B6956" w:rsidRPr="001974B9" w:rsidRDefault="008B6956" w:rsidP="00361409">
            <w:pPr>
              <w:spacing w:line="360" w:lineRule="auto"/>
              <w:jc w:val="center"/>
              <w:rPr>
                <w:rFonts w:asciiTheme="minorHAnsi" w:hAnsiTheme="minorHAnsi" w:cstheme="minorHAnsi"/>
                <w:lang w:val="en-US"/>
              </w:rPr>
            </w:pPr>
            <m:oMathPara>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3  </m:t>
                    </m:r>
                  </m:sub>
                </m:sSub>
              </m:oMath>
            </m:oMathPara>
          </w:p>
        </w:tc>
        <w:tc>
          <w:tcPr>
            <w:tcW w:w="1134" w:type="dxa"/>
            <w:tcBorders>
              <w:top w:val="single" w:sz="4" w:space="0" w:color="auto"/>
              <w:left w:val="nil"/>
              <w:bottom w:val="single" w:sz="4" w:space="0" w:color="auto"/>
              <w:right w:val="nil"/>
            </w:tcBorders>
            <w:shd w:val="clear" w:color="auto" w:fill="auto"/>
            <w:noWrap/>
            <w:vAlign w:val="center"/>
            <w:hideMark/>
          </w:tcPr>
          <w:p w14:paraId="5EA997C6" w14:textId="7B29C949" w:rsidR="008B6956" w:rsidRPr="001974B9" w:rsidRDefault="008B6956" w:rsidP="00361409">
            <w:pPr>
              <w:spacing w:line="360" w:lineRule="auto"/>
              <w:jc w:val="center"/>
              <w:rPr>
                <w:rFonts w:asciiTheme="minorHAnsi" w:hAnsiTheme="minorHAnsi" w:cstheme="minorHAnsi"/>
                <w:lang w:val="en-US"/>
              </w:rPr>
            </w:pPr>
            <m:oMathPara>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4  </m:t>
                    </m:r>
                  </m:sub>
                </m:sSub>
              </m:oMath>
            </m:oMathPara>
          </w:p>
        </w:tc>
        <w:tc>
          <w:tcPr>
            <w:tcW w:w="465" w:type="dxa"/>
            <w:tcBorders>
              <w:top w:val="single" w:sz="4" w:space="0" w:color="auto"/>
              <w:left w:val="nil"/>
              <w:bottom w:val="single" w:sz="4" w:space="0" w:color="auto"/>
              <w:right w:val="nil"/>
            </w:tcBorders>
            <w:shd w:val="clear" w:color="auto" w:fill="auto"/>
            <w:noWrap/>
            <w:vAlign w:val="center"/>
            <w:hideMark/>
          </w:tcPr>
          <w:p w14:paraId="2B306F28" w14:textId="0D1BFAF8" w:rsidR="008B6956" w:rsidRPr="001974B9" w:rsidRDefault="008B6956" w:rsidP="00361409">
            <w:pPr>
              <w:spacing w:line="360" w:lineRule="auto"/>
              <w:jc w:val="center"/>
              <w:rPr>
                <w:rFonts w:asciiTheme="minorHAnsi" w:hAnsiTheme="minorHAnsi" w:cstheme="minorHAnsi"/>
                <w:lang w:val="en-US"/>
              </w:rPr>
            </w:pPr>
            <w:r w:rsidRPr="001974B9">
              <w:rPr>
                <w:rFonts w:asciiTheme="minorHAnsi" w:hAnsiTheme="minorHAnsi" w:cstheme="minorHAnsi"/>
                <w:lang w:val="en-US"/>
              </w:rPr>
              <w:t>Adj. R</w:t>
            </w:r>
            <w:r w:rsidRPr="001974B9">
              <w:rPr>
                <w:rFonts w:asciiTheme="minorHAnsi" w:hAnsiTheme="minorHAnsi" w:cstheme="minorHAnsi"/>
                <w:vertAlign w:val="superscript"/>
                <w:lang w:val="en-US"/>
              </w:rPr>
              <w:t>2</w:t>
            </w:r>
          </w:p>
        </w:tc>
      </w:tr>
      <w:tr w:rsidR="008B6956" w:rsidRPr="001974B9" w14:paraId="7757A84C" w14:textId="77777777" w:rsidTr="00621757">
        <w:trPr>
          <w:trHeight w:val="307"/>
        </w:trPr>
        <w:tc>
          <w:tcPr>
            <w:tcW w:w="1728" w:type="dxa"/>
            <w:tcBorders>
              <w:top w:val="nil"/>
              <w:left w:val="nil"/>
              <w:bottom w:val="nil"/>
              <w:right w:val="nil"/>
            </w:tcBorders>
            <w:shd w:val="clear" w:color="auto" w:fill="auto"/>
            <w:noWrap/>
            <w:vAlign w:val="bottom"/>
            <w:hideMark/>
          </w:tcPr>
          <w:p w14:paraId="370C638F" w14:textId="77777777" w:rsidR="008B6956" w:rsidRPr="001974B9" w:rsidRDefault="008B6956" w:rsidP="00621757">
            <w:pPr>
              <w:spacing w:line="360" w:lineRule="auto"/>
              <w:rPr>
                <w:rFonts w:asciiTheme="minorHAnsi" w:hAnsiTheme="minorHAnsi" w:cstheme="minorHAnsi"/>
                <w:lang w:val="en-US"/>
              </w:rPr>
            </w:pPr>
            <w:r w:rsidRPr="001974B9">
              <w:rPr>
                <w:rFonts w:asciiTheme="minorHAnsi" w:hAnsiTheme="minorHAnsi" w:cstheme="minorHAnsi"/>
                <w:lang w:val="en-US"/>
              </w:rPr>
              <w:t> </w:t>
            </w:r>
          </w:p>
        </w:tc>
        <w:tc>
          <w:tcPr>
            <w:tcW w:w="1142" w:type="dxa"/>
            <w:tcBorders>
              <w:top w:val="nil"/>
              <w:left w:val="nil"/>
              <w:bottom w:val="nil"/>
              <w:right w:val="nil"/>
            </w:tcBorders>
            <w:shd w:val="clear" w:color="auto" w:fill="auto"/>
            <w:noWrap/>
            <w:vAlign w:val="bottom"/>
            <w:hideMark/>
          </w:tcPr>
          <w:p w14:paraId="71542E74" w14:textId="371A1126" w:rsidR="008B6956" w:rsidRPr="001974B9" w:rsidRDefault="00621757" w:rsidP="00621757">
            <w:pPr>
              <w:spacing w:line="360" w:lineRule="auto"/>
              <w:rPr>
                <w:rFonts w:asciiTheme="minorHAnsi" w:hAnsiTheme="minorHAnsi" w:cstheme="minorHAnsi"/>
                <w:lang w:val="en-US"/>
              </w:rPr>
            </w:pPr>
            <w:r w:rsidRPr="001974B9">
              <w:rPr>
                <w:rFonts w:asciiTheme="minorHAnsi" w:hAnsiTheme="minorHAnsi" w:cstheme="minorHAnsi"/>
              </w:rPr>
              <w:t>0.0097</w:t>
            </w:r>
          </w:p>
        </w:tc>
        <w:tc>
          <w:tcPr>
            <w:tcW w:w="1099" w:type="dxa"/>
            <w:tcBorders>
              <w:top w:val="nil"/>
              <w:left w:val="nil"/>
              <w:bottom w:val="nil"/>
              <w:right w:val="nil"/>
            </w:tcBorders>
            <w:shd w:val="clear" w:color="auto" w:fill="auto"/>
            <w:noWrap/>
            <w:vAlign w:val="bottom"/>
            <w:hideMark/>
          </w:tcPr>
          <w:p w14:paraId="4586F93F" w14:textId="6B0437C6" w:rsidR="008B6956" w:rsidRPr="001974B9" w:rsidRDefault="00621757" w:rsidP="00621757">
            <w:pPr>
              <w:spacing w:line="360" w:lineRule="auto"/>
              <w:rPr>
                <w:rFonts w:asciiTheme="minorHAnsi" w:hAnsiTheme="minorHAnsi" w:cstheme="minorHAnsi"/>
                <w:lang w:val="en-US"/>
              </w:rPr>
            </w:pPr>
            <w:r w:rsidRPr="001974B9">
              <w:rPr>
                <w:rFonts w:asciiTheme="minorHAnsi" w:hAnsiTheme="minorHAnsi" w:cstheme="minorHAnsi"/>
              </w:rPr>
              <w:t>0.4315</w:t>
            </w:r>
          </w:p>
        </w:tc>
        <w:tc>
          <w:tcPr>
            <w:tcW w:w="1276" w:type="dxa"/>
            <w:tcBorders>
              <w:top w:val="nil"/>
              <w:left w:val="nil"/>
              <w:bottom w:val="nil"/>
              <w:right w:val="nil"/>
            </w:tcBorders>
            <w:shd w:val="clear" w:color="auto" w:fill="auto"/>
            <w:noWrap/>
            <w:vAlign w:val="bottom"/>
            <w:hideMark/>
          </w:tcPr>
          <w:p w14:paraId="6614CF4F" w14:textId="1441C387" w:rsidR="008B6956" w:rsidRPr="001974B9" w:rsidRDefault="00621757" w:rsidP="00621757">
            <w:pPr>
              <w:spacing w:line="360" w:lineRule="auto"/>
              <w:rPr>
                <w:rFonts w:asciiTheme="minorHAnsi" w:hAnsiTheme="minorHAnsi" w:cstheme="minorHAnsi"/>
                <w:lang w:val="en-US"/>
              </w:rPr>
            </w:pPr>
            <w:r w:rsidRPr="001974B9">
              <w:rPr>
                <w:rFonts w:asciiTheme="minorHAnsi" w:hAnsiTheme="minorHAnsi" w:cstheme="minorHAnsi"/>
              </w:rPr>
              <w:t>0.5908</w:t>
            </w:r>
          </w:p>
        </w:tc>
        <w:tc>
          <w:tcPr>
            <w:tcW w:w="1134" w:type="dxa"/>
            <w:tcBorders>
              <w:top w:val="nil"/>
              <w:left w:val="nil"/>
              <w:bottom w:val="nil"/>
              <w:right w:val="nil"/>
            </w:tcBorders>
            <w:shd w:val="clear" w:color="auto" w:fill="auto"/>
            <w:noWrap/>
            <w:vAlign w:val="bottom"/>
            <w:hideMark/>
          </w:tcPr>
          <w:p w14:paraId="4761F958" w14:textId="6187FB13" w:rsidR="008B6956" w:rsidRPr="001974B9" w:rsidRDefault="00621757" w:rsidP="00621757">
            <w:pPr>
              <w:spacing w:line="360" w:lineRule="auto"/>
              <w:rPr>
                <w:rFonts w:asciiTheme="minorHAnsi" w:hAnsiTheme="minorHAnsi" w:cstheme="minorHAnsi"/>
                <w:lang w:val="en-US"/>
              </w:rPr>
            </w:pPr>
            <w:r w:rsidRPr="001974B9">
              <w:rPr>
                <w:rFonts w:asciiTheme="minorHAnsi" w:hAnsiTheme="minorHAnsi" w:cstheme="minorHAnsi"/>
              </w:rPr>
              <w:t>9.0426</w:t>
            </w:r>
          </w:p>
        </w:tc>
        <w:tc>
          <w:tcPr>
            <w:tcW w:w="1134" w:type="dxa"/>
            <w:tcBorders>
              <w:top w:val="nil"/>
              <w:left w:val="nil"/>
              <w:bottom w:val="nil"/>
              <w:right w:val="nil"/>
            </w:tcBorders>
            <w:shd w:val="clear" w:color="auto" w:fill="auto"/>
            <w:noWrap/>
            <w:vAlign w:val="bottom"/>
            <w:hideMark/>
          </w:tcPr>
          <w:p w14:paraId="14A7712C" w14:textId="4AEB4015" w:rsidR="008B6956" w:rsidRPr="001974B9" w:rsidRDefault="00621757" w:rsidP="00621757">
            <w:pPr>
              <w:spacing w:line="360" w:lineRule="auto"/>
              <w:rPr>
                <w:rFonts w:asciiTheme="minorHAnsi" w:hAnsiTheme="minorHAnsi" w:cstheme="minorHAnsi"/>
                <w:lang w:val="en-US"/>
              </w:rPr>
            </w:pPr>
            <w:r w:rsidRPr="001974B9">
              <w:rPr>
                <w:rFonts w:asciiTheme="minorHAnsi" w:hAnsiTheme="minorHAnsi" w:cstheme="minorHAnsi"/>
              </w:rPr>
              <w:t>3.9656</w:t>
            </w:r>
          </w:p>
        </w:tc>
        <w:tc>
          <w:tcPr>
            <w:tcW w:w="465" w:type="dxa"/>
            <w:tcBorders>
              <w:top w:val="nil"/>
              <w:left w:val="nil"/>
              <w:bottom w:val="nil"/>
              <w:right w:val="nil"/>
            </w:tcBorders>
            <w:shd w:val="clear" w:color="auto" w:fill="auto"/>
            <w:noWrap/>
            <w:vAlign w:val="bottom"/>
            <w:hideMark/>
          </w:tcPr>
          <w:p w14:paraId="76AD7468" w14:textId="52D93626" w:rsidR="008B6956" w:rsidRPr="001974B9" w:rsidRDefault="00621757" w:rsidP="00621757">
            <w:pPr>
              <w:spacing w:line="360" w:lineRule="auto"/>
              <w:rPr>
                <w:rFonts w:asciiTheme="minorHAnsi" w:hAnsiTheme="minorHAnsi" w:cstheme="minorHAnsi"/>
                <w:lang w:val="en-US"/>
              </w:rPr>
            </w:pPr>
            <w:r w:rsidRPr="001974B9">
              <w:rPr>
                <w:rFonts w:asciiTheme="minorHAnsi" w:hAnsiTheme="minorHAnsi" w:cstheme="minorHAnsi"/>
              </w:rPr>
              <w:t>58.65%</w:t>
            </w:r>
          </w:p>
        </w:tc>
      </w:tr>
      <w:tr w:rsidR="008B6956" w:rsidRPr="001974B9" w14:paraId="46A6339B" w14:textId="77777777" w:rsidTr="00621757">
        <w:trPr>
          <w:trHeight w:val="307"/>
        </w:trPr>
        <w:tc>
          <w:tcPr>
            <w:tcW w:w="1728" w:type="dxa"/>
            <w:tcBorders>
              <w:top w:val="nil"/>
              <w:left w:val="nil"/>
              <w:bottom w:val="single" w:sz="4" w:space="0" w:color="auto"/>
              <w:right w:val="nil"/>
            </w:tcBorders>
            <w:shd w:val="clear" w:color="auto" w:fill="auto"/>
            <w:noWrap/>
            <w:vAlign w:val="bottom"/>
            <w:hideMark/>
          </w:tcPr>
          <w:p w14:paraId="78E068D0" w14:textId="77777777" w:rsidR="008B6956" w:rsidRPr="001974B9" w:rsidRDefault="008B6956" w:rsidP="00621757">
            <w:pPr>
              <w:spacing w:line="360" w:lineRule="auto"/>
              <w:rPr>
                <w:rFonts w:asciiTheme="minorHAnsi" w:hAnsiTheme="minorHAnsi" w:cstheme="minorHAnsi"/>
                <w:lang w:val="en-US"/>
              </w:rPr>
            </w:pPr>
            <w:r w:rsidRPr="001974B9">
              <w:rPr>
                <w:rFonts w:asciiTheme="minorHAnsi" w:hAnsiTheme="minorHAnsi" w:cstheme="minorHAnsi"/>
                <w:lang w:val="en-US"/>
              </w:rPr>
              <w:t> </w:t>
            </w:r>
          </w:p>
        </w:tc>
        <w:tc>
          <w:tcPr>
            <w:tcW w:w="1142" w:type="dxa"/>
            <w:tcBorders>
              <w:top w:val="nil"/>
              <w:left w:val="nil"/>
              <w:bottom w:val="single" w:sz="4" w:space="0" w:color="auto"/>
              <w:right w:val="nil"/>
            </w:tcBorders>
            <w:shd w:val="clear" w:color="auto" w:fill="auto"/>
            <w:noWrap/>
            <w:vAlign w:val="bottom"/>
            <w:hideMark/>
          </w:tcPr>
          <w:p w14:paraId="5421E17B" w14:textId="38BBC33F" w:rsidR="008B6956" w:rsidRPr="001974B9" w:rsidRDefault="00361409" w:rsidP="00621757">
            <w:pPr>
              <w:spacing w:line="360" w:lineRule="auto"/>
              <w:rPr>
                <w:rFonts w:asciiTheme="minorHAnsi" w:hAnsiTheme="minorHAnsi" w:cstheme="minorHAnsi"/>
                <w:lang w:val="en-US"/>
              </w:rPr>
            </w:pPr>
            <w:r>
              <w:rPr>
                <w:rFonts w:asciiTheme="minorHAnsi" w:hAnsiTheme="minorHAnsi" w:cstheme="minorHAnsi"/>
              </w:rPr>
              <w:t>(</w:t>
            </w:r>
            <w:r w:rsidR="008B6956" w:rsidRPr="001974B9">
              <w:rPr>
                <w:rFonts w:asciiTheme="minorHAnsi" w:hAnsiTheme="minorHAnsi" w:cstheme="minorHAnsi"/>
              </w:rPr>
              <w:t>0.0000</w:t>
            </w:r>
            <w:r>
              <w:rPr>
                <w:rFonts w:asciiTheme="minorHAnsi" w:hAnsiTheme="minorHAnsi" w:cstheme="minorHAnsi"/>
              </w:rPr>
              <w:t>)</w:t>
            </w:r>
          </w:p>
        </w:tc>
        <w:tc>
          <w:tcPr>
            <w:tcW w:w="1099" w:type="dxa"/>
            <w:tcBorders>
              <w:top w:val="nil"/>
              <w:left w:val="nil"/>
              <w:bottom w:val="single" w:sz="4" w:space="0" w:color="auto"/>
              <w:right w:val="nil"/>
            </w:tcBorders>
            <w:shd w:val="clear" w:color="auto" w:fill="auto"/>
            <w:noWrap/>
            <w:vAlign w:val="bottom"/>
            <w:hideMark/>
          </w:tcPr>
          <w:p w14:paraId="32D41782" w14:textId="6A303C43" w:rsidR="008B6956" w:rsidRPr="001974B9" w:rsidRDefault="00361409" w:rsidP="00621757">
            <w:pPr>
              <w:spacing w:line="360" w:lineRule="auto"/>
              <w:rPr>
                <w:rFonts w:asciiTheme="minorHAnsi" w:hAnsiTheme="minorHAnsi" w:cstheme="minorHAnsi"/>
                <w:lang w:val="en-US"/>
              </w:rPr>
            </w:pPr>
            <w:r>
              <w:rPr>
                <w:rFonts w:asciiTheme="minorHAnsi" w:hAnsiTheme="minorHAnsi" w:cstheme="minorHAnsi"/>
              </w:rPr>
              <w:t>(</w:t>
            </w:r>
            <w:r w:rsidR="008B6956" w:rsidRPr="001974B9">
              <w:rPr>
                <w:rFonts w:asciiTheme="minorHAnsi" w:hAnsiTheme="minorHAnsi" w:cstheme="minorHAnsi"/>
              </w:rPr>
              <w:t>0.0000</w:t>
            </w:r>
            <w:r>
              <w:rPr>
                <w:rFonts w:asciiTheme="minorHAnsi" w:hAnsiTheme="minorHAnsi" w:cstheme="minorHAnsi"/>
              </w:rPr>
              <w:t>)</w:t>
            </w:r>
          </w:p>
        </w:tc>
        <w:tc>
          <w:tcPr>
            <w:tcW w:w="1276" w:type="dxa"/>
            <w:tcBorders>
              <w:top w:val="nil"/>
              <w:left w:val="nil"/>
              <w:bottom w:val="single" w:sz="4" w:space="0" w:color="auto"/>
              <w:right w:val="nil"/>
            </w:tcBorders>
            <w:shd w:val="clear" w:color="auto" w:fill="auto"/>
            <w:noWrap/>
            <w:vAlign w:val="bottom"/>
            <w:hideMark/>
          </w:tcPr>
          <w:p w14:paraId="0D969851" w14:textId="1E7AC06B" w:rsidR="008B6956" w:rsidRPr="001974B9" w:rsidRDefault="00361409" w:rsidP="00621757">
            <w:pPr>
              <w:spacing w:line="360" w:lineRule="auto"/>
              <w:rPr>
                <w:rFonts w:asciiTheme="minorHAnsi" w:hAnsiTheme="minorHAnsi" w:cstheme="minorHAnsi"/>
                <w:lang w:val="en-US"/>
              </w:rPr>
            </w:pPr>
            <w:r>
              <w:rPr>
                <w:rFonts w:asciiTheme="minorHAnsi" w:hAnsiTheme="minorHAnsi" w:cstheme="minorHAnsi"/>
              </w:rPr>
              <w:t>(</w:t>
            </w:r>
            <w:r w:rsidR="008B6956" w:rsidRPr="001974B9">
              <w:rPr>
                <w:rFonts w:asciiTheme="minorHAnsi" w:hAnsiTheme="minorHAnsi" w:cstheme="minorHAnsi"/>
              </w:rPr>
              <w:t>0.0000</w:t>
            </w:r>
            <w:r>
              <w:rPr>
                <w:rFonts w:asciiTheme="minorHAnsi" w:hAnsiTheme="minorHAnsi" w:cstheme="minorHAnsi"/>
              </w:rPr>
              <w:t>)</w:t>
            </w:r>
          </w:p>
        </w:tc>
        <w:tc>
          <w:tcPr>
            <w:tcW w:w="1134" w:type="dxa"/>
            <w:tcBorders>
              <w:top w:val="nil"/>
              <w:left w:val="nil"/>
              <w:bottom w:val="single" w:sz="4" w:space="0" w:color="auto"/>
              <w:right w:val="nil"/>
            </w:tcBorders>
            <w:shd w:val="clear" w:color="auto" w:fill="auto"/>
            <w:noWrap/>
            <w:vAlign w:val="bottom"/>
            <w:hideMark/>
          </w:tcPr>
          <w:p w14:paraId="655E16D8" w14:textId="0B981A33" w:rsidR="008B6956" w:rsidRPr="001974B9" w:rsidRDefault="00361409" w:rsidP="00621757">
            <w:pPr>
              <w:spacing w:line="360" w:lineRule="auto"/>
              <w:rPr>
                <w:rFonts w:asciiTheme="minorHAnsi" w:hAnsiTheme="minorHAnsi" w:cstheme="minorHAnsi"/>
                <w:lang w:val="en-US"/>
              </w:rPr>
            </w:pPr>
            <w:r>
              <w:rPr>
                <w:rFonts w:asciiTheme="minorHAnsi" w:hAnsiTheme="minorHAnsi" w:cstheme="minorHAnsi"/>
              </w:rPr>
              <w:t>(</w:t>
            </w:r>
            <w:r w:rsidR="008B6956" w:rsidRPr="001974B9">
              <w:rPr>
                <w:rFonts w:asciiTheme="minorHAnsi" w:hAnsiTheme="minorHAnsi" w:cstheme="minorHAnsi"/>
              </w:rPr>
              <w:t>0.5725</w:t>
            </w:r>
            <w:r>
              <w:rPr>
                <w:rFonts w:asciiTheme="minorHAnsi" w:hAnsiTheme="minorHAnsi" w:cstheme="minorHAnsi"/>
              </w:rPr>
              <w:t>)</w:t>
            </w:r>
          </w:p>
        </w:tc>
        <w:tc>
          <w:tcPr>
            <w:tcW w:w="1134" w:type="dxa"/>
            <w:tcBorders>
              <w:top w:val="nil"/>
              <w:left w:val="nil"/>
              <w:bottom w:val="single" w:sz="4" w:space="0" w:color="auto"/>
              <w:right w:val="nil"/>
            </w:tcBorders>
            <w:shd w:val="clear" w:color="auto" w:fill="auto"/>
            <w:noWrap/>
            <w:vAlign w:val="bottom"/>
            <w:hideMark/>
          </w:tcPr>
          <w:p w14:paraId="659F37E1" w14:textId="41F43BFA" w:rsidR="008B6956" w:rsidRPr="001974B9" w:rsidRDefault="00361409" w:rsidP="00621757">
            <w:pPr>
              <w:spacing w:line="360" w:lineRule="auto"/>
              <w:rPr>
                <w:rFonts w:asciiTheme="minorHAnsi" w:hAnsiTheme="minorHAnsi" w:cstheme="minorHAnsi"/>
                <w:lang w:val="en-US"/>
              </w:rPr>
            </w:pPr>
            <w:r>
              <w:rPr>
                <w:rFonts w:asciiTheme="minorHAnsi" w:hAnsiTheme="minorHAnsi" w:cstheme="minorHAnsi"/>
              </w:rPr>
              <w:t>(</w:t>
            </w:r>
            <w:r w:rsidR="008B6956" w:rsidRPr="001974B9">
              <w:rPr>
                <w:rFonts w:asciiTheme="minorHAnsi" w:hAnsiTheme="minorHAnsi" w:cstheme="minorHAnsi"/>
              </w:rPr>
              <w:t>0.0000</w:t>
            </w:r>
            <w:r>
              <w:rPr>
                <w:rFonts w:asciiTheme="minorHAnsi" w:hAnsiTheme="minorHAnsi" w:cstheme="minorHAnsi"/>
              </w:rPr>
              <w:t>)</w:t>
            </w:r>
          </w:p>
        </w:tc>
        <w:tc>
          <w:tcPr>
            <w:tcW w:w="465" w:type="dxa"/>
            <w:tcBorders>
              <w:top w:val="nil"/>
              <w:left w:val="nil"/>
              <w:bottom w:val="single" w:sz="4" w:space="0" w:color="auto"/>
              <w:right w:val="nil"/>
            </w:tcBorders>
            <w:shd w:val="clear" w:color="auto" w:fill="auto"/>
            <w:noWrap/>
            <w:vAlign w:val="bottom"/>
            <w:hideMark/>
          </w:tcPr>
          <w:p w14:paraId="282FA3A8" w14:textId="77777777" w:rsidR="008B6956" w:rsidRPr="001974B9" w:rsidRDefault="008B6956" w:rsidP="00621757">
            <w:pPr>
              <w:spacing w:line="360" w:lineRule="auto"/>
              <w:rPr>
                <w:rFonts w:asciiTheme="minorHAnsi" w:hAnsiTheme="minorHAnsi" w:cstheme="minorHAnsi"/>
                <w:lang w:val="en-US"/>
              </w:rPr>
            </w:pPr>
            <w:r w:rsidRPr="001974B9">
              <w:rPr>
                <w:rFonts w:asciiTheme="minorHAnsi" w:hAnsiTheme="minorHAnsi" w:cstheme="minorHAnsi"/>
                <w:lang w:val="en-US"/>
              </w:rPr>
              <w:t> </w:t>
            </w:r>
          </w:p>
        </w:tc>
      </w:tr>
    </w:tbl>
    <w:p w14:paraId="11D6F69F" w14:textId="77777777" w:rsidR="008B6956" w:rsidRPr="008B6956" w:rsidRDefault="008B6956" w:rsidP="00265889">
      <w:pPr>
        <w:spacing w:line="240" w:lineRule="auto"/>
        <w:jc w:val="both"/>
        <w:rPr>
          <w:rFonts w:asciiTheme="minorHAnsi" w:eastAsia="Calibri" w:hAnsiTheme="minorHAnsi" w:cstheme="minorHAnsi"/>
          <w:sz w:val="22"/>
          <w:szCs w:val="22"/>
          <w:lang w:val="en-US" w:eastAsia="en-US"/>
        </w:rPr>
      </w:pPr>
    </w:p>
    <w:p w14:paraId="2A65C7D8" w14:textId="77777777" w:rsidR="00816BE5" w:rsidRDefault="00777512" w:rsidP="00816BE5">
      <w:pPr>
        <w:spacing w:line="240" w:lineRule="auto"/>
        <w:rPr>
          <w:rFonts w:asciiTheme="minorHAnsi" w:eastAsia="Calibri" w:hAnsiTheme="minorHAnsi" w:cstheme="minorHAnsi"/>
          <w:sz w:val="22"/>
          <w:szCs w:val="22"/>
          <w:lang w:val="en-US"/>
        </w:rPr>
      </w:pPr>
      <w:r w:rsidRPr="00265889">
        <w:rPr>
          <w:rFonts w:asciiTheme="minorHAnsi" w:eastAsia="Calibri" w:hAnsiTheme="minorHAnsi" w:cstheme="minorHAnsi"/>
          <w:i/>
          <w:iCs/>
          <w:sz w:val="22"/>
          <w:szCs w:val="22"/>
          <w:lang w:val="en-US" w:eastAsia="en-US"/>
        </w:rPr>
        <w:t xml:space="preserve">Note: </w:t>
      </w:r>
      <w:r w:rsidRPr="004556EC">
        <w:rPr>
          <w:rFonts w:asciiTheme="minorHAnsi" w:eastAsia="Calibri" w:hAnsiTheme="minorHAnsi" w:cstheme="minorHAnsi"/>
          <w:sz w:val="22"/>
          <w:szCs w:val="22"/>
          <w:lang w:val="en-US" w:eastAsia="en-US"/>
        </w:rPr>
        <w:t xml:space="preserve">Table </w:t>
      </w:r>
      <w:r w:rsidR="00F82B4A" w:rsidRPr="004556EC">
        <w:rPr>
          <w:rFonts w:asciiTheme="minorHAnsi" w:eastAsia="Calibri" w:hAnsiTheme="minorHAnsi" w:cstheme="minorHAnsi"/>
          <w:sz w:val="22"/>
          <w:szCs w:val="22"/>
          <w:lang w:val="en-US" w:eastAsia="en-US"/>
        </w:rPr>
        <w:t xml:space="preserve">3.7 </w:t>
      </w:r>
      <w:r w:rsidRPr="004556EC">
        <w:rPr>
          <w:rFonts w:asciiTheme="minorHAnsi" w:eastAsia="Calibri" w:hAnsiTheme="minorHAnsi" w:cstheme="minorHAnsi"/>
          <w:sz w:val="22"/>
          <w:szCs w:val="22"/>
          <w:lang w:val="en-US" w:eastAsia="en-US"/>
        </w:rPr>
        <w:t xml:space="preserve">reports the estimates from </w:t>
      </w:r>
      <w:r w:rsidR="00451703">
        <w:rPr>
          <w:rFonts w:asciiTheme="minorHAnsi" w:eastAsia="Calibri" w:hAnsiTheme="minorHAnsi" w:cstheme="minorHAnsi"/>
          <w:sz w:val="22"/>
          <w:szCs w:val="22"/>
          <w:lang w:val="en-US" w:eastAsia="en-US"/>
        </w:rPr>
        <w:t>model 4.</w:t>
      </w:r>
      <w:r w:rsidRPr="004556EC">
        <w:rPr>
          <w:rFonts w:asciiTheme="minorHAnsi" w:eastAsia="Calibri" w:hAnsiTheme="minorHAnsi" w:cstheme="minorHAnsi"/>
          <w:sz w:val="22"/>
          <w:szCs w:val="22"/>
          <w:lang w:val="en-US" w:eastAsia="en-US"/>
        </w:rPr>
        <w:t xml:space="preserve"> </w:t>
      </w:r>
      <w:r w:rsidR="00816BE5">
        <w:rPr>
          <w:rFonts w:asciiTheme="minorHAnsi" w:eastAsia="Calibri" w:hAnsiTheme="minorHAnsi" w:cstheme="minorHAnsi"/>
          <w:sz w:val="22"/>
          <w:szCs w:val="22"/>
          <w:lang w:val="en-US" w:eastAsia="en-US"/>
        </w:rPr>
        <w:t xml:space="preserve">The </w:t>
      </w:r>
      <w:r w:rsidR="00816BE5" w:rsidRPr="00415EDD">
        <w:rPr>
          <w:rFonts w:asciiTheme="minorHAnsi" w:eastAsia="Calibri" w:hAnsiTheme="minorHAnsi" w:cstheme="minorHAnsi"/>
          <w:sz w:val="22"/>
          <w:szCs w:val="22"/>
          <w:lang w:val="en-US" w:eastAsia="en-US"/>
        </w:rPr>
        <w:t xml:space="preserve">associated p-values </w:t>
      </w:r>
      <w:r w:rsidR="00816BE5" w:rsidRPr="004556EC">
        <w:rPr>
          <w:rFonts w:asciiTheme="minorHAnsi" w:eastAsia="Calibri" w:hAnsiTheme="minorHAnsi" w:cstheme="minorHAnsi"/>
          <w:sz w:val="22"/>
          <w:szCs w:val="22"/>
          <w:lang w:val="en-US" w:eastAsia="en-US"/>
        </w:rPr>
        <w:t>are reported in parentheses</w:t>
      </w:r>
      <w:r w:rsidR="00816BE5">
        <w:rPr>
          <w:rFonts w:asciiTheme="minorHAnsi" w:eastAsia="Calibri" w:hAnsiTheme="minorHAnsi" w:cstheme="minorHAnsi"/>
          <w:sz w:val="22"/>
          <w:szCs w:val="22"/>
          <w:lang w:val="en-US" w:eastAsia="en-US"/>
        </w:rPr>
        <w:t xml:space="preserve">. </w:t>
      </w:r>
    </w:p>
    <w:p w14:paraId="560D367F" w14:textId="1DB075D3" w:rsidR="00777512" w:rsidRPr="004556EC" w:rsidRDefault="00777512" w:rsidP="00265889">
      <w:pPr>
        <w:spacing w:line="240" w:lineRule="auto"/>
        <w:jc w:val="both"/>
        <w:rPr>
          <w:rFonts w:asciiTheme="minorHAnsi" w:eastAsia="Calibri" w:hAnsiTheme="minorHAnsi" w:cstheme="minorHAnsi"/>
          <w:sz w:val="22"/>
          <w:szCs w:val="22"/>
          <w:lang w:val="en-US" w:eastAsia="en-US"/>
        </w:rPr>
      </w:pPr>
    </w:p>
    <w:p w14:paraId="43CA3BAF" w14:textId="77777777" w:rsidR="00777512" w:rsidRPr="004556EC" w:rsidRDefault="00777512" w:rsidP="004558C6">
      <w:pPr>
        <w:pStyle w:val="Newparagraph"/>
        <w:spacing w:line="360" w:lineRule="auto"/>
        <w:jc w:val="both"/>
        <w:rPr>
          <w:rFonts w:asciiTheme="minorHAnsi" w:eastAsia="Calibri" w:hAnsiTheme="minorHAnsi" w:cstheme="minorHAnsi"/>
          <w:lang w:val="en-US" w:eastAsia="en-US"/>
        </w:rPr>
      </w:pPr>
    </w:p>
    <w:p w14:paraId="51FC2313" w14:textId="1B804A25" w:rsidR="00265889" w:rsidRDefault="00143B1E" w:rsidP="0011693D">
      <w:pPr>
        <w:pStyle w:val="Newparagraph"/>
        <w:spacing w:line="360" w:lineRule="auto"/>
        <w:ind w:firstLine="0"/>
        <w:jc w:val="both"/>
        <w:rPr>
          <w:rFonts w:asciiTheme="minorHAnsi" w:eastAsia="Calibri" w:hAnsiTheme="minorHAnsi" w:cstheme="minorHAnsi"/>
          <w:lang w:val="en-US"/>
        </w:rPr>
      </w:pPr>
      <w:r w:rsidRPr="004556EC">
        <w:rPr>
          <w:rFonts w:asciiTheme="minorHAnsi" w:eastAsia="Calibri" w:hAnsiTheme="minorHAnsi" w:cstheme="minorHAnsi"/>
        </w:rPr>
        <w:t xml:space="preserve">To gain additional insight on whether herd behaviour exhibits an asymmetry associated with the trading volume, we examine evidence using the sector level data. </w:t>
      </w:r>
      <w:r w:rsidR="00E83098" w:rsidRPr="004556EC">
        <w:rPr>
          <w:rFonts w:asciiTheme="minorHAnsi" w:eastAsia="Calibri" w:hAnsiTheme="minorHAnsi" w:cstheme="minorHAnsi"/>
          <w:lang w:val="en-US"/>
        </w:rPr>
        <w:t xml:space="preserve">The results presented in Table </w:t>
      </w:r>
      <w:r w:rsidR="008502D1" w:rsidRPr="004556EC">
        <w:rPr>
          <w:rFonts w:asciiTheme="minorHAnsi" w:eastAsia="Calibri" w:hAnsiTheme="minorHAnsi" w:cstheme="minorHAnsi"/>
          <w:lang w:val="en-US"/>
        </w:rPr>
        <w:t>3.</w:t>
      </w:r>
      <w:r w:rsidR="00E83098" w:rsidRPr="004556EC">
        <w:rPr>
          <w:rFonts w:asciiTheme="minorHAnsi" w:eastAsia="Calibri" w:hAnsiTheme="minorHAnsi" w:cstheme="minorHAnsi"/>
          <w:lang w:val="en-US"/>
        </w:rPr>
        <w:t xml:space="preserve">8 shows that during high trading volume periods, the </w:t>
      </w:r>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3  </m:t>
            </m:r>
          </m:sub>
        </m:sSub>
      </m:oMath>
      <w:r w:rsidR="00E83098" w:rsidRPr="004556EC">
        <w:rPr>
          <w:rFonts w:asciiTheme="minorHAnsi" w:eastAsia="Calibri" w:hAnsiTheme="minorHAnsi" w:cstheme="minorHAnsi"/>
          <w:vertAlign w:val="subscript"/>
        </w:rPr>
        <w:t xml:space="preserve"> </w:t>
      </w:r>
      <w:r w:rsidR="00E83098" w:rsidRPr="004556EC">
        <w:rPr>
          <w:rFonts w:asciiTheme="minorHAnsi" w:eastAsia="Calibri" w:hAnsiTheme="minorHAnsi" w:cstheme="minorHAnsi"/>
          <w:lang w:val="en-US"/>
        </w:rPr>
        <w:t xml:space="preserve">coefficients </w:t>
      </w:r>
      <w:r w:rsidR="00246118">
        <w:rPr>
          <w:rFonts w:asciiTheme="minorHAnsi" w:eastAsia="Calibri" w:hAnsiTheme="minorHAnsi" w:cstheme="minorHAnsi"/>
          <w:lang w:val="en-US"/>
        </w:rPr>
        <w:t>are</w:t>
      </w:r>
      <w:r w:rsidR="00E83098" w:rsidRPr="004556EC">
        <w:rPr>
          <w:rFonts w:asciiTheme="minorHAnsi" w:eastAsia="Calibri" w:hAnsiTheme="minorHAnsi" w:cstheme="minorHAnsi"/>
          <w:lang w:val="en-US"/>
        </w:rPr>
        <w:t xml:space="preserve"> negative </w:t>
      </w:r>
      <w:r w:rsidR="00E83098" w:rsidRPr="004556EC">
        <w:rPr>
          <w:rFonts w:asciiTheme="minorHAnsi" w:eastAsia="Calibri" w:hAnsiTheme="minorHAnsi" w:cstheme="minorHAnsi"/>
        </w:rPr>
        <w:t xml:space="preserve">and statistically significant in </w:t>
      </w:r>
      <w:r w:rsidR="00246118">
        <w:rPr>
          <w:rFonts w:asciiTheme="minorHAnsi" w:eastAsia="Calibri" w:hAnsiTheme="minorHAnsi" w:cstheme="minorHAnsi"/>
        </w:rPr>
        <w:t>Financials, Real Estate and Utilities sectors</w:t>
      </w:r>
      <w:r w:rsidR="00E83098" w:rsidRPr="004556EC">
        <w:rPr>
          <w:rFonts w:asciiTheme="minorHAnsi" w:eastAsia="Calibri" w:hAnsiTheme="minorHAnsi" w:cstheme="minorHAnsi"/>
        </w:rPr>
        <w:t xml:space="preserve">. </w:t>
      </w:r>
      <w:r w:rsidR="00E83098" w:rsidRPr="004556EC">
        <w:rPr>
          <w:rFonts w:asciiTheme="minorHAnsi" w:eastAsia="Calibri" w:hAnsiTheme="minorHAnsi" w:cstheme="minorHAnsi"/>
          <w:lang w:val="en-US"/>
        </w:rPr>
        <w:t xml:space="preserve">This gives an indication that high trading volume </w:t>
      </w:r>
      <w:r w:rsidR="00246118">
        <w:rPr>
          <w:rFonts w:asciiTheme="minorHAnsi" w:eastAsia="Calibri" w:hAnsiTheme="minorHAnsi" w:cstheme="minorHAnsi"/>
          <w:lang w:val="en-US"/>
        </w:rPr>
        <w:t>has a limited</w:t>
      </w:r>
      <w:r w:rsidR="00E83098" w:rsidRPr="004556EC">
        <w:rPr>
          <w:rFonts w:asciiTheme="minorHAnsi" w:eastAsia="Calibri" w:hAnsiTheme="minorHAnsi" w:cstheme="minorHAnsi"/>
          <w:lang w:val="en-US"/>
        </w:rPr>
        <w:t xml:space="preserve"> </w:t>
      </w:r>
      <w:r w:rsidR="00246118">
        <w:rPr>
          <w:rFonts w:asciiTheme="minorHAnsi" w:eastAsia="Calibri" w:hAnsiTheme="minorHAnsi" w:cstheme="minorHAnsi"/>
          <w:lang w:val="en-US"/>
        </w:rPr>
        <w:t>e</w:t>
      </w:r>
      <w:r w:rsidR="00E83098" w:rsidRPr="004556EC">
        <w:rPr>
          <w:rFonts w:asciiTheme="minorHAnsi" w:eastAsia="Calibri" w:hAnsiTheme="minorHAnsi" w:cstheme="minorHAnsi"/>
          <w:lang w:val="en-US"/>
        </w:rPr>
        <w:t xml:space="preserve">ffect </w:t>
      </w:r>
      <w:r w:rsidR="00246118">
        <w:rPr>
          <w:rFonts w:asciiTheme="minorHAnsi" w:eastAsia="Calibri" w:hAnsiTheme="minorHAnsi" w:cstheme="minorHAnsi"/>
          <w:lang w:val="en-US"/>
        </w:rPr>
        <w:t xml:space="preserve">on </w:t>
      </w:r>
      <w:r w:rsidR="00E83098" w:rsidRPr="004556EC">
        <w:rPr>
          <w:rFonts w:asciiTheme="minorHAnsi" w:eastAsia="Calibri" w:hAnsiTheme="minorHAnsi" w:cstheme="minorHAnsi"/>
          <w:lang w:val="en-US"/>
        </w:rPr>
        <w:t xml:space="preserve">the dispersion of returns in the US sectors examined. Therefore, herding is not contingent upon </w:t>
      </w:r>
      <w:r w:rsidR="00246118">
        <w:rPr>
          <w:rFonts w:asciiTheme="minorHAnsi" w:eastAsia="Calibri" w:hAnsiTheme="minorHAnsi" w:cstheme="minorHAnsi"/>
          <w:lang w:val="en-US"/>
        </w:rPr>
        <w:t xml:space="preserve">high </w:t>
      </w:r>
      <w:r w:rsidR="00E83098" w:rsidRPr="004556EC">
        <w:rPr>
          <w:rFonts w:asciiTheme="minorHAnsi" w:eastAsia="Calibri" w:hAnsiTheme="minorHAnsi" w:cstheme="minorHAnsi"/>
          <w:lang w:val="en-US"/>
        </w:rPr>
        <w:t>trading volume.</w:t>
      </w:r>
      <w:r w:rsidR="00AA564D">
        <w:rPr>
          <w:rFonts w:asciiTheme="minorHAnsi" w:eastAsia="Calibri" w:hAnsiTheme="minorHAnsi" w:cstheme="minorHAnsi"/>
          <w:lang w:val="en-US"/>
        </w:rPr>
        <w:t xml:space="preserve"> On the contrary, we document positive and significant coefficients in</w:t>
      </w:r>
      <w:r w:rsidR="00293178">
        <w:rPr>
          <w:rFonts w:asciiTheme="minorHAnsi" w:eastAsia="Calibri" w:hAnsiTheme="minorHAnsi" w:cstheme="minorHAnsi"/>
          <w:lang w:val="en-US"/>
        </w:rPr>
        <w:t xml:space="preserve"> </w:t>
      </w:r>
      <w:r w:rsidR="00AA564D">
        <w:rPr>
          <w:rFonts w:asciiTheme="minorHAnsi" w:eastAsia="Calibri" w:hAnsiTheme="minorHAnsi" w:cstheme="minorHAnsi"/>
          <w:lang w:val="en-US"/>
        </w:rPr>
        <w:t>Basic Materials,</w:t>
      </w:r>
      <w:r w:rsidR="00814AC4">
        <w:rPr>
          <w:rFonts w:asciiTheme="minorHAnsi" w:eastAsia="Calibri" w:hAnsiTheme="minorHAnsi" w:cstheme="minorHAnsi"/>
          <w:lang w:val="en-US"/>
        </w:rPr>
        <w:t xml:space="preserve"> </w:t>
      </w:r>
      <w:r w:rsidR="00AA564D">
        <w:rPr>
          <w:rFonts w:asciiTheme="minorHAnsi" w:eastAsia="Calibri" w:hAnsiTheme="minorHAnsi" w:cstheme="minorHAnsi"/>
          <w:lang w:val="en-US"/>
        </w:rPr>
        <w:t xml:space="preserve">Energy, Health Care, Technology and Telecoms, which provides evidence in </w:t>
      </w:r>
      <w:proofErr w:type="spellStart"/>
      <w:r w:rsidR="00AA564D">
        <w:rPr>
          <w:rFonts w:asciiTheme="minorHAnsi" w:eastAsia="Calibri" w:hAnsiTheme="minorHAnsi" w:cstheme="minorHAnsi"/>
          <w:lang w:val="en-US"/>
        </w:rPr>
        <w:t>favour</w:t>
      </w:r>
      <w:proofErr w:type="spellEnd"/>
      <w:r w:rsidR="00AA564D">
        <w:rPr>
          <w:rFonts w:asciiTheme="minorHAnsi" w:eastAsia="Calibri" w:hAnsiTheme="minorHAnsi" w:cstheme="minorHAnsi"/>
          <w:lang w:val="en-US"/>
        </w:rPr>
        <w:t xml:space="preserve"> of anti-herding. </w:t>
      </w:r>
    </w:p>
    <w:p w14:paraId="46382444" w14:textId="77777777" w:rsidR="00471119" w:rsidRDefault="00471119" w:rsidP="00471119">
      <w:pPr>
        <w:pStyle w:val="Newparagraph"/>
        <w:spacing w:line="360" w:lineRule="auto"/>
        <w:ind w:firstLine="0"/>
        <w:jc w:val="both"/>
        <w:rPr>
          <w:rFonts w:asciiTheme="minorHAnsi" w:eastAsia="Calibri" w:hAnsiTheme="minorHAnsi" w:cstheme="minorHAnsi"/>
          <w:lang w:val="en-US"/>
        </w:rPr>
      </w:pPr>
      <w:r w:rsidRPr="004556EC">
        <w:rPr>
          <w:rFonts w:asciiTheme="minorHAnsi" w:eastAsia="Calibri" w:hAnsiTheme="minorHAnsi" w:cstheme="minorHAnsi"/>
          <w:lang w:val="en-US"/>
        </w:rPr>
        <w:t>An analysis of herding during low volume periods shows</w:t>
      </w:r>
      <w:r w:rsidRPr="004556EC">
        <w:rPr>
          <w:rFonts w:asciiTheme="minorHAnsi" w:eastAsia="Calibri" w:hAnsiTheme="minorHAnsi" w:cstheme="minorHAnsi"/>
        </w:rPr>
        <w:t xml:space="preserve"> </w:t>
      </w:r>
      <w:r w:rsidRPr="004556EC">
        <w:rPr>
          <w:rFonts w:asciiTheme="minorHAnsi" w:eastAsia="Calibri" w:hAnsiTheme="minorHAnsi" w:cstheme="minorHAnsi"/>
          <w:lang w:val="en-US"/>
        </w:rPr>
        <w:t xml:space="preserve">negative and statistically significant </w:t>
      </w:r>
      <m:oMath>
        <m:sSub>
          <m:sSubPr>
            <m:ctrlPr>
              <w:rPr>
                <w:rFonts w:ascii="Cambria Math" w:eastAsia="Calibri" w:hAnsi="Cambria Math" w:cstheme="minorHAnsi"/>
                <w:lang w:val="en-US"/>
              </w:rPr>
            </m:ctrlPr>
          </m:sSubPr>
          <m:e>
            <m:r>
              <w:rPr>
                <w:rFonts w:ascii="Cambria Math" w:eastAsia="Calibri" w:hAnsi="Cambria Math" w:cstheme="minorHAnsi"/>
                <w:lang w:val="en-US"/>
              </w:rPr>
              <m:t>γ</m:t>
            </m:r>
          </m:e>
          <m:sub>
            <m:r>
              <m:rPr>
                <m:sty m:val="p"/>
              </m:rPr>
              <w:rPr>
                <w:rFonts w:ascii="Cambria Math" w:eastAsia="Calibri" w:hAnsi="Cambria Math" w:cstheme="minorHAnsi"/>
                <w:lang w:val="en-US"/>
              </w:rPr>
              <m:t xml:space="preserve">4  </m:t>
            </m:r>
          </m:sub>
        </m:sSub>
      </m:oMath>
      <w:r w:rsidRPr="004556EC">
        <w:rPr>
          <w:rFonts w:asciiTheme="minorHAnsi" w:eastAsia="Calibri" w:hAnsiTheme="minorHAnsi" w:cstheme="minorHAnsi"/>
          <w:vertAlign w:val="subscript"/>
        </w:rPr>
        <w:t xml:space="preserve"> </w:t>
      </w:r>
      <w:r w:rsidRPr="004556EC">
        <w:rPr>
          <w:rFonts w:asciiTheme="minorHAnsi" w:eastAsia="Calibri" w:hAnsiTheme="minorHAnsi" w:cstheme="minorHAnsi"/>
          <w:lang w:val="en-US"/>
        </w:rPr>
        <w:t xml:space="preserve">coefficients in the </w:t>
      </w:r>
      <w:r>
        <w:rPr>
          <w:rFonts w:asciiTheme="minorHAnsi" w:eastAsia="Calibri" w:hAnsiTheme="minorHAnsi" w:cstheme="minorHAnsi"/>
          <w:lang w:val="en-US"/>
        </w:rPr>
        <w:t>Financials, Industrials, Real estate and Utilities</w:t>
      </w:r>
      <w:r w:rsidRPr="004556EC">
        <w:rPr>
          <w:rFonts w:asciiTheme="minorHAnsi" w:eastAsia="Calibri" w:hAnsiTheme="minorHAnsi" w:cstheme="minorHAnsi"/>
          <w:lang w:val="en-US"/>
        </w:rPr>
        <w:t xml:space="preserve"> sectors. </w:t>
      </w:r>
      <w:r>
        <w:rPr>
          <w:rFonts w:asciiTheme="minorHAnsi" w:eastAsia="Calibri" w:hAnsiTheme="minorHAnsi" w:cstheme="minorHAnsi"/>
          <w:lang w:val="en-US"/>
        </w:rPr>
        <w:t>We document anti-herding in Basic Materials, Consumer Staples, Energy, Technology and Telecoms sectors.</w:t>
      </w:r>
    </w:p>
    <w:p w14:paraId="23A92604" w14:textId="72D4164C" w:rsidR="00471119" w:rsidRDefault="00471119" w:rsidP="00471119">
      <w:pPr>
        <w:pStyle w:val="Newparagraph"/>
        <w:spacing w:line="360" w:lineRule="auto"/>
        <w:ind w:firstLine="0"/>
        <w:jc w:val="both"/>
        <w:rPr>
          <w:rFonts w:asciiTheme="minorHAnsi" w:eastAsia="Calibri" w:hAnsiTheme="minorHAnsi" w:cstheme="minorHAnsi"/>
          <w:lang w:val="en-US"/>
        </w:rPr>
      </w:pPr>
      <w:r w:rsidRPr="004556EC">
        <w:rPr>
          <w:rFonts w:asciiTheme="minorHAnsi" w:eastAsia="Calibri" w:hAnsiTheme="minorHAnsi" w:cstheme="minorHAnsi"/>
          <w:lang w:val="en-US"/>
        </w:rPr>
        <w:t xml:space="preserve">In all, the results for herding conditioned on trading volume at both the market and sector level provide limited evidence in support of the presence of stronger levels of herding during high (low) volume periods. However, there is strong supportive evidence </w:t>
      </w:r>
      <w:r w:rsidRPr="004556EC">
        <w:rPr>
          <w:rFonts w:asciiTheme="minorHAnsi" w:eastAsia="Calibri" w:hAnsiTheme="minorHAnsi" w:cstheme="minorHAnsi"/>
          <w:lang w:val="en-US"/>
        </w:rPr>
        <w:lastRenderedPageBreak/>
        <w:t>that US investors exhibit ‘negative herding’ as most of the coefficients during the high and low volume periods are positive and statistically significant</w:t>
      </w:r>
    </w:p>
    <w:p w14:paraId="23F604F4" w14:textId="3028C5FB" w:rsidR="00471119" w:rsidRDefault="00471119" w:rsidP="0011693D">
      <w:pPr>
        <w:pStyle w:val="Newparagraph"/>
        <w:spacing w:line="360" w:lineRule="auto"/>
        <w:ind w:firstLine="0"/>
        <w:jc w:val="both"/>
        <w:rPr>
          <w:rFonts w:asciiTheme="minorHAnsi" w:eastAsia="Calibri" w:hAnsiTheme="minorHAnsi" w:cstheme="minorHAnsi"/>
          <w:lang w:val="en-US"/>
        </w:rPr>
      </w:pPr>
    </w:p>
    <w:p w14:paraId="6FCB8494" w14:textId="77777777" w:rsidR="00816BE5" w:rsidRPr="004556EC" w:rsidRDefault="00816BE5" w:rsidP="00471119">
      <w:pPr>
        <w:pStyle w:val="Newparagraph"/>
        <w:spacing w:line="360" w:lineRule="auto"/>
        <w:ind w:firstLine="0"/>
        <w:jc w:val="both"/>
        <w:rPr>
          <w:rFonts w:asciiTheme="minorHAnsi" w:eastAsia="Calibri" w:hAnsiTheme="minorHAnsi" w:cstheme="minorHAnsi"/>
          <w:lang w:val="en-US"/>
        </w:rPr>
      </w:pPr>
    </w:p>
    <w:p w14:paraId="5E45061A" w14:textId="435499B7" w:rsidR="0001091F" w:rsidRDefault="0001091F" w:rsidP="00265889">
      <w:pPr>
        <w:spacing w:after="200" w:line="360" w:lineRule="auto"/>
        <w:jc w:val="center"/>
        <w:rPr>
          <w:rFonts w:asciiTheme="minorHAnsi" w:eastAsia="Calibri" w:hAnsiTheme="minorHAnsi" w:cstheme="minorHAnsi"/>
          <w:b/>
          <w:iCs/>
          <w:szCs w:val="18"/>
          <w:lang w:eastAsia="en-US"/>
        </w:rPr>
      </w:pPr>
      <w:bookmarkStart w:id="7" w:name="_Toc534716706"/>
      <w:r w:rsidRPr="004556EC">
        <w:rPr>
          <w:rFonts w:asciiTheme="minorHAnsi" w:eastAsia="Calibri" w:hAnsiTheme="minorHAnsi" w:cstheme="minorHAnsi"/>
          <w:b/>
          <w:iCs/>
          <w:szCs w:val="18"/>
          <w:lang w:eastAsia="en-US"/>
        </w:rPr>
        <w:t xml:space="preserve">Table </w:t>
      </w:r>
      <w:r w:rsidR="008502D1" w:rsidRPr="004556EC">
        <w:rPr>
          <w:rFonts w:asciiTheme="minorHAnsi" w:eastAsia="Calibri" w:hAnsiTheme="minorHAnsi" w:cstheme="minorHAnsi"/>
          <w:b/>
          <w:iCs/>
          <w:szCs w:val="18"/>
          <w:lang w:eastAsia="en-US"/>
        </w:rPr>
        <w:t>3.</w:t>
      </w:r>
      <w:r w:rsidRPr="004556EC">
        <w:rPr>
          <w:rFonts w:asciiTheme="minorHAnsi" w:eastAsia="Calibri" w:hAnsiTheme="minorHAnsi" w:cstheme="minorHAnsi"/>
          <w:b/>
          <w:iCs/>
          <w:szCs w:val="18"/>
          <w:lang w:eastAsia="en-US"/>
        </w:rPr>
        <w:t>8. Regression estimates for herd behaviour during high and low trading volume, US</w:t>
      </w:r>
      <w:bookmarkEnd w:id="7"/>
    </w:p>
    <w:tbl>
      <w:tblPr>
        <w:tblW w:w="5087" w:type="pct"/>
        <w:tblLook w:val="04A0" w:firstRow="1" w:lastRow="0" w:firstColumn="1" w:lastColumn="0" w:noHBand="0" w:noVBand="1"/>
      </w:tblPr>
      <w:tblGrid>
        <w:gridCol w:w="1852"/>
        <w:gridCol w:w="1204"/>
        <w:gridCol w:w="994"/>
        <w:gridCol w:w="114"/>
        <w:gridCol w:w="1026"/>
        <w:gridCol w:w="85"/>
        <w:gridCol w:w="891"/>
        <w:gridCol w:w="209"/>
        <w:gridCol w:w="766"/>
        <w:gridCol w:w="508"/>
        <w:gridCol w:w="773"/>
        <w:gridCol w:w="225"/>
      </w:tblGrid>
      <w:tr w:rsidR="00621757" w:rsidRPr="00D662AC" w14:paraId="5AE53184" w14:textId="77777777" w:rsidTr="00D662AC">
        <w:trPr>
          <w:trHeight w:val="596"/>
        </w:trPr>
        <w:tc>
          <w:tcPr>
            <w:tcW w:w="4129" w:type="pct"/>
            <w:gridSpan w:val="9"/>
            <w:tcBorders>
              <w:top w:val="single" w:sz="4" w:space="0" w:color="auto"/>
              <w:left w:val="nil"/>
              <w:bottom w:val="single" w:sz="4" w:space="0" w:color="auto"/>
              <w:right w:val="nil"/>
            </w:tcBorders>
            <w:shd w:val="clear" w:color="auto" w:fill="auto"/>
            <w:noWrap/>
            <w:vAlign w:val="bottom"/>
            <w:hideMark/>
          </w:tcPr>
          <w:p w14:paraId="6B185AA0" w14:textId="77777777" w:rsidR="00621757" w:rsidRPr="00D662AC" w:rsidRDefault="00621757" w:rsidP="00621757">
            <w:pPr>
              <w:spacing w:line="240" w:lineRule="auto"/>
              <w:jc w:val="both"/>
              <w:rPr>
                <w:rFonts w:asciiTheme="minorHAnsi" w:eastAsia="Calibri" w:hAnsiTheme="minorHAnsi" w:cstheme="minorHAnsi"/>
                <w:sz w:val="22"/>
                <w:szCs w:val="22"/>
                <w:lang w:val="en-US" w:eastAsia="en-US"/>
              </w:rPr>
            </w:pPr>
            <w:r w:rsidRPr="00D662AC">
              <w:rPr>
                <w:rFonts w:asciiTheme="minorHAnsi" w:eastAsia="Calibri" w:hAnsiTheme="minorHAnsi" w:cstheme="minorHAnsi"/>
                <w:sz w:val="22"/>
                <w:szCs w:val="22"/>
                <w:lang w:val="en-US" w:eastAsia="en-US"/>
              </w:rPr>
              <w:t>Industry</w:t>
            </w:r>
            <w:r w:rsidRPr="00D662AC">
              <w:rPr>
                <w:rFonts w:asciiTheme="minorHAnsi" w:eastAsia="Calibri" w:hAnsiTheme="minorHAnsi" w:cstheme="minorHAnsi"/>
                <w:sz w:val="22"/>
                <w:szCs w:val="22"/>
                <w:lang w:val="en-US" w:eastAsia="en-US"/>
              </w:rPr>
              <w:tab/>
              <w:t xml:space="preserve">           α</w:t>
            </w:r>
            <w:r w:rsidRPr="00D662AC">
              <w:rPr>
                <w:rFonts w:asciiTheme="minorHAnsi" w:eastAsia="Calibri" w:hAnsiTheme="minorHAnsi" w:cstheme="minorHAnsi"/>
                <w:sz w:val="22"/>
                <w:szCs w:val="22"/>
                <w:lang w:val="en-US" w:eastAsia="en-US"/>
              </w:rPr>
              <w:tab/>
              <w:t xml:space="preserve">                  </w:t>
            </w:r>
            <m:oMath>
              <m:sSub>
                <m:sSubPr>
                  <m:ctrlPr>
                    <w:rPr>
                      <w:rFonts w:ascii="Cambria Math" w:eastAsia="Calibri" w:hAnsi="Cambria Math" w:cstheme="minorHAnsi"/>
                      <w:sz w:val="22"/>
                      <w:szCs w:val="22"/>
                      <w:lang w:eastAsia="en-US"/>
                    </w:rPr>
                  </m:ctrlPr>
                </m:sSubPr>
                <m:e>
                  <m:r>
                    <w:rPr>
                      <w:rFonts w:ascii="Cambria Math" w:eastAsia="Calibri" w:hAnsi="Cambria Math" w:cstheme="minorHAnsi"/>
                      <w:sz w:val="22"/>
                      <w:szCs w:val="22"/>
                      <w:lang w:eastAsia="en-US"/>
                    </w:rPr>
                    <m:t>γ</m:t>
                  </m:r>
                </m:e>
                <m:sub>
                  <m:r>
                    <m:rPr>
                      <m:sty m:val="p"/>
                    </m:rPr>
                    <w:rPr>
                      <w:rFonts w:ascii="Cambria Math" w:eastAsia="Calibri" w:hAnsi="Cambria Math" w:cstheme="minorHAnsi"/>
                      <w:sz w:val="22"/>
                      <w:szCs w:val="22"/>
                      <w:lang w:eastAsia="en-US"/>
                    </w:rPr>
                    <m:t>1</m:t>
                  </m:r>
                </m:sub>
              </m:sSub>
            </m:oMath>
            <w:r w:rsidRPr="00D662AC">
              <w:rPr>
                <w:rFonts w:asciiTheme="minorHAnsi" w:eastAsia="Calibri" w:hAnsiTheme="minorHAnsi" w:cstheme="minorHAnsi"/>
                <w:sz w:val="22"/>
                <w:szCs w:val="22"/>
                <w:lang w:val="en-US" w:eastAsia="en-US"/>
              </w:rPr>
              <w:t xml:space="preserve">                   </w:t>
            </w:r>
            <m:oMath>
              <m:sSub>
                <m:sSubPr>
                  <m:ctrlPr>
                    <w:rPr>
                      <w:rFonts w:ascii="Cambria Math" w:eastAsia="Calibri" w:hAnsi="Cambria Math" w:cstheme="minorHAnsi"/>
                      <w:sz w:val="22"/>
                      <w:szCs w:val="22"/>
                      <w:lang w:eastAsia="en-US"/>
                    </w:rPr>
                  </m:ctrlPr>
                </m:sSubPr>
                <m:e>
                  <m:r>
                    <w:rPr>
                      <w:rFonts w:ascii="Cambria Math" w:eastAsia="Calibri" w:hAnsi="Cambria Math" w:cstheme="minorHAnsi"/>
                      <w:sz w:val="22"/>
                      <w:szCs w:val="22"/>
                      <w:lang w:eastAsia="en-US"/>
                    </w:rPr>
                    <m:t>γ</m:t>
                  </m:r>
                </m:e>
                <m:sub>
                  <m:r>
                    <m:rPr>
                      <m:sty m:val="p"/>
                    </m:rPr>
                    <w:rPr>
                      <w:rFonts w:ascii="Cambria Math" w:eastAsia="Calibri" w:hAnsi="Cambria Math" w:cstheme="minorHAnsi"/>
                      <w:sz w:val="22"/>
                      <w:szCs w:val="22"/>
                      <w:lang w:eastAsia="en-US"/>
                    </w:rPr>
                    <m:t>2</m:t>
                  </m:r>
                </m:sub>
              </m:sSub>
            </m:oMath>
            <w:r w:rsidRPr="00D662AC">
              <w:rPr>
                <w:rFonts w:asciiTheme="minorHAnsi" w:eastAsia="Calibri" w:hAnsiTheme="minorHAnsi" w:cstheme="minorHAnsi"/>
                <w:sz w:val="22"/>
                <w:szCs w:val="22"/>
                <w:vertAlign w:val="subscript"/>
                <w:lang w:val="en-US" w:eastAsia="en-US"/>
              </w:rPr>
              <w:tab/>
              <w:t xml:space="preserve">         </w:t>
            </w:r>
            <m:oMath>
              <m:sSub>
                <m:sSubPr>
                  <m:ctrlPr>
                    <w:rPr>
                      <w:rFonts w:ascii="Cambria Math" w:eastAsia="Calibri" w:hAnsi="Cambria Math" w:cstheme="minorHAnsi"/>
                      <w:sz w:val="22"/>
                      <w:szCs w:val="22"/>
                      <w:lang w:eastAsia="en-US"/>
                    </w:rPr>
                  </m:ctrlPr>
                </m:sSubPr>
                <m:e>
                  <m:r>
                    <w:rPr>
                      <w:rFonts w:ascii="Cambria Math" w:eastAsia="Calibri" w:hAnsi="Cambria Math" w:cstheme="minorHAnsi"/>
                      <w:sz w:val="22"/>
                      <w:szCs w:val="22"/>
                      <w:lang w:eastAsia="en-US"/>
                    </w:rPr>
                    <m:t>γ</m:t>
                  </m:r>
                </m:e>
                <m:sub>
                  <m:r>
                    <m:rPr>
                      <m:sty m:val="p"/>
                    </m:rPr>
                    <w:rPr>
                      <w:rFonts w:ascii="Cambria Math" w:eastAsia="Calibri" w:hAnsi="Cambria Math" w:cstheme="minorHAnsi"/>
                      <w:sz w:val="22"/>
                      <w:szCs w:val="22"/>
                      <w:lang w:eastAsia="en-US"/>
                    </w:rPr>
                    <m:t>3</m:t>
                  </m:r>
                </m:sub>
              </m:sSub>
            </m:oMath>
            <w:r w:rsidRPr="00D662AC">
              <w:rPr>
                <w:rFonts w:asciiTheme="minorHAnsi" w:eastAsia="Calibri" w:hAnsiTheme="minorHAnsi" w:cstheme="minorHAnsi"/>
                <w:sz w:val="22"/>
                <w:szCs w:val="22"/>
                <w:lang w:val="en-US" w:eastAsia="en-US"/>
              </w:rPr>
              <w:tab/>
              <w:t xml:space="preserve">             </w:t>
            </w:r>
            <m:oMath>
              <m:sSub>
                <m:sSubPr>
                  <m:ctrlPr>
                    <w:rPr>
                      <w:rFonts w:ascii="Cambria Math" w:eastAsia="Calibri" w:hAnsi="Cambria Math" w:cstheme="minorHAnsi"/>
                      <w:sz w:val="22"/>
                      <w:szCs w:val="22"/>
                      <w:lang w:eastAsia="en-US"/>
                    </w:rPr>
                  </m:ctrlPr>
                </m:sSubPr>
                <m:e>
                  <m:r>
                    <w:rPr>
                      <w:rFonts w:ascii="Cambria Math" w:eastAsia="Calibri" w:hAnsi="Cambria Math" w:cstheme="minorHAnsi"/>
                      <w:sz w:val="22"/>
                      <w:szCs w:val="22"/>
                      <w:lang w:eastAsia="en-US"/>
                    </w:rPr>
                    <m:t>γ</m:t>
                  </m:r>
                </m:e>
                <m:sub>
                  <m:r>
                    <m:rPr>
                      <m:sty m:val="p"/>
                    </m:rPr>
                    <w:rPr>
                      <w:rFonts w:ascii="Cambria Math" w:eastAsia="Calibri" w:hAnsi="Cambria Math" w:cstheme="minorHAnsi"/>
                      <w:sz w:val="22"/>
                      <w:szCs w:val="22"/>
                      <w:lang w:eastAsia="en-US"/>
                    </w:rPr>
                    <m:t>4</m:t>
                  </m:r>
                </m:sub>
              </m:sSub>
            </m:oMath>
            <w:r w:rsidRPr="00D662AC">
              <w:rPr>
                <w:rFonts w:asciiTheme="minorHAnsi" w:eastAsia="Calibri" w:hAnsiTheme="minorHAnsi" w:cstheme="minorHAnsi"/>
                <w:sz w:val="22"/>
                <w:szCs w:val="22"/>
                <w:lang w:val="en-US" w:eastAsia="en-US"/>
              </w:rPr>
              <w:t xml:space="preserve">                  </w:t>
            </w:r>
          </w:p>
        </w:tc>
        <w:tc>
          <w:tcPr>
            <w:tcW w:w="741" w:type="pct"/>
            <w:gridSpan w:val="2"/>
            <w:tcBorders>
              <w:top w:val="single" w:sz="4" w:space="0" w:color="auto"/>
              <w:left w:val="nil"/>
              <w:bottom w:val="single" w:sz="4" w:space="0" w:color="auto"/>
              <w:right w:val="nil"/>
            </w:tcBorders>
            <w:shd w:val="clear" w:color="auto" w:fill="auto"/>
            <w:noWrap/>
            <w:vAlign w:val="bottom"/>
            <w:hideMark/>
          </w:tcPr>
          <w:p w14:paraId="205995ED" w14:textId="77777777" w:rsidR="00621757" w:rsidRPr="00D662AC" w:rsidRDefault="00621757" w:rsidP="00621757">
            <w:pPr>
              <w:spacing w:line="240" w:lineRule="auto"/>
              <w:jc w:val="both"/>
              <w:rPr>
                <w:rFonts w:asciiTheme="minorHAnsi" w:eastAsia="Calibri" w:hAnsiTheme="minorHAnsi" w:cstheme="minorHAnsi"/>
                <w:sz w:val="22"/>
                <w:szCs w:val="22"/>
                <w:lang w:val="en-US" w:eastAsia="en-US"/>
              </w:rPr>
            </w:pPr>
            <w:r w:rsidRPr="00D662AC">
              <w:rPr>
                <w:rFonts w:asciiTheme="minorHAnsi" w:eastAsia="Calibri" w:hAnsiTheme="minorHAnsi" w:cstheme="minorHAnsi"/>
                <w:sz w:val="22"/>
                <w:szCs w:val="22"/>
                <w:lang w:val="en-US" w:eastAsia="en-US"/>
              </w:rPr>
              <w:t xml:space="preserve">          Adj.R</w:t>
            </w:r>
            <w:r w:rsidRPr="00D662AC">
              <w:rPr>
                <w:rFonts w:asciiTheme="minorHAnsi" w:eastAsia="Calibri" w:hAnsiTheme="minorHAnsi" w:cstheme="minorHAnsi"/>
                <w:sz w:val="22"/>
                <w:szCs w:val="22"/>
                <w:vertAlign w:val="superscript"/>
                <w:lang w:val="en-US" w:eastAsia="en-US"/>
              </w:rPr>
              <w:t>2</w:t>
            </w:r>
          </w:p>
        </w:tc>
        <w:tc>
          <w:tcPr>
            <w:tcW w:w="131" w:type="pct"/>
            <w:tcBorders>
              <w:top w:val="single" w:sz="4" w:space="0" w:color="auto"/>
              <w:left w:val="nil"/>
              <w:bottom w:val="single" w:sz="4" w:space="0" w:color="auto"/>
              <w:right w:val="nil"/>
            </w:tcBorders>
            <w:shd w:val="clear" w:color="auto" w:fill="auto"/>
            <w:noWrap/>
            <w:vAlign w:val="bottom"/>
            <w:hideMark/>
          </w:tcPr>
          <w:p w14:paraId="27D96ADC" w14:textId="77777777" w:rsidR="00621757" w:rsidRPr="00D662AC" w:rsidRDefault="00621757" w:rsidP="00621757">
            <w:pPr>
              <w:spacing w:line="240" w:lineRule="auto"/>
              <w:rPr>
                <w:rFonts w:asciiTheme="minorHAnsi" w:eastAsia="Calibri" w:hAnsiTheme="minorHAnsi" w:cstheme="minorHAnsi"/>
                <w:sz w:val="22"/>
                <w:szCs w:val="22"/>
                <w:lang w:val="en-US" w:eastAsia="en-US"/>
              </w:rPr>
            </w:pPr>
          </w:p>
        </w:tc>
      </w:tr>
      <w:tr w:rsidR="00621757" w:rsidRPr="00D662AC" w14:paraId="5B8697D2" w14:textId="77777777" w:rsidTr="00D662AC">
        <w:trPr>
          <w:trHeight w:val="380"/>
        </w:trPr>
        <w:tc>
          <w:tcPr>
            <w:tcW w:w="1071" w:type="pct"/>
            <w:tcBorders>
              <w:top w:val="nil"/>
              <w:left w:val="nil"/>
              <w:bottom w:val="nil"/>
              <w:right w:val="nil"/>
            </w:tcBorders>
            <w:shd w:val="clear" w:color="auto" w:fill="auto"/>
            <w:noWrap/>
            <w:vAlign w:val="bottom"/>
          </w:tcPr>
          <w:p w14:paraId="25A98C9E" w14:textId="77777777" w:rsidR="00621757" w:rsidRPr="00D662AC" w:rsidRDefault="00621757" w:rsidP="00621757">
            <w:pPr>
              <w:spacing w:line="240" w:lineRule="auto"/>
              <w:rPr>
                <w:rFonts w:asciiTheme="minorHAnsi" w:eastAsia="Calibri" w:hAnsiTheme="minorHAnsi" w:cstheme="minorHAnsi"/>
                <w:sz w:val="22"/>
                <w:szCs w:val="22"/>
                <w:lang w:val="en-US" w:eastAsia="en-US"/>
              </w:rPr>
            </w:pPr>
          </w:p>
        </w:tc>
        <w:tc>
          <w:tcPr>
            <w:tcW w:w="1271" w:type="pct"/>
            <w:gridSpan w:val="2"/>
            <w:tcBorders>
              <w:top w:val="nil"/>
              <w:left w:val="nil"/>
              <w:bottom w:val="nil"/>
              <w:right w:val="nil"/>
            </w:tcBorders>
            <w:shd w:val="clear" w:color="auto" w:fill="auto"/>
            <w:noWrap/>
            <w:vAlign w:val="bottom"/>
          </w:tcPr>
          <w:p w14:paraId="74843FF1" w14:textId="77777777" w:rsidR="00621757" w:rsidRPr="00D662AC" w:rsidRDefault="00621757" w:rsidP="00621757">
            <w:pPr>
              <w:spacing w:line="240" w:lineRule="auto"/>
              <w:rPr>
                <w:rFonts w:asciiTheme="minorHAnsi" w:eastAsia="Calibri" w:hAnsiTheme="minorHAnsi" w:cstheme="minorHAnsi"/>
                <w:sz w:val="22"/>
                <w:szCs w:val="22"/>
                <w:lang w:val="en-US" w:eastAsia="en-US"/>
              </w:rPr>
            </w:pPr>
          </w:p>
        </w:tc>
        <w:tc>
          <w:tcPr>
            <w:tcW w:w="659" w:type="pct"/>
            <w:gridSpan w:val="2"/>
            <w:tcBorders>
              <w:top w:val="nil"/>
              <w:left w:val="nil"/>
              <w:bottom w:val="nil"/>
              <w:right w:val="nil"/>
            </w:tcBorders>
            <w:shd w:val="clear" w:color="auto" w:fill="auto"/>
            <w:noWrap/>
            <w:vAlign w:val="bottom"/>
          </w:tcPr>
          <w:p w14:paraId="109609BF" w14:textId="77777777" w:rsidR="00621757" w:rsidRPr="00D662AC" w:rsidRDefault="00621757" w:rsidP="00621757">
            <w:pPr>
              <w:spacing w:line="240" w:lineRule="auto"/>
              <w:rPr>
                <w:rFonts w:asciiTheme="minorHAnsi" w:eastAsia="Calibri" w:hAnsiTheme="minorHAnsi" w:cstheme="minorHAnsi"/>
                <w:sz w:val="22"/>
                <w:szCs w:val="22"/>
                <w:lang w:val="en-US" w:eastAsia="en-US"/>
              </w:rPr>
            </w:pPr>
          </w:p>
        </w:tc>
        <w:tc>
          <w:tcPr>
            <w:tcW w:w="564" w:type="pct"/>
            <w:gridSpan w:val="2"/>
            <w:tcBorders>
              <w:top w:val="nil"/>
              <w:left w:val="nil"/>
              <w:bottom w:val="nil"/>
              <w:right w:val="nil"/>
            </w:tcBorders>
            <w:shd w:val="clear" w:color="auto" w:fill="auto"/>
            <w:noWrap/>
            <w:vAlign w:val="bottom"/>
          </w:tcPr>
          <w:p w14:paraId="6700AE57" w14:textId="77777777" w:rsidR="00621757" w:rsidRPr="00D662AC" w:rsidRDefault="00621757" w:rsidP="00621757">
            <w:pPr>
              <w:spacing w:line="240" w:lineRule="auto"/>
              <w:rPr>
                <w:rFonts w:asciiTheme="minorHAnsi" w:eastAsia="Calibri" w:hAnsiTheme="minorHAnsi" w:cstheme="minorHAnsi"/>
                <w:sz w:val="22"/>
                <w:szCs w:val="22"/>
                <w:lang w:val="en-US" w:eastAsia="en-US"/>
              </w:rPr>
            </w:pPr>
          </w:p>
        </w:tc>
        <w:tc>
          <w:tcPr>
            <w:tcW w:w="562" w:type="pct"/>
            <w:gridSpan w:val="2"/>
            <w:tcBorders>
              <w:top w:val="nil"/>
              <w:left w:val="nil"/>
              <w:bottom w:val="nil"/>
              <w:right w:val="nil"/>
            </w:tcBorders>
            <w:shd w:val="clear" w:color="auto" w:fill="auto"/>
            <w:noWrap/>
            <w:vAlign w:val="bottom"/>
          </w:tcPr>
          <w:p w14:paraId="202D2429" w14:textId="77777777" w:rsidR="00621757" w:rsidRPr="00D662AC" w:rsidRDefault="00621757" w:rsidP="00621757">
            <w:pPr>
              <w:spacing w:line="240" w:lineRule="auto"/>
              <w:rPr>
                <w:rFonts w:asciiTheme="minorHAnsi" w:eastAsia="Calibri" w:hAnsiTheme="minorHAnsi" w:cstheme="minorHAnsi"/>
                <w:sz w:val="22"/>
                <w:szCs w:val="22"/>
                <w:lang w:val="en-US" w:eastAsia="en-US"/>
              </w:rPr>
            </w:pPr>
          </w:p>
        </w:tc>
        <w:tc>
          <w:tcPr>
            <w:tcW w:w="741" w:type="pct"/>
            <w:gridSpan w:val="2"/>
            <w:tcBorders>
              <w:top w:val="nil"/>
              <w:left w:val="nil"/>
              <w:bottom w:val="nil"/>
              <w:right w:val="nil"/>
            </w:tcBorders>
            <w:shd w:val="clear" w:color="auto" w:fill="auto"/>
            <w:noWrap/>
            <w:vAlign w:val="bottom"/>
          </w:tcPr>
          <w:p w14:paraId="7ED10997" w14:textId="77777777" w:rsidR="00621757" w:rsidRPr="00D662AC" w:rsidRDefault="00621757" w:rsidP="00621757">
            <w:pPr>
              <w:spacing w:line="240" w:lineRule="auto"/>
              <w:rPr>
                <w:rFonts w:asciiTheme="minorHAnsi" w:eastAsia="Calibri" w:hAnsiTheme="minorHAnsi" w:cstheme="minorHAnsi"/>
                <w:sz w:val="22"/>
                <w:szCs w:val="22"/>
                <w:lang w:val="en-US" w:eastAsia="en-US"/>
              </w:rPr>
            </w:pPr>
          </w:p>
        </w:tc>
        <w:tc>
          <w:tcPr>
            <w:tcW w:w="131" w:type="pct"/>
            <w:tcBorders>
              <w:top w:val="nil"/>
              <w:left w:val="nil"/>
              <w:bottom w:val="nil"/>
              <w:right w:val="nil"/>
            </w:tcBorders>
            <w:shd w:val="clear" w:color="auto" w:fill="auto"/>
            <w:noWrap/>
            <w:vAlign w:val="bottom"/>
          </w:tcPr>
          <w:p w14:paraId="3469D7BF" w14:textId="77777777" w:rsidR="00621757" w:rsidRPr="00D662AC" w:rsidRDefault="00621757" w:rsidP="00621757">
            <w:pPr>
              <w:spacing w:line="240" w:lineRule="auto"/>
              <w:rPr>
                <w:rFonts w:asciiTheme="minorHAnsi" w:eastAsia="Calibri" w:hAnsiTheme="minorHAnsi" w:cstheme="minorHAnsi"/>
                <w:sz w:val="22"/>
                <w:szCs w:val="22"/>
                <w:lang w:val="en-US" w:eastAsia="en-US"/>
              </w:rPr>
            </w:pPr>
          </w:p>
        </w:tc>
      </w:tr>
      <w:tr w:rsidR="00D662AC" w:rsidRPr="00D662AC" w14:paraId="2A56E312" w14:textId="77777777" w:rsidTr="00D662AC">
        <w:trPr>
          <w:trHeight w:val="81"/>
        </w:trPr>
        <w:tc>
          <w:tcPr>
            <w:tcW w:w="1071" w:type="pct"/>
            <w:tcBorders>
              <w:top w:val="nil"/>
              <w:left w:val="nil"/>
              <w:bottom w:val="nil"/>
              <w:right w:val="nil"/>
            </w:tcBorders>
            <w:shd w:val="clear" w:color="auto" w:fill="auto"/>
            <w:noWrap/>
            <w:vAlign w:val="center"/>
            <w:hideMark/>
          </w:tcPr>
          <w:p w14:paraId="557B4089"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Theme="minorHAnsi" w:eastAsia="Calibri" w:hAnsiTheme="minorHAnsi" w:cstheme="minorHAnsi"/>
                <w:sz w:val="22"/>
                <w:szCs w:val="22"/>
                <w:lang w:val="en-US" w:eastAsia="en-US"/>
              </w:rPr>
              <w:t>Basic Materials</w:t>
            </w:r>
          </w:p>
        </w:tc>
        <w:tc>
          <w:tcPr>
            <w:tcW w:w="696" w:type="pct"/>
            <w:tcBorders>
              <w:top w:val="nil"/>
              <w:left w:val="nil"/>
              <w:bottom w:val="nil"/>
              <w:right w:val="nil"/>
            </w:tcBorders>
            <w:shd w:val="clear" w:color="auto" w:fill="auto"/>
            <w:noWrap/>
            <w:vAlign w:val="center"/>
            <w:hideMark/>
          </w:tcPr>
          <w:p w14:paraId="74679B29" w14:textId="546A08BB"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0.8453</w:t>
            </w:r>
          </w:p>
        </w:tc>
        <w:tc>
          <w:tcPr>
            <w:tcW w:w="641" w:type="pct"/>
            <w:gridSpan w:val="2"/>
            <w:tcBorders>
              <w:top w:val="nil"/>
              <w:left w:val="nil"/>
              <w:bottom w:val="nil"/>
              <w:right w:val="nil"/>
            </w:tcBorders>
            <w:shd w:val="clear" w:color="auto" w:fill="auto"/>
            <w:noWrap/>
            <w:vAlign w:val="center"/>
            <w:hideMark/>
          </w:tcPr>
          <w:p w14:paraId="45B87A77" w14:textId="12E0D61C"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-1.8018</w:t>
            </w:r>
          </w:p>
        </w:tc>
        <w:tc>
          <w:tcPr>
            <w:tcW w:w="642" w:type="pct"/>
            <w:gridSpan w:val="2"/>
            <w:tcBorders>
              <w:top w:val="nil"/>
              <w:left w:val="nil"/>
              <w:bottom w:val="nil"/>
              <w:right w:val="nil"/>
            </w:tcBorders>
            <w:shd w:val="clear" w:color="auto" w:fill="auto"/>
            <w:noWrap/>
            <w:vAlign w:val="center"/>
            <w:hideMark/>
          </w:tcPr>
          <w:p w14:paraId="513F09C3" w14:textId="7067B677"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-1.5111</w:t>
            </w:r>
          </w:p>
        </w:tc>
        <w:tc>
          <w:tcPr>
            <w:tcW w:w="636" w:type="pct"/>
            <w:gridSpan w:val="2"/>
            <w:tcBorders>
              <w:top w:val="nil"/>
              <w:left w:val="nil"/>
              <w:bottom w:val="nil"/>
              <w:right w:val="nil"/>
            </w:tcBorders>
            <w:shd w:val="clear" w:color="auto" w:fill="auto"/>
            <w:noWrap/>
            <w:vAlign w:val="center"/>
            <w:hideMark/>
          </w:tcPr>
          <w:p w14:paraId="7A665235" w14:textId="2187AB71"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3.5554</w:t>
            </w:r>
          </w:p>
        </w:tc>
        <w:tc>
          <w:tcPr>
            <w:tcW w:w="737" w:type="pct"/>
            <w:gridSpan w:val="2"/>
            <w:tcBorders>
              <w:top w:val="nil"/>
              <w:left w:val="nil"/>
              <w:bottom w:val="nil"/>
              <w:right w:val="nil"/>
            </w:tcBorders>
            <w:shd w:val="clear" w:color="auto" w:fill="auto"/>
            <w:noWrap/>
            <w:vAlign w:val="center"/>
            <w:hideMark/>
          </w:tcPr>
          <w:p w14:paraId="426CA953" w14:textId="6EB1F2D2"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3.3194</w:t>
            </w:r>
          </w:p>
        </w:tc>
        <w:tc>
          <w:tcPr>
            <w:tcW w:w="576" w:type="pct"/>
            <w:gridSpan w:val="2"/>
            <w:tcBorders>
              <w:top w:val="nil"/>
              <w:left w:val="nil"/>
              <w:bottom w:val="nil"/>
              <w:right w:val="nil"/>
            </w:tcBorders>
            <w:shd w:val="clear" w:color="auto" w:fill="auto"/>
            <w:noWrap/>
            <w:vAlign w:val="center"/>
            <w:hideMark/>
          </w:tcPr>
          <w:p w14:paraId="5DA8A88C" w14:textId="6B55CF12"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64.08%</w:t>
            </w:r>
          </w:p>
        </w:tc>
      </w:tr>
      <w:tr w:rsidR="00D662AC" w:rsidRPr="00D662AC" w14:paraId="5D96BD55" w14:textId="77777777" w:rsidTr="00D662AC">
        <w:trPr>
          <w:trHeight w:val="304"/>
        </w:trPr>
        <w:tc>
          <w:tcPr>
            <w:tcW w:w="1071" w:type="pct"/>
            <w:tcBorders>
              <w:top w:val="nil"/>
              <w:left w:val="nil"/>
              <w:bottom w:val="nil"/>
              <w:right w:val="nil"/>
            </w:tcBorders>
            <w:shd w:val="clear" w:color="auto" w:fill="auto"/>
            <w:noWrap/>
            <w:vAlign w:val="center"/>
            <w:hideMark/>
          </w:tcPr>
          <w:p w14:paraId="6251E5B4"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p>
        </w:tc>
        <w:tc>
          <w:tcPr>
            <w:tcW w:w="696" w:type="pct"/>
            <w:tcBorders>
              <w:top w:val="nil"/>
              <w:left w:val="nil"/>
              <w:bottom w:val="nil"/>
              <w:right w:val="nil"/>
            </w:tcBorders>
            <w:shd w:val="clear" w:color="auto" w:fill="auto"/>
            <w:noWrap/>
            <w:vAlign w:val="center"/>
            <w:hideMark/>
          </w:tcPr>
          <w:p w14:paraId="7AE6251F" w14:textId="2249BDB4"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hideMark/>
          </w:tcPr>
          <w:p w14:paraId="6A2B0454" w14:textId="3EE0D10A"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hideMark/>
          </w:tcPr>
          <w:p w14:paraId="0F520447" w14:textId="59762BF5"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hideMark/>
          </w:tcPr>
          <w:p w14:paraId="587AD1A3" w14:textId="695FD444"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hideMark/>
          </w:tcPr>
          <w:p w14:paraId="7AC93CBE" w14:textId="0963F224"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hideMark/>
          </w:tcPr>
          <w:p w14:paraId="152C3FC2"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p>
        </w:tc>
      </w:tr>
      <w:tr w:rsidR="00D662AC" w:rsidRPr="00D662AC" w14:paraId="5C4751CB" w14:textId="77777777" w:rsidTr="00D662AC">
        <w:trPr>
          <w:trHeight w:val="304"/>
        </w:trPr>
        <w:tc>
          <w:tcPr>
            <w:tcW w:w="1071" w:type="pct"/>
            <w:tcBorders>
              <w:top w:val="nil"/>
              <w:left w:val="nil"/>
              <w:bottom w:val="nil"/>
              <w:right w:val="nil"/>
            </w:tcBorders>
            <w:shd w:val="clear" w:color="auto" w:fill="auto"/>
            <w:noWrap/>
            <w:vAlign w:val="center"/>
            <w:hideMark/>
          </w:tcPr>
          <w:p w14:paraId="7AEA4722"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Theme="minorHAnsi" w:eastAsia="Calibri" w:hAnsiTheme="minorHAnsi" w:cstheme="minorHAnsi"/>
                <w:sz w:val="22"/>
                <w:szCs w:val="22"/>
                <w:lang w:val="en-US"/>
              </w:rPr>
              <w:t>Consumer Staples</w:t>
            </w:r>
          </w:p>
        </w:tc>
        <w:tc>
          <w:tcPr>
            <w:tcW w:w="696" w:type="pct"/>
            <w:tcBorders>
              <w:top w:val="nil"/>
              <w:left w:val="nil"/>
              <w:bottom w:val="nil"/>
              <w:right w:val="nil"/>
            </w:tcBorders>
            <w:shd w:val="clear" w:color="auto" w:fill="auto"/>
            <w:noWrap/>
            <w:vAlign w:val="center"/>
            <w:hideMark/>
          </w:tcPr>
          <w:p w14:paraId="08B7DAB7" w14:textId="7D241755"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0.0099</w:t>
            </w:r>
          </w:p>
        </w:tc>
        <w:tc>
          <w:tcPr>
            <w:tcW w:w="641" w:type="pct"/>
            <w:gridSpan w:val="2"/>
            <w:tcBorders>
              <w:top w:val="nil"/>
              <w:left w:val="nil"/>
              <w:bottom w:val="nil"/>
              <w:right w:val="nil"/>
            </w:tcBorders>
            <w:shd w:val="clear" w:color="auto" w:fill="auto"/>
            <w:noWrap/>
            <w:vAlign w:val="center"/>
            <w:hideMark/>
          </w:tcPr>
          <w:p w14:paraId="104E5F99" w14:textId="53B1DBFF"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0.4025</w:t>
            </w:r>
          </w:p>
        </w:tc>
        <w:tc>
          <w:tcPr>
            <w:tcW w:w="642" w:type="pct"/>
            <w:gridSpan w:val="2"/>
            <w:tcBorders>
              <w:top w:val="nil"/>
              <w:left w:val="nil"/>
              <w:bottom w:val="nil"/>
              <w:right w:val="nil"/>
            </w:tcBorders>
            <w:shd w:val="clear" w:color="auto" w:fill="auto"/>
            <w:noWrap/>
            <w:vAlign w:val="center"/>
            <w:hideMark/>
          </w:tcPr>
          <w:p w14:paraId="29B61E24" w14:textId="7A126BFE"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0.2912</w:t>
            </w:r>
          </w:p>
        </w:tc>
        <w:tc>
          <w:tcPr>
            <w:tcW w:w="636" w:type="pct"/>
            <w:gridSpan w:val="2"/>
            <w:tcBorders>
              <w:top w:val="nil"/>
              <w:left w:val="nil"/>
              <w:bottom w:val="nil"/>
              <w:right w:val="nil"/>
            </w:tcBorders>
            <w:shd w:val="clear" w:color="auto" w:fill="auto"/>
            <w:noWrap/>
            <w:vAlign w:val="center"/>
            <w:hideMark/>
          </w:tcPr>
          <w:p w14:paraId="4AAF0F56" w14:textId="54565189"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-0.0951</w:t>
            </w:r>
          </w:p>
        </w:tc>
        <w:tc>
          <w:tcPr>
            <w:tcW w:w="737" w:type="pct"/>
            <w:gridSpan w:val="2"/>
            <w:tcBorders>
              <w:top w:val="nil"/>
              <w:left w:val="nil"/>
              <w:bottom w:val="nil"/>
              <w:right w:val="nil"/>
            </w:tcBorders>
            <w:shd w:val="clear" w:color="auto" w:fill="auto"/>
            <w:noWrap/>
            <w:vAlign w:val="center"/>
            <w:hideMark/>
          </w:tcPr>
          <w:p w14:paraId="38EC424A" w14:textId="4DE649B1"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1.6279</w:t>
            </w:r>
          </w:p>
        </w:tc>
        <w:tc>
          <w:tcPr>
            <w:tcW w:w="576" w:type="pct"/>
            <w:gridSpan w:val="2"/>
            <w:tcBorders>
              <w:top w:val="nil"/>
              <w:left w:val="nil"/>
              <w:bottom w:val="nil"/>
              <w:right w:val="nil"/>
            </w:tcBorders>
            <w:shd w:val="clear" w:color="auto" w:fill="auto"/>
            <w:noWrap/>
            <w:vAlign w:val="center"/>
            <w:hideMark/>
          </w:tcPr>
          <w:p w14:paraId="5AB7E7E0" w14:textId="785F64B3"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30.67%</w:t>
            </w:r>
          </w:p>
        </w:tc>
      </w:tr>
      <w:tr w:rsidR="00D662AC" w:rsidRPr="00D662AC" w14:paraId="32FD4650" w14:textId="77777777" w:rsidTr="00D662AC">
        <w:trPr>
          <w:trHeight w:val="304"/>
        </w:trPr>
        <w:tc>
          <w:tcPr>
            <w:tcW w:w="1071" w:type="pct"/>
            <w:tcBorders>
              <w:top w:val="nil"/>
              <w:left w:val="nil"/>
              <w:bottom w:val="nil"/>
              <w:right w:val="nil"/>
            </w:tcBorders>
            <w:shd w:val="clear" w:color="auto" w:fill="auto"/>
            <w:noWrap/>
            <w:vAlign w:val="center"/>
            <w:hideMark/>
          </w:tcPr>
          <w:p w14:paraId="3719B549"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p>
        </w:tc>
        <w:tc>
          <w:tcPr>
            <w:tcW w:w="696" w:type="pct"/>
            <w:tcBorders>
              <w:top w:val="nil"/>
              <w:left w:val="nil"/>
              <w:bottom w:val="nil"/>
              <w:right w:val="nil"/>
            </w:tcBorders>
            <w:shd w:val="clear" w:color="auto" w:fill="auto"/>
            <w:noWrap/>
            <w:vAlign w:val="center"/>
            <w:hideMark/>
          </w:tcPr>
          <w:p w14:paraId="704C7181" w14:textId="57D7EE37"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hideMark/>
          </w:tcPr>
          <w:p w14:paraId="3FAB66B6" w14:textId="07577049"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hideMark/>
          </w:tcPr>
          <w:p w14:paraId="2D902FE8" w14:textId="569FCBD1"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hideMark/>
          </w:tcPr>
          <w:p w14:paraId="0F8A9E51" w14:textId="7A6E8D0D"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0.6700</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hideMark/>
          </w:tcPr>
          <w:p w14:paraId="53E84465" w14:textId="1A530AB5"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hideMark/>
          </w:tcPr>
          <w:p w14:paraId="1094AEA9"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p>
        </w:tc>
      </w:tr>
      <w:tr w:rsidR="00D662AC" w:rsidRPr="00D662AC" w14:paraId="56369F66" w14:textId="77777777" w:rsidTr="00D662AC">
        <w:trPr>
          <w:trHeight w:val="304"/>
        </w:trPr>
        <w:tc>
          <w:tcPr>
            <w:tcW w:w="1071" w:type="pct"/>
            <w:tcBorders>
              <w:top w:val="nil"/>
              <w:left w:val="nil"/>
              <w:bottom w:val="nil"/>
              <w:right w:val="nil"/>
            </w:tcBorders>
            <w:shd w:val="clear" w:color="auto" w:fill="auto"/>
            <w:noWrap/>
            <w:vAlign w:val="center"/>
            <w:hideMark/>
          </w:tcPr>
          <w:p w14:paraId="397F3864"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Theme="minorHAnsi" w:eastAsia="Calibri" w:hAnsiTheme="minorHAnsi" w:cstheme="minorHAnsi"/>
                <w:sz w:val="22"/>
                <w:szCs w:val="22"/>
                <w:lang w:val="en-US"/>
              </w:rPr>
              <w:t>Energy</w:t>
            </w:r>
          </w:p>
        </w:tc>
        <w:tc>
          <w:tcPr>
            <w:tcW w:w="696" w:type="pct"/>
            <w:tcBorders>
              <w:top w:val="nil"/>
              <w:left w:val="nil"/>
              <w:bottom w:val="nil"/>
              <w:right w:val="nil"/>
            </w:tcBorders>
            <w:shd w:val="clear" w:color="auto" w:fill="auto"/>
            <w:noWrap/>
            <w:vAlign w:val="center"/>
            <w:hideMark/>
          </w:tcPr>
          <w:p w14:paraId="60A31930" w14:textId="68940505"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0.0113</w:t>
            </w:r>
          </w:p>
        </w:tc>
        <w:tc>
          <w:tcPr>
            <w:tcW w:w="641" w:type="pct"/>
            <w:gridSpan w:val="2"/>
            <w:tcBorders>
              <w:top w:val="nil"/>
              <w:left w:val="nil"/>
              <w:bottom w:val="nil"/>
              <w:right w:val="nil"/>
            </w:tcBorders>
            <w:shd w:val="clear" w:color="auto" w:fill="auto"/>
            <w:noWrap/>
            <w:vAlign w:val="center"/>
            <w:hideMark/>
          </w:tcPr>
          <w:p w14:paraId="6C0A1D80" w14:textId="180DC326"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0.3256</w:t>
            </w:r>
          </w:p>
        </w:tc>
        <w:tc>
          <w:tcPr>
            <w:tcW w:w="642" w:type="pct"/>
            <w:gridSpan w:val="2"/>
            <w:tcBorders>
              <w:top w:val="nil"/>
              <w:left w:val="nil"/>
              <w:bottom w:val="nil"/>
              <w:right w:val="nil"/>
            </w:tcBorders>
            <w:shd w:val="clear" w:color="auto" w:fill="auto"/>
            <w:noWrap/>
            <w:vAlign w:val="center"/>
            <w:hideMark/>
          </w:tcPr>
          <w:p w14:paraId="5B1ABA40" w14:textId="33B4B166"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0.3117</w:t>
            </w:r>
          </w:p>
        </w:tc>
        <w:tc>
          <w:tcPr>
            <w:tcW w:w="636" w:type="pct"/>
            <w:gridSpan w:val="2"/>
            <w:tcBorders>
              <w:top w:val="nil"/>
              <w:left w:val="nil"/>
              <w:bottom w:val="nil"/>
              <w:right w:val="nil"/>
            </w:tcBorders>
            <w:shd w:val="clear" w:color="auto" w:fill="auto"/>
            <w:noWrap/>
            <w:vAlign w:val="center"/>
            <w:hideMark/>
          </w:tcPr>
          <w:p w14:paraId="2B6801BE" w14:textId="2FA37A01"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1.0466</w:t>
            </w:r>
          </w:p>
        </w:tc>
        <w:tc>
          <w:tcPr>
            <w:tcW w:w="737" w:type="pct"/>
            <w:gridSpan w:val="2"/>
            <w:tcBorders>
              <w:top w:val="nil"/>
              <w:left w:val="nil"/>
              <w:bottom w:val="nil"/>
              <w:right w:val="nil"/>
            </w:tcBorders>
            <w:shd w:val="clear" w:color="auto" w:fill="auto"/>
            <w:noWrap/>
            <w:vAlign w:val="center"/>
            <w:hideMark/>
          </w:tcPr>
          <w:p w14:paraId="50179D5B" w14:textId="77ED4C95"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0.5631</w:t>
            </w:r>
          </w:p>
        </w:tc>
        <w:tc>
          <w:tcPr>
            <w:tcW w:w="576" w:type="pct"/>
            <w:gridSpan w:val="2"/>
            <w:tcBorders>
              <w:top w:val="nil"/>
              <w:left w:val="nil"/>
              <w:bottom w:val="nil"/>
              <w:right w:val="nil"/>
            </w:tcBorders>
            <w:shd w:val="clear" w:color="auto" w:fill="auto"/>
            <w:noWrap/>
            <w:vAlign w:val="center"/>
            <w:hideMark/>
          </w:tcPr>
          <w:p w14:paraId="34FC82E7" w14:textId="415B5B14"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40.54%</w:t>
            </w:r>
          </w:p>
        </w:tc>
      </w:tr>
      <w:tr w:rsidR="00D662AC" w:rsidRPr="00D662AC" w14:paraId="343CBCDB" w14:textId="77777777" w:rsidTr="00D662AC">
        <w:trPr>
          <w:trHeight w:val="304"/>
        </w:trPr>
        <w:tc>
          <w:tcPr>
            <w:tcW w:w="1071" w:type="pct"/>
            <w:tcBorders>
              <w:top w:val="nil"/>
              <w:left w:val="nil"/>
              <w:bottom w:val="nil"/>
              <w:right w:val="nil"/>
            </w:tcBorders>
            <w:shd w:val="clear" w:color="auto" w:fill="auto"/>
            <w:noWrap/>
            <w:vAlign w:val="center"/>
            <w:hideMark/>
          </w:tcPr>
          <w:p w14:paraId="088DF0D6"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p>
        </w:tc>
        <w:tc>
          <w:tcPr>
            <w:tcW w:w="696" w:type="pct"/>
            <w:tcBorders>
              <w:top w:val="nil"/>
              <w:left w:val="nil"/>
              <w:bottom w:val="nil"/>
              <w:right w:val="nil"/>
            </w:tcBorders>
            <w:shd w:val="clear" w:color="auto" w:fill="auto"/>
            <w:noWrap/>
            <w:vAlign w:val="center"/>
            <w:hideMark/>
          </w:tcPr>
          <w:p w14:paraId="485D00FB" w14:textId="427511E8"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hideMark/>
          </w:tcPr>
          <w:p w14:paraId="32FB82B6" w14:textId="5890E730"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hideMark/>
          </w:tcPr>
          <w:p w14:paraId="75D25EAC" w14:textId="4C962252"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hideMark/>
          </w:tcPr>
          <w:p w14:paraId="2286F588" w14:textId="066A900B"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hideMark/>
          </w:tcPr>
          <w:p w14:paraId="2E861E6D" w14:textId="3516692F"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0.0172</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hideMark/>
          </w:tcPr>
          <w:p w14:paraId="6A4A0207"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p>
        </w:tc>
      </w:tr>
      <w:tr w:rsidR="00D662AC" w:rsidRPr="00D662AC" w14:paraId="16024104" w14:textId="77777777" w:rsidTr="00D662AC">
        <w:trPr>
          <w:trHeight w:val="304"/>
        </w:trPr>
        <w:tc>
          <w:tcPr>
            <w:tcW w:w="1071" w:type="pct"/>
            <w:tcBorders>
              <w:top w:val="nil"/>
              <w:left w:val="nil"/>
              <w:bottom w:val="nil"/>
              <w:right w:val="nil"/>
            </w:tcBorders>
            <w:shd w:val="clear" w:color="auto" w:fill="auto"/>
            <w:noWrap/>
            <w:vAlign w:val="center"/>
          </w:tcPr>
          <w:p w14:paraId="1925F022"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Theme="minorHAnsi" w:eastAsia="Calibri" w:hAnsiTheme="minorHAnsi" w:cstheme="minorHAnsi"/>
                <w:sz w:val="22"/>
                <w:szCs w:val="22"/>
                <w:lang w:val="en-US"/>
              </w:rPr>
              <w:t>Financials</w:t>
            </w:r>
          </w:p>
        </w:tc>
        <w:tc>
          <w:tcPr>
            <w:tcW w:w="696" w:type="pct"/>
            <w:tcBorders>
              <w:top w:val="nil"/>
              <w:left w:val="nil"/>
              <w:bottom w:val="nil"/>
              <w:right w:val="nil"/>
            </w:tcBorders>
            <w:shd w:val="clear" w:color="auto" w:fill="auto"/>
            <w:noWrap/>
            <w:vAlign w:val="center"/>
          </w:tcPr>
          <w:p w14:paraId="5F7A0245" w14:textId="1E31EAF7"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0.9307</w:t>
            </w:r>
          </w:p>
        </w:tc>
        <w:tc>
          <w:tcPr>
            <w:tcW w:w="641" w:type="pct"/>
            <w:gridSpan w:val="2"/>
            <w:tcBorders>
              <w:top w:val="nil"/>
              <w:left w:val="nil"/>
              <w:bottom w:val="nil"/>
              <w:right w:val="nil"/>
            </w:tcBorders>
            <w:shd w:val="clear" w:color="auto" w:fill="auto"/>
            <w:noWrap/>
            <w:vAlign w:val="center"/>
          </w:tcPr>
          <w:p w14:paraId="66B5FA90" w14:textId="05A7F0BE"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0.1087</w:t>
            </w:r>
          </w:p>
        </w:tc>
        <w:tc>
          <w:tcPr>
            <w:tcW w:w="642" w:type="pct"/>
            <w:gridSpan w:val="2"/>
            <w:tcBorders>
              <w:top w:val="nil"/>
              <w:left w:val="nil"/>
              <w:bottom w:val="nil"/>
              <w:right w:val="nil"/>
            </w:tcBorders>
            <w:shd w:val="clear" w:color="auto" w:fill="auto"/>
            <w:noWrap/>
            <w:vAlign w:val="center"/>
          </w:tcPr>
          <w:p w14:paraId="6E5A5CEC" w14:textId="15320EF2"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0.1306</w:t>
            </w:r>
          </w:p>
        </w:tc>
        <w:tc>
          <w:tcPr>
            <w:tcW w:w="636" w:type="pct"/>
            <w:gridSpan w:val="2"/>
            <w:tcBorders>
              <w:top w:val="nil"/>
              <w:left w:val="nil"/>
              <w:bottom w:val="nil"/>
              <w:right w:val="nil"/>
            </w:tcBorders>
            <w:shd w:val="clear" w:color="auto" w:fill="auto"/>
            <w:noWrap/>
            <w:vAlign w:val="center"/>
          </w:tcPr>
          <w:p w14:paraId="1BABB82E" w14:textId="4F48D7ED"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-0.0580</w:t>
            </w:r>
          </w:p>
        </w:tc>
        <w:tc>
          <w:tcPr>
            <w:tcW w:w="737" w:type="pct"/>
            <w:gridSpan w:val="2"/>
            <w:tcBorders>
              <w:top w:val="nil"/>
              <w:left w:val="nil"/>
              <w:bottom w:val="nil"/>
              <w:right w:val="nil"/>
            </w:tcBorders>
            <w:shd w:val="clear" w:color="auto" w:fill="auto"/>
            <w:noWrap/>
            <w:vAlign w:val="center"/>
          </w:tcPr>
          <w:p w14:paraId="25C58CA9" w14:textId="18D5A85D"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-0.0622</w:t>
            </w:r>
          </w:p>
        </w:tc>
        <w:tc>
          <w:tcPr>
            <w:tcW w:w="576" w:type="pct"/>
            <w:gridSpan w:val="2"/>
            <w:tcBorders>
              <w:top w:val="nil"/>
              <w:left w:val="nil"/>
              <w:bottom w:val="nil"/>
              <w:right w:val="nil"/>
            </w:tcBorders>
            <w:shd w:val="clear" w:color="auto" w:fill="auto"/>
            <w:noWrap/>
            <w:vAlign w:val="center"/>
          </w:tcPr>
          <w:p w14:paraId="26B201F8" w14:textId="7E00EC86"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0.73%</w:t>
            </w:r>
          </w:p>
        </w:tc>
      </w:tr>
      <w:tr w:rsidR="00D662AC" w:rsidRPr="00D662AC" w14:paraId="2CAC8A0F" w14:textId="77777777" w:rsidTr="00D662AC">
        <w:trPr>
          <w:trHeight w:val="304"/>
        </w:trPr>
        <w:tc>
          <w:tcPr>
            <w:tcW w:w="1071" w:type="pct"/>
            <w:tcBorders>
              <w:top w:val="nil"/>
              <w:left w:val="nil"/>
              <w:bottom w:val="nil"/>
              <w:right w:val="nil"/>
            </w:tcBorders>
            <w:shd w:val="clear" w:color="auto" w:fill="auto"/>
            <w:noWrap/>
            <w:vAlign w:val="center"/>
          </w:tcPr>
          <w:p w14:paraId="6F84F996"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p>
        </w:tc>
        <w:tc>
          <w:tcPr>
            <w:tcW w:w="696" w:type="pct"/>
            <w:tcBorders>
              <w:top w:val="nil"/>
              <w:left w:val="nil"/>
              <w:bottom w:val="nil"/>
              <w:right w:val="nil"/>
            </w:tcBorders>
            <w:shd w:val="clear" w:color="auto" w:fill="auto"/>
            <w:noWrap/>
            <w:vAlign w:val="center"/>
          </w:tcPr>
          <w:p w14:paraId="5B67E61A" w14:textId="4C005D95"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tcPr>
          <w:p w14:paraId="3BF361F7" w14:textId="06457AFD"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tcPr>
          <w:p w14:paraId="03021780" w14:textId="3FD85EB4"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tcPr>
          <w:p w14:paraId="024C4A04" w14:textId="60EAEC54"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tcPr>
          <w:p w14:paraId="43C03DFE" w14:textId="5B47BB72"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tcPr>
          <w:p w14:paraId="41170F23"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p>
        </w:tc>
      </w:tr>
      <w:tr w:rsidR="00D662AC" w:rsidRPr="00D662AC" w14:paraId="33D0A7AE" w14:textId="77777777" w:rsidTr="00D662AC">
        <w:trPr>
          <w:trHeight w:val="304"/>
        </w:trPr>
        <w:tc>
          <w:tcPr>
            <w:tcW w:w="1071" w:type="pct"/>
            <w:tcBorders>
              <w:top w:val="nil"/>
              <w:left w:val="nil"/>
              <w:bottom w:val="nil"/>
              <w:right w:val="nil"/>
            </w:tcBorders>
            <w:shd w:val="clear" w:color="auto" w:fill="auto"/>
            <w:noWrap/>
            <w:vAlign w:val="center"/>
            <w:hideMark/>
          </w:tcPr>
          <w:p w14:paraId="72391AD7"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Theme="minorHAnsi" w:eastAsia="Calibri" w:hAnsiTheme="minorHAnsi" w:cstheme="minorHAnsi"/>
                <w:sz w:val="22"/>
                <w:szCs w:val="22"/>
                <w:lang w:val="en-US" w:eastAsia="en-US"/>
              </w:rPr>
              <w:t>Health Care</w:t>
            </w:r>
          </w:p>
        </w:tc>
        <w:tc>
          <w:tcPr>
            <w:tcW w:w="696" w:type="pct"/>
            <w:tcBorders>
              <w:top w:val="nil"/>
              <w:left w:val="nil"/>
              <w:bottom w:val="nil"/>
              <w:right w:val="nil"/>
            </w:tcBorders>
            <w:shd w:val="clear" w:color="auto" w:fill="auto"/>
            <w:noWrap/>
            <w:vAlign w:val="center"/>
            <w:hideMark/>
          </w:tcPr>
          <w:p w14:paraId="13C7AF8E" w14:textId="0490BF10"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1.5891</w:t>
            </w:r>
          </w:p>
        </w:tc>
        <w:tc>
          <w:tcPr>
            <w:tcW w:w="641" w:type="pct"/>
            <w:gridSpan w:val="2"/>
            <w:tcBorders>
              <w:top w:val="nil"/>
              <w:left w:val="nil"/>
              <w:bottom w:val="nil"/>
              <w:right w:val="nil"/>
            </w:tcBorders>
            <w:shd w:val="clear" w:color="auto" w:fill="auto"/>
            <w:noWrap/>
            <w:vAlign w:val="center"/>
            <w:hideMark/>
          </w:tcPr>
          <w:p w14:paraId="6EA6A164" w14:textId="216E8EFF"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-0.4285</w:t>
            </w:r>
          </w:p>
        </w:tc>
        <w:tc>
          <w:tcPr>
            <w:tcW w:w="642" w:type="pct"/>
            <w:gridSpan w:val="2"/>
            <w:tcBorders>
              <w:top w:val="nil"/>
              <w:left w:val="nil"/>
              <w:bottom w:val="nil"/>
              <w:right w:val="nil"/>
            </w:tcBorders>
            <w:shd w:val="clear" w:color="auto" w:fill="auto"/>
            <w:noWrap/>
            <w:vAlign w:val="center"/>
            <w:hideMark/>
          </w:tcPr>
          <w:p w14:paraId="098A6C1F" w14:textId="5E0EF1C3"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-0.3382</w:t>
            </w:r>
          </w:p>
        </w:tc>
        <w:tc>
          <w:tcPr>
            <w:tcW w:w="636" w:type="pct"/>
            <w:gridSpan w:val="2"/>
            <w:tcBorders>
              <w:top w:val="nil"/>
              <w:left w:val="nil"/>
              <w:bottom w:val="nil"/>
              <w:right w:val="nil"/>
            </w:tcBorders>
            <w:shd w:val="clear" w:color="auto" w:fill="auto"/>
            <w:noWrap/>
            <w:vAlign w:val="center"/>
            <w:hideMark/>
          </w:tcPr>
          <w:p w14:paraId="1E629F3B" w14:textId="6CB49A7D"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15.5723</w:t>
            </w:r>
          </w:p>
        </w:tc>
        <w:tc>
          <w:tcPr>
            <w:tcW w:w="737" w:type="pct"/>
            <w:gridSpan w:val="2"/>
            <w:tcBorders>
              <w:top w:val="nil"/>
              <w:left w:val="nil"/>
              <w:bottom w:val="nil"/>
              <w:right w:val="nil"/>
            </w:tcBorders>
            <w:shd w:val="clear" w:color="auto" w:fill="auto"/>
            <w:noWrap/>
            <w:vAlign w:val="center"/>
            <w:hideMark/>
          </w:tcPr>
          <w:p w14:paraId="4883563A" w14:textId="3CD0211E"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16.8428</w:t>
            </w:r>
          </w:p>
        </w:tc>
        <w:tc>
          <w:tcPr>
            <w:tcW w:w="576" w:type="pct"/>
            <w:gridSpan w:val="2"/>
            <w:tcBorders>
              <w:top w:val="nil"/>
              <w:left w:val="nil"/>
              <w:bottom w:val="nil"/>
              <w:right w:val="nil"/>
            </w:tcBorders>
            <w:shd w:val="clear" w:color="auto" w:fill="auto"/>
            <w:noWrap/>
            <w:vAlign w:val="center"/>
            <w:hideMark/>
          </w:tcPr>
          <w:p w14:paraId="718FC6F5" w14:textId="07590759"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0.11%</w:t>
            </w:r>
          </w:p>
        </w:tc>
      </w:tr>
      <w:tr w:rsidR="00D662AC" w:rsidRPr="00D662AC" w14:paraId="7C546BF9" w14:textId="77777777" w:rsidTr="00D662AC">
        <w:trPr>
          <w:trHeight w:val="304"/>
        </w:trPr>
        <w:tc>
          <w:tcPr>
            <w:tcW w:w="1071" w:type="pct"/>
            <w:tcBorders>
              <w:top w:val="nil"/>
              <w:left w:val="nil"/>
              <w:bottom w:val="nil"/>
              <w:right w:val="nil"/>
            </w:tcBorders>
            <w:shd w:val="clear" w:color="auto" w:fill="auto"/>
            <w:noWrap/>
            <w:vAlign w:val="center"/>
            <w:hideMark/>
          </w:tcPr>
          <w:p w14:paraId="66BD8FA8"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p>
        </w:tc>
        <w:tc>
          <w:tcPr>
            <w:tcW w:w="696" w:type="pct"/>
            <w:tcBorders>
              <w:top w:val="nil"/>
              <w:left w:val="nil"/>
              <w:bottom w:val="nil"/>
              <w:right w:val="nil"/>
            </w:tcBorders>
            <w:shd w:val="clear" w:color="auto" w:fill="auto"/>
            <w:noWrap/>
            <w:vAlign w:val="center"/>
            <w:hideMark/>
          </w:tcPr>
          <w:p w14:paraId="113D0AE2" w14:textId="100444EC"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hideMark/>
          </w:tcPr>
          <w:p w14:paraId="6DD73453" w14:textId="128A86B5"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0.1234</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hideMark/>
          </w:tcPr>
          <w:p w14:paraId="73FF4524" w14:textId="314B3231"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0.3408</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hideMark/>
          </w:tcPr>
          <w:p w14:paraId="230C72FC" w14:textId="738518FA"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0.0040</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hideMark/>
          </w:tcPr>
          <w:p w14:paraId="2FA3FF98" w14:textId="555F2C4B"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0.1382</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hideMark/>
          </w:tcPr>
          <w:p w14:paraId="41914016"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p>
        </w:tc>
      </w:tr>
      <w:tr w:rsidR="00D662AC" w:rsidRPr="00D662AC" w14:paraId="54DC02BF" w14:textId="77777777" w:rsidTr="00D662AC">
        <w:trPr>
          <w:trHeight w:val="304"/>
        </w:trPr>
        <w:tc>
          <w:tcPr>
            <w:tcW w:w="1071" w:type="pct"/>
            <w:tcBorders>
              <w:top w:val="nil"/>
              <w:left w:val="nil"/>
              <w:bottom w:val="nil"/>
              <w:right w:val="nil"/>
            </w:tcBorders>
            <w:shd w:val="clear" w:color="auto" w:fill="auto"/>
            <w:noWrap/>
            <w:vAlign w:val="center"/>
            <w:hideMark/>
          </w:tcPr>
          <w:p w14:paraId="4DBF2372"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Theme="minorHAnsi" w:eastAsia="Calibri" w:hAnsiTheme="minorHAnsi" w:cstheme="minorHAnsi"/>
                <w:sz w:val="22"/>
                <w:szCs w:val="22"/>
                <w:lang w:val="en-US" w:eastAsia="en-US"/>
              </w:rPr>
              <w:t>Industrials</w:t>
            </w:r>
          </w:p>
        </w:tc>
        <w:tc>
          <w:tcPr>
            <w:tcW w:w="696" w:type="pct"/>
            <w:tcBorders>
              <w:top w:val="nil"/>
              <w:left w:val="nil"/>
              <w:bottom w:val="nil"/>
              <w:right w:val="nil"/>
            </w:tcBorders>
            <w:shd w:val="clear" w:color="auto" w:fill="auto"/>
            <w:noWrap/>
            <w:vAlign w:val="center"/>
            <w:hideMark/>
          </w:tcPr>
          <w:p w14:paraId="38BFAD26" w14:textId="2C7E3551"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1.5751</w:t>
            </w:r>
          </w:p>
        </w:tc>
        <w:tc>
          <w:tcPr>
            <w:tcW w:w="641" w:type="pct"/>
            <w:gridSpan w:val="2"/>
            <w:tcBorders>
              <w:top w:val="nil"/>
              <w:left w:val="nil"/>
              <w:bottom w:val="nil"/>
              <w:right w:val="nil"/>
            </w:tcBorders>
            <w:shd w:val="clear" w:color="auto" w:fill="auto"/>
            <w:noWrap/>
            <w:vAlign w:val="center"/>
            <w:hideMark/>
          </w:tcPr>
          <w:p w14:paraId="2C625163" w14:textId="4E003EBF"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1.1329</w:t>
            </w:r>
          </w:p>
        </w:tc>
        <w:tc>
          <w:tcPr>
            <w:tcW w:w="642" w:type="pct"/>
            <w:gridSpan w:val="2"/>
            <w:tcBorders>
              <w:top w:val="nil"/>
              <w:left w:val="nil"/>
              <w:bottom w:val="nil"/>
              <w:right w:val="nil"/>
            </w:tcBorders>
            <w:shd w:val="clear" w:color="auto" w:fill="auto"/>
            <w:noWrap/>
            <w:vAlign w:val="center"/>
            <w:hideMark/>
          </w:tcPr>
          <w:p w14:paraId="52D920D9" w14:textId="525D6B50"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2.0114</w:t>
            </w:r>
          </w:p>
        </w:tc>
        <w:tc>
          <w:tcPr>
            <w:tcW w:w="636" w:type="pct"/>
            <w:gridSpan w:val="2"/>
            <w:tcBorders>
              <w:top w:val="nil"/>
              <w:left w:val="nil"/>
              <w:bottom w:val="nil"/>
              <w:right w:val="nil"/>
            </w:tcBorders>
            <w:shd w:val="clear" w:color="auto" w:fill="auto"/>
            <w:noWrap/>
            <w:vAlign w:val="center"/>
            <w:hideMark/>
          </w:tcPr>
          <w:p w14:paraId="6ECE1586" w14:textId="1D119C6B"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-1.4634</w:t>
            </w:r>
          </w:p>
        </w:tc>
        <w:tc>
          <w:tcPr>
            <w:tcW w:w="737" w:type="pct"/>
            <w:gridSpan w:val="2"/>
            <w:tcBorders>
              <w:top w:val="nil"/>
              <w:left w:val="nil"/>
              <w:bottom w:val="nil"/>
              <w:right w:val="nil"/>
            </w:tcBorders>
            <w:shd w:val="clear" w:color="auto" w:fill="auto"/>
            <w:noWrap/>
            <w:vAlign w:val="center"/>
            <w:hideMark/>
          </w:tcPr>
          <w:p w14:paraId="731C96B6" w14:textId="70C520BE"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-19.4806</w:t>
            </w:r>
          </w:p>
        </w:tc>
        <w:tc>
          <w:tcPr>
            <w:tcW w:w="576" w:type="pct"/>
            <w:gridSpan w:val="2"/>
            <w:tcBorders>
              <w:top w:val="nil"/>
              <w:left w:val="nil"/>
              <w:bottom w:val="nil"/>
              <w:right w:val="nil"/>
            </w:tcBorders>
            <w:shd w:val="clear" w:color="auto" w:fill="auto"/>
            <w:noWrap/>
            <w:vAlign w:val="center"/>
            <w:hideMark/>
          </w:tcPr>
          <w:p w14:paraId="2ACEA6A6" w14:textId="108EC558"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2.38%</w:t>
            </w:r>
          </w:p>
        </w:tc>
      </w:tr>
      <w:tr w:rsidR="00D662AC" w:rsidRPr="00D662AC" w14:paraId="69077A3F" w14:textId="77777777" w:rsidTr="00D662AC">
        <w:trPr>
          <w:trHeight w:val="304"/>
        </w:trPr>
        <w:tc>
          <w:tcPr>
            <w:tcW w:w="1071" w:type="pct"/>
            <w:tcBorders>
              <w:top w:val="nil"/>
              <w:left w:val="nil"/>
              <w:bottom w:val="nil"/>
              <w:right w:val="nil"/>
            </w:tcBorders>
            <w:shd w:val="clear" w:color="auto" w:fill="auto"/>
            <w:noWrap/>
            <w:vAlign w:val="center"/>
            <w:hideMark/>
          </w:tcPr>
          <w:p w14:paraId="17624E6D"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p>
        </w:tc>
        <w:tc>
          <w:tcPr>
            <w:tcW w:w="696" w:type="pct"/>
            <w:tcBorders>
              <w:top w:val="nil"/>
              <w:left w:val="nil"/>
              <w:bottom w:val="nil"/>
              <w:right w:val="nil"/>
            </w:tcBorders>
            <w:shd w:val="clear" w:color="auto" w:fill="auto"/>
            <w:noWrap/>
            <w:vAlign w:val="center"/>
            <w:hideMark/>
          </w:tcPr>
          <w:p w14:paraId="31677ACC" w14:textId="79A14F10"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hideMark/>
          </w:tcPr>
          <w:p w14:paraId="69DEBDB9" w14:textId="410E3CD6"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hideMark/>
          </w:tcPr>
          <w:p w14:paraId="21214557" w14:textId="01FA67D8"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hideMark/>
          </w:tcPr>
          <w:p w14:paraId="146DD9FF" w14:textId="7134B0A5"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0.6444</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hideMark/>
          </w:tcPr>
          <w:p w14:paraId="5550D8BD" w14:textId="26E83F43"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hideMark/>
          </w:tcPr>
          <w:p w14:paraId="1997A0FB"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p>
        </w:tc>
      </w:tr>
      <w:tr w:rsidR="00D662AC" w:rsidRPr="00D662AC" w14:paraId="6F87F09C" w14:textId="77777777" w:rsidTr="00D662AC">
        <w:trPr>
          <w:trHeight w:val="304"/>
        </w:trPr>
        <w:tc>
          <w:tcPr>
            <w:tcW w:w="1071" w:type="pct"/>
            <w:tcBorders>
              <w:top w:val="nil"/>
              <w:left w:val="nil"/>
              <w:bottom w:val="nil"/>
              <w:right w:val="nil"/>
            </w:tcBorders>
            <w:shd w:val="clear" w:color="auto" w:fill="auto"/>
            <w:noWrap/>
            <w:vAlign w:val="center"/>
            <w:hideMark/>
          </w:tcPr>
          <w:p w14:paraId="5EE9C483"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Theme="minorHAnsi" w:eastAsia="Calibri" w:hAnsiTheme="minorHAnsi" w:cstheme="minorHAnsi"/>
                <w:sz w:val="22"/>
                <w:szCs w:val="22"/>
                <w:lang w:val="en-US" w:eastAsia="en-US"/>
              </w:rPr>
              <w:t>Real Estate</w:t>
            </w:r>
          </w:p>
        </w:tc>
        <w:tc>
          <w:tcPr>
            <w:tcW w:w="696" w:type="pct"/>
            <w:tcBorders>
              <w:top w:val="nil"/>
              <w:left w:val="nil"/>
              <w:bottom w:val="nil"/>
              <w:right w:val="nil"/>
            </w:tcBorders>
            <w:shd w:val="clear" w:color="auto" w:fill="auto"/>
            <w:noWrap/>
            <w:vAlign w:val="center"/>
            <w:hideMark/>
          </w:tcPr>
          <w:p w14:paraId="4924B892" w14:textId="72858108"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1.4629</w:t>
            </w:r>
          </w:p>
        </w:tc>
        <w:tc>
          <w:tcPr>
            <w:tcW w:w="641" w:type="pct"/>
            <w:gridSpan w:val="2"/>
            <w:tcBorders>
              <w:top w:val="nil"/>
              <w:left w:val="nil"/>
              <w:bottom w:val="nil"/>
              <w:right w:val="nil"/>
            </w:tcBorders>
            <w:shd w:val="clear" w:color="auto" w:fill="auto"/>
            <w:noWrap/>
            <w:vAlign w:val="center"/>
            <w:hideMark/>
          </w:tcPr>
          <w:p w14:paraId="20C990DB" w14:textId="4436FB5D"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5.2667</w:t>
            </w:r>
          </w:p>
        </w:tc>
        <w:tc>
          <w:tcPr>
            <w:tcW w:w="642" w:type="pct"/>
            <w:gridSpan w:val="2"/>
            <w:tcBorders>
              <w:top w:val="nil"/>
              <w:left w:val="nil"/>
              <w:bottom w:val="nil"/>
              <w:right w:val="nil"/>
            </w:tcBorders>
            <w:shd w:val="clear" w:color="auto" w:fill="auto"/>
            <w:noWrap/>
            <w:vAlign w:val="center"/>
            <w:hideMark/>
          </w:tcPr>
          <w:p w14:paraId="6FC6F6E6" w14:textId="5BEA645F"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5.6180</w:t>
            </w:r>
          </w:p>
        </w:tc>
        <w:tc>
          <w:tcPr>
            <w:tcW w:w="636" w:type="pct"/>
            <w:gridSpan w:val="2"/>
            <w:tcBorders>
              <w:top w:val="nil"/>
              <w:left w:val="nil"/>
              <w:bottom w:val="nil"/>
              <w:right w:val="nil"/>
            </w:tcBorders>
            <w:shd w:val="clear" w:color="auto" w:fill="auto"/>
            <w:noWrap/>
            <w:vAlign w:val="center"/>
            <w:hideMark/>
          </w:tcPr>
          <w:p w14:paraId="3EFAD17D" w14:textId="4B6837FF"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-26.2514</w:t>
            </w:r>
          </w:p>
        </w:tc>
        <w:tc>
          <w:tcPr>
            <w:tcW w:w="737" w:type="pct"/>
            <w:gridSpan w:val="2"/>
            <w:tcBorders>
              <w:top w:val="nil"/>
              <w:left w:val="nil"/>
              <w:bottom w:val="nil"/>
              <w:right w:val="nil"/>
            </w:tcBorders>
            <w:shd w:val="clear" w:color="auto" w:fill="auto"/>
            <w:noWrap/>
            <w:vAlign w:val="center"/>
            <w:hideMark/>
          </w:tcPr>
          <w:p w14:paraId="37436CAC" w14:textId="415A2365"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-31.2197</w:t>
            </w:r>
          </w:p>
        </w:tc>
        <w:tc>
          <w:tcPr>
            <w:tcW w:w="576" w:type="pct"/>
            <w:gridSpan w:val="2"/>
            <w:tcBorders>
              <w:top w:val="nil"/>
              <w:left w:val="nil"/>
              <w:bottom w:val="nil"/>
              <w:right w:val="nil"/>
            </w:tcBorders>
            <w:shd w:val="clear" w:color="auto" w:fill="auto"/>
            <w:noWrap/>
            <w:vAlign w:val="center"/>
            <w:hideMark/>
          </w:tcPr>
          <w:p w14:paraId="30ACC82B" w14:textId="149AF6B8"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3.26%</w:t>
            </w:r>
          </w:p>
        </w:tc>
      </w:tr>
      <w:tr w:rsidR="00D662AC" w:rsidRPr="00D662AC" w14:paraId="1B7EA586" w14:textId="77777777" w:rsidTr="00D662AC">
        <w:trPr>
          <w:trHeight w:val="304"/>
        </w:trPr>
        <w:tc>
          <w:tcPr>
            <w:tcW w:w="1071" w:type="pct"/>
            <w:tcBorders>
              <w:top w:val="nil"/>
              <w:left w:val="nil"/>
              <w:right w:val="nil"/>
            </w:tcBorders>
            <w:shd w:val="clear" w:color="auto" w:fill="auto"/>
            <w:noWrap/>
            <w:vAlign w:val="center"/>
            <w:hideMark/>
          </w:tcPr>
          <w:p w14:paraId="4D268C74"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p>
        </w:tc>
        <w:tc>
          <w:tcPr>
            <w:tcW w:w="696" w:type="pct"/>
            <w:tcBorders>
              <w:top w:val="nil"/>
              <w:left w:val="nil"/>
              <w:right w:val="nil"/>
            </w:tcBorders>
            <w:shd w:val="clear" w:color="auto" w:fill="auto"/>
            <w:noWrap/>
            <w:vAlign w:val="center"/>
            <w:hideMark/>
          </w:tcPr>
          <w:p w14:paraId="5AE71AAD" w14:textId="5B022DED"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right w:val="nil"/>
            </w:tcBorders>
            <w:shd w:val="clear" w:color="auto" w:fill="auto"/>
            <w:noWrap/>
            <w:vAlign w:val="center"/>
            <w:hideMark/>
          </w:tcPr>
          <w:p w14:paraId="6EF74532" w14:textId="4ED7ABD4"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right w:val="nil"/>
            </w:tcBorders>
            <w:shd w:val="clear" w:color="auto" w:fill="auto"/>
            <w:noWrap/>
            <w:vAlign w:val="center"/>
            <w:hideMark/>
          </w:tcPr>
          <w:p w14:paraId="1F269404" w14:textId="5284A889"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36" w:type="pct"/>
            <w:gridSpan w:val="2"/>
            <w:tcBorders>
              <w:top w:val="nil"/>
              <w:left w:val="nil"/>
              <w:right w:val="nil"/>
            </w:tcBorders>
            <w:shd w:val="clear" w:color="auto" w:fill="auto"/>
            <w:noWrap/>
            <w:vAlign w:val="center"/>
            <w:hideMark/>
          </w:tcPr>
          <w:p w14:paraId="260912E1" w14:textId="7ECE80D6"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737" w:type="pct"/>
            <w:gridSpan w:val="2"/>
            <w:tcBorders>
              <w:top w:val="nil"/>
              <w:left w:val="nil"/>
              <w:right w:val="nil"/>
            </w:tcBorders>
            <w:shd w:val="clear" w:color="auto" w:fill="auto"/>
            <w:noWrap/>
            <w:vAlign w:val="center"/>
            <w:hideMark/>
          </w:tcPr>
          <w:p w14:paraId="452608C5" w14:textId="316DAF01"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right w:val="nil"/>
            </w:tcBorders>
            <w:shd w:val="clear" w:color="auto" w:fill="auto"/>
            <w:noWrap/>
            <w:vAlign w:val="center"/>
            <w:hideMark/>
          </w:tcPr>
          <w:p w14:paraId="5F2B4EE6"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p>
        </w:tc>
      </w:tr>
      <w:tr w:rsidR="00D662AC" w:rsidRPr="00D662AC" w14:paraId="10403BE4" w14:textId="77777777" w:rsidTr="00D662AC">
        <w:trPr>
          <w:trHeight w:val="304"/>
        </w:trPr>
        <w:tc>
          <w:tcPr>
            <w:tcW w:w="1071" w:type="pct"/>
            <w:tcBorders>
              <w:top w:val="nil"/>
              <w:left w:val="nil"/>
              <w:bottom w:val="nil"/>
              <w:right w:val="nil"/>
            </w:tcBorders>
            <w:shd w:val="clear" w:color="auto" w:fill="auto"/>
            <w:noWrap/>
            <w:vAlign w:val="center"/>
            <w:hideMark/>
          </w:tcPr>
          <w:p w14:paraId="64A0C298"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Theme="minorHAnsi" w:eastAsia="Calibri" w:hAnsiTheme="minorHAnsi" w:cstheme="minorHAnsi"/>
                <w:sz w:val="22"/>
                <w:szCs w:val="22"/>
                <w:lang w:val="en-US" w:eastAsia="en-US"/>
              </w:rPr>
              <w:t>Technology</w:t>
            </w:r>
          </w:p>
        </w:tc>
        <w:tc>
          <w:tcPr>
            <w:tcW w:w="696" w:type="pct"/>
            <w:tcBorders>
              <w:top w:val="nil"/>
              <w:left w:val="nil"/>
              <w:bottom w:val="nil"/>
              <w:right w:val="nil"/>
            </w:tcBorders>
            <w:shd w:val="clear" w:color="auto" w:fill="auto"/>
            <w:noWrap/>
            <w:vAlign w:val="center"/>
            <w:hideMark/>
          </w:tcPr>
          <w:p w14:paraId="065634E9" w14:textId="3826A910"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1.5135</w:t>
            </w:r>
          </w:p>
        </w:tc>
        <w:tc>
          <w:tcPr>
            <w:tcW w:w="641" w:type="pct"/>
            <w:gridSpan w:val="2"/>
            <w:tcBorders>
              <w:top w:val="nil"/>
              <w:left w:val="nil"/>
              <w:bottom w:val="nil"/>
              <w:right w:val="nil"/>
            </w:tcBorders>
            <w:shd w:val="clear" w:color="auto" w:fill="auto"/>
            <w:noWrap/>
            <w:vAlign w:val="center"/>
            <w:hideMark/>
          </w:tcPr>
          <w:p w14:paraId="34389381" w14:textId="676F1746"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-2.4486</w:t>
            </w:r>
          </w:p>
        </w:tc>
        <w:tc>
          <w:tcPr>
            <w:tcW w:w="642" w:type="pct"/>
            <w:gridSpan w:val="2"/>
            <w:tcBorders>
              <w:top w:val="nil"/>
              <w:left w:val="nil"/>
              <w:bottom w:val="nil"/>
              <w:right w:val="nil"/>
            </w:tcBorders>
            <w:shd w:val="clear" w:color="auto" w:fill="auto"/>
            <w:noWrap/>
            <w:vAlign w:val="center"/>
            <w:hideMark/>
          </w:tcPr>
          <w:p w14:paraId="797F92ED" w14:textId="506FE78B"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-1.6360</w:t>
            </w:r>
          </w:p>
        </w:tc>
        <w:tc>
          <w:tcPr>
            <w:tcW w:w="636" w:type="pct"/>
            <w:gridSpan w:val="2"/>
            <w:tcBorders>
              <w:top w:val="nil"/>
              <w:left w:val="nil"/>
              <w:bottom w:val="nil"/>
              <w:right w:val="nil"/>
            </w:tcBorders>
            <w:shd w:val="clear" w:color="auto" w:fill="auto"/>
            <w:noWrap/>
            <w:vAlign w:val="center"/>
            <w:hideMark/>
          </w:tcPr>
          <w:p w14:paraId="2E3490D9" w14:textId="153242AD"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34.4362</w:t>
            </w:r>
          </w:p>
        </w:tc>
        <w:tc>
          <w:tcPr>
            <w:tcW w:w="737" w:type="pct"/>
            <w:gridSpan w:val="2"/>
            <w:tcBorders>
              <w:top w:val="nil"/>
              <w:left w:val="nil"/>
              <w:bottom w:val="nil"/>
              <w:right w:val="nil"/>
            </w:tcBorders>
            <w:shd w:val="clear" w:color="auto" w:fill="auto"/>
            <w:noWrap/>
            <w:vAlign w:val="center"/>
            <w:hideMark/>
          </w:tcPr>
          <w:p w14:paraId="31A5AD53" w14:textId="30EEB561"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11.9658</w:t>
            </w:r>
          </w:p>
        </w:tc>
        <w:tc>
          <w:tcPr>
            <w:tcW w:w="576" w:type="pct"/>
            <w:gridSpan w:val="2"/>
            <w:tcBorders>
              <w:top w:val="nil"/>
              <w:left w:val="nil"/>
              <w:bottom w:val="nil"/>
              <w:right w:val="nil"/>
            </w:tcBorders>
            <w:shd w:val="clear" w:color="auto" w:fill="auto"/>
            <w:noWrap/>
            <w:vAlign w:val="center"/>
            <w:hideMark/>
          </w:tcPr>
          <w:p w14:paraId="3BF7107C" w14:textId="329A54CA"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0.96%</w:t>
            </w:r>
          </w:p>
        </w:tc>
      </w:tr>
      <w:tr w:rsidR="00D662AC" w:rsidRPr="00D662AC" w14:paraId="66E8F145" w14:textId="77777777" w:rsidTr="00D662AC">
        <w:trPr>
          <w:trHeight w:val="304"/>
        </w:trPr>
        <w:tc>
          <w:tcPr>
            <w:tcW w:w="1071" w:type="pct"/>
            <w:tcBorders>
              <w:top w:val="nil"/>
              <w:left w:val="nil"/>
              <w:bottom w:val="nil"/>
              <w:right w:val="nil"/>
            </w:tcBorders>
            <w:shd w:val="clear" w:color="auto" w:fill="auto"/>
            <w:noWrap/>
            <w:vAlign w:val="center"/>
            <w:hideMark/>
          </w:tcPr>
          <w:p w14:paraId="0B466150"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p>
        </w:tc>
        <w:tc>
          <w:tcPr>
            <w:tcW w:w="696" w:type="pct"/>
            <w:tcBorders>
              <w:top w:val="nil"/>
              <w:left w:val="nil"/>
              <w:bottom w:val="nil"/>
              <w:right w:val="nil"/>
            </w:tcBorders>
            <w:shd w:val="clear" w:color="auto" w:fill="auto"/>
            <w:noWrap/>
            <w:vAlign w:val="center"/>
            <w:hideMark/>
          </w:tcPr>
          <w:p w14:paraId="260FF87B" w14:textId="36362E0A"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hideMark/>
          </w:tcPr>
          <w:p w14:paraId="4DBC45EC" w14:textId="71425B30"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hideMark/>
          </w:tcPr>
          <w:p w14:paraId="4AD35443" w14:textId="406E40E0"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hideMark/>
          </w:tcPr>
          <w:p w14:paraId="28546CE7" w14:textId="184B69AF"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hideMark/>
          </w:tcPr>
          <w:p w14:paraId="49E2963C" w14:textId="58A2114C" w:rsidR="00D662AC" w:rsidRPr="00D662AC" w:rsidRDefault="00816BE5" w:rsidP="00D662AC">
            <w:pPr>
              <w:spacing w:line="240" w:lineRule="auto"/>
              <w:rPr>
                <w:rFonts w:asciiTheme="minorHAnsi" w:eastAsia="Calibri" w:hAnsiTheme="minorHAnsi" w:cstheme="minorHAnsi"/>
                <w:sz w:val="22"/>
                <w:szCs w:val="22"/>
                <w:lang w:val="en-US" w:eastAsia="en-US"/>
              </w:rPr>
            </w:pPr>
            <w:r>
              <w:rPr>
                <w:rFonts w:ascii="Calibri" w:hAnsi="Calibri" w:cs="Calibri"/>
                <w:color w:val="000000"/>
                <w:sz w:val="22"/>
                <w:szCs w:val="22"/>
              </w:rPr>
              <w:t>(</w:t>
            </w:r>
            <w:r w:rsidR="00D662AC" w:rsidRPr="00D662AC">
              <w:rPr>
                <w:rFonts w:ascii="Calibri" w:hAnsi="Calibri" w:cs="Calibri"/>
                <w:color w:val="000000"/>
                <w:sz w:val="22"/>
                <w:szCs w:val="22"/>
              </w:rPr>
              <w:t>0.0511</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hideMark/>
          </w:tcPr>
          <w:p w14:paraId="14AA5E1B"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p>
        </w:tc>
      </w:tr>
      <w:tr w:rsidR="00D662AC" w:rsidRPr="00D662AC" w14:paraId="6F692EFC" w14:textId="77777777" w:rsidTr="00D662AC">
        <w:trPr>
          <w:trHeight w:val="304"/>
        </w:trPr>
        <w:tc>
          <w:tcPr>
            <w:tcW w:w="1071" w:type="pct"/>
            <w:tcBorders>
              <w:top w:val="nil"/>
              <w:left w:val="nil"/>
              <w:bottom w:val="nil"/>
              <w:right w:val="nil"/>
            </w:tcBorders>
            <w:shd w:val="clear" w:color="auto" w:fill="auto"/>
            <w:noWrap/>
            <w:vAlign w:val="center"/>
          </w:tcPr>
          <w:p w14:paraId="117CDE81"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Telecoms</w:t>
            </w:r>
          </w:p>
        </w:tc>
        <w:tc>
          <w:tcPr>
            <w:tcW w:w="696" w:type="pct"/>
            <w:tcBorders>
              <w:top w:val="nil"/>
              <w:left w:val="nil"/>
              <w:bottom w:val="nil"/>
              <w:right w:val="nil"/>
            </w:tcBorders>
            <w:shd w:val="clear" w:color="auto" w:fill="auto"/>
            <w:noWrap/>
            <w:vAlign w:val="center"/>
          </w:tcPr>
          <w:p w14:paraId="7E70A6B1" w14:textId="6E7EC853" w:rsidR="00D662AC" w:rsidRPr="00D662AC" w:rsidRDefault="00D662AC" w:rsidP="00D662AC">
            <w:pPr>
              <w:spacing w:line="240" w:lineRule="auto"/>
              <w:rPr>
                <w:rFonts w:ascii="Calibri" w:hAnsi="Calibri" w:cs="Calibri"/>
                <w:color w:val="000000"/>
                <w:sz w:val="22"/>
                <w:szCs w:val="22"/>
              </w:rPr>
            </w:pPr>
            <w:r w:rsidRPr="00D662AC">
              <w:rPr>
                <w:rFonts w:ascii="Calibri" w:hAnsi="Calibri" w:cs="Calibri"/>
                <w:color w:val="000000"/>
                <w:sz w:val="22"/>
                <w:szCs w:val="22"/>
              </w:rPr>
              <w:t>0.0082</w:t>
            </w:r>
          </w:p>
        </w:tc>
        <w:tc>
          <w:tcPr>
            <w:tcW w:w="641" w:type="pct"/>
            <w:gridSpan w:val="2"/>
            <w:tcBorders>
              <w:top w:val="nil"/>
              <w:left w:val="nil"/>
              <w:bottom w:val="nil"/>
              <w:right w:val="nil"/>
            </w:tcBorders>
            <w:shd w:val="clear" w:color="auto" w:fill="auto"/>
            <w:noWrap/>
            <w:vAlign w:val="center"/>
          </w:tcPr>
          <w:p w14:paraId="42B7DE78" w14:textId="4C50B6A2" w:rsidR="00D662AC" w:rsidRPr="00D662AC" w:rsidRDefault="00D662AC" w:rsidP="00D662AC">
            <w:pPr>
              <w:spacing w:line="240" w:lineRule="auto"/>
              <w:rPr>
                <w:rFonts w:ascii="Calibri" w:hAnsi="Calibri" w:cs="Calibri"/>
                <w:color w:val="000000"/>
                <w:sz w:val="22"/>
                <w:szCs w:val="22"/>
              </w:rPr>
            </w:pPr>
            <w:r w:rsidRPr="00D662AC">
              <w:rPr>
                <w:rFonts w:ascii="Calibri" w:hAnsi="Calibri" w:cs="Calibri"/>
                <w:color w:val="000000"/>
                <w:sz w:val="22"/>
                <w:szCs w:val="22"/>
              </w:rPr>
              <w:t>-10.7994</w:t>
            </w:r>
          </w:p>
        </w:tc>
        <w:tc>
          <w:tcPr>
            <w:tcW w:w="642" w:type="pct"/>
            <w:gridSpan w:val="2"/>
            <w:tcBorders>
              <w:top w:val="nil"/>
              <w:left w:val="nil"/>
              <w:bottom w:val="nil"/>
              <w:right w:val="nil"/>
            </w:tcBorders>
            <w:shd w:val="clear" w:color="auto" w:fill="auto"/>
            <w:noWrap/>
            <w:vAlign w:val="center"/>
          </w:tcPr>
          <w:p w14:paraId="22DE7956" w14:textId="480C67DC" w:rsidR="00D662AC" w:rsidRPr="00D662AC" w:rsidRDefault="00D662AC" w:rsidP="00D662AC">
            <w:pPr>
              <w:spacing w:line="240" w:lineRule="auto"/>
              <w:rPr>
                <w:rFonts w:ascii="Calibri" w:hAnsi="Calibri" w:cs="Calibri"/>
                <w:color w:val="000000"/>
                <w:sz w:val="22"/>
                <w:szCs w:val="22"/>
              </w:rPr>
            </w:pPr>
            <w:r w:rsidRPr="00D662AC">
              <w:rPr>
                <w:rFonts w:ascii="Calibri" w:hAnsi="Calibri" w:cs="Calibri"/>
                <w:color w:val="000000"/>
                <w:sz w:val="22"/>
                <w:szCs w:val="22"/>
              </w:rPr>
              <w:t>-10.8179</w:t>
            </w:r>
          </w:p>
        </w:tc>
        <w:tc>
          <w:tcPr>
            <w:tcW w:w="636" w:type="pct"/>
            <w:gridSpan w:val="2"/>
            <w:tcBorders>
              <w:top w:val="nil"/>
              <w:left w:val="nil"/>
              <w:bottom w:val="nil"/>
              <w:right w:val="nil"/>
            </w:tcBorders>
            <w:shd w:val="clear" w:color="auto" w:fill="auto"/>
            <w:noWrap/>
            <w:vAlign w:val="center"/>
          </w:tcPr>
          <w:p w14:paraId="4BE1A69E" w14:textId="586C4FBB" w:rsidR="00D662AC" w:rsidRPr="00D662AC" w:rsidRDefault="00D662AC" w:rsidP="00D662AC">
            <w:pPr>
              <w:spacing w:line="240" w:lineRule="auto"/>
              <w:rPr>
                <w:rFonts w:ascii="Calibri" w:hAnsi="Calibri" w:cs="Calibri"/>
                <w:color w:val="000000"/>
                <w:sz w:val="22"/>
                <w:szCs w:val="22"/>
              </w:rPr>
            </w:pPr>
            <w:r w:rsidRPr="00D662AC">
              <w:rPr>
                <w:rFonts w:ascii="Calibri" w:hAnsi="Calibri" w:cs="Calibri"/>
                <w:color w:val="000000"/>
                <w:sz w:val="22"/>
                <w:szCs w:val="22"/>
              </w:rPr>
              <w:t>5.4164</w:t>
            </w:r>
          </w:p>
        </w:tc>
        <w:tc>
          <w:tcPr>
            <w:tcW w:w="737" w:type="pct"/>
            <w:gridSpan w:val="2"/>
            <w:tcBorders>
              <w:top w:val="nil"/>
              <w:left w:val="nil"/>
              <w:bottom w:val="nil"/>
              <w:right w:val="nil"/>
            </w:tcBorders>
            <w:shd w:val="clear" w:color="auto" w:fill="auto"/>
            <w:noWrap/>
            <w:vAlign w:val="center"/>
          </w:tcPr>
          <w:p w14:paraId="2AC1D517" w14:textId="5E1BABDE" w:rsidR="00D662AC" w:rsidRPr="00D662AC" w:rsidRDefault="00D662AC" w:rsidP="00D662AC">
            <w:pPr>
              <w:spacing w:line="240" w:lineRule="auto"/>
              <w:rPr>
                <w:rFonts w:ascii="Calibri" w:hAnsi="Calibri" w:cs="Calibri"/>
                <w:color w:val="000000"/>
                <w:sz w:val="22"/>
                <w:szCs w:val="22"/>
              </w:rPr>
            </w:pPr>
            <w:r w:rsidRPr="00D662AC">
              <w:rPr>
                <w:rFonts w:ascii="Calibri" w:hAnsi="Calibri" w:cs="Calibri"/>
                <w:color w:val="000000"/>
                <w:sz w:val="22"/>
                <w:szCs w:val="22"/>
              </w:rPr>
              <w:t>5.4338</w:t>
            </w:r>
          </w:p>
        </w:tc>
        <w:tc>
          <w:tcPr>
            <w:tcW w:w="576" w:type="pct"/>
            <w:gridSpan w:val="2"/>
            <w:tcBorders>
              <w:top w:val="nil"/>
              <w:left w:val="nil"/>
              <w:bottom w:val="nil"/>
              <w:right w:val="nil"/>
            </w:tcBorders>
            <w:shd w:val="clear" w:color="auto" w:fill="auto"/>
            <w:noWrap/>
            <w:vAlign w:val="center"/>
          </w:tcPr>
          <w:p w14:paraId="69189717" w14:textId="3C5D72C7"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16.40%</w:t>
            </w:r>
          </w:p>
        </w:tc>
      </w:tr>
      <w:tr w:rsidR="00D662AC" w:rsidRPr="00D662AC" w14:paraId="4FC93064" w14:textId="77777777" w:rsidTr="00D662AC">
        <w:trPr>
          <w:trHeight w:val="304"/>
        </w:trPr>
        <w:tc>
          <w:tcPr>
            <w:tcW w:w="1071" w:type="pct"/>
            <w:tcBorders>
              <w:top w:val="nil"/>
              <w:left w:val="nil"/>
              <w:bottom w:val="nil"/>
              <w:right w:val="nil"/>
            </w:tcBorders>
            <w:shd w:val="clear" w:color="auto" w:fill="auto"/>
            <w:noWrap/>
            <w:vAlign w:val="center"/>
          </w:tcPr>
          <w:p w14:paraId="313C6D63" w14:textId="2F13CC1F" w:rsidR="00D662AC" w:rsidRPr="00D662AC" w:rsidRDefault="00D662AC" w:rsidP="00D662AC">
            <w:pPr>
              <w:spacing w:line="240" w:lineRule="auto"/>
              <w:rPr>
                <w:rFonts w:asciiTheme="minorHAnsi" w:eastAsia="Calibri" w:hAnsiTheme="minorHAnsi" w:cstheme="minorHAnsi"/>
                <w:sz w:val="22"/>
                <w:szCs w:val="22"/>
                <w:lang w:val="en-US" w:eastAsia="en-US"/>
              </w:rPr>
            </w:pPr>
          </w:p>
        </w:tc>
        <w:tc>
          <w:tcPr>
            <w:tcW w:w="696" w:type="pct"/>
            <w:tcBorders>
              <w:top w:val="nil"/>
              <w:left w:val="nil"/>
              <w:bottom w:val="nil"/>
              <w:right w:val="nil"/>
            </w:tcBorders>
            <w:shd w:val="clear" w:color="auto" w:fill="auto"/>
            <w:noWrap/>
            <w:vAlign w:val="center"/>
          </w:tcPr>
          <w:p w14:paraId="763D41E8" w14:textId="77BB3B79" w:rsidR="00D662AC" w:rsidRPr="00D662AC" w:rsidRDefault="00816BE5" w:rsidP="00D662AC">
            <w:pPr>
              <w:spacing w:line="240" w:lineRule="auto"/>
              <w:rPr>
                <w:rFonts w:ascii="Calibri" w:hAnsi="Calibri" w:cs="Calibri"/>
                <w:color w:val="000000"/>
                <w:sz w:val="22"/>
                <w:szCs w:val="22"/>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nil"/>
              <w:right w:val="nil"/>
            </w:tcBorders>
            <w:shd w:val="clear" w:color="auto" w:fill="auto"/>
            <w:noWrap/>
            <w:vAlign w:val="center"/>
          </w:tcPr>
          <w:p w14:paraId="27166468" w14:textId="55DF04FD" w:rsidR="00D662AC" w:rsidRPr="00D662AC" w:rsidRDefault="00816BE5" w:rsidP="00D662AC">
            <w:pPr>
              <w:spacing w:line="240" w:lineRule="auto"/>
              <w:rPr>
                <w:rFonts w:ascii="Calibri" w:hAnsi="Calibri" w:cs="Calibri"/>
                <w:color w:val="000000"/>
                <w:sz w:val="22"/>
                <w:szCs w:val="22"/>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nil"/>
              <w:right w:val="nil"/>
            </w:tcBorders>
            <w:shd w:val="clear" w:color="auto" w:fill="auto"/>
            <w:noWrap/>
            <w:vAlign w:val="center"/>
          </w:tcPr>
          <w:p w14:paraId="2116BED4" w14:textId="1494A72C" w:rsidR="00D662AC" w:rsidRPr="00D662AC" w:rsidRDefault="00816BE5" w:rsidP="00D662AC">
            <w:pPr>
              <w:spacing w:line="240" w:lineRule="auto"/>
              <w:rPr>
                <w:rFonts w:ascii="Calibri" w:hAnsi="Calibri" w:cs="Calibri"/>
                <w:color w:val="000000"/>
                <w:sz w:val="22"/>
                <w:szCs w:val="22"/>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36" w:type="pct"/>
            <w:gridSpan w:val="2"/>
            <w:tcBorders>
              <w:top w:val="nil"/>
              <w:left w:val="nil"/>
              <w:bottom w:val="nil"/>
              <w:right w:val="nil"/>
            </w:tcBorders>
            <w:shd w:val="clear" w:color="auto" w:fill="auto"/>
            <w:noWrap/>
            <w:vAlign w:val="center"/>
          </w:tcPr>
          <w:p w14:paraId="00A384B7" w14:textId="52F693FD" w:rsidR="00D662AC" w:rsidRPr="00D662AC" w:rsidRDefault="00816BE5" w:rsidP="00D662AC">
            <w:pPr>
              <w:spacing w:line="240" w:lineRule="auto"/>
              <w:rPr>
                <w:rFonts w:ascii="Calibri" w:hAnsi="Calibri" w:cs="Calibri"/>
                <w:color w:val="000000"/>
                <w:sz w:val="22"/>
                <w:szCs w:val="22"/>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737" w:type="pct"/>
            <w:gridSpan w:val="2"/>
            <w:tcBorders>
              <w:top w:val="nil"/>
              <w:left w:val="nil"/>
              <w:bottom w:val="nil"/>
              <w:right w:val="nil"/>
            </w:tcBorders>
            <w:shd w:val="clear" w:color="auto" w:fill="auto"/>
            <w:noWrap/>
            <w:vAlign w:val="center"/>
          </w:tcPr>
          <w:p w14:paraId="1C270EB7" w14:textId="64644E9D" w:rsidR="00D662AC" w:rsidRPr="00D662AC" w:rsidRDefault="00816BE5" w:rsidP="00D662AC">
            <w:pPr>
              <w:spacing w:line="240" w:lineRule="auto"/>
              <w:rPr>
                <w:rFonts w:ascii="Calibri" w:hAnsi="Calibri" w:cs="Calibri"/>
                <w:color w:val="000000"/>
                <w:sz w:val="22"/>
                <w:szCs w:val="22"/>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nil"/>
              <w:right w:val="nil"/>
            </w:tcBorders>
            <w:shd w:val="clear" w:color="auto" w:fill="auto"/>
            <w:noWrap/>
            <w:vAlign w:val="center"/>
          </w:tcPr>
          <w:p w14:paraId="216C38BB"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p>
        </w:tc>
      </w:tr>
      <w:tr w:rsidR="00D662AC" w:rsidRPr="00D662AC" w14:paraId="33FFA299" w14:textId="77777777" w:rsidTr="00D662AC">
        <w:trPr>
          <w:trHeight w:val="304"/>
        </w:trPr>
        <w:tc>
          <w:tcPr>
            <w:tcW w:w="1071" w:type="pct"/>
            <w:tcBorders>
              <w:top w:val="nil"/>
              <w:left w:val="nil"/>
              <w:bottom w:val="nil"/>
              <w:right w:val="nil"/>
            </w:tcBorders>
            <w:shd w:val="clear" w:color="auto" w:fill="auto"/>
            <w:noWrap/>
            <w:vAlign w:val="center"/>
          </w:tcPr>
          <w:p w14:paraId="74525556"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Theme="minorHAnsi" w:eastAsia="Calibri" w:hAnsiTheme="minorHAnsi" w:cstheme="minorHAnsi"/>
                <w:sz w:val="22"/>
                <w:szCs w:val="22"/>
                <w:lang w:val="en-US" w:eastAsia="en-US"/>
              </w:rPr>
              <w:t>Utilities</w:t>
            </w:r>
          </w:p>
        </w:tc>
        <w:tc>
          <w:tcPr>
            <w:tcW w:w="696" w:type="pct"/>
            <w:tcBorders>
              <w:top w:val="nil"/>
              <w:left w:val="nil"/>
              <w:bottom w:val="nil"/>
              <w:right w:val="nil"/>
            </w:tcBorders>
            <w:shd w:val="clear" w:color="auto" w:fill="auto"/>
            <w:noWrap/>
            <w:vAlign w:val="center"/>
          </w:tcPr>
          <w:p w14:paraId="15A0C712" w14:textId="40F2D094" w:rsidR="00D662AC" w:rsidRPr="00D662AC" w:rsidRDefault="00D662AC" w:rsidP="00D662AC">
            <w:pPr>
              <w:spacing w:line="240" w:lineRule="auto"/>
              <w:rPr>
                <w:rFonts w:ascii="Calibri" w:hAnsi="Calibri" w:cs="Calibri"/>
                <w:color w:val="000000"/>
                <w:sz w:val="22"/>
                <w:szCs w:val="22"/>
              </w:rPr>
            </w:pPr>
            <w:r w:rsidRPr="00D662AC">
              <w:rPr>
                <w:rFonts w:ascii="Calibri" w:hAnsi="Calibri" w:cs="Calibri"/>
                <w:color w:val="000000"/>
                <w:sz w:val="22"/>
                <w:szCs w:val="22"/>
              </w:rPr>
              <w:t>0.0065</w:t>
            </w:r>
          </w:p>
        </w:tc>
        <w:tc>
          <w:tcPr>
            <w:tcW w:w="641" w:type="pct"/>
            <w:gridSpan w:val="2"/>
            <w:tcBorders>
              <w:top w:val="nil"/>
              <w:left w:val="nil"/>
              <w:bottom w:val="nil"/>
              <w:right w:val="nil"/>
            </w:tcBorders>
            <w:shd w:val="clear" w:color="auto" w:fill="auto"/>
            <w:noWrap/>
            <w:vAlign w:val="center"/>
          </w:tcPr>
          <w:p w14:paraId="5401B6B5" w14:textId="1AD0E5E2" w:rsidR="00D662AC" w:rsidRPr="00D662AC" w:rsidRDefault="00D662AC" w:rsidP="00D662AC">
            <w:pPr>
              <w:spacing w:line="240" w:lineRule="auto"/>
              <w:rPr>
                <w:rFonts w:ascii="Calibri" w:hAnsi="Calibri" w:cs="Calibri"/>
                <w:color w:val="000000"/>
                <w:sz w:val="22"/>
                <w:szCs w:val="22"/>
              </w:rPr>
            </w:pPr>
            <w:r w:rsidRPr="00D662AC">
              <w:rPr>
                <w:rFonts w:ascii="Calibri" w:hAnsi="Calibri" w:cs="Calibri"/>
                <w:color w:val="000000"/>
                <w:sz w:val="22"/>
                <w:szCs w:val="22"/>
              </w:rPr>
              <w:t>0.0102</w:t>
            </w:r>
          </w:p>
        </w:tc>
        <w:tc>
          <w:tcPr>
            <w:tcW w:w="642" w:type="pct"/>
            <w:gridSpan w:val="2"/>
            <w:tcBorders>
              <w:top w:val="nil"/>
              <w:left w:val="nil"/>
              <w:bottom w:val="nil"/>
              <w:right w:val="nil"/>
            </w:tcBorders>
            <w:shd w:val="clear" w:color="auto" w:fill="auto"/>
            <w:noWrap/>
            <w:vAlign w:val="center"/>
          </w:tcPr>
          <w:p w14:paraId="60CB2E4B" w14:textId="0868E544" w:rsidR="00D662AC" w:rsidRPr="00D662AC" w:rsidRDefault="00D662AC" w:rsidP="00D662AC">
            <w:pPr>
              <w:spacing w:line="240" w:lineRule="auto"/>
              <w:rPr>
                <w:rFonts w:ascii="Calibri" w:hAnsi="Calibri" w:cs="Calibri"/>
                <w:color w:val="000000"/>
                <w:sz w:val="22"/>
                <w:szCs w:val="22"/>
              </w:rPr>
            </w:pPr>
            <w:r w:rsidRPr="00D662AC">
              <w:rPr>
                <w:rFonts w:ascii="Calibri" w:hAnsi="Calibri" w:cs="Calibri"/>
                <w:color w:val="000000"/>
                <w:sz w:val="22"/>
                <w:szCs w:val="22"/>
              </w:rPr>
              <w:t>0.0039</w:t>
            </w:r>
          </w:p>
        </w:tc>
        <w:tc>
          <w:tcPr>
            <w:tcW w:w="636" w:type="pct"/>
            <w:gridSpan w:val="2"/>
            <w:tcBorders>
              <w:top w:val="nil"/>
              <w:left w:val="nil"/>
              <w:bottom w:val="nil"/>
              <w:right w:val="nil"/>
            </w:tcBorders>
            <w:shd w:val="clear" w:color="auto" w:fill="auto"/>
            <w:noWrap/>
            <w:vAlign w:val="center"/>
          </w:tcPr>
          <w:p w14:paraId="6DBBECB4" w14:textId="3FFC881F" w:rsidR="00D662AC" w:rsidRPr="00D662AC" w:rsidRDefault="00D662AC" w:rsidP="00D662AC">
            <w:pPr>
              <w:spacing w:line="240" w:lineRule="auto"/>
              <w:rPr>
                <w:rFonts w:ascii="Calibri" w:hAnsi="Calibri" w:cs="Calibri"/>
                <w:color w:val="000000"/>
                <w:sz w:val="22"/>
                <w:szCs w:val="22"/>
              </w:rPr>
            </w:pPr>
            <w:r w:rsidRPr="00D662AC">
              <w:rPr>
                <w:rFonts w:ascii="Calibri" w:hAnsi="Calibri" w:cs="Calibri"/>
                <w:color w:val="000000"/>
                <w:sz w:val="22"/>
                <w:szCs w:val="22"/>
              </w:rPr>
              <w:t>-0.0109</w:t>
            </w:r>
          </w:p>
        </w:tc>
        <w:tc>
          <w:tcPr>
            <w:tcW w:w="737" w:type="pct"/>
            <w:gridSpan w:val="2"/>
            <w:tcBorders>
              <w:top w:val="nil"/>
              <w:left w:val="nil"/>
              <w:bottom w:val="nil"/>
              <w:right w:val="nil"/>
            </w:tcBorders>
            <w:shd w:val="clear" w:color="auto" w:fill="auto"/>
            <w:noWrap/>
            <w:vAlign w:val="center"/>
          </w:tcPr>
          <w:p w14:paraId="5D74A016" w14:textId="30C08D6D" w:rsidR="00D662AC" w:rsidRPr="00D662AC" w:rsidRDefault="00D662AC" w:rsidP="00D662AC">
            <w:pPr>
              <w:spacing w:line="240" w:lineRule="auto"/>
              <w:rPr>
                <w:rFonts w:ascii="Calibri" w:hAnsi="Calibri" w:cs="Calibri"/>
                <w:color w:val="000000"/>
                <w:sz w:val="22"/>
                <w:szCs w:val="22"/>
              </w:rPr>
            </w:pPr>
            <w:r w:rsidRPr="00D662AC">
              <w:rPr>
                <w:rFonts w:ascii="Calibri" w:hAnsi="Calibri" w:cs="Calibri"/>
                <w:color w:val="000000"/>
                <w:sz w:val="22"/>
                <w:szCs w:val="22"/>
              </w:rPr>
              <w:t>-0.0047</w:t>
            </w:r>
          </w:p>
        </w:tc>
        <w:tc>
          <w:tcPr>
            <w:tcW w:w="576" w:type="pct"/>
            <w:gridSpan w:val="2"/>
            <w:tcBorders>
              <w:top w:val="nil"/>
              <w:left w:val="nil"/>
              <w:bottom w:val="nil"/>
              <w:right w:val="nil"/>
            </w:tcBorders>
            <w:shd w:val="clear" w:color="auto" w:fill="auto"/>
            <w:noWrap/>
            <w:vAlign w:val="center"/>
          </w:tcPr>
          <w:p w14:paraId="5E2E5F01" w14:textId="6AD42F8C"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2.70%</w:t>
            </w:r>
          </w:p>
        </w:tc>
      </w:tr>
      <w:tr w:rsidR="00D662AC" w:rsidRPr="00D662AC" w14:paraId="0828E5D4" w14:textId="77777777" w:rsidTr="00D662AC">
        <w:trPr>
          <w:trHeight w:val="304"/>
        </w:trPr>
        <w:tc>
          <w:tcPr>
            <w:tcW w:w="1071" w:type="pct"/>
            <w:tcBorders>
              <w:top w:val="nil"/>
              <w:left w:val="nil"/>
              <w:bottom w:val="single" w:sz="4" w:space="0" w:color="auto"/>
              <w:right w:val="nil"/>
            </w:tcBorders>
            <w:shd w:val="clear" w:color="auto" w:fill="auto"/>
            <w:noWrap/>
            <w:vAlign w:val="bottom"/>
          </w:tcPr>
          <w:p w14:paraId="710D9D5F" w14:textId="77777777" w:rsidR="00D662AC" w:rsidRPr="00D662AC" w:rsidRDefault="00D662AC" w:rsidP="00D662AC">
            <w:pPr>
              <w:spacing w:line="240" w:lineRule="auto"/>
              <w:rPr>
                <w:rFonts w:asciiTheme="minorHAnsi" w:eastAsia="Calibri" w:hAnsiTheme="minorHAnsi" w:cstheme="minorHAnsi"/>
                <w:sz w:val="22"/>
                <w:szCs w:val="22"/>
                <w:lang w:val="en-US" w:eastAsia="en-US"/>
              </w:rPr>
            </w:pPr>
          </w:p>
        </w:tc>
        <w:tc>
          <w:tcPr>
            <w:tcW w:w="696" w:type="pct"/>
            <w:tcBorders>
              <w:top w:val="nil"/>
              <w:left w:val="nil"/>
              <w:bottom w:val="single" w:sz="4" w:space="0" w:color="auto"/>
              <w:right w:val="nil"/>
            </w:tcBorders>
            <w:shd w:val="clear" w:color="auto" w:fill="auto"/>
            <w:noWrap/>
            <w:vAlign w:val="center"/>
          </w:tcPr>
          <w:p w14:paraId="325B44E4" w14:textId="7277C477" w:rsidR="00D662AC" w:rsidRPr="00D662AC" w:rsidRDefault="00816BE5" w:rsidP="00D662AC">
            <w:pPr>
              <w:spacing w:line="240" w:lineRule="auto"/>
              <w:rPr>
                <w:rFonts w:ascii="Calibri" w:hAnsi="Calibri" w:cs="Calibri"/>
                <w:color w:val="000000"/>
                <w:sz w:val="22"/>
                <w:szCs w:val="22"/>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1" w:type="pct"/>
            <w:gridSpan w:val="2"/>
            <w:tcBorders>
              <w:top w:val="nil"/>
              <w:left w:val="nil"/>
              <w:bottom w:val="single" w:sz="4" w:space="0" w:color="auto"/>
              <w:right w:val="nil"/>
            </w:tcBorders>
            <w:shd w:val="clear" w:color="auto" w:fill="auto"/>
            <w:noWrap/>
            <w:vAlign w:val="center"/>
          </w:tcPr>
          <w:p w14:paraId="726EB092" w14:textId="0C5BEABC" w:rsidR="00D662AC" w:rsidRPr="00D662AC" w:rsidRDefault="00816BE5" w:rsidP="00D662AC">
            <w:pPr>
              <w:spacing w:line="240" w:lineRule="auto"/>
              <w:rPr>
                <w:rFonts w:ascii="Calibri" w:hAnsi="Calibri" w:cs="Calibri"/>
                <w:color w:val="000000"/>
                <w:sz w:val="22"/>
                <w:szCs w:val="22"/>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42" w:type="pct"/>
            <w:gridSpan w:val="2"/>
            <w:tcBorders>
              <w:top w:val="nil"/>
              <w:left w:val="nil"/>
              <w:bottom w:val="single" w:sz="4" w:space="0" w:color="auto"/>
              <w:right w:val="nil"/>
            </w:tcBorders>
            <w:shd w:val="clear" w:color="auto" w:fill="auto"/>
            <w:noWrap/>
            <w:vAlign w:val="center"/>
          </w:tcPr>
          <w:p w14:paraId="1B78D7C3" w14:textId="32771EAB" w:rsidR="00D662AC" w:rsidRPr="00D662AC" w:rsidRDefault="00816BE5" w:rsidP="00D662AC">
            <w:pPr>
              <w:spacing w:line="240" w:lineRule="auto"/>
              <w:rPr>
                <w:rFonts w:ascii="Calibri" w:hAnsi="Calibri" w:cs="Calibri"/>
                <w:color w:val="000000"/>
                <w:sz w:val="22"/>
                <w:szCs w:val="22"/>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636" w:type="pct"/>
            <w:gridSpan w:val="2"/>
            <w:tcBorders>
              <w:top w:val="nil"/>
              <w:left w:val="nil"/>
              <w:bottom w:val="single" w:sz="4" w:space="0" w:color="auto"/>
              <w:right w:val="nil"/>
            </w:tcBorders>
            <w:shd w:val="clear" w:color="auto" w:fill="auto"/>
            <w:noWrap/>
            <w:vAlign w:val="center"/>
          </w:tcPr>
          <w:p w14:paraId="05FA1E19" w14:textId="1F920044" w:rsidR="00D662AC" w:rsidRPr="00D662AC" w:rsidRDefault="00816BE5" w:rsidP="00D662AC">
            <w:pPr>
              <w:spacing w:line="240" w:lineRule="auto"/>
              <w:rPr>
                <w:rFonts w:ascii="Calibri" w:hAnsi="Calibri" w:cs="Calibri"/>
                <w:color w:val="000000"/>
                <w:sz w:val="22"/>
                <w:szCs w:val="22"/>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737" w:type="pct"/>
            <w:gridSpan w:val="2"/>
            <w:tcBorders>
              <w:top w:val="nil"/>
              <w:left w:val="nil"/>
              <w:bottom w:val="single" w:sz="4" w:space="0" w:color="auto"/>
              <w:right w:val="nil"/>
            </w:tcBorders>
            <w:shd w:val="clear" w:color="auto" w:fill="auto"/>
            <w:noWrap/>
            <w:vAlign w:val="center"/>
          </w:tcPr>
          <w:p w14:paraId="676158C8" w14:textId="707ED519" w:rsidR="00D662AC" w:rsidRPr="00D662AC" w:rsidRDefault="00816BE5" w:rsidP="00D662AC">
            <w:pPr>
              <w:spacing w:line="240" w:lineRule="auto"/>
              <w:rPr>
                <w:rFonts w:ascii="Calibri" w:hAnsi="Calibri" w:cs="Calibri"/>
                <w:color w:val="000000"/>
                <w:sz w:val="22"/>
                <w:szCs w:val="22"/>
              </w:rPr>
            </w:pPr>
            <w:r>
              <w:rPr>
                <w:rFonts w:ascii="Calibri" w:hAnsi="Calibri" w:cs="Calibri"/>
                <w:color w:val="000000"/>
                <w:sz w:val="22"/>
                <w:szCs w:val="22"/>
              </w:rPr>
              <w:t>(</w:t>
            </w:r>
            <w:r w:rsidR="00D662AC" w:rsidRPr="00D662AC">
              <w:rPr>
                <w:rFonts w:ascii="Calibri" w:hAnsi="Calibri" w:cs="Calibri"/>
                <w:color w:val="000000"/>
                <w:sz w:val="22"/>
                <w:szCs w:val="22"/>
              </w:rPr>
              <w:t>0.0000</w:t>
            </w:r>
            <w:r>
              <w:rPr>
                <w:rFonts w:ascii="Calibri" w:hAnsi="Calibri" w:cs="Calibri"/>
                <w:color w:val="000000"/>
                <w:sz w:val="22"/>
                <w:szCs w:val="22"/>
              </w:rPr>
              <w:t>)</w:t>
            </w:r>
          </w:p>
        </w:tc>
        <w:tc>
          <w:tcPr>
            <w:tcW w:w="576" w:type="pct"/>
            <w:gridSpan w:val="2"/>
            <w:tcBorders>
              <w:top w:val="nil"/>
              <w:left w:val="nil"/>
              <w:bottom w:val="single" w:sz="4" w:space="0" w:color="auto"/>
              <w:right w:val="nil"/>
            </w:tcBorders>
            <w:shd w:val="clear" w:color="auto" w:fill="auto"/>
            <w:noWrap/>
            <w:vAlign w:val="center"/>
          </w:tcPr>
          <w:p w14:paraId="1C97D73C" w14:textId="5E3BABBA" w:rsidR="00D662AC" w:rsidRPr="00D662AC" w:rsidRDefault="00D662AC" w:rsidP="00D662AC">
            <w:pPr>
              <w:spacing w:line="240" w:lineRule="auto"/>
              <w:rPr>
                <w:rFonts w:asciiTheme="minorHAnsi" w:eastAsia="Calibri" w:hAnsiTheme="minorHAnsi" w:cstheme="minorHAnsi"/>
                <w:sz w:val="22"/>
                <w:szCs w:val="22"/>
                <w:lang w:val="en-US" w:eastAsia="en-US"/>
              </w:rPr>
            </w:pPr>
            <w:r w:rsidRPr="00D662AC">
              <w:rPr>
                <w:rFonts w:ascii="Calibri" w:hAnsi="Calibri" w:cs="Calibri"/>
                <w:color w:val="000000"/>
                <w:sz w:val="22"/>
                <w:szCs w:val="22"/>
              </w:rPr>
              <w:t> </w:t>
            </w:r>
          </w:p>
        </w:tc>
      </w:tr>
    </w:tbl>
    <w:p w14:paraId="65C0B2B2" w14:textId="1E36CF08" w:rsidR="009F2D41" w:rsidRPr="004556EC" w:rsidRDefault="0001091F" w:rsidP="00265889">
      <w:pPr>
        <w:spacing w:line="240" w:lineRule="auto"/>
        <w:jc w:val="both"/>
        <w:rPr>
          <w:rFonts w:asciiTheme="minorHAnsi" w:eastAsia="Calibri" w:hAnsiTheme="minorHAnsi" w:cstheme="minorHAnsi"/>
          <w:sz w:val="22"/>
          <w:szCs w:val="22"/>
          <w:lang w:val="en-US" w:eastAsia="en-US"/>
        </w:rPr>
      </w:pPr>
      <w:r w:rsidRPr="00265889">
        <w:rPr>
          <w:rFonts w:asciiTheme="minorHAnsi" w:eastAsia="Calibri" w:hAnsiTheme="minorHAnsi" w:cstheme="minorHAnsi"/>
          <w:i/>
          <w:iCs/>
          <w:sz w:val="22"/>
          <w:szCs w:val="22"/>
          <w:lang w:val="en-US" w:eastAsia="en-US"/>
        </w:rPr>
        <w:t>Note:</w:t>
      </w:r>
      <w:r w:rsidRPr="004556EC">
        <w:rPr>
          <w:rFonts w:asciiTheme="minorHAnsi" w:eastAsia="Calibri" w:hAnsiTheme="minorHAnsi" w:cstheme="minorHAnsi"/>
          <w:sz w:val="22"/>
          <w:szCs w:val="22"/>
          <w:lang w:val="en-US" w:eastAsia="en-US"/>
        </w:rPr>
        <w:t xml:space="preserve"> T</w:t>
      </w:r>
      <w:r w:rsidR="008502D1" w:rsidRPr="004556EC">
        <w:rPr>
          <w:rFonts w:asciiTheme="minorHAnsi" w:eastAsia="Calibri" w:hAnsiTheme="minorHAnsi" w:cstheme="minorHAnsi"/>
          <w:sz w:val="22"/>
          <w:szCs w:val="22"/>
          <w:lang w:val="en-US" w:eastAsia="en-US"/>
        </w:rPr>
        <w:t>able 3.8</w:t>
      </w:r>
      <w:r w:rsidRPr="004556EC">
        <w:rPr>
          <w:rFonts w:asciiTheme="minorHAnsi" w:eastAsia="Calibri" w:hAnsiTheme="minorHAnsi" w:cstheme="minorHAnsi"/>
          <w:sz w:val="22"/>
          <w:szCs w:val="22"/>
          <w:lang w:val="en-US" w:eastAsia="en-US"/>
        </w:rPr>
        <w:t xml:space="preserve"> reports the estimates from </w:t>
      </w:r>
      <w:r w:rsidR="00451703">
        <w:rPr>
          <w:rFonts w:asciiTheme="minorHAnsi" w:eastAsia="Calibri" w:hAnsiTheme="minorHAnsi" w:cstheme="minorHAnsi"/>
          <w:sz w:val="22"/>
          <w:szCs w:val="22"/>
          <w:lang w:val="en-US" w:eastAsia="en-US"/>
        </w:rPr>
        <w:t>model 4.</w:t>
      </w:r>
      <w:r w:rsidRPr="004556EC">
        <w:rPr>
          <w:rFonts w:asciiTheme="minorHAnsi" w:eastAsia="Calibri" w:hAnsiTheme="minorHAnsi" w:cstheme="minorHAnsi"/>
          <w:sz w:val="22"/>
          <w:szCs w:val="22"/>
          <w:lang w:val="en-US" w:eastAsia="en-US"/>
        </w:rPr>
        <w:t xml:space="preserve"> </w:t>
      </w:r>
      <w:r w:rsidR="009F2D41" w:rsidRPr="004556EC">
        <w:rPr>
          <w:rFonts w:asciiTheme="minorHAnsi" w:eastAsia="Calibri" w:hAnsiTheme="minorHAnsi" w:cstheme="minorHAnsi"/>
          <w:sz w:val="22"/>
          <w:szCs w:val="22"/>
          <w:lang w:val="en-US" w:eastAsia="en-US"/>
        </w:rPr>
        <w:t xml:space="preserve"> </w:t>
      </w:r>
      <w:r w:rsidR="00816BE5">
        <w:rPr>
          <w:rFonts w:asciiTheme="minorHAnsi" w:eastAsia="Calibri" w:hAnsiTheme="minorHAnsi" w:cstheme="minorHAnsi"/>
          <w:sz w:val="22"/>
          <w:szCs w:val="22"/>
          <w:lang w:val="en-US" w:eastAsia="en-US"/>
        </w:rPr>
        <w:t xml:space="preserve">The </w:t>
      </w:r>
      <w:r w:rsidR="00816BE5" w:rsidRPr="00415EDD">
        <w:rPr>
          <w:rFonts w:asciiTheme="minorHAnsi" w:eastAsia="Calibri" w:hAnsiTheme="minorHAnsi" w:cstheme="minorHAnsi"/>
          <w:sz w:val="22"/>
          <w:szCs w:val="22"/>
          <w:lang w:val="en-US" w:eastAsia="en-US"/>
        </w:rPr>
        <w:t xml:space="preserve">associated p-values </w:t>
      </w:r>
      <w:r w:rsidR="00816BE5" w:rsidRPr="004556EC">
        <w:rPr>
          <w:rFonts w:asciiTheme="minorHAnsi" w:eastAsia="Calibri" w:hAnsiTheme="minorHAnsi" w:cstheme="minorHAnsi"/>
          <w:sz w:val="22"/>
          <w:szCs w:val="22"/>
          <w:lang w:val="en-US" w:eastAsia="en-US"/>
        </w:rPr>
        <w:t>are reported in parentheses</w:t>
      </w:r>
      <w:r w:rsidR="00816BE5">
        <w:rPr>
          <w:rFonts w:asciiTheme="minorHAnsi" w:eastAsia="Calibri" w:hAnsiTheme="minorHAnsi" w:cstheme="minorHAnsi"/>
          <w:sz w:val="22"/>
          <w:szCs w:val="22"/>
          <w:lang w:val="en-US" w:eastAsia="en-US"/>
        </w:rPr>
        <w:t>.</w:t>
      </w:r>
    </w:p>
    <w:p w14:paraId="29E10A75" w14:textId="66552924" w:rsidR="0001091F" w:rsidRPr="004556EC" w:rsidRDefault="0001091F" w:rsidP="004558C6">
      <w:pPr>
        <w:pStyle w:val="Newparagraph"/>
        <w:spacing w:line="360" w:lineRule="auto"/>
        <w:ind w:firstLine="0"/>
        <w:jc w:val="both"/>
        <w:rPr>
          <w:rFonts w:asciiTheme="minorHAnsi" w:eastAsia="Calibri" w:hAnsiTheme="minorHAnsi" w:cstheme="minorHAnsi"/>
          <w:lang w:val="en-US"/>
        </w:rPr>
      </w:pPr>
    </w:p>
    <w:p w14:paraId="06509B45" w14:textId="4D516262" w:rsidR="00E83098" w:rsidRDefault="00E83098" w:rsidP="00265889">
      <w:pPr>
        <w:pStyle w:val="Newparagraph"/>
        <w:spacing w:line="360" w:lineRule="auto"/>
        <w:ind w:firstLine="0"/>
        <w:jc w:val="both"/>
        <w:rPr>
          <w:rFonts w:asciiTheme="minorHAnsi" w:eastAsia="Calibri" w:hAnsiTheme="minorHAnsi" w:cstheme="minorHAnsi"/>
          <w:lang w:val="en-US"/>
        </w:rPr>
      </w:pPr>
      <w:r w:rsidRPr="004556EC">
        <w:rPr>
          <w:rFonts w:asciiTheme="minorHAnsi" w:eastAsia="Calibri" w:hAnsiTheme="minorHAnsi" w:cstheme="minorHAnsi"/>
          <w:lang w:val="en-US"/>
        </w:rPr>
        <w:t>.</w:t>
      </w:r>
    </w:p>
    <w:p w14:paraId="64E3DD88" w14:textId="4D685A65" w:rsidR="00265889" w:rsidRDefault="00265889" w:rsidP="00265889">
      <w:pPr>
        <w:pStyle w:val="Newparagraph"/>
        <w:spacing w:line="360" w:lineRule="auto"/>
        <w:ind w:firstLine="0"/>
        <w:jc w:val="both"/>
        <w:rPr>
          <w:rFonts w:asciiTheme="minorHAnsi" w:eastAsia="Calibri" w:hAnsiTheme="minorHAnsi" w:cstheme="minorHAnsi"/>
          <w:lang w:val="en-US"/>
        </w:rPr>
      </w:pPr>
    </w:p>
    <w:p w14:paraId="3760A70A" w14:textId="11F4F604" w:rsidR="00471119" w:rsidRDefault="00471119" w:rsidP="00265889">
      <w:pPr>
        <w:pStyle w:val="Newparagraph"/>
        <w:spacing w:line="360" w:lineRule="auto"/>
        <w:ind w:firstLine="0"/>
        <w:jc w:val="both"/>
        <w:rPr>
          <w:rFonts w:asciiTheme="minorHAnsi" w:eastAsia="Calibri" w:hAnsiTheme="minorHAnsi" w:cstheme="minorHAnsi"/>
          <w:lang w:val="en-US"/>
        </w:rPr>
      </w:pPr>
    </w:p>
    <w:p w14:paraId="7D8EA096" w14:textId="77777777" w:rsidR="00471119" w:rsidRPr="004556EC" w:rsidRDefault="00471119" w:rsidP="00265889">
      <w:pPr>
        <w:pStyle w:val="Newparagraph"/>
        <w:spacing w:line="360" w:lineRule="auto"/>
        <w:ind w:firstLine="0"/>
        <w:jc w:val="both"/>
        <w:rPr>
          <w:rFonts w:asciiTheme="minorHAnsi" w:eastAsia="Calibri" w:hAnsiTheme="minorHAnsi" w:cstheme="minorHAnsi"/>
          <w:lang w:val="en-US"/>
        </w:rPr>
      </w:pPr>
    </w:p>
    <w:p w14:paraId="5D61544C" w14:textId="105C5A4F" w:rsidR="00143B1E" w:rsidRDefault="00DF3DEB" w:rsidP="004558C6">
      <w:pPr>
        <w:pStyle w:val="Heading1"/>
        <w:rPr>
          <w:rFonts w:asciiTheme="minorHAnsi" w:eastAsia="Calibri" w:hAnsiTheme="minorHAnsi" w:cstheme="minorHAnsi"/>
        </w:rPr>
      </w:pPr>
      <w:r w:rsidRPr="004556EC">
        <w:rPr>
          <w:rFonts w:asciiTheme="minorHAnsi" w:eastAsia="Calibri" w:hAnsiTheme="minorHAnsi" w:cstheme="minorHAnsi"/>
        </w:rPr>
        <w:lastRenderedPageBreak/>
        <w:t>4.</w:t>
      </w:r>
      <w:r w:rsidR="00143B1E" w:rsidRPr="004556EC">
        <w:rPr>
          <w:rFonts w:asciiTheme="minorHAnsi" w:eastAsia="Calibri" w:hAnsiTheme="minorHAnsi" w:cstheme="minorHAnsi"/>
        </w:rPr>
        <w:t xml:space="preserve">Conclusion </w:t>
      </w:r>
    </w:p>
    <w:p w14:paraId="420152BB" w14:textId="758FECA8" w:rsidR="00081DA3" w:rsidRPr="00851CBA" w:rsidRDefault="00851CBA" w:rsidP="00081DA3">
      <w:pPr>
        <w:pStyle w:val="Paragraph"/>
        <w:rPr>
          <w:rFonts w:asciiTheme="minorHAnsi" w:eastAsia="Calibri" w:hAnsiTheme="minorHAnsi"/>
        </w:rPr>
      </w:pPr>
      <w:r w:rsidRPr="00851CBA">
        <w:rPr>
          <w:rFonts w:asciiTheme="minorHAnsi" w:eastAsia="Calibri" w:hAnsiTheme="minorHAnsi"/>
        </w:rPr>
        <w:t xml:space="preserve">The aim of this study was to investigate in determinants of industry herding in the U.S market. The investigation </w:t>
      </w:r>
      <w:r w:rsidRPr="00851CBA">
        <w:rPr>
          <w:rFonts w:asciiTheme="minorHAnsi" w:hAnsiTheme="minorHAnsi" w:cstheme="minorHAnsi"/>
        </w:rPr>
        <w:t>utilised</w:t>
      </w:r>
      <w:r w:rsidRPr="00851CBA">
        <w:rPr>
          <w:rFonts w:asciiTheme="minorHAnsi" w:hAnsiTheme="minorHAnsi" w:cstheme="minorHAnsi"/>
        </w:rPr>
        <w:t xml:space="preserve"> daily data from </w:t>
      </w:r>
      <w:r w:rsidRPr="00851CBA">
        <w:rPr>
          <w:rFonts w:asciiTheme="minorHAnsi" w:hAnsiTheme="minorHAnsi" w:cstheme="minorHAnsi"/>
        </w:rPr>
        <w:t xml:space="preserve">January </w:t>
      </w:r>
      <w:r w:rsidRPr="00851CBA">
        <w:rPr>
          <w:rFonts w:asciiTheme="minorHAnsi" w:hAnsiTheme="minorHAnsi" w:cstheme="minorHAnsi"/>
        </w:rPr>
        <w:t xml:space="preserve">1990 to </w:t>
      </w:r>
      <w:r w:rsidRPr="00851CBA">
        <w:rPr>
          <w:rFonts w:asciiTheme="minorHAnsi" w:hAnsiTheme="minorHAnsi" w:cstheme="minorHAnsi"/>
        </w:rPr>
        <w:t xml:space="preserve">August </w:t>
      </w:r>
      <w:r w:rsidRPr="00851CBA">
        <w:rPr>
          <w:rFonts w:asciiTheme="minorHAnsi" w:hAnsiTheme="minorHAnsi" w:cstheme="minorHAnsi"/>
        </w:rPr>
        <w:t>2020</w:t>
      </w:r>
      <w:r w:rsidRPr="00851CBA">
        <w:rPr>
          <w:rFonts w:asciiTheme="minorHAnsi" w:hAnsiTheme="minorHAnsi" w:cstheme="minorHAnsi"/>
        </w:rPr>
        <w:t xml:space="preserve">. </w:t>
      </w:r>
    </w:p>
    <w:p w14:paraId="72867681" w14:textId="0AEA2BE3" w:rsidR="005D37EF" w:rsidRDefault="00851CBA" w:rsidP="00265889">
      <w:pPr>
        <w:spacing w:before="240" w:line="360" w:lineRule="auto"/>
        <w:jc w:val="both"/>
        <w:rPr>
          <w:rFonts w:asciiTheme="minorHAnsi" w:eastAsia="Calibri" w:hAnsiTheme="minorHAnsi" w:cstheme="minorHAnsi"/>
          <w:lang w:val="en-US"/>
        </w:rPr>
      </w:pPr>
      <w:r>
        <w:rPr>
          <w:rFonts w:asciiTheme="minorHAnsi" w:eastAsia="Calibri" w:hAnsiTheme="minorHAnsi" w:cstheme="minorHAnsi"/>
          <w:lang w:val="en-US"/>
        </w:rPr>
        <w:t>Our</w:t>
      </w:r>
      <w:r w:rsidR="00143B1E" w:rsidRPr="004556EC">
        <w:rPr>
          <w:rFonts w:asciiTheme="minorHAnsi" w:eastAsia="Calibri" w:hAnsiTheme="minorHAnsi" w:cstheme="minorHAnsi"/>
          <w:lang w:val="en-US"/>
        </w:rPr>
        <w:t xml:space="preserve"> results show that market wide herding is absent in the US market</w:t>
      </w:r>
      <w:r w:rsidR="00990810">
        <w:rPr>
          <w:rFonts w:asciiTheme="minorHAnsi" w:eastAsia="Calibri" w:hAnsiTheme="minorHAnsi" w:cstheme="minorHAnsi"/>
          <w:lang w:val="en-US"/>
        </w:rPr>
        <w:t>, and</w:t>
      </w:r>
      <w:r w:rsidR="00265889">
        <w:rPr>
          <w:rFonts w:asciiTheme="minorHAnsi" w:eastAsia="Calibri" w:hAnsiTheme="minorHAnsi" w:cstheme="minorHAnsi"/>
          <w:lang w:val="en-US"/>
        </w:rPr>
        <w:t xml:space="preserve"> </w:t>
      </w:r>
      <w:r w:rsidR="00143B1E" w:rsidRPr="004556EC">
        <w:rPr>
          <w:rFonts w:asciiTheme="minorHAnsi" w:eastAsia="Calibri" w:hAnsiTheme="minorHAnsi" w:cstheme="minorHAnsi"/>
          <w:lang w:val="en-US"/>
        </w:rPr>
        <w:t xml:space="preserve">limited evidence of herding becomes visible at the sector level, especially in the </w:t>
      </w:r>
      <w:r w:rsidR="001974B9">
        <w:rPr>
          <w:rFonts w:asciiTheme="minorHAnsi" w:eastAsia="Calibri" w:hAnsiTheme="minorHAnsi" w:cstheme="minorHAnsi"/>
          <w:lang w:val="en-US"/>
        </w:rPr>
        <w:t>Financials</w:t>
      </w:r>
      <w:r w:rsidR="00143B1E" w:rsidRPr="004556EC">
        <w:rPr>
          <w:rFonts w:asciiTheme="minorHAnsi" w:eastAsia="Calibri" w:hAnsiTheme="minorHAnsi" w:cstheme="minorHAnsi"/>
          <w:lang w:val="en-US"/>
        </w:rPr>
        <w:t xml:space="preserve">, </w:t>
      </w:r>
      <w:r w:rsidR="001974B9">
        <w:rPr>
          <w:rFonts w:asciiTheme="minorHAnsi" w:eastAsia="Calibri" w:hAnsiTheme="minorHAnsi" w:cstheme="minorHAnsi"/>
          <w:lang w:val="en-US"/>
        </w:rPr>
        <w:t>Real Estate, Telecoms</w:t>
      </w:r>
      <w:r w:rsidR="00143B1E" w:rsidRPr="004556EC">
        <w:rPr>
          <w:rFonts w:asciiTheme="minorHAnsi" w:eastAsia="Calibri" w:hAnsiTheme="minorHAnsi" w:cstheme="minorHAnsi"/>
          <w:lang w:val="en-US"/>
        </w:rPr>
        <w:t xml:space="preserve"> and </w:t>
      </w:r>
      <w:r w:rsidR="001974B9">
        <w:rPr>
          <w:rFonts w:asciiTheme="minorHAnsi" w:eastAsia="Calibri" w:hAnsiTheme="minorHAnsi" w:cstheme="minorHAnsi"/>
          <w:lang w:val="en-US"/>
        </w:rPr>
        <w:t>Utilities</w:t>
      </w:r>
      <w:r w:rsidR="00143B1E" w:rsidRPr="004556EC">
        <w:rPr>
          <w:rFonts w:asciiTheme="minorHAnsi" w:eastAsia="Calibri" w:hAnsiTheme="minorHAnsi" w:cstheme="minorHAnsi"/>
          <w:lang w:val="en-US"/>
        </w:rPr>
        <w:t xml:space="preserve"> sectors. </w:t>
      </w:r>
      <w:r w:rsidR="00265889">
        <w:rPr>
          <w:rFonts w:asciiTheme="minorHAnsi" w:eastAsia="Calibri" w:hAnsiTheme="minorHAnsi" w:cstheme="minorHAnsi"/>
          <w:lang w:val="en-US"/>
        </w:rPr>
        <w:t xml:space="preserve">Further analysis revealed the </w:t>
      </w:r>
      <w:r w:rsidR="001974B9">
        <w:rPr>
          <w:rFonts w:asciiTheme="minorHAnsi" w:eastAsia="Calibri" w:hAnsiTheme="minorHAnsi" w:cstheme="minorHAnsi"/>
          <w:lang w:val="en-US"/>
        </w:rPr>
        <w:t>absence</w:t>
      </w:r>
      <w:r w:rsidR="00143B1E" w:rsidRPr="004556EC">
        <w:rPr>
          <w:rFonts w:asciiTheme="minorHAnsi" w:eastAsia="Calibri" w:hAnsiTheme="minorHAnsi" w:cstheme="minorHAnsi"/>
          <w:lang w:val="en-US"/>
        </w:rPr>
        <w:t xml:space="preserve"> of herding asymmetry with respect to up and down-market conditions</w:t>
      </w:r>
      <w:r w:rsidR="001974B9">
        <w:rPr>
          <w:rFonts w:asciiTheme="minorHAnsi" w:eastAsia="Calibri" w:hAnsiTheme="minorHAnsi" w:cstheme="minorHAnsi"/>
          <w:lang w:val="en-US"/>
        </w:rPr>
        <w:t xml:space="preserve">, however, </w:t>
      </w:r>
      <w:r w:rsidR="00814AC4">
        <w:rPr>
          <w:rFonts w:asciiTheme="minorHAnsi" w:eastAsia="Calibri" w:hAnsiTheme="minorHAnsi" w:cstheme="minorHAnsi"/>
          <w:lang w:val="en-US"/>
        </w:rPr>
        <w:t xml:space="preserve">some </w:t>
      </w:r>
      <w:r w:rsidR="001974B9">
        <w:rPr>
          <w:rFonts w:asciiTheme="minorHAnsi" w:eastAsia="Calibri" w:hAnsiTheme="minorHAnsi" w:cstheme="minorHAnsi"/>
          <w:lang w:val="en-US"/>
        </w:rPr>
        <w:t xml:space="preserve">evidence of herding emerges at the sector level in both market conditions. </w:t>
      </w:r>
      <w:r w:rsidR="003A2F62">
        <w:rPr>
          <w:rFonts w:asciiTheme="minorHAnsi" w:eastAsia="Calibri" w:hAnsiTheme="minorHAnsi" w:cstheme="minorHAnsi"/>
          <w:lang w:val="en-US"/>
        </w:rPr>
        <w:t>Our</w:t>
      </w:r>
      <w:r w:rsidR="00265889">
        <w:rPr>
          <w:rFonts w:asciiTheme="minorHAnsi" w:eastAsia="Calibri" w:hAnsiTheme="minorHAnsi" w:cstheme="minorHAnsi"/>
          <w:lang w:val="en-US"/>
        </w:rPr>
        <w:t xml:space="preserve"> results </w:t>
      </w:r>
      <w:r w:rsidR="003A2F62">
        <w:rPr>
          <w:rFonts w:asciiTheme="minorHAnsi" w:eastAsia="Calibri" w:hAnsiTheme="minorHAnsi" w:cstheme="minorHAnsi"/>
          <w:lang w:val="en-US"/>
        </w:rPr>
        <w:t xml:space="preserve">also display </w:t>
      </w:r>
      <w:r w:rsidR="00143B1E" w:rsidRPr="004556EC">
        <w:rPr>
          <w:rFonts w:asciiTheme="minorHAnsi" w:eastAsia="Calibri" w:hAnsiTheme="minorHAnsi" w:cstheme="minorHAnsi"/>
          <w:lang w:val="en-US"/>
        </w:rPr>
        <w:t xml:space="preserve">that </w:t>
      </w:r>
      <w:r w:rsidR="002675E4">
        <w:rPr>
          <w:rFonts w:asciiTheme="minorHAnsi" w:eastAsia="Calibri" w:hAnsiTheme="minorHAnsi" w:cstheme="minorHAnsi"/>
          <w:lang w:val="en-US"/>
        </w:rPr>
        <w:t xml:space="preserve">there is limited evidence of </w:t>
      </w:r>
      <w:r w:rsidR="003A2F62">
        <w:rPr>
          <w:rFonts w:asciiTheme="minorHAnsi" w:eastAsia="Calibri" w:hAnsiTheme="minorHAnsi" w:cstheme="minorHAnsi"/>
          <w:lang w:val="en-US"/>
        </w:rPr>
        <w:t xml:space="preserve">industry </w:t>
      </w:r>
      <w:r w:rsidR="00143B1E" w:rsidRPr="004556EC">
        <w:rPr>
          <w:rFonts w:asciiTheme="minorHAnsi" w:eastAsia="Calibri" w:hAnsiTheme="minorHAnsi" w:cstheme="minorHAnsi"/>
          <w:lang w:val="en-US"/>
        </w:rPr>
        <w:t xml:space="preserve">herding </w:t>
      </w:r>
      <w:r w:rsidR="002675E4">
        <w:rPr>
          <w:rFonts w:asciiTheme="minorHAnsi" w:eastAsia="Calibri" w:hAnsiTheme="minorHAnsi" w:cstheme="minorHAnsi"/>
          <w:lang w:val="en-US"/>
        </w:rPr>
        <w:t>for</w:t>
      </w:r>
      <w:r w:rsidR="00143B1E" w:rsidRPr="004556EC">
        <w:rPr>
          <w:rFonts w:asciiTheme="minorHAnsi" w:eastAsia="Calibri" w:hAnsiTheme="minorHAnsi" w:cstheme="minorHAnsi"/>
          <w:lang w:val="en-US"/>
        </w:rPr>
        <w:t xml:space="preserve"> trading </w:t>
      </w:r>
      <w:r w:rsidR="002675E4">
        <w:rPr>
          <w:rFonts w:asciiTheme="minorHAnsi" w:eastAsia="Calibri" w:hAnsiTheme="minorHAnsi" w:cstheme="minorHAnsi"/>
          <w:lang w:val="en-US"/>
        </w:rPr>
        <w:t xml:space="preserve">volume </w:t>
      </w:r>
      <w:r w:rsidR="00143B1E" w:rsidRPr="004556EC">
        <w:rPr>
          <w:rFonts w:asciiTheme="minorHAnsi" w:eastAsia="Calibri" w:hAnsiTheme="minorHAnsi" w:cstheme="minorHAnsi"/>
          <w:lang w:val="en-US"/>
        </w:rPr>
        <w:t>and volatility</w:t>
      </w:r>
      <w:r w:rsidR="00814AC4">
        <w:rPr>
          <w:rFonts w:asciiTheme="minorHAnsi" w:eastAsia="Calibri" w:hAnsiTheme="minorHAnsi" w:cstheme="minorHAnsi"/>
          <w:lang w:val="en-US"/>
        </w:rPr>
        <w:t>. Notably, the results reveal significant anti-herding</w:t>
      </w:r>
      <w:r w:rsidR="00CB2D51">
        <w:rPr>
          <w:rFonts w:asciiTheme="minorHAnsi" w:eastAsia="Calibri" w:hAnsiTheme="minorHAnsi" w:cstheme="minorHAnsi"/>
          <w:lang w:val="en-US"/>
        </w:rPr>
        <w:t xml:space="preserve"> across at both the market and </w:t>
      </w:r>
      <w:r w:rsidR="00352408">
        <w:rPr>
          <w:rFonts w:asciiTheme="minorHAnsi" w:eastAsia="Calibri" w:hAnsiTheme="minorHAnsi" w:cstheme="minorHAnsi"/>
          <w:lang w:val="en-US"/>
        </w:rPr>
        <w:t xml:space="preserve">industry </w:t>
      </w:r>
      <w:r w:rsidR="00CB2D51">
        <w:rPr>
          <w:rFonts w:asciiTheme="minorHAnsi" w:eastAsia="Calibri" w:hAnsiTheme="minorHAnsi" w:cstheme="minorHAnsi"/>
          <w:lang w:val="en-US"/>
        </w:rPr>
        <w:t xml:space="preserve">levels </w:t>
      </w:r>
      <w:r w:rsidR="00CB2D51">
        <w:rPr>
          <w:rFonts w:asciiTheme="minorHAnsi" w:hAnsiTheme="minorHAnsi" w:cstheme="minorHAnsi"/>
        </w:rPr>
        <w:t xml:space="preserve">contingent </w:t>
      </w:r>
      <w:r w:rsidR="00CB2D51" w:rsidRPr="004556EC">
        <w:rPr>
          <w:rFonts w:asciiTheme="minorHAnsi" w:hAnsiTheme="minorHAnsi" w:cstheme="minorHAnsi"/>
        </w:rPr>
        <w:t>upon market returns, trading volume and volatility</w:t>
      </w:r>
      <w:r w:rsidR="00CB2D51">
        <w:rPr>
          <w:rFonts w:asciiTheme="minorHAnsi" w:eastAsia="Calibri" w:hAnsiTheme="minorHAnsi" w:cstheme="minorHAnsi"/>
          <w:lang w:val="en-US"/>
        </w:rPr>
        <w:t xml:space="preserve">. </w:t>
      </w:r>
      <w:r w:rsidR="00814AC4">
        <w:rPr>
          <w:rFonts w:asciiTheme="minorHAnsi" w:eastAsia="Calibri" w:hAnsiTheme="minorHAnsi" w:cstheme="minorHAnsi"/>
          <w:lang w:val="en-US"/>
        </w:rPr>
        <w:t xml:space="preserve"> </w:t>
      </w:r>
      <w:r w:rsidR="006B7BDB">
        <w:rPr>
          <w:rFonts w:asciiTheme="minorHAnsi" w:eastAsia="Calibri" w:hAnsiTheme="minorHAnsi" w:cstheme="minorHAnsi"/>
          <w:lang w:val="en-US"/>
        </w:rPr>
        <w:t xml:space="preserve"> These findings are useful for practitioners and policy makers enhancing their understanding of the herding behavio</w:t>
      </w:r>
      <w:r w:rsidR="00211B15">
        <w:rPr>
          <w:rFonts w:asciiTheme="minorHAnsi" w:eastAsia="Calibri" w:hAnsiTheme="minorHAnsi" w:cstheme="minorHAnsi"/>
          <w:lang w:val="en-US"/>
        </w:rPr>
        <w:t>u</w:t>
      </w:r>
      <w:r w:rsidR="006B7BDB">
        <w:rPr>
          <w:rFonts w:asciiTheme="minorHAnsi" w:eastAsia="Calibri" w:hAnsiTheme="minorHAnsi" w:cstheme="minorHAnsi"/>
          <w:lang w:val="en-US"/>
        </w:rPr>
        <w:t xml:space="preserve">r at industry level. </w:t>
      </w:r>
    </w:p>
    <w:p w14:paraId="0FAFAC8B" w14:textId="231D63BD" w:rsidR="00265889" w:rsidRDefault="00265889" w:rsidP="00265889">
      <w:pPr>
        <w:spacing w:before="240" w:line="360" w:lineRule="auto"/>
        <w:jc w:val="both"/>
        <w:rPr>
          <w:rFonts w:asciiTheme="minorHAnsi" w:eastAsia="Calibri" w:hAnsiTheme="minorHAnsi" w:cstheme="minorHAnsi"/>
          <w:lang w:val="en-US"/>
        </w:rPr>
      </w:pPr>
    </w:p>
    <w:p w14:paraId="39880C1F" w14:textId="3345DF86" w:rsidR="0011693D" w:rsidRDefault="0011693D" w:rsidP="00265889">
      <w:pPr>
        <w:spacing w:before="240" w:line="360" w:lineRule="auto"/>
        <w:jc w:val="both"/>
        <w:rPr>
          <w:rFonts w:asciiTheme="minorHAnsi" w:eastAsia="Calibri" w:hAnsiTheme="minorHAnsi" w:cstheme="minorHAnsi"/>
          <w:lang w:val="en-US"/>
        </w:rPr>
      </w:pPr>
    </w:p>
    <w:p w14:paraId="1A9CDE7D" w14:textId="0F102DD7" w:rsidR="0011693D" w:rsidRDefault="0011693D" w:rsidP="00265889">
      <w:pPr>
        <w:spacing w:before="240" w:line="360" w:lineRule="auto"/>
        <w:jc w:val="both"/>
        <w:rPr>
          <w:rFonts w:asciiTheme="minorHAnsi" w:eastAsia="Calibri" w:hAnsiTheme="minorHAnsi" w:cstheme="minorHAnsi"/>
          <w:lang w:val="en-US"/>
        </w:rPr>
      </w:pPr>
    </w:p>
    <w:p w14:paraId="7ABB4F11" w14:textId="7ED547B1" w:rsidR="0011693D" w:rsidRDefault="0011693D" w:rsidP="00265889">
      <w:pPr>
        <w:spacing w:before="240" w:line="360" w:lineRule="auto"/>
        <w:jc w:val="both"/>
        <w:rPr>
          <w:rFonts w:asciiTheme="minorHAnsi" w:eastAsia="Calibri" w:hAnsiTheme="minorHAnsi" w:cstheme="minorHAnsi"/>
          <w:lang w:val="en-US"/>
        </w:rPr>
      </w:pPr>
    </w:p>
    <w:p w14:paraId="572C4FB4" w14:textId="59FA96B6" w:rsidR="0011693D" w:rsidRDefault="0011693D" w:rsidP="00265889">
      <w:pPr>
        <w:spacing w:before="240" w:line="360" w:lineRule="auto"/>
        <w:jc w:val="both"/>
        <w:rPr>
          <w:rFonts w:asciiTheme="minorHAnsi" w:eastAsia="Calibri" w:hAnsiTheme="minorHAnsi" w:cstheme="minorHAnsi"/>
          <w:lang w:val="en-US"/>
        </w:rPr>
      </w:pPr>
    </w:p>
    <w:p w14:paraId="7D74BAA6" w14:textId="02298026" w:rsidR="0011693D" w:rsidRDefault="0011693D" w:rsidP="00265889">
      <w:pPr>
        <w:spacing w:before="240" w:line="360" w:lineRule="auto"/>
        <w:jc w:val="both"/>
        <w:rPr>
          <w:rFonts w:asciiTheme="minorHAnsi" w:eastAsia="Calibri" w:hAnsiTheme="minorHAnsi" w:cstheme="minorHAnsi"/>
          <w:lang w:val="en-US"/>
        </w:rPr>
      </w:pPr>
    </w:p>
    <w:p w14:paraId="0D25DF70" w14:textId="00F996EC" w:rsidR="0011693D" w:rsidRDefault="0011693D" w:rsidP="00265889">
      <w:pPr>
        <w:spacing w:before="240" w:line="360" w:lineRule="auto"/>
        <w:jc w:val="both"/>
        <w:rPr>
          <w:rFonts w:asciiTheme="minorHAnsi" w:eastAsia="Calibri" w:hAnsiTheme="minorHAnsi" w:cstheme="minorHAnsi"/>
          <w:lang w:val="en-US"/>
        </w:rPr>
      </w:pPr>
    </w:p>
    <w:p w14:paraId="021F8DEE" w14:textId="0F94A282" w:rsidR="0011693D" w:rsidRDefault="0011693D" w:rsidP="00265889">
      <w:pPr>
        <w:spacing w:before="240" w:line="360" w:lineRule="auto"/>
        <w:jc w:val="both"/>
        <w:rPr>
          <w:rFonts w:asciiTheme="minorHAnsi" w:eastAsia="Calibri" w:hAnsiTheme="minorHAnsi" w:cstheme="minorHAnsi"/>
          <w:lang w:val="en-US"/>
        </w:rPr>
      </w:pPr>
    </w:p>
    <w:p w14:paraId="542B1265" w14:textId="136D7F57" w:rsidR="0011693D" w:rsidRDefault="0011693D" w:rsidP="00265889">
      <w:pPr>
        <w:spacing w:before="240" w:line="360" w:lineRule="auto"/>
        <w:jc w:val="both"/>
        <w:rPr>
          <w:rFonts w:asciiTheme="minorHAnsi" w:eastAsia="Calibri" w:hAnsiTheme="minorHAnsi" w:cstheme="minorHAnsi"/>
          <w:lang w:val="en-US"/>
        </w:rPr>
      </w:pPr>
    </w:p>
    <w:p w14:paraId="6ABAED7E" w14:textId="2035E027" w:rsidR="0011693D" w:rsidRDefault="0011693D" w:rsidP="00265889">
      <w:pPr>
        <w:spacing w:before="240" w:line="360" w:lineRule="auto"/>
        <w:jc w:val="both"/>
        <w:rPr>
          <w:rFonts w:asciiTheme="minorHAnsi" w:eastAsia="Calibri" w:hAnsiTheme="minorHAnsi" w:cstheme="minorHAnsi"/>
          <w:lang w:val="en-US"/>
        </w:rPr>
      </w:pPr>
    </w:p>
    <w:p w14:paraId="35E51772" w14:textId="30C13008" w:rsidR="0011693D" w:rsidRDefault="0011693D" w:rsidP="00265889">
      <w:pPr>
        <w:spacing w:before="240" w:line="360" w:lineRule="auto"/>
        <w:jc w:val="both"/>
        <w:rPr>
          <w:rFonts w:asciiTheme="minorHAnsi" w:eastAsia="Calibri" w:hAnsiTheme="minorHAnsi" w:cstheme="minorHAnsi"/>
          <w:lang w:val="en-US"/>
        </w:rPr>
      </w:pPr>
    </w:p>
    <w:p w14:paraId="21BBA533" w14:textId="1032525E" w:rsidR="00E66188" w:rsidRDefault="00161344" w:rsidP="004558C6">
      <w:pPr>
        <w:pStyle w:val="References"/>
        <w:ind w:left="0" w:firstLine="0"/>
        <w:rPr>
          <w:rFonts w:asciiTheme="minorHAnsi" w:hAnsiTheme="minorHAnsi" w:cstheme="minorHAnsi"/>
          <w:b/>
        </w:rPr>
      </w:pPr>
      <w:r w:rsidRPr="004556EC">
        <w:rPr>
          <w:rFonts w:asciiTheme="minorHAnsi" w:hAnsiTheme="minorHAnsi" w:cstheme="minorHAnsi"/>
          <w:b/>
        </w:rPr>
        <w:lastRenderedPageBreak/>
        <w:t>References</w:t>
      </w:r>
    </w:p>
    <w:p w14:paraId="6C8624E0" w14:textId="6AA1AA0A" w:rsidR="00B2771D" w:rsidRDefault="00B2771D" w:rsidP="004558C6">
      <w:pPr>
        <w:pStyle w:val="References"/>
        <w:ind w:left="0" w:firstLine="0"/>
        <w:rPr>
          <w:rFonts w:asciiTheme="minorHAnsi" w:hAnsiTheme="minorHAnsi" w:cstheme="minorHAnsi"/>
          <w:bCs/>
        </w:rPr>
      </w:pPr>
      <w:proofErr w:type="spellStart"/>
      <w:r w:rsidRPr="00BD4FEC">
        <w:rPr>
          <w:rFonts w:asciiTheme="minorHAnsi" w:hAnsiTheme="minorHAnsi" w:cstheme="minorHAnsi"/>
          <w:bCs/>
        </w:rPr>
        <w:t>Babalos</w:t>
      </w:r>
      <w:proofErr w:type="spellEnd"/>
      <w:r w:rsidRPr="00BD4FEC">
        <w:rPr>
          <w:rFonts w:asciiTheme="minorHAnsi" w:hAnsiTheme="minorHAnsi" w:cstheme="minorHAnsi"/>
          <w:bCs/>
        </w:rPr>
        <w:t xml:space="preserve"> </w:t>
      </w:r>
      <w:r w:rsidR="00BD4FEC" w:rsidRPr="00BD4FEC">
        <w:rPr>
          <w:rFonts w:asciiTheme="minorHAnsi" w:hAnsiTheme="minorHAnsi" w:cstheme="minorHAnsi"/>
          <w:bCs/>
        </w:rPr>
        <w:t>V</w:t>
      </w:r>
      <w:r w:rsidR="00BD4FEC">
        <w:rPr>
          <w:rFonts w:asciiTheme="minorHAnsi" w:hAnsiTheme="minorHAnsi" w:cstheme="minorHAnsi"/>
          <w:bCs/>
        </w:rPr>
        <w:t>.</w:t>
      </w:r>
      <w:r w:rsidR="0002241A">
        <w:rPr>
          <w:rFonts w:asciiTheme="minorHAnsi" w:hAnsiTheme="minorHAnsi" w:cstheme="minorHAnsi"/>
          <w:bCs/>
        </w:rPr>
        <w:t>,</w:t>
      </w:r>
      <w:r w:rsidR="00BD4FEC" w:rsidRPr="00BD4FEC">
        <w:rPr>
          <w:rFonts w:asciiTheme="minorHAnsi" w:hAnsiTheme="minorHAnsi" w:cstheme="minorHAnsi"/>
          <w:bCs/>
        </w:rPr>
        <w:t xml:space="preserve"> </w:t>
      </w:r>
      <w:r w:rsidR="00BD4FEC">
        <w:rPr>
          <w:rFonts w:asciiTheme="minorHAnsi" w:hAnsiTheme="minorHAnsi" w:cstheme="minorHAnsi"/>
          <w:bCs/>
        </w:rPr>
        <w:t>and</w:t>
      </w:r>
      <w:r w:rsidRPr="00BD4FEC">
        <w:rPr>
          <w:rFonts w:asciiTheme="minorHAnsi" w:hAnsiTheme="minorHAnsi" w:cstheme="minorHAnsi"/>
          <w:bCs/>
        </w:rPr>
        <w:t xml:space="preserve"> </w:t>
      </w:r>
      <w:proofErr w:type="spellStart"/>
      <w:r w:rsidRPr="00BD4FEC">
        <w:rPr>
          <w:rFonts w:asciiTheme="minorHAnsi" w:hAnsiTheme="minorHAnsi" w:cstheme="minorHAnsi"/>
          <w:bCs/>
        </w:rPr>
        <w:t>Stavroyiannis</w:t>
      </w:r>
      <w:proofErr w:type="spellEnd"/>
      <w:r w:rsidRPr="00BD4FEC">
        <w:rPr>
          <w:rFonts w:asciiTheme="minorHAnsi" w:hAnsiTheme="minorHAnsi" w:cstheme="minorHAnsi"/>
          <w:bCs/>
        </w:rPr>
        <w:t xml:space="preserve"> </w:t>
      </w:r>
      <w:r w:rsidR="00BD4FEC" w:rsidRPr="00BD4FEC">
        <w:rPr>
          <w:rFonts w:asciiTheme="minorHAnsi" w:hAnsiTheme="minorHAnsi" w:cstheme="minorHAnsi"/>
          <w:bCs/>
        </w:rPr>
        <w:t>S</w:t>
      </w:r>
      <w:r w:rsidR="00BD4FEC">
        <w:rPr>
          <w:rFonts w:asciiTheme="minorHAnsi" w:hAnsiTheme="minorHAnsi" w:cstheme="minorHAnsi"/>
          <w:bCs/>
        </w:rPr>
        <w:t>.</w:t>
      </w:r>
      <w:r w:rsidR="0002241A">
        <w:rPr>
          <w:rFonts w:asciiTheme="minorHAnsi" w:hAnsiTheme="minorHAnsi" w:cstheme="minorHAnsi"/>
          <w:bCs/>
        </w:rPr>
        <w:t>,</w:t>
      </w:r>
      <w:r w:rsidR="00BD4FEC" w:rsidRPr="00BD4FEC">
        <w:rPr>
          <w:rFonts w:asciiTheme="minorHAnsi" w:hAnsiTheme="minorHAnsi" w:cstheme="minorHAnsi"/>
          <w:bCs/>
        </w:rPr>
        <w:t xml:space="preserve"> </w:t>
      </w:r>
      <w:r w:rsidRPr="00BD4FEC">
        <w:rPr>
          <w:rFonts w:asciiTheme="minorHAnsi" w:hAnsiTheme="minorHAnsi" w:cstheme="minorHAnsi"/>
          <w:bCs/>
        </w:rPr>
        <w:t>2015</w:t>
      </w:r>
      <w:r w:rsidR="00BD4FEC">
        <w:rPr>
          <w:rFonts w:asciiTheme="minorHAnsi" w:hAnsiTheme="minorHAnsi" w:cstheme="minorHAnsi"/>
          <w:bCs/>
        </w:rPr>
        <w:t>.</w:t>
      </w:r>
      <w:r w:rsidRPr="00BD4FEC">
        <w:rPr>
          <w:rFonts w:asciiTheme="minorHAnsi" w:hAnsiTheme="minorHAnsi" w:cstheme="minorHAnsi"/>
          <w:bCs/>
        </w:rPr>
        <w:t xml:space="preserve"> Herding, anti-herding behaviour in metal commodities futures: a novel portfolio-based approach, </w:t>
      </w:r>
      <w:r w:rsidRPr="00BD4FEC">
        <w:rPr>
          <w:rFonts w:asciiTheme="minorHAnsi" w:hAnsiTheme="minorHAnsi" w:cstheme="minorHAnsi"/>
          <w:bCs/>
          <w:i/>
          <w:iCs/>
        </w:rPr>
        <w:t>Applied Economics</w:t>
      </w:r>
      <w:r w:rsidRPr="00BD4FEC">
        <w:rPr>
          <w:rFonts w:asciiTheme="minorHAnsi" w:hAnsiTheme="minorHAnsi" w:cstheme="minorHAnsi"/>
          <w:bCs/>
        </w:rPr>
        <w:t>, 4</w:t>
      </w:r>
      <w:r w:rsidR="00BD4FEC">
        <w:rPr>
          <w:rFonts w:asciiTheme="minorHAnsi" w:hAnsiTheme="minorHAnsi" w:cstheme="minorHAnsi"/>
          <w:bCs/>
        </w:rPr>
        <w:t>(</w:t>
      </w:r>
      <w:r w:rsidRPr="00BD4FEC">
        <w:rPr>
          <w:rFonts w:asciiTheme="minorHAnsi" w:hAnsiTheme="minorHAnsi" w:cstheme="minorHAnsi"/>
          <w:bCs/>
        </w:rPr>
        <w:t>46</w:t>
      </w:r>
      <w:r w:rsidR="00BD4FEC">
        <w:rPr>
          <w:rFonts w:asciiTheme="minorHAnsi" w:hAnsiTheme="minorHAnsi" w:cstheme="minorHAnsi"/>
          <w:bCs/>
        </w:rPr>
        <w:t>)</w:t>
      </w:r>
      <w:r w:rsidRPr="00BD4FEC">
        <w:rPr>
          <w:rFonts w:asciiTheme="minorHAnsi" w:hAnsiTheme="minorHAnsi" w:cstheme="minorHAnsi"/>
          <w:bCs/>
        </w:rPr>
        <w:t xml:space="preserve">, </w:t>
      </w:r>
      <w:r w:rsidR="00BD4FEC">
        <w:rPr>
          <w:rFonts w:asciiTheme="minorHAnsi" w:hAnsiTheme="minorHAnsi" w:cstheme="minorHAnsi"/>
          <w:bCs/>
        </w:rPr>
        <w:t xml:space="preserve">pp. </w:t>
      </w:r>
      <w:r w:rsidRPr="00BD4FEC">
        <w:rPr>
          <w:rFonts w:asciiTheme="minorHAnsi" w:hAnsiTheme="minorHAnsi" w:cstheme="minorHAnsi"/>
          <w:bCs/>
        </w:rPr>
        <w:t>4952-4966</w:t>
      </w:r>
      <w:r w:rsidR="00BD4FEC">
        <w:rPr>
          <w:rFonts w:asciiTheme="minorHAnsi" w:hAnsiTheme="minorHAnsi" w:cstheme="minorHAnsi"/>
          <w:bCs/>
        </w:rPr>
        <w:t xml:space="preserve">. </w:t>
      </w:r>
    </w:p>
    <w:p w14:paraId="306E04AB" w14:textId="7501FEA5" w:rsidR="00860D88" w:rsidRPr="00BD4FEC" w:rsidRDefault="00860D88" w:rsidP="004558C6">
      <w:pPr>
        <w:pStyle w:val="References"/>
        <w:ind w:left="0" w:firstLine="0"/>
        <w:rPr>
          <w:rFonts w:asciiTheme="minorHAnsi" w:hAnsiTheme="minorHAnsi" w:cstheme="minorHAnsi"/>
          <w:bCs/>
        </w:rPr>
      </w:pPr>
      <w:r w:rsidRPr="00860D88">
        <w:rPr>
          <w:rFonts w:asciiTheme="minorHAnsi" w:hAnsiTheme="minorHAnsi" w:cstheme="minorHAnsi"/>
          <w:bCs/>
        </w:rPr>
        <w:t xml:space="preserve">Barber, M., and </w:t>
      </w:r>
      <w:proofErr w:type="spellStart"/>
      <w:r w:rsidRPr="00860D88">
        <w:rPr>
          <w:rFonts w:asciiTheme="minorHAnsi" w:hAnsiTheme="minorHAnsi" w:cstheme="minorHAnsi"/>
          <w:bCs/>
        </w:rPr>
        <w:t>Odean</w:t>
      </w:r>
      <w:proofErr w:type="spellEnd"/>
      <w:r w:rsidRPr="00860D88">
        <w:rPr>
          <w:rFonts w:asciiTheme="minorHAnsi" w:hAnsiTheme="minorHAnsi" w:cstheme="minorHAnsi"/>
          <w:bCs/>
        </w:rPr>
        <w:t>. T</w:t>
      </w:r>
      <w:r w:rsidR="0002241A">
        <w:rPr>
          <w:rFonts w:asciiTheme="minorHAnsi" w:hAnsiTheme="minorHAnsi" w:cstheme="minorHAnsi"/>
          <w:bCs/>
        </w:rPr>
        <w:t xml:space="preserve">., 1999. </w:t>
      </w:r>
      <w:r w:rsidRPr="00860D88">
        <w:rPr>
          <w:rFonts w:asciiTheme="minorHAnsi" w:hAnsiTheme="minorHAnsi" w:cstheme="minorHAnsi"/>
          <w:bCs/>
        </w:rPr>
        <w:t xml:space="preserve">The Courage of Misguided Convictions. </w:t>
      </w:r>
      <w:r w:rsidRPr="0002241A">
        <w:rPr>
          <w:rFonts w:asciiTheme="minorHAnsi" w:hAnsiTheme="minorHAnsi" w:cstheme="minorHAnsi"/>
          <w:bCs/>
          <w:i/>
          <w:iCs/>
        </w:rPr>
        <w:t>Financial Analysts Journal</w:t>
      </w:r>
      <w:r w:rsidR="0002241A">
        <w:rPr>
          <w:rFonts w:asciiTheme="minorHAnsi" w:hAnsiTheme="minorHAnsi" w:cstheme="minorHAnsi"/>
          <w:bCs/>
          <w:i/>
          <w:iCs/>
        </w:rPr>
        <w:t>,</w:t>
      </w:r>
      <w:r w:rsidRPr="0002241A">
        <w:rPr>
          <w:rFonts w:asciiTheme="minorHAnsi" w:hAnsiTheme="minorHAnsi" w:cstheme="minorHAnsi"/>
          <w:bCs/>
          <w:i/>
          <w:iCs/>
        </w:rPr>
        <w:t xml:space="preserve"> </w:t>
      </w:r>
      <w:r w:rsidRPr="00860D88">
        <w:rPr>
          <w:rFonts w:asciiTheme="minorHAnsi" w:hAnsiTheme="minorHAnsi" w:cstheme="minorHAnsi"/>
          <w:bCs/>
        </w:rPr>
        <w:t>55</w:t>
      </w:r>
      <w:r w:rsidR="0002241A">
        <w:rPr>
          <w:rFonts w:asciiTheme="minorHAnsi" w:hAnsiTheme="minorHAnsi" w:cstheme="minorHAnsi"/>
          <w:bCs/>
        </w:rPr>
        <w:t xml:space="preserve"> (</w:t>
      </w:r>
      <w:r w:rsidRPr="00860D88">
        <w:rPr>
          <w:rFonts w:asciiTheme="minorHAnsi" w:hAnsiTheme="minorHAnsi" w:cstheme="minorHAnsi"/>
          <w:bCs/>
        </w:rPr>
        <w:t>6</w:t>
      </w:r>
      <w:r w:rsidR="0002241A">
        <w:rPr>
          <w:rFonts w:asciiTheme="minorHAnsi" w:hAnsiTheme="minorHAnsi" w:cstheme="minorHAnsi"/>
          <w:bCs/>
        </w:rPr>
        <w:t xml:space="preserve">), pp. </w:t>
      </w:r>
      <w:r w:rsidRPr="00860D88">
        <w:rPr>
          <w:rFonts w:asciiTheme="minorHAnsi" w:hAnsiTheme="minorHAnsi" w:cstheme="minorHAnsi"/>
          <w:bCs/>
        </w:rPr>
        <w:t>41–55.</w:t>
      </w:r>
    </w:p>
    <w:p w14:paraId="36BD5238" w14:textId="77777777" w:rsidR="00AB7F11" w:rsidRPr="004556EC" w:rsidRDefault="00AB7F11" w:rsidP="004558C6">
      <w:pPr>
        <w:spacing w:line="360" w:lineRule="auto"/>
        <w:jc w:val="both"/>
        <w:rPr>
          <w:rFonts w:asciiTheme="minorHAnsi" w:hAnsiTheme="minorHAnsi" w:cstheme="minorHAnsi"/>
        </w:rPr>
      </w:pPr>
      <w:r w:rsidRPr="004556EC">
        <w:rPr>
          <w:rFonts w:asciiTheme="minorHAnsi" w:hAnsiTheme="minorHAnsi" w:cstheme="minorHAnsi"/>
        </w:rPr>
        <w:t>BenMabrouk, H., and H. Litimi. 2018. “Cross Herding between American Industries and the Oil market.” </w:t>
      </w:r>
      <w:r w:rsidRPr="004556EC">
        <w:rPr>
          <w:rFonts w:asciiTheme="minorHAnsi" w:hAnsiTheme="minorHAnsi" w:cstheme="minorHAnsi"/>
          <w:i/>
          <w:iCs/>
        </w:rPr>
        <w:t>The North American Journal of Economics and Finance</w:t>
      </w:r>
      <w:r w:rsidRPr="004556EC">
        <w:rPr>
          <w:rFonts w:asciiTheme="minorHAnsi" w:hAnsiTheme="minorHAnsi" w:cstheme="minorHAnsi"/>
        </w:rPr>
        <w:t>, 45: 196–205. </w:t>
      </w:r>
    </w:p>
    <w:p w14:paraId="18080D21" w14:textId="77777777" w:rsidR="00AB7F11" w:rsidRPr="004556EC" w:rsidRDefault="00AB7F11" w:rsidP="004558C6">
      <w:pPr>
        <w:spacing w:line="360" w:lineRule="auto"/>
        <w:jc w:val="both"/>
        <w:rPr>
          <w:rFonts w:asciiTheme="minorHAnsi" w:hAnsiTheme="minorHAnsi" w:cstheme="minorHAnsi"/>
        </w:rPr>
      </w:pPr>
      <w:r w:rsidRPr="004556EC">
        <w:rPr>
          <w:rFonts w:asciiTheme="minorHAnsi" w:hAnsiTheme="minorHAnsi" w:cstheme="minorHAnsi"/>
        </w:rPr>
        <w:t>BenSaïda, A., 2017. Herding effect on idiosyncratic volatility in US industries. </w:t>
      </w:r>
      <w:r w:rsidRPr="004556EC">
        <w:rPr>
          <w:rFonts w:asciiTheme="minorHAnsi" w:hAnsiTheme="minorHAnsi" w:cstheme="minorHAnsi"/>
          <w:i/>
          <w:iCs/>
        </w:rPr>
        <w:t>Finance Research Letters</w:t>
      </w:r>
      <w:r w:rsidRPr="004556EC">
        <w:rPr>
          <w:rFonts w:asciiTheme="minorHAnsi" w:hAnsiTheme="minorHAnsi" w:cstheme="minorHAnsi"/>
        </w:rPr>
        <w:t>, </w:t>
      </w:r>
      <w:r w:rsidRPr="004556EC">
        <w:rPr>
          <w:rFonts w:asciiTheme="minorHAnsi" w:hAnsiTheme="minorHAnsi" w:cstheme="minorHAnsi"/>
          <w:i/>
          <w:iCs/>
        </w:rPr>
        <w:t>23</w:t>
      </w:r>
      <w:r w:rsidRPr="004556EC">
        <w:rPr>
          <w:rFonts w:asciiTheme="minorHAnsi" w:hAnsiTheme="minorHAnsi" w:cstheme="minorHAnsi"/>
        </w:rPr>
        <w:t>, pp.121-132.</w:t>
      </w:r>
    </w:p>
    <w:p w14:paraId="07EC7C37" w14:textId="77777777" w:rsidR="00AB7F11" w:rsidRPr="004556EC" w:rsidRDefault="00AB7F11" w:rsidP="004558C6">
      <w:pPr>
        <w:spacing w:line="360" w:lineRule="auto"/>
        <w:jc w:val="both"/>
        <w:rPr>
          <w:rFonts w:asciiTheme="minorHAnsi" w:hAnsiTheme="minorHAnsi" w:cstheme="minorHAnsi"/>
        </w:rPr>
      </w:pPr>
      <w:r w:rsidRPr="004556EC">
        <w:rPr>
          <w:rFonts w:asciiTheme="minorHAnsi" w:hAnsiTheme="minorHAnsi" w:cstheme="minorHAnsi"/>
        </w:rPr>
        <w:t>BenSaïda, A., Jlassi, M. and Litimi, H., 2015. Volume–herding interaction in the American market. </w:t>
      </w:r>
      <w:r w:rsidRPr="004556EC">
        <w:rPr>
          <w:rFonts w:asciiTheme="minorHAnsi" w:hAnsiTheme="minorHAnsi" w:cstheme="minorHAnsi"/>
          <w:i/>
          <w:iCs/>
        </w:rPr>
        <w:t>American Journal of Finance and Accounting</w:t>
      </w:r>
      <w:r w:rsidRPr="004556EC">
        <w:rPr>
          <w:rFonts w:asciiTheme="minorHAnsi" w:hAnsiTheme="minorHAnsi" w:cstheme="minorHAnsi"/>
        </w:rPr>
        <w:t>, </w:t>
      </w:r>
      <w:r w:rsidRPr="004556EC">
        <w:rPr>
          <w:rFonts w:asciiTheme="minorHAnsi" w:hAnsiTheme="minorHAnsi" w:cstheme="minorHAnsi"/>
          <w:i/>
          <w:iCs/>
        </w:rPr>
        <w:t>4</w:t>
      </w:r>
      <w:r w:rsidRPr="004556EC">
        <w:rPr>
          <w:rFonts w:asciiTheme="minorHAnsi" w:hAnsiTheme="minorHAnsi" w:cstheme="minorHAnsi"/>
        </w:rPr>
        <w:t>(1), pp.50-69.</w:t>
      </w:r>
    </w:p>
    <w:p w14:paraId="1665F990" w14:textId="553A2FBA" w:rsidR="00AB7F11" w:rsidRDefault="00AB7F11" w:rsidP="004558C6">
      <w:pPr>
        <w:spacing w:line="360" w:lineRule="auto"/>
        <w:jc w:val="both"/>
        <w:rPr>
          <w:rFonts w:asciiTheme="minorHAnsi" w:hAnsiTheme="minorHAnsi" w:cstheme="minorHAnsi"/>
        </w:rPr>
      </w:pPr>
      <w:r w:rsidRPr="004556EC">
        <w:rPr>
          <w:rFonts w:asciiTheme="minorHAnsi" w:hAnsiTheme="minorHAnsi" w:cstheme="minorHAnsi"/>
        </w:rPr>
        <w:t xml:space="preserve">Chang, E.C., Cheng, J.W. and Khorana, A., 2000. An examination of herd </w:t>
      </w:r>
      <w:r w:rsidR="00B83E18" w:rsidRPr="004556EC">
        <w:rPr>
          <w:rFonts w:asciiTheme="minorHAnsi" w:hAnsiTheme="minorHAnsi" w:cstheme="minorHAnsi"/>
        </w:rPr>
        <w:t>behaviour</w:t>
      </w:r>
      <w:r w:rsidRPr="004556EC">
        <w:rPr>
          <w:rFonts w:asciiTheme="minorHAnsi" w:hAnsiTheme="minorHAnsi" w:cstheme="minorHAnsi"/>
        </w:rPr>
        <w:t xml:space="preserve"> in equity markets: An international perspective. </w:t>
      </w:r>
      <w:r w:rsidRPr="004556EC">
        <w:rPr>
          <w:rFonts w:asciiTheme="minorHAnsi" w:hAnsiTheme="minorHAnsi" w:cstheme="minorHAnsi"/>
          <w:i/>
          <w:iCs/>
        </w:rPr>
        <w:t>Journal of Banking &amp; Finance</w:t>
      </w:r>
      <w:r w:rsidRPr="004556EC">
        <w:rPr>
          <w:rFonts w:asciiTheme="minorHAnsi" w:hAnsiTheme="minorHAnsi" w:cstheme="minorHAnsi"/>
        </w:rPr>
        <w:t>, </w:t>
      </w:r>
      <w:r w:rsidRPr="004556EC">
        <w:rPr>
          <w:rFonts w:asciiTheme="minorHAnsi" w:hAnsiTheme="minorHAnsi" w:cstheme="minorHAnsi"/>
          <w:i/>
          <w:iCs/>
        </w:rPr>
        <w:t>24</w:t>
      </w:r>
      <w:r w:rsidRPr="004556EC">
        <w:rPr>
          <w:rFonts w:asciiTheme="minorHAnsi" w:hAnsiTheme="minorHAnsi" w:cstheme="minorHAnsi"/>
        </w:rPr>
        <w:t>(10), pp.1651-1679.</w:t>
      </w:r>
    </w:p>
    <w:p w14:paraId="14296B9A" w14:textId="6A5C640E" w:rsidR="00F84A0F" w:rsidRPr="004556EC" w:rsidRDefault="00F84A0F" w:rsidP="004558C6">
      <w:pPr>
        <w:spacing w:line="360" w:lineRule="auto"/>
        <w:jc w:val="both"/>
        <w:rPr>
          <w:rFonts w:asciiTheme="minorHAnsi" w:hAnsiTheme="minorHAnsi" w:cstheme="minorHAnsi"/>
        </w:rPr>
      </w:pPr>
      <w:r w:rsidRPr="00F84A0F">
        <w:rPr>
          <w:rFonts w:asciiTheme="minorHAnsi" w:hAnsiTheme="minorHAnsi" w:cstheme="minorHAnsi"/>
        </w:rPr>
        <w:t>Chen, T., 2020. Does Country Matter to Investor Herding? Evidence from an Intraday Analysis. </w:t>
      </w:r>
      <w:r w:rsidRPr="00F84A0F">
        <w:rPr>
          <w:rFonts w:asciiTheme="minorHAnsi" w:hAnsiTheme="minorHAnsi" w:cstheme="minorHAnsi"/>
          <w:i/>
          <w:iCs/>
        </w:rPr>
        <w:t>Journal of Behavioral Finance</w:t>
      </w:r>
      <w:r w:rsidRPr="00F84A0F">
        <w:rPr>
          <w:rFonts w:asciiTheme="minorHAnsi" w:hAnsiTheme="minorHAnsi" w:cstheme="minorHAnsi"/>
        </w:rPr>
        <w:t>, pp.1-9.</w:t>
      </w:r>
    </w:p>
    <w:p w14:paraId="6123C9E6" w14:textId="77777777" w:rsidR="00AB7F11" w:rsidRPr="004556EC" w:rsidRDefault="00AB7F11" w:rsidP="004558C6">
      <w:pPr>
        <w:spacing w:line="360" w:lineRule="auto"/>
        <w:jc w:val="both"/>
        <w:rPr>
          <w:rFonts w:asciiTheme="minorHAnsi" w:hAnsiTheme="minorHAnsi" w:cstheme="minorHAnsi"/>
        </w:rPr>
      </w:pPr>
      <w:r w:rsidRPr="004556EC">
        <w:rPr>
          <w:rFonts w:asciiTheme="minorHAnsi" w:hAnsiTheme="minorHAnsi" w:cstheme="minorHAnsi"/>
        </w:rPr>
        <w:t>Chiang, T. C., and Zheng, D., 2010. An empirical analysis of herding behaviour in global stock markets</w:t>
      </w:r>
      <w:r w:rsidRPr="004556EC">
        <w:rPr>
          <w:rFonts w:asciiTheme="minorHAnsi" w:hAnsiTheme="minorHAnsi" w:cstheme="minorHAnsi"/>
          <w:i/>
        </w:rPr>
        <w:t>. Journal of Banking and Finance</w:t>
      </w:r>
      <w:r w:rsidRPr="004556EC">
        <w:rPr>
          <w:rFonts w:asciiTheme="minorHAnsi" w:hAnsiTheme="minorHAnsi" w:cstheme="minorHAnsi"/>
        </w:rPr>
        <w:t>, 34(8), 1911–1921.</w:t>
      </w:r>
    </w:p>
    <w:p w14:paraId="35056C6C" w14:textId="77777777" w:rsidR="00AB7F11" w:rsidRPr="004556EC" w:rsidRDefault="00AB7F11" w:rsidP="004558C6">
      <w:pPr>
        <w:spacing w:line="360" w:lineRule="auto"/>
        <w:jc w:val="both"/>
        <w:rPr>
          <w:rFonts w:asciiTheme="minorHAnsi" w:hAnsiTheme="minorHAnsi" w:cstheme="minorHAnsi"/>
        </w:rPr>
      </w:pPr>
      <w:r w:rsidRPr="004556EC">
        <w:rPr>
          <w:rFonts w:asciiTheme="minorHAnsi" w:hAnsiTheme="minorHAnsi" w:cstheme="minorHAnsi"/>
        </w:rPr>
        <w:t>Christie, W.G. and Huang, R.D., 1995. Following the pied piper: Do individual returns herd around the market? </w:t>
      </w:r>
      <w:r w:rsidRPr="004556EC">
        <w:rPr>
          <w:rFonts w:asciiTheme="minorHAnsi" w:hAnsiTheme="minorHAnsi" w:cstheme="minorHAnsi"/>
          <w:i/>
          <w:iCs/>
        </w:rPr>
        <w:t>Financial Analysts Journal</w:t>
      </w:r>
      <w:r w:rsidRPr="004556EC">
        <w:rPr>
          <w:rFonts w:asciiTheme="minorHAnsi" w:hAnsiTheme="minorHAnsi" w:cstheme="minorHAnsi"/>
        </w:rPr>
        <w:t>, pp.31-37.</w:t>
      </w:r>
    </w:p>
    <w:p w14:paraId="0525D589" w14:textId="4646D8AB" w:rsidR="005735BE" w:rsidRDefault="005735BE" w:rsidP="005735BE">
      <w:pPr>
        <w:spacing w:line="360" w:lineRule="auto"/>
        <w:jc w:val="both"/>
        <w:rPr>
          <w:rFonts w:asciiTheme="minorHAnsi" w:hAnsiTheme="minorHAnsi" w:cstheme="minorHAnsi"/>
        </w:rPr>
      </w:pPr>
      <w:r w:rsidRPr="005735BE">
        <w:rPr>
          <w:rFonts w:asciiTheme="minorHAnsi" w:hAnsiTheme="minorHAnsi" w:cstheme="minorHAnsi"/>
        </w:rPr>
        <w:t xml:space="preserve">Daniel, K., </w:t>
      </w:r>
      <w:proofErr w:type="spellStart"/>
      <w:r w:rsidRPr="005735BE">
        <w:rPr>
          <w:rFonts w:asciiTheme="minorHAnsi" w:hAnsiTheme="minorHAnsi" w:cstheme="minorHAnsi"/>
        </w:rPr>
        <w:t>Hirshleifer</w:t>
      </w:r>
      <w:proofErr w:type="spellEnd"/>
      <w:r w:rsidRPr="005735BE">
        <w:rPr>
          <w:rFonts w:asciiTheme="minorHAnsi" w:hAnsiTheme="minorHAnsi" w:cstheme="minorHAnsi"/>
        </w:rPr>
        <w:t>, D. and Subrahmanyam, A., 1998. Investor psychology and security market under‐and overreactions. </w:t>
      </w:r>
      <w:r w:rsidRPr="005735BE">
        <w:rPr>
          <w:rFonts w:asciiTheme="minorHAnsi" w:hAnsiTheme="minorHAnsi" w:cstheme="minorHAnsi"/>
          <w:i/>
          <w:iCs/>
        </w:rPr>
        <w:t>The Journal of Finance</w:t>
      </w:r>
      <w:r w:rsidRPr="005735BE">
        <w:rPr>
          <w:rFonts w:asciiTheme="minorHAnsi" w:hAnsiTheme="minorHAnsi" w:cstheme="minorHAnsi"/>
        </w:rPr>
        <w:t>, </w:t>
      </w:r>
      <w:r w:rsidRPr="005735BE">
        <w:rPr>
          <w:rFonts w:asciiTheme="minorHAnsi" w:hAnsiTheme="minorHAnsi" w:cstheme="minorHAnsi"/>
          <w:i/>
          <w:iCs/>
        </w:rPr>
        <w:t>53</w:t>
      </w:r>
      <w:r w:rsidRPr="005735BE">
        <w:rPr>
          <w:rFonts w:asciiTheme="minorHAnsi" w:hAnsiTheme="minorHAnsi" w:cstheme="minorHAnsi"/>
        </w:rPr>
        <w:t>(6), pp.1839-1885.</w:t>
      </w:r>
    </w:p>
    <w:p w14:paraId="0631A081" w14:textId="77777777" w:rsidR="005735BE" w:rsidRPr="005735BE" w:rsidRDefault="005735BE" w:rsidP="004558C6">
      <w:pPr>
        <w:spacing w:line="360" w:lineRule="auto"/>
        <w:jc w:val="both"/>
        <w:rPr>
          <w:rFonts w:asciiTheme="minorHAnsi" w:hAnsiTheme="minorHAnsi"/>
        </w:rPr>
      </w:pPr>
      <w:proofErr w:type="spellStart"/>
      <w:r w:rsidRPr="005735BE">
        <w:rPr>
          <w:rFonts w:asciiTheme="minorHAnsi" w:hAnsiTheme="minorHAnsi"/>
        </w:rPr>
        <w:t>Devenow</w:t>
      </w:r>
      <w:proofErr w:type="spellEnd"/>
      <w:r w:rsidRPr="005735BE">
        <w:rPr>
          <w:rFonts w:asciiTheme="minorHAnsi" w:hAnsiTheme="minorHAnsi"/>
        </w:rPr>
        <w:t xml:space="preserve">, A. and Welch, I., 1996. Rational herding in financial economics. </w:t>
      </w:r>
      <w:r w:rsidRPr="005735BE">
        <w:rPr>
          <w:rFonts w:asciiTheme="minorHAnsi" w:hAnsiTheme="minorHAnsi"/>
          <w:i/>
          <w:iCs/>
        </w:rPr>
        <w:t>European Economic Review</w:t>
      </w:r>
      <w:r w:rsidRPr="005735BE">
        <w:rPr>
          <w:rFonts w:asciiTheme="minorHAnsi" w:hAnsiTheme="minorHAnsi"/>
        </w:rPr>
        <w:t>, 40(3-5), pp.603-615.</w:t>
      </w:r>
    </w:p>
    <w:p w14:paraId="2C1D4C58" w14:textId="2577F653" w:rsidR="00AB7F11" w:rsidRPr="004556EC" w:rsidRDefault="00AB7F11" w:rsidP="004558C6">
      <w:pPr>
        <w:spacing w:line="360" w:lineRule="auto"/>
        <w:jc w:val="both"/>
        <w:rPr>
          <w:rFonts w:asciiTheme="minorHAnsi" w:hAnsiTheme="minorHAnsi" w:cstheme="minorHAnsi"/>
        </w:rPr>
      </w:pPr>
      <w:proofErr w:type="spellStart"/>
      <w:r w:rsidRPr="004556EC">
        <w:rPr>
          <w:rFonts w:asciiTheme="minorHAnsi" w:hAnsiTheme="minorHAnsi" w:cstheme="minorHAnsi"/>
        </w:rPr>
        <w:t>Galariotis</w:t>
      </w:r>
      <w:proofErr w:type="spellEnd"/>
      <w:r w:rsidRPr="004556EC">
        <w:rPr>
          <w:rFonts w:asciiTheme="minorHAnsi" w:hAnsiTheme="minorHAnsi" w:cstheme="minorHAnsi"/>
        </w:rPr>
        <w:t xml:space="preserve">, E.C., </w:t>
      </w:r>
      <w:proofErr w:type="spellStart"/>
      <w:r w:rsidRPr="004556EC">
        <w:rPr>
          <w:rFonts w:asciiTheme="minorHAnsi" w:hAnsiTheme="minorHAnsi" w:cstheme="minorHAnsi"/>
        </w:rPr>
        <w:t>Krokida</w:t>
      </w:r>
      <w:proofErr w:type="spellEnd"/>
      <w:r w:rsidRPr="004556EC">
        <w:rPr>
          <w:rFonts w:asciiTheme="minorHAnsi" w:hAnsiTheme="minorHAnsi" w:cstheme="minorHAnsi"/>
        </w:rPr>
        <w:t xml:space="preserve">, S.I. and Spyrou, S.I., 2016. Herd </w:t>
      </w:r>
      <w:r w:rsidR="00B83E18" w:rsidRPr="004556EC">
        <w:rPr>
          <w:rFonts w:asciiTheme="minorHAnsi" w:hAnsiTheme="minorHAnsi" w:cstheme="minorHAnsi"/>
        </w:rPr>
        <w:t>behaviour</w:t>
      </w:r>
      <w:r w:rsidRPr="004556EC">
        <w:rPr>
          <w:rFonts w:asciiTheme="minorHAnsi" w:hAnsiTheme="minorHAnsi" w:cstheme="minorHAnsi"/>
        </w:rPr>
        <w:t xml:space="preserve"> and equity market liquidity: Evidence from major markets. </w:t>
      </w:r>
      <w:r w:rsidRPr="004556EC">
        <w:rPr>
          <w:rFonts w:asciiTheme="minorHAnsi" w:hAnsiTheme="minorHAnsi" w:cstheme="minorHAnsi"/>
          <w:i/>
          <w:iCs/>
        </w:rPr>
        <w:t>International Review of Financial Analysis</w:t>
      </w:r>
      <w:r w:rsidRPr="004556EC">
        <w:rPr>
          <w:rFonts w:asciiTheme="minorHAnsi" w:hAnsiTheme="minorHAnsi" w:cstheme="minorHAnsi"/>
        </w:rPr>
        <w:t>, </w:t>
      </w:r>
      <w:r w:rsidRPr="004556EC">
        <w:rPr>
          <w:rFonts w:asciiTheme="minorHAnsi" w:hAnsiTheme="minorHAnsi" w:cstheme="minorHAnsi"/>
          <w:i/>
          <w:iCs/>
        </w:rPr>
        <w:t>48</w:t>
      </w:r>
      <w:r w:rsidRPr="004556EC">
        <w:rPr>
          <w:rFonts w:asciiTheme="minorHAnsi" w:hAnsiTheme="minorHAnsi" w:cstheme="minorHAnsi"/>
        </w:rPr>
        <w:t>, pp.140-149.</w:t>
      </w:r>
    </w:p>
    <w:p w14:paraId="7B068F07" w14:textId="72981884" w:rsidR="00AB7F11" w:rsidRDefault="00AB7F11" w:rsidP="004558C6">
      <w:pPr>
        <w:spacing w:line="360" w:lineRule="auto"/>
        <w:jc w:val="both"/>
        <w:rPr>
          <w:rFonts w:asciiTheme="minorHAnsi" w:hAnsiTheme="minorHAnsi" w:cstheme="minorHAnsi"/>
        </w:rPr>
      </w:pPr>
      <w:proofErr w:type="spellStart"/>
      <w:r w:rsidRPr="004556EC">
        <w:rPr>
          <w:rFonts w:asciiTheme="minorHAnsi" w:hAnsiTheme="minorHAnsi" w:cstheme="minorHAnsi"/>
        </w:rPr>
        <w:t>G</w:t>
      </w:r>
      <w:r w:rsidR="00CE0BED">
        <w:rPr>
          <w:rFonts w:asciiTheme="minorHAnsi" w:hAnsiTheme="minorHAnsi" w:cstheme="minorHAnsi"/>
        </w:rPr>
        <w:t>e</w:t>
      </w:r>
      <w:r w:rsidRPr="004556EC">
        <w:rPr>
          <w:rFonts w:asciiTheme="minorHAnsi" w:hAnsiTheme="minorHAnsi" w:cstheme="minorHAnsi"/>
        </w:rPr>
        <w:t>bka</w:t>
      </w:r>
      <w:proofErr w:type="spellEnd"/>
      <w:r w:rsidRPr="004556EC">
        <w:rPr>
          <w:rFonts w:asciiTheme="minorHAnsi" w:hAnsiTheme="minorHAnsi" w:cstheme="minorHAnsi"/>
        </w:rPr>
        <w:t>, B. and Wohar, M.E., 2013. International herding: Does it differ across sectors? </w:t>
      </w:r>
      <w:r w:rsidRPr="004556EC">
        <w:rPr>
          <w:rFonts w:asciiTheme="minorHAnsi" w:hAnsiTheme="minorHAnsi" w:cstheme="minorHAnsi"/>
          <w:i/>
          <w:iCs/>
        </w:rPr>
        <w:t>Journal of International Financial Markets, Institutions and Money</w:t>
      </w:r>
      <w:r w:rsidRPr="004556EC">
        <w:rPr>
          <w:rFonts w:asciiTheme="minorHAnsi" w:hAnsiTheme="minorHAnsi" w:cstheme="minorHAnsi"/>
        </w:rPr>
        <w:t>, </w:t>
      </w:r>
      <w:r w:rsidRPr="004556EC">
        <w:rPr>
          <w:rFonts w:asciiTheme="minorHAnsi" w:hAnsiTheme="minorHAnsi" w:cstheme="minorHAnsi"/>
          <w:iCs/>
        </w:rPr>
        <w:t>23</w:t>
      </w:r>
      <w:r w:rsidRPr="004556EC">
        <w:rPr>
          <w:rFonts w:asciiTheme="minorHAnsi" w:hAnsiTheme="minorHAnsi" w:cstheme="minorHAnsi"/>
        </w:rPr>
        <w:t>, pp.55-84.</w:t>
      </w:r>
    </w:p>
    <w:p w14:paraId="4FF17225" w14:textId="7260679F" w:rsidR="00B2771D" w:rsidRPr="004556EC" w:rsidRDefault="00B2771D" w:rsidP="004558C6">
      <w:pPr>
        <w:spacing w:line="360" w:lineRule="auto"/>
        <w:jc w:val="both"/>
        <w:rPr>
          <w:rFonts w:asciiTheme="minorHAnsi" w:hAnsiTheme="minorHAnsi" w:cstheme="minorHAnsi"/>
        </w:rPr>
      </w:pPr>
      <w:proofErr w:type="spellStart"/>
      <w:r w:rsidRPr="00B2771D">
        <w:rPr>
          <w:rFonts w:asciiTheme="minorHAnsi" w:hAnsiTheme="minorHAnsi" w:cstheme="minorHAnsi"/>
        </w:rPr>
        <w:lastRenderedPageBreak/>
        <w:t>Henker</w:t>
      </w:r>
      <w:proofErr w:type="spellEnd"/>
      <w:r w:rsidRPr="00B2771D">
        <w:rPr>
          <w:rFonts w:asciiTheme="minorHAnsi" w:hAnsiTheme="minorHAnsi" w:cstheme="minorHAnsi"/>
        </w:rPr>
        <w:t xml:space="preserve">, J., </w:t>
      </w:r>
      <w:proofErr w:type="spellStart"/>
      <w:r w:rsidRPr="00B2771D">
        <w:rPr>
          <w:rFonts w:asciiTheme="minorHAnsi" w:hAnsiTheme="minorHAnsi" w:cstheme="minorHAnsi"/>
        </w:rPr>
        <w:t>Henker</w:t>
      </w:r>
      <w:proofErr w:type="spellEnd"/>
      <w:r w:rsidRPr="00B2771D">
        <w:rPr>
          <w:rFonts w:asciiTheme="minorHAnsi" w:hAnsiTheme="minorHAnsi" w:cstheme="minorHAnsi"/>
        </w:rPr>
        <w:t xml:space="preserve">, T. and </w:t>
      </w:r>
      <w:proofErr w:type="spellStart"/>
      <w:r w:rsidRPr="00B2771D">
        <w:rPr>
          <w:rFonts w:asciiTheme="minorHAnsi" w:hAnsiTheme="minorHAnsi" w:cstheme="minorHAnsi"/>
        </w:rPr>
        <w:t>Mitsios</w:t>
      </w:r>
      <w:proofErr w:type="spellEnd"/>
      <w:r w:rsidRPr="00B2771D">
        <w:rPr>
          <w:rFonts w:asciiTheme="minorHAnsi" w:hAnsiTheme="minorHAnsi" w:cstheme="minorHAnsi"/>
        </w:rPr>
        <w:t xml:space="preserve">, A., 2006. Do investors herd intraday in Australian equities? </w:t>
      </w:r>
      <w:r w:rsidRPr="00B2771D">
        <w:rPr>
          <w:rFonts w:asciiTheme="minorHAnsi" w:hAnsiTheme="minorHAnsi" w:cstheme="minorHAnsi"/>
          <w:i/>
          <w:iCs/>
        </w:rPr>
        <w:t>International Journal of Managerial Finance.</w:t>
      </w:r>
      <w:r>
        <w:rPr>
          <w:rFonts w:asciiTheme="minorHAnsi" w:hAnsiTheme="minorHAnsi" w:cstheme="minorHAnsi"/>
          <w:i/>
          <w:iCs/>
        </w:rPr>
        <w:t xml:space="preserve"> 2</w:t>
      </w:r>
      <w:r w:rsidRPr="00B2771D">
        <w:rPr>
          <w:rFonts w:asciiTheme="minorHAnsi" w:hAnsiTheme="minorHAnsi" w:cstheme="minorHAnsi"/>
        </w:rPr>
        <w:t>(3)</w:t>
      </w:r>
      <w:r>
        <w:rPr>
          <w:rFonts w:asciiTheme="minorHAnsi" w:hAnsiTheme="minorHAnsi" w:cstheme="minorHAnsi"/>
        </w:rPr>
        <w:t xml:space="preserve">. pp. 196-219. </w:t>
      </w:r>
    </w:p>
    <w:p w14:paraId="45A9EF30" w14:textId="77777777" w:rsidR="00AB7F11" w:rsidRPr="004556EC" w:rsidRDefault="00AB7F11" w:rsidP="004558C6">
      <w:pPr>
        <w:spacing w:line="360" w:lineRule="auto"/>
        <w:jc w:val="both"/>
        <w:rPr>
          <w:rFonts w:asciiTheme="minorHAnsi" w:hAnsiTheme="minorHAnsi" w:cstheme="minorHAnsi"/>
        </w:rPr>
      </w:pPr>
      <w:r w:rsidRPr="004556EC">
        <w:rPr>
          <w:rFonts w:asciiTheme="minorHAnsi" w:hAnsiTheme="minorHAnsi" w:cstheme="minorHAnsi"/>
        </w:rPr>
        <w:t>Holmes, P., Kallinterakis, V. and Ferreira, M.L., 2013. Herding in a concentrated market: a question of intent. </w:t>
      </w:r>
      <w:r w:rsidRPr="004556EC">
        <w:rPr>
          <w:rFonts w:asciiTheme="minorHAnsi" w:hAnsiTheme="minorHAnsi" w:cstheme="minorHAnsi"/>
          <w:i/>
          <w:iCs/>
        </w:rPr>
        <w:t>European Financial Management</w:t>
      </w:r>
      <w:r w:rsidRPr="004556EC">
        <w:rPr>
          <w:rFonts w:asciiTheme="minorHAnsi" w:hAnsiTheme="minorHAnsi" w:cstheme="minorHAnsi"/>
        </w:rPr>
        <w:t>, </w:t>
      </w:r>
      <w:r w:rsidRPr="004556EC">
        <w:rPr>
          <w:rFonts w:asciiTheme="minorHAnsi" w:hAnsiTheme="minorHAnsi" w:cstheme="minorHAnsi"/>
          <w:i/>
          <w:iCs/>
        </w:rPr>
        <w:t>19</w:t>
      </w:r>
      <w:r w:rsidRPr="004556EC">
        <w:rPr>
          <w:rFonts w:asciiTheme="minorHAnsi" w:hAnsiTheme="minorHAnsi" w:cstheme="minorHAnsi"/>
        </w:rPr>
        <w:t>(3), pp.497-520.</w:t>
      </w:r>
    </w:p>
    <w:p w14:paraId="528ACD58" w14:textId="0BD5E499" w:rsidR="00901F6E" w:rsidRPr="004556EC" w:rsidRDefault="00901F6E" w:rsidP="004558C6">
      <w:pPr>
        <w:spacing w:line="360" w:lineRule="auto"/>
        <w:jc w:val="both"/>
        <w:rPr>
          <w:rFonts w:asciiTheme="minorHAnsi" w:hAnsiTheme="minorHAnsi" w:cstheme="minorHAnsi"/>
        </w:rPr>
      </w:pPr>
      <w:r w:rsidRPr="00901F6E">
        <w:rPr>
          <w:rFonts w:asciiTheme="minorHAnsi" w:hAnsiTheme="minorHAnsi" w:cstheme="minorHAnsi"/>
        </w:rPr>
        <w:t xml:space="preserve">Kabir, M. H., 2018. Did investors herd during the financial crisis? Evidence from the US financial industry. </w:t>
      </w:r>
      <w:r w:rsidRPr="00901F6E">
        <w:rPr>
          <w:rFonts w:asciiTheme="minorHAnsi" w:hAnsiTheme="minorHAnsi" w:cstheme="minorHAnsi"/>
          <w:i/>
        </w:rPr>
        <w:t>International Review of Finance</w:t>
      </w:r>
      <w:r w:rsidRPr="00901F6E">
        <w:rPr>
          <w:rFonts w:asciiTheme="minorHAnsi" w:hAnsiTheme="minorHAnsi" w:cstheme="minorHAnsi"/>
        </w:rPr>
        <w:t>, 18 (1), pp. 59–90.</w:t>
      </w:r>
    </w:p>
    <w:p w14:paraId="61DBB2BE" w14:textId="77777777" w:rsidR="00AB7F11" w:rsidRPr="004556EC" w:rsidRDefault="00AB7F11" w:rsidP="004558C6">
      <w:pPr>
        <w:spacing w:line="360" w:lineRule="auto"/>
        <w:jc w:val="both"/>
        <w:rPr>
          <w:rFonts w:asciiTheme="minorHAnsi" w:hAnsiTheme="minorHAnsi" w:cstheme="minorHAnsi"/>
        </w:rPr>
      </w:pPr>
      <w:r w:rsidRPr="004556EC">
        <w:rPr>
          <w:rFonts w:asciiTheme="minorHAnsi" w:hAnsiTheme="minorHAnsi" w:cstheme="minorHAnsi"/>
        </w:rPr>
        <w:t xml:space="preserve">Lee, 2017, Herd behaviour of the overall market: Evidence based on the cross-sectional comovement of returns, </w:t>
      </w:r>
      <w:r w:rsidRPr="004556EC">
        <w:rPr>
          <w:rFonts w:asciiTheme="minorHAnsi" w:hAnsiTheme="minorHAnsi" w:cstheme="minorHAnsi"/>
          <w:i/>
        </w:rPr>
        <w:t>The North American Journal of Economics and Finance,</w:t>
      </w:r>
      <w:r w:rsidRPr="004556EC">
        <w:rPr>
          <w:rFonts w:asciiTheme="minorHAnsi" w:hAnsiTheme="minorHAnsi" w:cstheme="minorHAnsi"/>
        </w:rPr>
        <w:t xml:space="preserve"> 42, pp. 266-284. </w:t>
      </w:r>
    </w:p>
    <w:p w14:paraId="4465094D" w14:textId="77777777" w:rsidR="00AB7F11" w:rsidRPr="004556EC" w:rsidRDefault="00AB7F11" w:rsidP="004558C6">
      <w:pPr>
        <w:spacing w:line="360" w:lineRule="auto"/>
        <w:jc w:val="both"/>
        <w:rPr>
          <w:rFonts w:asciiTheme="minorHAnsi" w:hAnsiTheme="minorHAnsi" w:cstheme="minorHAnsi"/>
        </w:rPr>
      </w:pPr>
      <w:r w:rsidRPr="004556EC">
        <w:rPr>
          <w:rFonts w:asciiTheme="minorHAnsi" w:hAnsiTheme="minorHAnsi" w:cstheme="minorHAnsi"/>
        </w:rPr>
        <w:t>Litimi, H., BenSaïda, A. and Bouraoui, O., 2016. Herding and excessive risk in the American stock market: A sectoral analysis. </w:t>
      </w:r>
      <w:r w:rsidRPr="004556EC">
        <w:rPr>
          <w:rFonts w:asciiTheme="minorHAnsi" w:hAnsiTheme="minorHAnsi" w:cstheme="minorHAnsi"/>
          <w:i/>
          <w:iCs/>
        </w:rPr>
        <w:t>Research in International Business and Finance</w:t>
      </w:r>
      <w:r w:rsidRPr="004556EC">
        <w:rPr>
          <w:rFonts w:asciiTheme="minorHAnsi" w:hAnsiTheme="minorHAnsi" w:cstheme="minorHAnsi"/>
        </w:rPr>
        <w:t>, </w:t>
      </w:r>
      <w:r w:rsidRPr="004556EC">
        <w:rPr>
          <w:rFonts w:asciiTheme="minorHAnsi" w:hAnsiTheme="minorHAnsi" w:cstheme="minorHAnsi"/>
          <w:i/>
          <w:iCs/>
        </w:rPr>
        <w:t>38</w:t>
      </w:r>
      <w:r w:rsidRPr="004556EC">
        <w:rPr>
          <w:rFonts w:asciiTheme="minorHAnsi" w:hAnsiTheme="minorHAnsi" w:cstheme="minorHAnsi"/>
        </w:rPr>
        <w:t>, pp.6-21.</w:t>
      </w:r>
    </w:p>
    <w:p w14:paraId="3B2C0A29" w14:textId="5886CEE1" w:rsidR="00D16B31" w:rsidRDefault="00AB7F11" w:rsidP="004558C6">
      <w:pPr>
        <w:spacing w:line="360" w:lineRule="auto"/>
        <w:jc w:val="both"/>
        <w:rPr>
          <w:rFonts w:asciiTheme="minorHAnsi" w:hAnsiTheme="minorHAnsi" w:cstheme="minorHAnsi"/>
          <w:lang w:eastAsia="en-US"/>
        </w:rPr>
      </w:pPr>
      <w:r w:rsidRPr="004556EC">
        <w:rPr>
          <w:rFonts w:asciiTheme="minorHAnsi" w:hAnsiTheme="minorHAnsi" w:cstheme="minorHAnsi"/>
          <w:lang w:eastAsia="en-US"/>
        </w:rPr>
        <w:t>Nofsinger, J.R. and Sias, R.W., 1999. Herding and feedback trading by institutional and individual investors. </w:t>
      </w:r>
      <w:r w:rsidRPr="004556EC">
        <w:rPr>
          <w:rFonts w:asciiTheme="minorHAnsi" w:hAnsiTheme="minorHAnsi" w:cstheme="minorHAnsi"/>
          <w:i/>
          <w:iCs/>
          <w:lang w:eastAsia="en-US"/>
        </w:rPr>
        <w:t>The Journal of Finance</w:t>
      </w:r>
      <w:r w:rsidRPr="004556EC">
        <w:rPr>
          <w:rFonts w:asciiTheme="minorHAnsi" w:hAnsiTheme="minorHAnsi" w:cstheme="minorHAnsi"/>
          <w:lang w:eastAsia="en-US"/>
        </w:rPr>
        <w:t>, </w:t>
      </w:r>
      <w:r w:rsidRPr="004556EC">
        <w:rPr>
          <w:rFonts w:asciiTheme="minorHAnsi" w:hAnsiTheme="minorHAnsi" w:cstheme="minorHAnsi"/>
          <w:i/>
          <w:iCs/>
          <w:lang w:eastAsia="en-US"/>
        </w:rPr>
        <w:t>54</w:t>
      </w:r>
      <w:r w:rsidRPr="004556EC">
        <w:rPr>
          <w:rFonts w:asciiTheme="minorHAnsi" w:hAnsiTheme="minorHAnsi" w:cstheme="minorHAnsi"/>
          <w:lang w:eastAsia="en-US"/>
        </w:rPr>
        <w:t>(6), pp.2263-2295</w:t>
      </w:r>
      <w:r w:rsidR="00190D84" w:rsidRPr="004556EC">
        <w:rPr>
          <w:rFonts w:asciiTheme="minorHAnsi" w:hAnsiTheme="minorHAnsi" w:cstheme="minorHAnsi"/>
          <w:lang w:eastAsia="en-US"/>
        </w:rPr>
        <w:t>.</w:t>
      </w:r>
    </w:p>
    <w:p w14:paraId="46BB60FC" w14:textId="05C80CEE" w:rsidR="006D6C6D" w:rsidRDefault="006D6C6D" w:rsidP="004558C6">
      <w:pPr>
        <w:spacing w:line="360" w:lineRule="auto"/>
        <w:jc w:val="both"/>
        <w:rPr>
          <w:rFonts w:asciiTheme="minorHAnsi" w:hAnsiTheme="minorHAnsi" w:cstheme="minorHAnsi"/>
          <w:lang w:eastAsia="en-US"/>
        </w:rPr>
      </w:pPr>
      <w:r w:rsidRPr="006D6C6D">
        <w:rPr>
          <w:rFonts w:asciiTheme="minorHAnsi" w:hAnsiTheme="minorHAnsi" w:cstheme="minorHAnsi"/>
          <w:lang w:eastAsia="en-US"/>
        </w:rPr>
        <w:t xml:space="preserve">Philippas, D., Philippas, N., </w:t>
      </w:r>
      <w:proofErr w:type="spellStart"/>
      <w:r w:rsidRPr="006D6C6D">
        <w:rPr>
          <w:rFonts w:asciiTheme="minorHAnsi" w:hAnsiTheme="minorHAnsi" w:cstheme="minorHAnsi"/>
          <w:lang w:eastAsia="en-US"/>
        </w:rPr>
        <w:t>Tziogkidis</w:t>
      </w:r>
      <w:proofErr w:type="spellEnd"/>
      <w:r w:rsidRPr="006D6C6D">
        <w:rPr>
          <w:rFonts w:asciiTheme="minorHAnsi" w:hAnsiTheme="minorHAnsi" w:cstheme="minorHAnsi"/>
          <w:lang w:eastAsia="en-US"/>
        </w:rPr>
        <w:t>, P., Rjiba, H. (2020) Signal-herding in cryptocurrencies</w:t>
      </w:r>
      <w:r w:rsidR="00BD4FEC">
        <w:rPr>
          <w:rFonts w:asciiTheme="minorHAnsi" w:hAnsiTheme="minorHAnsi" w:cstheme="minorHAnsi"/>
          <w:lang w:eastAsia="en-US"/>
        </w:rPr>
        <w:t>.</w:t>
      </w:r>
      <w:r w:rsidRPr="006D6C6D">
        <w:rPr>
          <w:rFonts w:asciiTheme="minorHAnsi" w:hAnsiTheme="minorHAnsi" w:cstheme="minorHAnsi"/>
          <w:lang w:eastAsia="en-US"/>
        </w:rPr>
        <w:t xml:space="preserve"> </w:t>
      </w:r>
      <w:r w:rsidRPr="00BD4FEC">
        <w:rPr>
          <w:rFonts w:asciiTheme="minorHAnsi" w:hAnsiTheme="minorHAnsi" w:cstheme="minorHAnsi"/>
          <w:i/>
          <w:iCs/>
          <w:lang w:eastAsia="en-US"/>
        </w:rPr>
        <w:t>Journal of International Financial Markets, Institutions &amp; Money</w:t>
      </w:r>
      <w:r w:rsidRPr="006D6C6D">
        <w:rPr>
          <w:rFonts w:asciiTheme="minorHAnsi" w:hAnsiTheme="minorHAnsi" w:cstheme="minorHAnsi"/>
          <w:lang w:eastAsia="en-US"/>
        </w:rPr>
        <w:t xml:space="preserve"> (In press), </w:t>
      </w:r>
      <w:proofErr w:type="spellStart"/>
      <w:r w:rsidRPr="006D6C6D">
        <w:rPr>
          <w:rFonts w:asciiTheme="minorHAnsi" w:hAnsiTheme="minorHAnsi" w:cstheme="minorHAnsi"/>
          <w:lang w:eastAsia="en-US"/>
        </w:rPr>
        <w:t>doi</w:t>
      </w:r>
      <w:proofErr w:type="spellEnd"/>
      <w:r w:rsidRPr="006D6C6D">
        <w:rPr>
          <w:rFonts w:asciiTheme="minorHAnsi" w:hAnsiTheme="minorHAnsi" w:cstheme="minorHAnsi"/>
          <w:lang w:eastAsia="en-US"/>
        </w:rPr>
        <w:t>: doi.org/10.1016/j.intfin.2020.101191</w:t>
      </w:r>
    </w:p>
    <w:p w14:paraId="01226A34" w14:textId="7CCCAE35" w:rsidR="00BD4FEC" w:rsidRDefault="00BD4FEC" w:rsidP="004558C6">
      <w:pPr>
        <w:spacing w:line="360" w:lineRule="auto"/>
        <w:jc w:val="both"/>
        <w:rPr>
          <w:rFonts w:asciiTheme="minorHAnsi" w:hAnsiTheme="minorHAnsi" w:cstheme="minorHAnsi"/>
          <w:lang w:eastAsia="en-US"/>
        </w:rPr>
      </w:pPr>
      <w:proofErr w:type="spellStart"/>
      <w:r w:rsidRPr="00BD4FEC">
        <w:rPr>
          <w:rFonts w:asciiTheme="minorHAnsi" w:hAnsiTheme="minorHAnsi" w:cstheme="minorHAnsi"/>
          <w:lang w:eastAsia="en-US"/>
        </w:rPr>
        <w:t>Stavroyiannis</w:t>
      </w:r>
      <w:proofErr w:type="spellEnd"/>
      <w:r w:rsidRPr="00BD4FEC">
        <w:rPr>
          <w:rFonts w:asciiTheme="minorHAnsi" w:hAnsiTheme="minorHAnsi" w:cstheme="minorHAnsi"/>
          <w:lang w:eastAsia="en-US"/>
        </w:rPr>
        <w:t xml:space="preserve">, S. and </w:t>
      </w:r>
      <w:proofErr w:type="spellStart"/>
      <w:r w:rsidRPr="00BD4FEC">
        <w:rPr>
          <w:rFonts w:asciiTheme="minorHAnsi" w:hAnsiTheme="minorHAnsi" w:cstheme="minorHAnsi"/>
          <w:lang w:eastAsia="en-US"/>
        </w:rPr>
        <w:t>Babalos</w:t>
      </w:r>
      <w:proofErr w:type="spellEnd"/>
      <w:r w:rsidRPr="00BD4FEC">
        <w:rPr>
          <w:rFonts w:asciiTheme="minorHAnsi" w:hAnsiTheme="minorHAnsi" w:cstheme="minorHAnsi"/>
          <w:lang w:eastAsia="en-US"/>
        </w:rPr>
        <w:t>, V., 20</w:t>
      </w:r>
      <w:r>
        <w:rPr>
          <w:rFonts w:asciiTheme="minorHAnsi" w:hAnsiTheme="minorHAnsi" w:cstheme="minorHAnsi"/>
          <w:lang w:eastAsia="en-US"/>
        </w:rPr>
        <w:t>20</w:t>
      </w:r>
      <w:r w:rsidRPr="00BD4FEC">
        <w:rPr>
          <w:rFonts w:asciiTheme="minorHAnsi" w:hAnsiTheme="minorHAnsi" w:cstheme="minorHAnsi"/>
          <w:lang w:eastAsia="en-US"/>
        </w:rPr>
        <w:t xml:space="preserve">. Time-varying herding </w:t>
      </w:r>
      <w:proofErr w:type="spellStart"/>
      <w:r w:rsidRPr="00BD4FEC">
        <w:rPr>
          <w:rFonts w:asciiTheme="minorHAnsi" w:hAnsiTheme="minorHAnsi" w:cstheme="minorHAnsi"/>
          <w:lang w:eastAsia="en-US"/>
        </w:rPr>
        <w:t>behavior</w:t>
      </w:r>
      <w:proofErr w:type="spellEnd"/>
      <w:r w:rsidRPr="00BD4FEC">
        <w:rPr>
          <w:rFonts w:asciiTheme="minorHAnsi" w:hAnsiTheme="minorHAnsi" w:cstheme="minorHAnsi"/>
          <w:lang w:eastAsia="en-US"/>
        </w:rPr>
        <w:t xml:space="preserve"> within the Eurozone stock markets during crisis periods. </w:t>
      </w:r>
      <w:r w:rsidRPr="00BD4FEC">
        <w:rPr>
          <w:rFonts w:asciiTheme="minorHAnsi" w:hAnsiTheme="minorHAnsi" w:cstheme="minorHAnsi"/>
          <w:i/>
          <w:iCs/>
          <w:lang w:eastAsia="en-US"/>
        </w:rPr>
        <w:t xml:space="preserve">Review of </w:t>
      </w:r>
      <w:proofErr w:type="spellStart"/>
      <w:r w:rsidRPr="00BD4FEC">
        <w:rPr>
          <w:rFonts w:asciiTheme="minorHAnsi" w:hAnsiTheme="minorHAnsi" w:cstheme="minorHAnsi"/>
          <w:i/>
          <w:iCs/>
          <w:lang w:eastAsia="en-US"/>
        </w:rPr>
        <w:t>Behavioral</w:t>
      </w:r>
      <w:proofErr w:type="spellEnd"/>
      <w:r w:rsidRPr="00BD4FEC">
        <w:rPr>
          <w:rFonts w:asciiTheme="minorHAnsi" w:hAnsiTheme="minorHAnsi" w:cstheme="minorHAnsi"/>
          <w:i/>
          <w:iCs/>
          <w:lang w:eastAsia="en-US"/>
        </w:rPr>
        <w:t xml:space="preserve"> Finance</w:t>
      </w:r>
      <w:r>
        <w:rPr>
          <w:rFonts w:asciiTheme="minorHAnsi" w:hAnsiTheme="minorHAnsi" w:cstheme="minorHAnsi"/>
          <w:i/>
          <w:iCs/>
          <w:lang w:eastAsia="en-US"/>
        </w:rPr>
        <w:t xml:space="preserve">, 12 </w:t>
      </w:r>
      <w:r w:rsidRPr="00BD4FEC">
        <w:rPr>
          <w:rFonts w:asciiTheme="minorHAnsi" w:hAnsiTheme="minorHAnsi" w:cstheme="minorHAnsi"/>
          <w:lang w:eastAsia="en-US"/>
        </w:rPr>
        <w:t>(2)</w:t>
      </w:r>
      <w:r>
        <w:rPr>
          <w:rFonts w:asciiTheme="minorHAnsi" w:hAnsiTheme="minorHAnsi" w:cstheme="minorHAnsi"/>
          <w:lang w:eastAsia="en-US"/>
        </w:rPr>
        <w:t xml:space="preserve">, pp. 83 -96. </w:t>
      </w:r>
    </w:p>
    <w:p w14:paraId="443CA3A2" w14:textId="77777777" w:rsidR="007975B0" w:rsidRPr="007975B0" w:rsidRDefault="007975B0" w:rsidP="007975B0">
      <w:pPr>
        <w:spacing w:line="360" w:lineRule="auto"/>
        <w:jc w:val="both"/>
        <w:rPr>
          <w:rFonts w:asciiTheme="minorHAnsi" w:hAnsiTheme="minorHAnsi" w:cstheme="minorHAnsi"/>
          <w:lang w:eastAsia="en-US"/>
        </w:rPr>
      </w:pPr>
      <w:proofErr w:type="spellStart"/>
      <w:r w:rsidRPr="007975B0">
        <w:rPr>
          <w:rFonts w:asciiTheme="minorHAnsi" w:hAnsiTheme="minorHAnsi" w:cstheme="minorHAnsi"/>
          <w:lang w:eastAsia="en-US"/>
        </w:rPr>
        <w:t>Trueman</w:t>
      </w:r>
      <w:proofErr w:type="spellEnd"/>
      <w:r w:rsidRPr="007975B0">
        <w:rPr>
          <w:rFonts w:asciiTheme="minorHAnsi" w:hAnsiTheme="minorHAnsi" w:cstheme="minorHAnsi"/>
          <w:lang w:eastAsia="en-US"/>
        </w:rPr>
        <w:t xml:space="preserve">, B., 1994. Analyst forecasts and herding </w:t>
      </w:r>
      <w:proofErr w:type="spellStart"/>
      <w:r w:rsidRPr="007975B0">
        <w:rPr>
          <w:rFonts w:asciiTheme="minorHAnsi" w:hAnsiTheme="minorHAnsi" w:cstheme="minorHAnsi"/>
          <w:lang w:eastAsia="en-US"/>
        </w:rPr>
        <w:t>behavior</w:t>
      </w:r>
      <w:proofErr w:type="spellEnd"/>
      <w:r w:rsidRPr="007975B0">
        <w:rPr>
          <w:rFonts w:asciiTheme="minorHAnsi" w:hAnsiTheme="minorHAnsi" w:cstheme="minorHAnsi"/>
          <w:lang w:eastAsia="en-US"/>
        </w:rPr>
        <w:t>. </w:t>
      </w:r>
      <w:r w:rsidRPr="007975B0">
        <w:rPr>
          <w:rFonts w:asciiTheme="minorHAnsi" w:hAnsiTheme="minorHAnsi" w:cstheme="minorHAnsi"/>
          <w:i/>
          <w:iCs/>
          <w:lang w:eastAsia="en-US"/>
        </w:rPr>
        <w:t>The Review of Financial Studies</w:t>
      </w:r>
      <w:r w:rsidRPr="007975B0">
        <w:rPr>
          <w:rFonts w:asciiTheme="minorHAnsi" w:hAnsiTheme="minorHAnsi" w:cstheme="minorHAnsi"/>
          <w:lang w:eastAsia="en-US"/>
        </w:rPr>
        <w:t>, </w:t>
      </w:r>
      <w:r w:rsidRPr="007975B0">
        <w:rPr>
          <w:rFonts w:asciiTheme="minorHAnsi" w:hAnsiTheme="minorHAnsi" w:cstheme="minorHAnsi"/>
          <w:i/>
          <w:iCs/>
          <w:lang w:eastAsia="en-US"/>
        </w:rPr>
        <w:t>7</w:t>
      </w:r>
      <w:r w:rsidRPr="007975B0">
        <w:rPr>
          <w:rFonts w:asciiTheme="minorHAnsi" w:hAnsiTheme="minorHAnsi" w:cstheme="minorHAnsi"/>
          <w:lang w:eastAsia="en-US"/>
        </w:rPr>
        <w:t>(1), pp.97-124.</w:t>
      </w:r>
    </w:p>
    <w:p w14:paraId="0BF0E467" w14:textId="50D7CDC8" w:rsidR="00F4500A" w:rsidRDefault="00F4500A" w:rsidP="004558C6">
      <w:pPr>
        <w:spacing w:line="360" w:lineRule="auto"/>
        <w:jc w:val="both"/>
        <w:rPr>
          <w:rFonts w:asciiTheme="minorHAnsi" w:hAnsiTheme="minorHAnsi" w:cstheme="minorHAnsi"/>
          <w:lang w:eastAsia="en-US"/>
        </w:rPr>
      </w:pPr>
      <w:r w:rsidRPr="00F4500A">
        <w:rPr>
          <w:rFonts w:asciiTheme="minorHAnsi" w:hAnsiTheme="minorHAnsi" w:cstheme="minorHAnsi"/>
          <w:lang w:eastAsia="en-US"/>
        </w:rPr>
        <w:t xml:space="preserve">Vidal-Tomás, D., Ibáñez, A.M. and Farinós, J.E., 2019. Herding in the cryptocurrency market: CSSD and CSAD approaches. </w:t>
      </w:r>
      <w:r w:rsidRPr="00F4500A">
        <w:rPr>
          <w:rFonts w:asciiTheme="minorHAnsi" w:hAnsiTheme="minorHAnsi" w:cstheme="minorHAnsi"/>
          <w:i/>
          <w:lang w:eastAsia="en-US"/>
        </w:rPr>
        <w:t>Finance Research Letters</w:t>
      </w:r>
      <w:r w:rsidRPr="00F4500A">
        <w:rPr>
          <w:rFonts w:asciiTheme="minorHAnsi" w:hAnsiTheme="minorHAnsi" w:cstheme="minorHAnsi"/>
          <w:lang w:eastAsia="en-US"/>
        </w:rPr>
        <w:t>, 30, pp.181-186</w:t>
      </w:r>
    </w:p>
    <w:p w14:paraId="150BAA01" w14:textId="4A863B62" w:rsidR="006D6C6D" w:rsidRDefault="006D6C6D" w:rsidP="004558C6">
      <w:pPr>
        <w:spacing w:line="360" w:lineRule="auto"/>
        <w:jc w:val="both"/>
        <w:rPr>
          <w:rFonts w:asciiTheme="minorHAnsi" w:hAnsiTheme="minorHAnsi" w:cstheme="minorHAnsi"/>
          <w:lang w:eastAsia="en-US"/>
        </w:rPr>
      </w:pPr>
      <w:r w:rsidRPr="006D6C6D">
        <w:rPr>
          <w:rFonts w:asciiTheme="minorHAnsi" w:hAnsiTheme="minorHAnsi" w:cstheme="minorHAnsi"/>
          <w:lang w:eastAsia="en-US"/>
        </w:rPr>
        <w:t>Yarovaya, L., Matkovskyy, R. Jalan, A. (2020</w:t>
      </w:r>
      <w:r w:rsidR="00766FA7">
        <w:rPr>
          <w:rFonts w:asciiTheme="minorHAnsi" w:hAnsiTheme="minorHAnsi" w:cstheme="minorHAnsi"/>
          <w:lang w:eastAsia="en-US"/>
        </w:rPr>
        <w:t>)</w:t>
      </w:r>
      <w:r w:rsidRPr="006D6C6D">
        <w:rPr>
          <w:rFonts w:asciiTheme="minorHAnsi" w:hAnsiTheme="minorHAnsi" w:cstheme="minorHAnsi"/>
          <w:lang w:eastAsia="en-US"/>
        </w:rPr>
        <w:t xml:space="preserve">. The Effects of a 'Black Swan' Event (COVID-19) on Herding </w:t>
      </w:r>
      <w:r w:rsidR="00925314" w:rsidRPr="006D6C6D">
        <w:rPr>
          <w:rFonts w:asciiTheme="minorHAnsi" w:hAnsiTheme="minorHAnsi" w:cstheme="minorHAnsi"/>
          <w:lang w:eastAsia="en-US"/>
        </w:rPr>
        <w:t>Behaviour</w:t>
      </w:r>
      <w:r w:rsidRPr="006D6C6D">
        <w:rPr>
          <w:rFonts w:asciiTheme="minorHAnsi" w:hAnsiTheme="minorHAnsi" w:cstheme="minorHAnsi"/>
          <w:lang w:eastAsia="en-US"/>
        </w:rPr>
        <w:t xml:space="preserve"> in Cryptocurrency Markets: Evidence from Cryptocurrency USD, EUR, JPY and KRW Markets. Available at SSRN: </w:t>
      </w:r>
      <w:hyperlink r:id="rId9" w:history="1">
        <w:r w:rsidR="00766FA7" w:rsidRPr="00E2355D">
          <w:rPr>
            <w:rStyle w:val="Hyperlink"/>
            <w:rFonts w:asciiTheme="minorHAnsi" w:hAnsiTheme="minorHAnsi" w:cstheme="minorHAnsi"/>
            <w:lang w:eastAsia="en-US"/>
          </w:rPr>
          <w:t>https://ssrn.com/abstract=3586511</w:t>
        </w:r>
      </w:hyperlink>
    </w:p>
    <w:p w14:paraId="72E2AF6F" w14:textId="2E467CA6" w:rsidR="00766FA7" w:rsidRPr="004556EC" w:rsidRDefault="00766FA7" w:rsidP="004558C6">
      <w:pPr>
        <w:spacing w:line="360" w:lineRule="auto"/>
        <w:jc w:val="both"/>
        <w:rPr>
          <w:rFonts w:asciiTheme="minorHAnsi" w:hAnsiTheme="minorHAnsi" w:cstheme="minorHAnsi"/>
        </w:rPr>
      </w:pPr>
      <w:r w:rsidRPr="00F4500A">
        <w:rPr>
          <w:rFonts w:asciiTheme="minorHAnsi" w:hAnsiTheme="minorHAnsi" w:cstheme="minorHAnsi"/>
        </w:rPr>
        <w:t>Zheng, D., Li, H. and Chiang, T.C., 2017. Herding within industries: Evidence from Asian stock markets. </w:t>
      </w:r>
      <w:r w:rsidRPr="00F4500A">
        <w:rPr>
          <w:rFonts w:asciiTheme="minorHAnsi" w:hAnsiTheme="minorHAnsi" w:cstheme="minorHAnsi"/>
          <w:i/>
          <w:iCs/>
        </w:rPr>
        <w:t>International Review of Economics &amp; Finance</w:t>
      </w:r>
      <w:r w:rsidRPr="00F4500A">
        <w:rPr>
          <w:rFonts w:asciiTheme="minorHAnsi" w:hAnsiTheme="minorHAnsi" w:cstheme="minorHAnsi"/>
        </w:rPr>
        <w:t>, </w:t>
      </w:r>
      <w:r w:rsidRPr="00F4500A">
        <w:rPr>
          <w:rFonts w:asciiTheme="minorHAnsi" w:hAnsiTheme="minorHAnsi" w:cstheme="minorHAnsi"/>
          <w:i/>
          <w:iCs/>
        </w:rPr>
        <w:t>51</w:t>
      </w:r>
      <w:r w:rsidRPr="00F4500A">
        <w:rPr>
          <w:rFonts w:asciiTheme="minorHAnsi" w:hAnsiTheme="minorHAnsi" w:cstheme="minorHAnsi"/>
        </w:rPr>
        <w:t>, pp.487-509.</w:t>
      </w:r>
    </w:p>
    <w:sectPr w:rsidR="00766FA7" w:rsidRPr="004556EC" w:rsidSect="005735BE">
      <w:footerReference w:type="default" r:id="rId10"/>
      <w:pgSz w:w="11901" w:h="16840" w:code="9"/>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D92C7" w14:textId="77777777" w:rsidR="00CE4208" w:rsidRDefault="00CE4208" w:rsidP="00AF2C92">
      <w:r>
        <w:separator/>
      </w:r>
    </w:p>
  </w:endnote>
  <w:endnote w:type="continuationSeparator" w:id="0">
    <w:p w14:paraId="07010F53" w14:textId="77777777" w:rsidR="00CE4208" w:rsidRDefault="00CE4208"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5404953"/>
      <w:docPartObj>
        <w:docPartGallery w:val="Page Numbers (Bottom of Page)"/>
        <w:docPartUnique/>
      </w:docPartObj>
    </w:sdtPr>
    <w:sdtEndPr>
      <w:rPr>
        <w:noProof/>
      </w:rPr>
    </w:sdtEndPr>
    <w:sdtContent>
      <w:p w14:paraId="7E269173" w14:textId="4ABA655A" w:rsidR="003751C2" w:rsidRDefault="003751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C5342D" w14:textId="77777777" w:rsidR="003751C2" w:rsidRDefault="00375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E89AE" w14:textId="77777777" w:rsidR="00CE4208" w:rsidRDefault="00CE4208" w:rsidP="00AF2C92">
      <w:r>
        <w:separator/>
      </w:r>
    </w:p>
  </w:footnote>
  <w:footnote w:type="continuationSeparator" w:id="0">
    <w:p w14:paraId="78640E1E" w14:textId="77777777" w:rsidR="00CE4208" w:rsidRDefault="00CE4208" w:rsidP="00AF2C92">
      <w:r>
        <w:continuationSeparator/>
      </w:r>
    </w:p>
  </w:footnote>
  <w:footnote w:id="1">
    <w:p w14:paraId="5F43F31B" w14:textId="322EA509" w:rsidR="003751C2" w:rsidRPr="004556EC" w:rsidRDefault="003751C2" w:rsidP="004556EC">
      <w:pPr>
        <w:pStyle w:val="FootnoteText"/>
      </w:pPr>
      <w:r w:rsidRPr="004556EC">
        <w:rPr>
          <w:rStyle w:val="FootnoteReference"/>
        </w:rPr>
        <w:footnoteRef/>
      </w:r>
      <w:r w:rsidRPr="004556EC">
        <w:t xml:space="preserve"> Corresponding author</w:t>
      </w:r>
      <w:r>
        <w:t xml:space="preserve">: </w:t>
      </w:r>
      <w:r w:rsidRPr="004556EC">
        <w:t>Idibeke.ukpong@outlook.com</w:t>
      </w:r>
    </w:p>
  </w:footnote>
  <w:footnote w:id="2">
    <w:p w14:paraId="7E19BC6F" w14:textId="2E1021C2" w:rsidR="008E05E2" w:rsidRPr="0011693D" w:rsidRDefault="008E05E2">
      <w:pPr>
        <w:pStyle w:val="FootnoteText"/>
        <w:rPr>
          <w:sz w:val="18"/>
          <w:szCs w:val="18"/>
        </w:rPr>
      </w:pPr>
      <w:r>
        <w:rPr>
          <w:rStyle w:val="FootnoteReference"/>
        </w:rPr>
        <w:footnoteRef/>
      </w:r>
      <w:r>
        <w:t xml:space="preserve"> </w:t>
      </w:r>
      <w:r>
        <w:t xml:space="preserve"> </w:t>
      </w:r>
      <w:r w:rsidRPr="0011693D">
        <w:rPr>
          <w:sz w:val="18"/>
          <w:szCs w:val="18"/>
        </w:rPr>
        <w:t>Many studies have provided theoretical explanations on why investors herd</w:t>
      </w:r>
      <w:r w:rsidRPr="0011693D">
        <w:rPr>
          <w:sz w:val="18"/>
          <w:szCs w:val="18"/>
        </w:rPr>
        <w:t xml:space="preserve"> based on these conditions. For example</w:t>
      </w:r>
      <w:r w:rsidR="006E601E" w:rsidRPr="0011693D">
        <w:rPr>
          <w:sz w:val="18"/>
          <w:szCs w:val="18"/>
        </w:rPr>
        <w:t>,</w:t>
      </w:r>
      <w:r w:rsidRPr="0011693D">
        <w:rPr>
          <w:sz w:val="18"/>
          <w:szCs w:val="18"/>
        </w:rPr>
        <w:t xml:space="preserve"> herding in up markets could be due to overconfidence (</w:t>
      </w:r>
      <w:r w:rsidR="006E601E" w:rsidRPr="0011693D">
        <w:rPr>
          <w:rFonts w:eastAsia="Calibri"/>
          <w:sz w:val="18"/>
          <w:szCs w:val="18"/>
          <w:lang w:val="en-US"/>
        </w:rPr>
        <w:t>Daniel, et al., 199</w:t>
      </w:r>
      <w:r w:rsidR="009D0E80" w:rsidRPr="0011693D">
        <w:rPr>
          <w:rFonts w:eastAsia="Calibri"/>
          <w:sz w:val="18"/>
          <w:szCs w:val="18"/>
          <w:lang w:val="en-US"/>
        </w:rPr>
        <w:t>8</w:t>
      </w:r>
      <w:r w:rsidR="006E601E" w:rsidRPr="0011693D">
        <w:rPr>
          <w:sz w:val="18"/>
          <w:szCs w:val="18"/>
        </w:rPr>
        <w:t>)</w:t>
      </w:r>
      <w:r w:rsidR="009D0E80" w:rsidRPr="0011693D">
        <w:rPr>
          <w:sz w:val="18"/>
          <w:szCs w:val="18"/>
        </w:rPr>
        <w:t>,</w:t>
      </w:r>
      <w:r w:rsidR="006E601E" w:rsidRPr="0011693D">
        <w:rPr>
          <w:sz w:val="18"/>
          <w:szCs w:val="18"/>
        </w:rPr>
        <w:t xml:space="preserve"> in down markets </w:t>
      </w:r>
      <w:r w:rsidR="009D0E80" w:rsidRPr="0011693D">
        <w:rPr>
          <w:sz w:val="18"/>
          <w:szCs w:val="18"/>
        </w:rPr>
        <w:t xml:space="preserve">could be </w:t>
      </w:r>
      <w:r w:rsidR="006E601E" w:rsidRPr="0011693D">
        <w:rPr>
          <w:sz w:val="18"/>
          <w:szCs w:val="18"/>
        </w:rPr>
        <w:t>due to loss aversion (</w:t>
      </w:r>
      <w:r w:rsidR="006E601E" w:rsidRPr="0011693D">
        <w:rPr>
          <w:rFonts w:eastAsia="Calibri"/>
          <w:sz w:val="18"/>
          <w:szCs w:val="18"/>
        </w:rPr>
        <w:t>Kahneman and Tversky, 1979</w:t>
      </w:r>
      <w:r w:rsidR="006E601E" w:rsidRPr="0011693D">
        <w:rPr>
          <w:rFonts w:eastAsia="Calibri"/>
          <w:sz w:val="18"/>
          <w:szCs w:val="18"/>
        </w:rPr>
        <w:t>)</w:t>
      </w:r>
      <w:r w:rsidR="009D0E80" w:rsidRPr="0011693D">
        <w:rPr>
          <w:rFonts w:eastAsia="Calibri"/>
          <w:sz w:val="18"/>
          <w:szCs w:val="18"/>
        </w:rPr>
        <w:t xml:space="preserve">, </w:t>
      </w:r>
      <w:r w:rsidR="001F6CB3" w:rsidRPr="0011693D">
        <w:rPr>
          <w:rFonts w:eastAsia="Calibri"/>
          <w:sz w:val="18"/>
          <w:szCs w:val="18"/>
        </w:rPr>
        <w:t>when volat</w:t>
      </w:r>
      <w:r w:rsidR="008C15B3" w:rsidRPr="0011693D">
        <w:rPr>
          <w:rFonts w:eastAsia="Calibri"/>
          <w:sz w:val="18"/>
          <w:szCs w:val="18"/>
        </w:rPr>
        <w:t>ility</w:t>
      </w:r>
      <w:r w:rsidR="001F6CB3" w:rsidRPr="0011693D">
        <w:rPr>
          <w:rFonts w:eastAsia="Calibri"/>
          <w:sz w:val="18"/>
          <w:szCs w:val="18"/>
        </w:rPr>
        <w:t xml:space="preserve"> is high </w:t>
      </w:r>
      <w:r w:rsidR="008C15B3" w:rsidRPr="0011693D">
        <w:rPr>
          <w:rFonts w:eastAsia="Calibri"/>
          <w:sz w:val="18"/>
          <w:szCs w:val="18"/>
        </w:rPr>
        <w:t>herding could be due to informational cascades (</w:t>
      </w:r>
      <w:proofErr w:type="spellStart"/>
      <w:r w:rsidR="008C15B3" w:rsidRPr="0011693D">
        <w:rPr>
          <w:rFonts w:eastAsia="Calibri"/>
          <w:sz w:val="18"/>
          <w:szCs w:val="18"/>
        </w:rPr>
        <w:t>Homles</w:t>
      </w:r>
      <w:proofErr w:type="spellEnd"/>
      <w:r w:rsidR="008C15B3" w:rsidRPr="0011693D">
        <w:rPr>
          <w:rFonts w:eastAsia="Calibri"/>
          <w:sz w:val="18"/>
          <w:szCs w:val="18"/>
        </w:rPr>
        <w:t xml:space="preserve">, et al., 2013; </w:t>
      </w:r>
      <w:proofErr w:type="spellStart"/>
      <w:r w:rsidR="00795D32" w:rsidRPr="0011693D">
        <w:rPr>
          <w:rFonts w:eastAsia="Calibri"/>
          <w:sz w:val="18"/>
          <w:szCs w:val="18"/>
        </w:rPr>
        <w:t>Devenow</w:t>
      </w:r>
      <w:proofErr w:type="spellEnd"/>
      <w:r w:rsidR="00795D32" w:rsidRPr="0011693D">
        <w:rPr>
          <w:rFonts w:eastAsia="Calibri"/>
          <w:sz w:val="18"/>
          <w:szCs w:val="18"/>
        </w:rPr>
        <w:t xml:space="preserve"> and Welch, 1996</w:t>
      </w:r>
      <w:r w:rsidR="008C15B3" w:rsidRPr="0011693D">
        <w:rPr>
          <w:rFonts w:eastAsia="Calibri"/>
          <w:sz w:val="18"/>
          <w:szCs w:val="18"/>
        </w:rPr>
        <w:t xml:space="preserve">), </w:t>
      </w:r>
      <w:r w:rsidR="008C15B3" w:rsidRPr="0011693D">
        <w:rPr>
          <w:rFonts w:eastAsia="Calibri"/>
          <w:sz w:val="18"/>
          <w:szCs w:val="18"/>
        </w:rPr>
        <w:t xml:space="preserve">when volatility is </w:t>
      </w:r>
      <w:r w:rsidR="008C15B3" w:rsidRPr="0011693D">
        <w:rPr>
          <w:rFonts w:eastAsia="Calibri"/>
          <w:sz w:val="18"/>
          <w:szCs w:val="18"/>
        </w:rPr>
        <w:t xml:space="preserve">low </w:t>
      </w:r>
      <w:r w:rsidR="008C15B3" w:rsidRPr="0011693D">
        <w:rPr>
          <w:rFonts w:eastAsia="Calibri"/>
          <w:sz w:val="18"/>
          <w:szCs w:val="18"/>
        </w:rPr>
        <w:t>herd</w:t>
      </w:r>
      <w:r w:rsidR="008C15B3" w:rsidRPr="0011693D">
        <w:rPr>
          <w:rFonts w:eastAsia="Calibri"/>
          <w:sz w:val="18"/>
          <w:szCs w:val="18"/>
        </w:rPr>
        <w:t>ing</w:t>
      </w:r>
      <w:r w:rsidR="008C15B3" w:rsidRPr="0011693D">
        <w:rPr>
          <w:rFonts w:eastAsia="Calibri"/>
          <w:sz w:val="18"/>
          <w:szCs w:val="18"/>
        </w:rPr>
        <w:t xml:space="preserve"> could be due to </w:t>
      </w:r>
      <w:r w:rsidR="008C15B3" w:rsidRPr="0011693D">
        <w:rPr>
          <w:rFonts w:eastAsia="Calibri"/>
          <w:sz w:val="18"/>
          <w:szCs w:val="18"/>
        </w:rPr>
        <w:t>reputational reasons</w:t>
      </w:r>
      <w:r w:rsidR="00795D32" w:rsidRPr="0011693D">
        <w:rPr>
          <w:rFonts w:eastAsia="Calibri"/>
          <w:sz w:val="18"/>
          <w:szCs w:val="18"/>
        </w:rPr>
        <w:t xml:space="preserve"> (</w:t>
      </w:r>
      <w:proofErr w:type="spellStart"/>
      <w:r w:rsidR="00795D32" w:rsidRPr="0011693D">
        <w:rPr>
          <w:rFonts w:eastAsia="Calibri"/>
          <w:sz w:val="18"/>
          <w:szCs w:val="18"/>
        </w:rPr>
        <w:t>Homles</w:t>
      </w:r>
      <w:proofErr w:type="spellEnd"/>
      <w:r w:rsidR="00795D32" w:rsidRPr="0011693D">
        <w:rPr>
          <w:rFonts w:eastAsia="Calibri"/>
          <w:sz w:val="18"/>
          <w:szCs w:val="18"/>
        </w:rPr>
        <w:t>, et al., 2013</w:t>
      </w:r>
      <w:r w:rsidR="00795D32" w:rsidRPr="0011693D">
        <w:rPr>
          <w:rFonts w:eastAsia="Calibri"/>
          <w:sz w:val="18"/>
          <w:szCs w:val="18"/>
        </w:rPr>
        <w:t xml:space="preserve">; </w:t>
      </w:r>
      <w:proofErr w:type="spellStart"/>
      <w:r w:rsidR="00795D32" w:rsidRPr="0011693D">
        <w:rPr>
          <w:rFonts w:eastAsia="Calibri"/>
          <w:sz w:val="18"/>
          <w:szCs w:val="18"/>
        </w:rPr>
        <w:t>Trueman</w:t>
      </w:r>
      <w:proofErr w:type="spellEnd"/>
      <w:r w:rsidR="00795D32" w:rsidRPr="0011693D">
        <w:rPr>
          <w:rFonts w:eastAsia="Calibri"/>
          <w:sz w:val="18"/>
          <w:szCs w:val="18"/>
        </w:rPr>
        <w:t xml:space="preserve">, 1994); </w:t>
      </w:r>
      <w:r w:rsidR="00FD16EC" w:rsidRPr="0011693D">
        <w:rPr>
          <w:rFonts w:eastAsia="Calibri"/>
          <w:sz w:val="18"/>
          <w:szCs w:val="18"/>
        </w:rPr>
        <w:t xml:space="preserve">when trading volume is high trading could due to overconfidence </w:t>
      </w:r>
      <w:r w:rsidR="00FD16EC" w:rsidRPr="0011693D">
        <w:rPr>
          <w:sz w:val="18"/>
          <w:szCs w:val="18"/>
        </w:rPr>
        <w:t>(</w:t>
      </w:r>
      <w:r w:rsidR="00FD16EC" w:rsidRPr="0011693D">
        <w:rPr>
          <w:rFonts w:eastAsia="Calibri"/>
          <w:sz w:val="18"/>
          <w:szCs w:val="18"/>
          <w:lang w:val="en-US"/>
        </w:rPr>
        <w:t>Daniel, et al., 1998</w:t>
      </w:r>
      <w:r w:rsidR="00FD16EC" w:rsidRPr="0011693D">
        <w:rPr>
          <w:sz w:val="18"/>
          <w:szCs w:val="18"/>
        </w:rPr>
        <w:t>)</w:t>
      </w:r>
      <w:r w:rsidR="00FD16EC" w:rsidRPr="0011693D">
        <w:rPr>
          <w:rFonts w:eastAsia="Calibri"/>
          <w:sz w:val="18"/>
          <w:szCs w:val="18"/>
        </w:rPr>
        <w:t xml:space="preserve">, when trading volume is low herding could be due to </w:t>
      </w:r>
      <w:r w:rsidR="0011693D" w:rsidRPr="0011693D">
        <w:rPr>
          <w:rFonts w:eastAsia="Calibri"/>
          <w:sz w:val="18"/>
          <w:szCs w:val="18"/>
        </w:rPr>
        <w:t xml:space="preserve">risk aversion </w:t>
      </w:r>
      <w:r w:rsidR="0011693D" w:rsidRPr="0011693D">
        <w:rPr>
          <w:sz w:val="18"/>
          <w:szCs w:val="18"/>
        </w:rPr>
        <w:t>(</w:t>
      </w:r>
      <w:r w:rsidR="0011693D" w:rsidRPr="0011693D">
        <w:rPr>
          <w:rFonts w:eastAsia="Calibri"/>
          <w:sz w:val="18"/>
          <w:szCs w:val="18"/>
        </w:rPr>
        <w:t>Kahneman and Tversky, 1979)</w:t>
      </w:r>
      <w:r w:rsidR="0011693D" w:rsidRPr="0011693D">
        <w:rPr>
          <w:rFonts w:eastAsia="Calibri"/>
          <w:sz w:val="18"/>
          <w:szCs w:val="18"/>
        </w:rPr>
        <w:t xml:space="preserve">. </w:t>
      </w:r>
    </w:p>
  </w:footnote>
  <w:footnote w:id="3">
    <w:p w14:paraId="33F13C35" w14:textId="77777777" w:rsidR="003751C2" w:rsidRPr="0011693D" w:rsidRDefault="003751C2" w:rsidP="0054021D">
      <w:pPr>
        <w:pStyle w:val="NoSpacing"/>
        <w:rPr>
          <w:rFonts w:asciiTheme="minorHAnsi" w:hAnsiTheme="minorHAnsi" w:cstheme="minorHAnsi"/>
          <w:sz w:val="18"/>
          <w:szCs w:val="18"/>
        </w:rPr>
      </w:pPr>
      <w:r w:rsidRPr="0011693D">
        <w:rPr>
          <w:rStyle w:val="FootnoteReference"/>
          <w:rFonts w:asciiTheme="minorHAnsi" w:hAnsiTheme="minorHAnsi" w:cstheme="minorHAnsi"/>
          <w:sz w:val="18"/>
          <w:szCs w:val="18"/>
        </w:rPr>
        <w:footnoteRef/>
      </w:r>
      <w:r w:rsidRPr="0011693D">
        <w:rPr>
          <w:rFonts w:asciiTheme="minorHAnsi" w:hAnsiTheme="minorHAnsi" w:cstheme="minorHAnsi"/>
          <w:sz w:val="18"/>
          <w:szCs w:val="18"/>
        </w:rPr>
        <w:t xml:space="preserve"> S&amp;P500 is used as a proxy for the US market</w:t>
      </w:r>
    </w:p>
  </w:footnote>
  <w:footnote w:id="4">
    <w:p w14:paraId="64A32C03" w14:textId="24C09314" w:rsidR="00024573" w:rsidRPr="0011693D" w:rsidRDefault="00024573">
      <w:pPr>
        <w:pStyle w:val="FootnoteText"/>
        <w:rPr>
          <w:sz w:val="18"/>
          <w:szCs w:val="18"/>
        </w:rPr>
      </w:pPr>
      <w:r w:rsidRPr="0011693D">
        <w:rPr>
          <w:rStyle w:val="FootnoteReference"/>
          <w:sz w:val="18"/>
          <w:szCs w:val="18"/>
        </w:rPr>
        <w:footnoteRef/>
      </w:r>
      <w:r w:rsidRPr="0011693D">
        <w:rPr>
          <w:sz w:val="18"/>
          <w:szCs w:val="18"/>
        </w:rPr>
        <w:t xml:space="preserve"> </w:t>
      </w:r>
      <w:r w:rsidR="00320489" w:rsidRPr="0011693D">
        <w:rPr>
          <w:sz w:val="18"/>
          <w:szCs w:val="18"/>
        </w:rPr>
        <w:t>To account for a</w:t>
      </w:r>
      <w:r w:rsidRPr="0011693D">
        <w:rPr>
          <w:sz w:val="18"/>
          <w:szCs w:val="18"/>
        </w:rPr>
        <w:t>dditions and deletions</w:t>
      </w:r>
      <w:r w:rsidR="00320489" w:rsidRPr="0011693D">
        <w:rPr>
          <w:sz w:val="18"/>
          <w:szCs w:val="18"/>
        </w:rPr>
        <w:t xml:space="preserve"> for every month, we have used the updated constituents of the index. </w:t>
      </w:r>
    </w:p>
  </w:footnote>
  <w:footnote w:id="5">
    <w:p w14:paraId="204D106F" w14:textId="2396955E" w:rsidR="003751C2" w:rsidRPr="0011693D" w:rsidRDefault="003751C2" w:rsidP="0054021D">
      <w:pPr>
        <w:pStyle w:val="NoSpacing"/>
        <w:rPr>
          <w:rFonts w:asciiTheme="minorHAnsi" w:hAnsiTheme="minorHAnsi" w:cstheme="minorHAnsi"/>
          <w:sz w:val="18"/>
          <w:szCs w:val="18"/>
        </w:rPr>
      </w:pPr>
      <w:r w:rsidRPr="0011693D">
        <w:rPr>
          <w:rStyle w:val="FootnoteReference"/>
          <w:rFonts w:asciiTheme="minorHAnsi" w:hAnsiTheme="minorHAnsi" w:cstheme="minorHAnsi"/>
          <w:sz w:val="18"/>
          <w:szCs w:val="18"/>
        </w:rPr>
        <w:footnoteRef/>
      </w:r>
      <w:r w:rsidRPr="0011693D">
        <w:rPr>
          <w:rFonts w:asciiTheme="minorHAnsi" w:hAnsiTheme="minorHAnsi" w:cstheme="minorHAnsi"/>
          <w:sz w:val="18"/>
          <w:szCs w:val="18"/>
        </w:rPr>
        <w:t xml:space="preserve"> The data that support the findings of this study are available from the corresponding author, [I.U], upon reasonable request.</w:t>
      </w:r>
    </w:p>
  </w:footnote>
  <w:footnote w:id="6">
    <w:p w14:paraId="24B15A6C" w14:textId="6D65EC66" w:rsidR="003751C2" w:rsidRPr="0011693D" w:rsidRDefault="003751C2" w:rsidP="004556EC">
      <w:pPr>
        <w:pStyle w:val="FootnoteText"/>
        <w:rPr>
          <w:sz w:val="18"/>
          <w:szCs w:val="18"/>
        </w:rPr>
      </w:pPr>
      <w:r w:rsidRPr="0011693D">
        <w:rPr>
          <w:rStyle w:val="FootnoteReference"/>
          <w:sz w:val="18"/>
          <w:szCs w:val="18"/>
        </w:rPr>
        <w:footnoteRef/>
      </w:r>
      <w:r w:rsidRPr="0011693D">
        <w:rPr>
          <w:sz w:val="18"/>
          <w:szCs w:val="18"/>
        </w:rPr>
        <w:t xml:space="preserve"> The sectors are as follows: </w:t>
      </w:r>
      <w:r w:rsidRPr="0011693D">
        <w:rPr>
          <w:rStyle w:val="NoSpacingChar"/>
          <w:sz w:val="18"/>
          <w:szCs w:val="18"/>
        </w:rPr>
        <w:t xml:space="preserve">Basic Resources, Consumer Staples, Energy, Financials, Health care, Industrials, Real Estate, Technology, Telecommunications and utilities. </w:t>
      </w:r>
    </w:p>
  </w:footnote>
  <w:footnote w:id="7">
    <w:p w14:paraId="4462722B" w14:textId="79A59929" w:rsidR="00CB70E5" w:rsidRPr="0011693D" w:rsidRDefault="00CB70E5">
      <w:pPr>
        <w:pStyle w:val="FootnoteText"/>
        <w:rPr>
          <w:sz w:val="18"/>
          <w:szCs w:val="18"/>
        </w:rPr>
      </w:pPr>
      <w:r w:rsidRPr="0011693D">
        <w:rPr>
          <w:rStyle w:val="FootnoteReference"/>
          <w:sz w:val="18"/>
          <w:szCs w:val="18"/>
        </w:rPr>
        <w:footnoteRef/>
      </w:r>
      <w:r w:rsidRPr="0011693D">
        <w:rPr>
          <w:sz w:val="18"/>
          <w:szCs w:val="18"/>
        </w:rPr>
        <w:t xml:space="preserve"> Hwang and Salmon (2004) provide an alternative state-space model for investigating macro herding. However, this model has a major shortcoming: it utilises monthly data which is insufficient to capture herding as a short-term phenomenon.  </w:t>
      </w:r>
    </w:p>
  </w:footnote>
  <w:footnote w:id="8">
    <w:p w14:paraId="3D6E5653" w14:textId="566945F9" w:rsidR="003751C2" w:rsidRPr="00A47CA5" w:rsidRDefault="003751C2">
      <w:pPr>
        <w:pStyle w:val="FootnoteText"/>
        <w:rPr>
          <w:sz w:val="20"/>
        </w:rPr>
      </w:pPr>
      <w:r w:rsidRPr="00A47CA5">
        <w:rPr>
          <w:rStyle w:val="FootnoteReference"/>
          <w:sz w:val="20"/>
        </w:rPr>
        <w:footnoteRef/>
      </w:r>
      <w:r w:rsidRPr="00A47CA5">
        <w:rPr>
          <w:sz w:val="20"/>
        </w:rPr>
        <w:t xml:space="preserve"> For models 2 to 4, herding exists when γ3 &lt; 0 and γ4 &lt; 0 and statistically significant.</w:t>
      </w:r>
      <w:r w:rsidR="00A47CA5">
        <w:rPr>
          <w:sz w:val="20"/>
        </w:rPr>
        <w:t xml:space="preserve"> Anti-herding exists when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EC"/>
    <w:rsid w:val="00001899"/>
    <w:rsid w:val="000049AD"/>
    <w:rsid w:val="00005E0F"/>
    <w:rsid w:val="000067AB"/>
    <w:rsid w:val="0000681B"/>
    <w:rsid w:val="00006CE0"/>
    <w:rsid w:val="0001091F"/>
    <w:rsid w:val="00010A02"/>
    <w:rsid w:val="000133C0"/>
    <w:rsid w:val="00014C4E"/>
    <w:rsid w:val="00017107"/>
    <w:rsid w:val="000202E2"/>
    <w:rsid w:val="00020B19"/>
    <w:rsid w:val="0002241A"/>
    <w:rsid w:val="00022441"/>
    <w:rsid w:val="0002261E"/>
    <w:rsid w:val="00024573"/>
    <w:rsid w:val="00024839"/>
    <w:rsid w:val="00025903"/>
    <w:rsid w:val="00026871"/>
    <w:rsid w:val="00033239"/>
    <w:rsid w:val="00037A98"/>
    <w:rsid w:val="000405EE"/>
    <w:rsid w:val="0004246E"/>
    <w:rsid w:val="000426FF"/>
    <w:rsid w:val="000427FB"/>
    <w:rsid w:val="0004455E"/>
    <w:rsid w:val="00047115"/>
    <w:rsid w:val="00047CB5"/>
    <w:rsid w:val="00051FAA"/>
    <w:rsid w:val="000572A9"/>
    <w:rsid w:val="00061325"/>
    <w:rsid w:val="000632FC"/>
    <w:rsid w:val="00065393"/>
    <w:rsid w:val="000733AC"/>
    <w:rsid w:val="00074B81"/>
    <w:rsid w:val="00074D22"/>
    <w:rsid w:val="00075081"/>
    <w:rsid w:val="0007528A"/>
    <w:rsid w:val="000811AB"/>
    <w:rsid w:val="00081DA3"/>
    <w:rsid w:val="00081E4B"/>
    <w:rsid w:val="00083C5F"/>
    <w:rsid w:val="000856BA"/>
    <w:rsid w:val="0009172C"/>
    <w:rsid w:val="000930EC"/>
    <w:rsid w:val="00095E61"/>
    <w:rsid w:val="000966C1"/>
    <w:rsid w:val="000970AC"/>
    <w:rsid w:val="00097186"/>
    <w:rsid w:val="000A1167"/>
    <w:rsid w:val="000A3D9C"/>
    <w:rsid w:val="000A4428"/>
    <w:rsid w:val="000A6D40"/>
    <w:rsid w:val="000A7BC3"/>
    <w:rsid w:val="000B1661"/>
    <w:rsid w:val="000B1F0B"/>
    <w:rsid w:val="000B2E88"/>
    <w:rsid w:val="000B4603"/>
    <w:rsid w:val="000B47DC"/>
    <w:rsid w:val="000C09BE"/>
    <w:rsid w:val="000C1380"/>
    <w:rsid w:val="000C2CBA"/>
    <w:rsid w:val="000C554F"/>
    <w:rsid w:val="000D0DC5"/>
    <w:rsid w:val="000D15FF"/>
    <w:rsid w:val="000D28DF"/>
    <w:rsid w:val="000D488B"/>
    <w:rsid w:val="000D68DF"/>
    <w:rsid w:val="000E138D"/>
    <w:rsid w:val="000E187A"/>
    <w:rsid w:val="000E2D61"/>
    <w:rsid w:val="000E450E"/>
    <w:rsid w:val="000E6259"/>
    <w:rsid w:val="000F025D"/>
    <w:rsid w:val="000F4677"/>
    <w:rsid w:val="000F5BE0"/>
    <w:rsid w:val="00100587"/>
    <w:rsid w:val="001011D3"/>
    <w:rsid w:val="0010284E"/>
    <w:rsid w:val="00103122"/>
    <w:rsid w:val="0010336A"/>
    <w:rsid w:val="001050F1"/>
    <w:rsid w:val="00105AEA"/>
    <w:rsid w:val="00106264"/>
    <w:rsid w:val="00106DAF"/>
    <w:rsid w:val="00113917"/>
    <w:rsid w:val="00114ABE"/>
    <w:rsid w:val="00115088"/>
    <w:rsid w:val="00116023"/>
    <w:rsid w:val="0011693D"/>
    <w:rsid w:val="00116CF7"/>
    <w:rsid w:val="001236AE"/>
    <w:rsid w:val="00125390"/>
    <w:rsid w:val="00131485"/>
    <w:rsid w:val="00134A51"/>
    <w:rsid w:val="00140727"/>
    <w:rsid w:val="00140856"/>
    <w:rsid w:val="00143B1E"/>
    <w:rsid w:val="001554B1"/>
    <w:rsid w:val="00160628"/>
    <w:rsid w:val="00161344"/>
    <w:rsid w:val="00162195"/>
    <w:rsid w:val="0016322A"/>
    <w:rsid w:val="00164BBA"/>
    <w:rsid w:val="00164EB8"/>
    <w:rsid w:val="00165A21"/>
    <w:rsid w:val="00165F59"/>
    <w:rsid w:val="0016610B"/>
    <w:rsid w:val="001705CE"/>
    <w:rsid w:val="001724F4"/>
    <w:rsid w:val="00174168"/>
    <w:rsid w:val="00174611"/>
    <w:rsid w:val="00174B00"/>
    <w:rsid w:val="0017589B"/>
    <w:rsid w:val="0017714B"/>
    <w:rsid w:val="00177D09"/>
    <w:rsid w:val="001804DF"/>
    <w:rsid w:val="00181BDC"/>
    <w:rsid w:val="00181DB0"/>
    <w:rsid w:val="00181E5B"/>
    <w:rsid w:val="00182990"/>
    <w:rsid w:val="001829E3"/>
    <w:rsid w:val="00183FD7"/>
    <w:rsid w:val="00186707"/>
    <w:rsid w:val="00190D84"/>
    <w:rsid w:val="00190FE2"/>
    <w:rsid w:val="001924C0"/>
    <w:rsid w:val="00193C2C"/>
    <w:rsid w:val="00196543"/>
    <w:rsid w:val="00196F3F"/>
    <w:rsid w:val="001971A0"/>
    <w:rsid w:val="0019731E"/>
    <w:rsid w:val="001974B9"/>
    <w:rsid w:val="001A09FE"/>
    <w:rsid w:val="001A493E"/>
    <w:rsid w:val="001A67C9"/>
    <w:rsid w:val="001A69DE"/>
    <w:rsid w:val="001A713C"/>
    <w:rsid w:val="001B19B0"/>
    <w:rsid w:val="001B1C7C"/>
    <w:rsid w:val="001B372F"/>
    <w:rsid w:val="001B398F"/>
    <w:rsid w:val="001B46C6"/>
    <w:rsid w:val="001B4B48"/>
    <w:rsid w:val="001B4D1F"/>
    <w:rsid w:val="001B7681"/>
    <w:rsid w:val="001B7CAE"/>
    <w:rsid w:val="001C0772"/>
    <w:rsid w:val="001C0D4F"/>
    <w:rsid w:val="001C1BA3"/>
    <w:rsid w:val="001C1DEC"/>
    <w:rsid w:val="001C5736"/>
    <w:rsid w:val="001C75B5"/>
    <w:rsid w:val="001C7751"/>
    <w:rsid w:val="001D351F"/>
    <w:rsid w:val="001D540A"/>
    <w:rsid w:val="001D647F"/>
    <w:rsid w:val="001D6857"/>
    <w:rsid w:val="001E0572"/>
    <w:rsid w:val="001E0A67"/>
    <w:rsid w:val="001E1028"/>
    <w:rsid w:val="001E14E2"/>
    <w:rsid w:val="001E6302"/>
    <w:rsid w:val="001E7DCB"/>
    <w:rsid w:val="001F3411"/>
    <w:rsid w:val="001F3DAA"/>
    <w:rsid w:val="001F4287"/>
    <w:rsid w:val="001F4DBA"/>
    <w:rsid w:val="001F6CB3"/>
    <w:rsid w:val="0020415E"/>
    <w:rsid w:val="00204FB8"/>
    <w:rsid w:val="00204FF4"/>
    <w:rsid w:val="0021056E"/>
    <w:rsid w:val="0021075D"/>
    <w:rsid w:val="0021165A"/>
    <w:rsid w:val="00211B15"/>
    <w:rsid w:val="00211BC9"/>
    <w:rsid w:val="0021233C"/>
    <w:rsid w:val="00214775"/>
    <w:rsid w:val="002150F3"/>
    <w:rsid w:val="0021620C"/>
    <w:rsid w:val="00216E78"/>
    <w:rsid w:val="00217275"/>
    <w:rsid w:val="002211DD"/>
    <w:rsid w:val="00223762"/>
    <w:rsid w:val="00231D11"/>
    <w:rsid w:val="00236F4B"/>
    <w:rsid w:val="00242B0D"/>
    <w:rsid w:val="00246118"/>
    <w:rsid w:val="0024672E"/>
    <w:rsid w:val="002467C6"/>
    <w:rsid w:val="0024692A"/>
    <w:rsid w:val="00250183"/>
    <w:rsid w:val="00252BBA"/>
    <w:rsid w:val="00252CDB"/>
    <w:rsid w:val="00253123"/>
    <w:rsid w:val="002550F7"/>
    <w:rsid w:val="00264001"/>
    <w:rsid w:val="00265889"/>
    <w:rsid w:val="00266354"/>
    <w:rsid w:val="002675E4"/>
    <w:rsid w:val="00267A18"/>
    <w:rsid w:val="00271232"/>
    <w:rsid w:val="00273462"/>
    <w:rsid w:val="0027395B"/>
    <w:rsid w:val="00275854"/>
    <w:rsid w:val="00283B41"/>
    <w:rsid w:val="00285F28"/>
    <w:rsid w:val="00286398"/>
    <w:rsid w:val="0028793D"/>
    <w:rsid w:val="00293178"/>
    <w:rsid w:val="002A3C42"/>
    <w:rsid w:val="002A3CD1"/>
    <w:rsid w:val="002A5D75"/>
    <w:rsid w:val="002B1B1A"/>
    <w:rsid w:val="002B3B89"/>
    <w:rsid w:val="002B7228"/>
    <w:rsid w:val="002C53EE"/>
    <w:rsid w:val="002D0690"/>
    <w:rsid w:val="002D24F7"/>
    <w:rsid w:val="002D2799"/>
    <w:rsid w:val="002D2CD7"/>
    <w:rsid w:val="002D4DDC"/>
    <w:rsid w:val="002D4F75"/>
    <w:rsid w:val="002D6493"/>
    <w:rsid w:val="002D7AB6"/>
    <w:rsid w:val="002E06D0"/>
    <w:rsid w:val="002E2761"/>
    <w:rsid w:val="002E3C27"/>
    <w:rsid w:val="002E403A"/>
    <w:rsid w:val="002E7F3A"/>
    <w:rsid w:val="002F03D5"/>
    <w:rsid w:val="002F4EDB"/>
    <w:rsid w:val="002F6054"/>
    <w:rsid w:val="0031024F"/>
    <w:rsid w:val="0031053E"/>
    <w:rsid w:val="00310E13"/>
    <w:rsid w:val="00315713"/>
    <w:rsid w:val="00316868"/>
    <w:rsid w:val="0031686C"/>
    <w:rsid w:val="00316FE0"/>
    <w:rsid w:val="00317FDA"/>
    <w:rsid w:val="00320489"/>
    <w:rsid w:val="003204D2"/>
    <w:rsid w:val="0032605E"/>
    <w:rsid w:val="003275D1"/>
    <w:rsid w:val="00330B2A"/>
    <w:rsid w:val="00331E17"/>
    <w:rsid w:val="00333063"/>
    <w:rsid w:val="003408E3"/>
    <w:rsid w:val="00343480"/>
    <w:rsid w:val="00345E89"/>
    <w:rsid w:val="003522A1"/>
    <w:rsid w:val="00352408"/>
    <w:rsid w:val="0035254B"/>
    <w:rsid w:val="00353555"/>
    <w:rsid w:val="003565D4"/>
    <w:rsid w:val="003607FB"/>
    <w:rsid w:val="00360FD5"/>
    <w:rsid w:val="00361409"/>
    <w:rsid w:val="0036340D"/>
    <w:rsid w:val="003634A5"/>
    <w:rsid w:val="00366868"/>
    <w:rsid w:val="00367506"/>
    <w:rsid w:val="00370085"/>
    <w:rsid w:val="003744A7"/>
    <w:rsid w:val="003751C2"/>
    <w:rsid w:val="00376235"/>
    <w:rsid w:val="00380BA7"/>
    <w:rsid w:val="00380D93"/>
    <w:rsid w:val="00381FB6"/>
    <w:rsid w:val="003836D3"/>
    <w:rsid w:val="00383A52"/>
    <w:rsid w:val="00385632"/>
    <w:rsid w:val="00391652"/>
    <w:rsid w:val="0039507F"/>
    <w:rsid w:val="003A07A7"/>
    <w:rsid w:val="003A1260"/>
    <w:rsid w:val="003A295F"/>
    <w:rsid w:val="003A2F62"/>
    <w:rsid w:val="003A41DD"/>
    <w:rsid w:val="003A7033"/>
    <w:rsid w:val="003B47FE"/>
    <w:rsid w:val="003B5673"/>
    <w:rsid w:val="003B59A9"/>
    <w:rsid w:val="003B6287"/>
    <w:rsid w:val="003B62C9"/>
    <w:rsid w:val="003C0B4C"/>
    <w:rsid w:val="003C265C"/>
    <w:rsid w:val="003C7176"/>
    <w:rsid w:val="003D0929"/>
    <w:rsid w:val="003D4729"/>
    <w:rsid w:val="003D61DC"/>
    <w:rsid w:val="003D7DD6"/>
    <w:rsid w:val="003E52D6"/>
    <w:rsid w:val="003E5AAF"/>
    <w:rsid w:val="003E600D"/>
    <w:rsid w:val="003E64DF"/>
    <w:rsid w:val="003E6A5D"/>
    <w:rsid w:val="003F193A"/>
    <w:rsid w:val="003F4207"/>
    <w:rsid w:val="003F5C46"/>
    <w:rsid w:val="003F7391"/>
    <w:rsid w:val="003F7CBB"/>
    <w:rsid w:val="003F7D34"/>
    <w:rsid w:val="00402FF6"/>
    <w:rsid w:val="004030C7"/>
    <w:rsid w:val="0040395A"/>
    <w:rsid w:val="00411C27"/>
    <w:rsid w:val="00412C8E"/>
    <w:rsid w:val="0041518D"/>
    <w:rsid w:val="00415EDD"/>
    <w:rsid w:val="00421443"/>
    <w:rsid w:val="0042221D"/>
    <w:rsid w:val="00424DD3"/>
    <w:rsid w:val="004269C5"/>
    <w:rsid w:val="0043396D"/>
    <w:rsid w:val="0043499D"/>
    <w:rsid w:val="00435939"/>
    <w:rsid w:val="00437CC7"/>
    <w:rsid w:val="00441E91"/>
    <w:rsid w:val="00442363"/>
    <w:rsid w:val="00442B9C"/>
    <w:rsid w:val="00445EFA"/>
    <w:rsid w:val="00445F9A"/>
    <w:rsid w:val="0044738A"/>
    <w:rsid w:val="004473D3"/>
    <w:rsid w:val="00447C2D"/>
    <w:rsid w:val="00451703"/>
    <w:rsid w:val="00452231"/>
    <w:rsid w:val="004556EC"/>
    <w:rsid w:val="004558C6"/>
    <w:rsid w:val="00455AA3"/>
    <w:rsid w:val="004563BF"/>
    <w:rsid w:val="00460C13"/>
    <w:rsid w:val="00463228"/>
    <w:rsid w:val="00463782"/>
    <w:rsid w:val="004667E0"/>
    <w:rsid w:val="0046760E"/>
    <w:rsid w:val="00470E10"/>
    <w:rsid w:val="00471119"/>
    <w:rsid w:val="00477A97"/>
    <w:rsid w:val="00481343"/>
    <w:rsid w:val="00482B80"/>
    <w:rsid w:val="0048549E"/>
    <w:rsid w:val="00485E4E"/>
    <w:rsid w:val="00490980"/>
    <w:rsid w:val="004930C6"/>
    <w:rsid w:val="00493347"/>
    <w:rsid w:val="00496092"/>
    <w:rsid w:val="004A08DB"/>
    <w:rsid w:val="004A25D0"/>
    <w:rsid w:val="004A37E8"/>
    <w:rsid w:val="004A7549"/>
    <w:rsid w:val="004B02B1"/>
    <w:rsid w:val="004B09D4"/>
    <w:rsid w:val="004B309D"/>
    <w:rsid w:val="004B330A"/>
    <w:rsid w:val="004B7C8E"/>
    <w:rsid w:val="004C3D3C"/>
    <w:rsid w:val="004C648A"/>
    <w:rsid w:val="004C6BCC"/>
    <w:rsid w:val="004D0EDC"/>
    <w:rsid w:val="004D1220"/>
    <w:rsid w:val="004D14B3"/>
    <w:rsid w:val="004D1529"/>
    <w:rsid w:val="004D2253"/>
    <w:rsid w:val="004D3368"/>
    <w:rsid w:val="004D5514"/>
    <w:rsid w:val="004D56C3"/>
    <w:rsid w:val="004D67D2"/>
    <w:rsid w:val="004E0338"/>
    <w:rsid w:val="004E4FF3"/>
    <w:rsid w:val="004E56A8"/>
    <w:rsid w:val="004F059A"/>
    <w:rsid w:val="004F3B55"/>
    <w:rsid w:val="004F3F2B"/>
    <w:rsid w:val="004F428E"/>
    <w:rsid w:val="004F4E46"/>
    <w:rsid w:val="004F6B7D"/>
    <w:rsid w:val="005015F6"/>
    <w:rsid w:val="005030C4"/>
    <w:rsid w:val="005031C5"/>
    <w:rsid w:val="00503FE2"/>
    <w:rsid w:val="00504FDC"/>
    <w:rsid w:val="005120CC"/>
    <w:rsid w:val="00512B7B"/>
    <w:rsid w:val="0051384D"/>
    <w:rsid w:val="00514EA1"/>
    <w:rsid w:val="0051798B"/>
    <w:rsid w:val="00521F5A"/>
    <w:rsid w:val="00525E06"/>
    <w:rsid w:val="00526454"/>
    <w:rsid w:val="00531823"/>
    <w:rsid w:val="00534ECC"/>
    <w:rsid w:val="0053720D"/>
    <w:rsid w:val="0054021D"/>
    <w:rsid w:val="00540EF5"/>
    <w:rsid w:val="00541BF3"/>
    <w:rsid w:val="00541CBB"/>
    <w:rsid w:val="00541CD3"/>
    <w:rsid w:val="005476FA"/>
    <w:rsid w:val="00550478"/>
    <w:rsid w:val="00551DB9"/>
    <w:rsid w:val="0055595E"/>
    <w:rsid w:val="00557988"/>
    <w:rsid w:val="0056224F"/>
    <w:rsid w:val="00562C49"/>
    <w:rsid w:val="00562DEF"/>
    <w:rsid w:val="0056321A"/>
    <w:rsid w:val="00563A35"/>
    <w:rsid w:val="00566596"/>
    <w:rsid w:val="005735BE"/>
    <w:rsid w:val="005741E9"/>
    <w:rsid w:val="005748CF"/>
    <w:rsid w:val="00575842"/>
    <w:rsid w:val="00584270"/>
    <w:rsid w:val="00584738"/>
    <w:rsid w:val="005920B0"/>
    <w:rsid w:val="0059380D"/>
    <w:rsid w:val="00595A8F"/>
    <w:rsid w:val="005977C2"/>
    <w:rsid w:val="00597BF2"/>
    <w:rsid w:val="005A1F54"/>
    <w:rsid w:val="005A3020"/>
    <w:rsid w:val="005B134E"/>
    <w:rsid w:val="005B2039"/>
    <w:rsid w:val="005B2834"/>
    <w:rsid w:val="005B344F"/>
    <w:rsid w:val="005B3FBA"/>
    <w:rsid w:val="005B4A1D"/>
    <w:rsid w:val="005B674D"/>
    <w:rsid w:val="005C056D"/>
    <w:rsid w:val="005C0CBE"/>
    <w:rsid w:val="005C1FCF"/>
    <w:rsid w:val="005C35C9"/>
    <w:rsid w:val="005C3789"/>
    <w:rsid w:val="005C3F41"/>
    <w:rsid w:val="005C7561"/>
    <w:rsid w:val="005D0C68"/>
    <w:rsid w:val="005D1885"/>
    <w:rsid w:val="005D1F0D"/>
    <w:rsid w:val="005D37EF"/>
    <w:rsid w:val="005D4A38"/>
    <w:rsid w:val="005D5A8C"/>
    <w:rsid w:val="005E0340"/>
    <w:rsid w:val="005E2EEA"/>
    <w:rsid w:val="005E31AB"/>
    <w:rsid w:val="005E3708"/>
    <w:rsid w:val="005E3CCD"/>
    <w:rsid w:val="005E3D6B"/>
    <w:rsid w:val="005E5B55"/>
    <w:rsid w:val="005E5E4A"/>
    <w:rsid w:val="005E65B4"/>
    <w:rsid w:val="005E693D"/>
    <w:rsid w:val="005E75BF"/>
    <w:rsid w:val="005F1774"/>
    <w:rsid w:val="005F57BA"/>
    <w:rsid w:val="005F61E6"/>
    <w:rsid w:val="005F6C45"/>
    <w:rsid w:val="005F778C"/>
    <w:rsid w:val="00604129"/>
    <w:rsid w:val="006054F9"/>
    <w:rsid w:val="00605A69"/>
    <w:rsid w:val="00606C54"/>
    <w:rsid w:val="00611808"/>
    <w:rsid w:val="00614375"/>
    <w:rsid w:val="00615722"/>
    <w:rsid w:val="00615B0A"/>
    <w:rsid w:val="006168CF"/>
    <w:rsid w:val="0062011B"/>
    <w:rsid w:val="00620F75"/>
    <w:rsid w:val="00621757"/>
    <w:rsid w:val="0062316C"/>
    <w:rsid w:val="00626DE0"/>
    <w:rsid w:val="00630901"/>
    <w:rsid w:val="00631F8E"/>
    <w:rsid w:val="00636EE9"/>
    <w:rsid w:val="00640950"/>
    <w:rsid w:val="00641AE7"/>
    <w:rsid w:val="00642629"/>
    <w:rsid w:val="0064782B"/>
    <w:rsid w:val="00652870"/>
    <w:rsid w:val="0065293D"/>
    <w:rsid w:val="00653EFC"/>
    <w:rsid w:val="00654021"/>
    <w:rsid w:val="00654056"/>
    <w:rsid w:val="006603DF"/>
    <w:rsid w:val="00661045"/>
    <w:rsid w:val="00661046"/>
    <w:rsid w:val="00664E4B"/>
    <w:rsid w:val="00665AFD"/>
    <w:rsid w:val="00666DA8"/>
    <w:rsid w:val="006705EF"/>
    <w:rsid w:val="00671057"/>
    <w:rsid w:val="00671CC8"/>
    <w:rsid w:val="00675AAF"/>
    <w:rsid w:val="0068031A"/>
    <w:rsid w:val="00681B2F"/>
    <w:rsid w:val="00683357"/>
    <w:rsid w:val="0068335F"/>
    <w:rsid w:val="00683FEC"/>
    <w:rsid w:val="00684088"/>
    <w:rsid w:val="00687217"/>
    <w:rsid w:val="006906CF"/>
    <w:rsid w:val="00692F1C"/>
    <w:rsid w:val="00693302"/>
    <w:rsid w:val="0069563C"/>
    <w:rsid w:val="0069640B"/>
    <w:rsid w:val="006A1B83"/>
    <w:rsid w:val="006A21CD"/>
    <w:rsid w:val="006A43B4"/>
    <w:rsid w:val="006A5918"/>
    <w:rsid w:val="006B21B2"/>
    <w:rsid w:val="006B4A4A"/>
    <w:rsid w:val="006B7BDB"/>
    <w:rsid w:val="006C02E2"/>
    <w:rsid w:val="006C19B2"/>
    <w:rsid w:val="006C29CE"/>
    <w:rsid w:val="006C4409"/>
    <w:rsid w:val="006C5BB8"/>
    <w:rsid w:val="006C6936"/>
    <w:rsid w:val="006C7B01"/>
    <w:rsid w:val="006C7FC0"/>
    <w:rsid w:val="006D0B9A"/>
    <w:rsid w:val="006D0FE8"/>
    <w:rsid w:val="006D20A9"/>
    <w:rsid w:val="006D4B2B"/>
    <w:rsid w:val="006D4F3C"/>
    <w:rsid w:val="006D5C66"/>
    <w:rsid w:val="006D5C67"/>
    <w:rsid w:val="006D6C6D"/>
    <w:rsid w:val="006D7002"/>
    <w:rsid w:val="006E1B3C"/>
    <w:rsid w:val="006E23FB"/>
    <w:rsid w:val="006E325A"/>
    <w:rsid w:val="006E33EC"/>
    <w:rsid w:val="006E3802"/>
    <w:rsid w:val="006E3C0B"/>
    <w:rsid w:val="006E601E"/>
    <w:rsid w:val="006E6C02"/>
    <w:rsid w:val="006F231A"/>
    <w:rsid w:val="006F6027"/>
    <w:rsid w:val="006F6B55"/>
    <w:rsid w:val="006F788D"/>
    <w:rsid w:val="006F78E1"/>
    <w:rsid w:val="00701072"/>
    <w:rsid w:val="00702054"/>
    <w:rsid w:val="007035A4"/>
    <w:rsid w:val="00705DBB"/>
    <w:rsid w:val="00711799"/>
    <w:rsid w:val="00711F59"/>
    <w:rsid w:val="00712B78"/>
    <w:rsid w:val="0071393B"/>
    <w:rsid w:val="00713EE2"/>
    <w:rsid w:val="00714000"/>
    <w:rsid w:val="007176FC"/>
    <w:rsid w:val="007177FC"/>
    <w:rsid w:val="00720C5E"/>
    <w:rsid w:val="00721701"/>
    <w:rsid w:val="00731835"/>
    <w:rsid w:val="00732BED"/>
    <w:rsid w:val="00733E34"/>
    <w:rsid w:val="007341F8"/>
    <w:rsid w:val="00734372"/>
    <w:rsid w:val="00734EB8"/>
    <w:rsid w:val="00735F8B"/>
    <w:rsid w:val="00740263"/>
    <w:rsid w:val="0074090B"/>
    <w:rsid w:val="00742D1F"/>
    <w:rsid w:val="00743EBA"/>
    <w:rsid w:val="00744C8E"/>
    <w:rsid w:val="00745CEC"/>
    <w:rsid w:val="0074707E"/>
    <w:rsid w:val="0075040E"/>
    <w:rsid w:val="007516DC"/>
    <w:rsid w:val="00752E58"/>
    <w:rsid w:val="00754B80"/>
    <w:rsid w:val="00761918"/>
    <w:rsid w:val="00762F03"/>
    <w:rsid w:val="00763F57"/>
    <w:rsid w:val="0076413B"/>
    <w:rsid w:val="007648AE"/>
    <w:rsid w:val="00764BF8"/>
    <w:rsid w:val="0076514D"/>
    <w:rsid w:val="00766FA7"/>
    <w:rsid w:val="0077118F"/>
    <w:rsid w:val="00773D59"/>
    <w:rsid w:val="00777512"/>
    <w:rsid w:val="00781003"/>
    <w:rsid w:val="007857EF"/>
    <w:rsid w:val="007911FD"/>
    <w:rsid w:val="00793930"/>
    <w:rsid w:val="00793DD1"/>
    <w:rsid w:val="00794119"/>
    <w:rsid w:val="00794FEC"/>
    <w:rsid w:val="00795D32"/>
    <w:rsid w:val="00796DE4"/>
    <w:rsid w:val="007974C1"/>
    <w:rsid w:val="007975B0"/>
    <w:rsid w:val="007A003E"/>
    <w:rsid w:val="007A1965"/>
    <w:rsid w:val="007A2ED1"/>
    <w:rsid w:val="007A4BE6"/>
    <w:rsid w:val="007B0DC6"/>
    <w:rsid w:val="007B1094"/>
    <w:rsid w:val="007B1762"/>
    <w:rsid w:val="007B1E13"/>
    <w:rsid w:val="007B3320"/>
    <w:rsid w:val="007B7BBA"/>
    <w:rsid w:val="007C301F"/>
    <w:rsid w:val="007C415E"/>
    <w:rsid w:val="007C4540"/>
    <w:rsid w:val="007C65AF"/>
    <w:rsid w:val="007D135D"/>
    <w:rsid w:val="007D49F4"/>
    <w:rsid w:val="007D4D99"/>
    <w:rsid w:val="007D730F"/>
    <w:rsid w:val="007D7CD8"/>
    <w:rsid w:val="007E03C9"/>
    <w:rsid w:val="007E3AA7"/>
    <w:rsid w:val="007F0289"/>
    <w:rsid w:val="007F1CD5"/>
    <w:rsid w:val="007F2231"/>
    <w:rsid w:val="007F543E"/>
    <w:rsid w:val="007F65C0"/>
    <w:rsid w:val="007F737D"/>
    <w:rsid w:val="00800525"/>
    <w:rsid w:val="00801667"/>
    <w:rsid w:val="0080308E"/>
    <w:rsid w:val="00804BEC"/>
    <w:rsid w:val="00805303"/>
    <w:rsid w:val="0080650E"/>
    <w:rsid w:val="00806705"/>
    <w:rsid w:val="00806738"/>
    <w:rsid w:val="008075EE"/>
    <w:rsid w:val="0080762C"/>
    <w:rsid w:val="00811B5F"/>
    <w:rsid w:val="00814AC4"/>
    <w:rsid w:val="00816BE5"/>
    <w:rsid w:val="008216D5"/>
    <w:rsid w:val="008249CE"/>
    <w:rsid w:val="00827C84"/>
    <w:rsid w:val="00831A50"/>
    <w:rsid w:val="00831B3C"/>
    <w:rsid w:val="00831C89"/>
    <w:rsid w:val="00832114"/>
    <w:rsid w:val="00834C46"/>
    <w:rsid w:val="0084093E"/>
    <w:rsid w:val="00841CE1"/>
    <w:rsid w:val="00842524"/>
    <w:rsid w:val="008465BC"/>
    <w:rsid w:val="008473D8"/>
    <w:rsid w:val="008502D1"/>
    <w:rsid w:val="00851CBA"/>
    <w:rsid w:val="008528DC"/>
    <w:rsid w:val="00852B8C"/>
    <w:rsid w:val="00854981"/>
    <w:rsid w:val="008608E0"/>
    <w:rsid w:val="00860D88"/>
    <w:rsid w:val="00864B2E"/>
    <w:rsid w:val="00865963"/>
    <w:rsid w:val="00871C1D"/>
    <w:rsid w:val="00872D72"/>
    <w:rsid w:val="0087450E"/>
    <w:rsid w:val="00875A82"/>
    <w:rsid w:val="00876CA3"/>
    <w:rsid w:val="008772FE"/>
    <w:rsid w:val="008775F1"/>
    <w:rsid w:val="0088011D"/>
    <w:rsid w:val="008821AE"/>
    <w:rsid w:val="00883D3A"/>
    <w:rsid w:val="00883FCF"/>
    <w:rsid w:val="008854F7"/>
    <w:rsid w:val="00885A9D"/>
    <w:rsid w:val="008929D2"/>
    <w:rsid w:val="00893636"/>
    <w:rsid w:val="00893B94"/>
    <w:rsid w:val="00894E24"/>
    <w:rsid w:val="008952E1"/>
    <w:rsid w:val="00895ECF"/>
    <w:rsid w:val="00895F55"/>
    <w:rsid w:val="00896E9D"/>
    <w:rsid w:val="00896F11"/>
    <w:rsid w:val="008A1049"/>
    <w:rsid w:val="008A1C98"/>
    <w:rsid w:val="008A322D"/>
    <w:rsid w:val="008A4D72"/>
    <w:rsid w:val="008A5105"/>
    <w:rsid w:val="008A6285"/>
    <w:rsid w:val="008A63B2"/>
    <w:rsid w:val="008B345D"/>
    <w:rsid w:val="008B5B44"/>
    <w:rsid w:val="008B6956"/>
    <w:rsid w:val="008C15B3"/>
    <w:rsid w:val="008C1FC2"/>
    <w:rsid w:val="008C2980"/>
    <w:rsid w:val="008C4DD6"/>
    <w:rsid w:val="008C5AFB"/>
    <w:rsid w:val="008D07FB"/>
    <w:rsid w:val="008D0C02"/>
    <w:rsid w:val="008D357D"/>
    <w:rsid w:val="008D435A"/>
    <w:rsid w:val="008D5D75"/>
    <w:rsid w:val="008D5E7D"/>
    <w:rsid w:val="008E05E2"/>
    <w:rsid w:val="008E2EC8"/>
    <w:rsid w:val="008E387B"/>
    <w:rsid w:val="008E6087"/>
    <w:rsid w:val="008E758D"/>
    <w:rsid w:val="008F0CD6"/>
    <w:rsid w:val="008F10A7"/>
    <w:rsid w:val="008F755D"/>
    <w:rsid w:val="008F7A39"/>
    <w:rsid w:val="00901F6E"/>
    <w:rsid w:val="009021E8"/>
    <w:rsid w:val="00904677"/>
    <w:rsid w:val="00905EE2"/>
    <w:rsid w:val="00911440"/>
    <w:rsid w:val="00911712"/>
    <w:rsid w:val="00911B27"/>
    <w:rsid w:val="00913E44"/>
    <w:rsid w:val="00916AD3"/>
    <w:rsid w:val="009170BE"/>
    <w:rsid w:val="00920B55"/>
    <w:rsid w:val="00921645"/>
    <w:rsid w:val="00925234"/>
    <w:rsid w:val="00925314"/>
    <w:rsid w:val="009262C9"/>
    <w:rsid w:val="00930EB9"/>
    <w:rsid w:val="00933DC7"/>
    <w:rsid w:val="00933F07"/>
    <w:rsid w:val="009418F4"/>
    <w:rsid w:val="00942BBC"/>
    <w:rsid w:val="00944180"/>
    <w:rsid w:val="00944AA0"/>
    <w:rsid w:val="00947DA2"/>
    <w:rsid w:val="009507BD"/>
    <w:rsid w:val="00951177"/>
    <w:rsid w:val="0095586C"/>
    <w:rsid w:val="0095720F"/>
    <w:rsid w:val="00966181"/>
    <w:rsid w:val="009673E8"/>
    <w:rsid w:val="00974DB8"/>
    <w:rsid w:val="00980661"/>
    <w:rsid w:val="0098093B"/>
    <w:rsid w:val="009876D4"/>
    <w:rsid w:val="00990810"/>
    <w:rsid w:val="009914A5"/>
    <w:rsid w:val="00991C51"/>
    <w:rsid w:val="0099548E"/>
    <w:rsid w:val="00996456"/>
    <w:rsid w:val="00996A12"/>
    <w:rsid w:val="00997B0F"/>
    <w:rsid w:val="009A0CC3"/>
    <w:rsid w:val="009A1CAD"/>
    <w:rsid w:val="009A3440"/>
    <w:rsid w:val="009A49F5"/>
    <w:rsid w:val="009A5832"/>
    <w:rsid w:val="009A6838"/>
    <w:rsid w:val="009A73B0"/>
    <w:rsid w:val="009B24B5"/>
    <w:rsid w:val="009B3F69"/>
    <w:rsid w:val="009B4EBC"/>
    <w:rsid w:val="009B5ABB"/>
    <w:rsid w:val="009B6E9C"/>
    <w:rsid w:val="009B73CE"/>
    <w:rsid w:val="009C2461"/>
    <w:rsid w:val="009C5A15"/>
    <w:rsid w:val="009C634B"/>
    <w:rsid w:val="009C6D94"/>
    <w:rsid w:val="009C6FE2"/>
    <w:rsid w:val="009C7674"/>
    <w:rsid w:val="009D004A"/>
    <w:rsid w:val="009D089F"/>
    <w:rsid w:val="009D0E80"/>
    <w:rsid w:val="009D3CBF"/>
    <w:rsid w:val="009D5880"/>
    <w:rsid w:val="009E1FD4"/>
    <w:rsid w:val="009E3B07"/>
    <w:rsid w:val="009E51D1"/>
    <w:rsid w:val="009E5531"/>
    <w:rsid w:val="009F171E"/>
    <w:rsid w:val="009F1C0C"/>
    <w:rsid w:val="009F2D41"/>
    <w:rsid w:val="009F3AB1"/>
    <w:rsid w:val="009F3D2F"/>
    <w:rsid w:val="009F7052"/>
    <w:rsid w:val="00A005CB"/>
    <w:rsid w:val="00A02668"/>
    <w:rsid w:val="00A02801"/>
    <w:rsid w:val="00A06A39"/>
    <w:rsid w:val="00A07B52"/>
    <w:rsid w:val="00A07F58"/>
    <w:rsid w:val="00A131CB"/>
    <w:rsid w:val="00A14847"/>
    <w:rsid w:val="00A16488"/>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46CC3"/>
    <w:rsid w:val="00A472C3"/>
    <w:rsid w:val="00A47CA5"/>
    <w:rsid w:val="00A506DF"/>
    <w:rsid w:val="00A51EA5"/>
    <w:rsid w:val="00A53742"/>
    <w:rsid w:val="00A557A1"/>
    <w:rsid w:val="00A62046"/>
    <w:rsid w:val="00A63059"/>
    <w:rsid w:val="00A63AE3"/>
    <w:rsid w:val="00A650CC"/>
    <w:rsid w:val="00A651A4"/>
    <w:rsid w:val="00A71361"/>
    <w:rsid w:val="00A746E2"/>
    <w:rsid w:val="00A75CB5"/>
    <w:rsid w:val="00A81FF2"/>
    <w:rsid w:val="00A83904"/>
    <w:rsid w:val="00A87600"/>
    <w:rsid w:val="00A90A79"/>
    <w:rsid w:val="00A92D9C"/>
    <w:rsid w:val="00A96B30"/>
    <w:rsid w:val="00AA0ACB"/>
    <w:rsid w:val="00AA442D"/>
    <w:rsid w:val="00AA564D"/>
    <w:rsid w:val="00AA59B5"/>
    <w:rsid w:val="00AA7777"/>
    <w:rsid w:val="00AA7B84"/>
    <w:rsid w:val="00AB7F11"/>
    <w:rsid w:val="00AC0B4C"/>
    <w:rsid w:val="00AC1164"/>
    <w:rsid w:val="00AC2296"/>
    <w:rsid w:val="00AC2754"/>
    <w:rsid w:val="00AC48B0"/>
    <w:rsid w:val="00AC4ACD"/>
    <w:rsid w:val="00AC5DFB"/>
    <w:rsid w:val="00AC5F25"/>
    <w:rsid w:val="00AD13DC"/>
    <w:rsid w:val="00AD6666"/>
    <w:rsid w:val="00AD6DE2"/>
    <w:rsid w:val="00AE0A40"/>
    <w:rsid w:val="00AE1ED4"/>
    <w:rsid w:val="00AE21E1"/>
    <w:rsid w:val="00AE2F8D"/>
    <w:rsid w:val="00AE3BAE"/>
    <w:rsid w:val="00AE4061"/>
    <w:rsid w:val="00AE491A"/>
    <w:rsid w:val="00AE6A21"/>
    <w:rsid w:val="00AE6DD8"/>
    <w:rsid w:val="00AF13CF"/>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2771D"/>
    <w:rsid w:val="00B34079"/>
    <w:rsid w:val="00B3793A"/>
    <w:rsid w:val="00B379BA"/>
    <w:rsid w:val="00B401BA"/>
    <w:rsid w:val="00B407E4"/>
    <w:rsid w:val="00B425B6"/>
    <w:rsid w:val="00B42A72"/>
    <w:rsid w:val="00B441AE"/>
    <w:rsid w:val="00B45A65"/>
    <w:rsid w:val="00B45F33"/>
    <w:rsid w:val="00B46D50"/>
    <w:rsid w:val="00B53170"/>
    <w:rsid w:val="00B54073"/>
    <w:rsid w:val="00B548B9"/>
    <w:rsid w:val="00B552AF"/>
    <w:rsid w:val="00B56178"/>
    <w:rsid w:val="00B56DBE"/>
    <w:rsid w:val="00B62999"/>
    <w:rsid w:val="00B63BE3"/>
    <w:rsid w:val="00B64885"/>
    <w:rsid w:val="00B64FA3"/>
    <w:rsid w:val="00B66810"/>
    <w:rsid w:val="00B66F1E"/>
    <w:rsid w:val="00B72BE3"/>
    <w:rsid w:val="00B73B80"/>
    <w:rsid w:val="00B75473"/>
    <w:rsid w:val="00B770C7"/>
    <w:rsid w:val="00B77393"/>
    <w:rsid w:val="00B80F26"/>
    <w:rsid w:val="00B822BD"/>
    <w:rsid w:val="00B83E18"/>
    <w:rsid w:val="00B842F4"/>
    <w:rsid w:val="00B84355"/>
    <w:rsid w:val="00B87C91"/>
    <w:rsid w:val="00B91A7B"/>
    <w:rsid w:val="00B929DD"/>
    <w:rsid w:val="00B93AF6"/>
    <w:rsid w:val="00B95405"/>
    <w:rsid w:val="00B963F1"/>
    <w:rsid w:val="00BA020A"/>
    <w:rsid w:val="00BB0194"/>
    <w:rsid w:val="00BB025A"/>
    <w:rsid w:val="00BB02A4"/>
    <w:rsid w:val="00BB1270"/>
    <w:rsid w:val="00BB1E44"/>
    <w:rsid w:val="00BB3E2D"/>
    <w:rsid w:val="00BB5267"/>
    <w:rsid w:val="00BB52B8"/>
    <w:rsid w:val="00BB59D8"/>
    <w:rsid w:val="00BB7E69"/>
    <w:rsid w:val="00BB7EC0"/>
    <w:rsid w:val="00BC0E51"/>
    <w:rsid w:val="00BC3C1F"/>
    <w:rsid w:val="00BC7CE7"/>
    <w:rsid w:val="00BD155C"/>
    <w:rsid w:val="00BD295E"/>
    <w:rsid w:val="00BD4664"/>
    <w:rsid w:val="00BD4FEC"/>
    <w:rsid w:val="00BE1193"/>
    <w:rsid w:val="00BF14FF"/>
    <w:rsid w:val="00BF4849"/>
    <w:rsid w:val="00BF4EA7"/>
    <w:rsid w:val="00BF534B"/>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36B16"/>
    <w:rsid w:val="00C4069E"/>
    <w:rsid w:val="00C41ADC"/>
    <w:rsid w:val="00C44149"/>
    <w:rsid w:val="00C44410"/>
    <w:rsid w:val="00C44A15"/>
    <w:rsid w:val="00C4630A"/>
    <w:rsid w:val="00C47BEF"/>
    <w:rsid w:val="00C523F0"/>
    <w:rsid w:val="00C526D2"/>
    <w:rsid w:val="00C53A91"/>
    <w:rsid w:val="00C5794E"/>
    <w:rsid w:val="00C60968"/>
    <w:rsid w:val="00C6205E"/>
    <w:rsid w:val="00C63D39"/>
    <w:rsid w:val="00C63EDD"/>
    <w:rsid w:val="00C65B36"/>
    <w:rsid w:val="00C7292E"/>
    <w:rsid w:val="00C74A60"/>
    <w:rsid w:val="00C74E88"/>
    <w:rsid w:val="00C80924"/>
    <w:rsid w:val="00C8286B"/>
    <w:rsid w:val="00C845C3"/>
    <w:rsid w:val="00C8790E"/>
    <w:rsid w:val="00C91F22"/>
    <w:rsid w:val="00C947F8"/>
    <w:rsid w:val="00C94B57"/>
    <w:rsid w:val="00C9515F"/>
    <w:rsid w:val="00C963C5"/>
    <w:rsid w:val="00CA030C"/>
    <w:rsid w:val="00CA1F41"/>
    <w:rsid w:val="00CA32EE"/>
    <w:rsid w:val="00CA5771"/>
    <w:rsid w:val="00CA6A1A"/>
    <w:rsid w:val="00CA7568"/>
    <w:rsid w:val="00CB07EE"/>
    <w:rsid w:val="00CB175E"/>
    <w:rsid w:val="00CB2D51"/>
    <w:rsid w:val="00CB3743"/>
    <w:rsid w:val="00CB70E5"/>
    <w:rsid w:val="00CC1E75"/>
    <w:rsid w:val="00CC2D4A"/>
    <w:rsid w:val="00CC2E0E"/>
    <w:rsid w:val="00CC361C"/>
    <w:rsid w:val="00CC474B"/>
    <w:rsid w:val="00CC658C"/>
    <w:rsid w:val="00CC67BF"/>
    <w:rsid w:val="00CD0843"/>
    <w:rsid w:val="00CD1E4A"/>
    <w:rsid w:val="00CD4E31"/>
    <w:rsid w:val="00CD5725"/>
    <w:rsid w:val="00CD5A78"/>
    <w:rsid w:val="00CD7345"/>
    <w:rsid w:val="00CE0BED"/>
    <w:rsid w:val="00CE372E"/>
    <w:rsid w:val="00CE4208"/>
    <w:rsid w:val="00CF0A1B"/>
    <w:rsid w:val="00CF19F6"/>
    <w:rsid w:val="00CF2F4F"/>
    <w:rsid w:val="00CF536D"/>
    <w:rsid w:val="00D02E9D"/>
    <w:rsid w:val="00D10CB8"/>
    <w:rsid w:val="00D12806"/>
    <w:rsid w:val="00D12D44"/>
    <w:rsid w:val="00D13341"/>
    <w:rsid w:val="00D15018"/>
    <w:rsid w:val="00D15586"/>
    <w:rsid w:val="00D158AC"/>
    <w:rsid w:val="00D1694C"/>
    <w:rsid w:val="00D16B31"/>
    <w:rsid w:val="00D20F5E"/>
    <w:rsid w:val="00D218F7"/>
    <w:rsid w:val="00D23B76"/>
    <w:rsid w:val="00D24B4A"/>
    <w:rsid w:val="00D26BEB"/>
    <w:rsid w:val="00D379A3"/>
    <w:rsid w:val="00D45FF3"/>
    <w:rsid w:val="00D47C60"/>
    <w:rsid w:val="00D512CF"/>
    <w:rsid w:val="00D528B9"/>
    <w:rsid w:val="00D53186"/>
    <w:rsid w:val="00D5487D"/>
    <w:rsid w:val="00D549EC"/>
    <w:rsid w:val="00D60140"/>
    <w:rsid w:val="00D6024A"/>
    <w:rsid w:val="00D608B5"/>
    <w:rsid w:val="00D64275"/>
    <w:rsid w:val="00D64739"/>
    <w:rsid w:val="00D662AC"/>
    <w:rsid w:val="00D712FE"/>
    <w:rsid w:val="00D71E54"/>
    <w:rsid w:val="00D71F99"/>
    <w:rsid w:val="00D72D67"/>
    <w:rsid w:val="00D73CA4"/>
    <w:rsid w:val="00D73D71"/>
    <w:rsid w:val="00D74396"/>
    <w:rsid w:val="00D80284"/>
    <w:rsid w:val="00D81F71"/>
    <w:rsid w:val="00D83FEE"/>
    <w:rsid w:val="00D84500"/>
    <w:rsid w:val="00D8642D"/>
    <w:rsid w:val="00D90A5E"/>
    <w:rsid w:val="00D91A68"/>
    <w:rsid w:val="00D934A0"/>
    <w:rsid w:val="00D9413B"/>
    <w:rsid w:val="00D95A68"/>
    <w:rsid w:val="00DA16E7"/>
    <w:rsid w:val="00DA17C7"/>
    <w:rsid w:val="00DA2B40"/>
    <w:rsid w:val="00DA36FE"/>
    <w:rsid w:val="00DA6A9A"/>
    <w:rsid w:val="00DB1DA1"/>
    <w:rsid w:val="00DB1EFD"/>
    <w:rsid w:val="00DB3EAF"/>
    <w:rsid w:val="00DB46C6"/>
    <w:rsid w:val="00DC3203"/>
    <w:rsid w:val="00DC3C99"/>
    <w:rsid w:val="00DC52F5"/>
    <w:rsid w:val="00DC5FD0"/>
    <w:rsid w:val="00DD0354"/>
    <w:rsid w:val="00DD27D7"/>
    <w:rsid w:val="00DD458C"/>
    <w:rsid w:val="00DD5A82"/>
    <w:rsid w:val="00DD72E9"/>
    <w:rsid w:val="00DD7605"/>
    <w:rsid w:val="00DE2020"/>
    <w:rsid w:val="00DE3476"/>
    <w:rsid w:val="00DE36C4"/>
    <w:rsid w:val="00DE51DC"/>
    <w:rsid w:val="00DE7BEA"/>
    <w:rsid w:val="00DF0B46"/>
    <w:rsid w:val="00DF3DEB"/>
    <w:rsid w:val="00DF5B84"/>
    <w:rsid w:val="00DF6D5B"/>
    <w:rsid w:val="00DF749E"/>
    <w:rsid w:val="00DF771B"/>
    <w:rsid w:val="00DF7EE2"/>
    <w:rsid w:val="00E01BAA"/>
    <w:rsid w:val="00E0282A"/>
    <w:rsid w:val="00E02F9B"/>
    <w:rsid w:val="00E07E14"/>
    <w:rsid w:val="00E12A74"/>
    <w:rsid w:val="00E14F94"/>
    <w:rsid w:val="00E17336"/>
    <w:rsid w:val="00E17D15"/>
    <w:rsid w:val="00E22B95"/>
    <w:rsid w:val="00E30331"/>
    <w:rsid w:val="00E30BB8"/>
    <w:rsid w:val="00E31F9C"/>
    <w:rsid w:val="00E40488"/>
    <w:rsid w:val="00E47461"/>
    <w:rsid w:val="00E50367"/>
    <w:rsid w:val="00E51636"/>
    <w:rsid w:val="00E51ABA"/>
    <w:rsid w:val="00E51B02"/>
    <w:rsid w:val="00E524CB"/>
    <w:rsid w:val="00E535B2"/>
    <w:rsid w:val="00E54B89"/>
    <w:rsid w:val="00E628FD"/>
    <w:rsid w:val="00E65456"/>
    <w:rsid w:val="00E65A91"/>
    <w:rsid w:val="00E66188"/>
    <w:rsid w:val="00E664FB"/>
    <w:rsid w:val="00E672F0"/>
    <w:rsid w:val="00E70373"/>
    <w:rsid w:val="00E71683"/>
    <w:rsid w:val="00E72E40"/>
    <w:rsid w:val="00E73665"/>
    <w:rsid w:val="00E73999"/>
    <w:rsid w:val="00E73BDC"/>
    <w:rsid w:val="00E73E9E"/>
    <w:rsid w:val="00E81660"/>
    <w:rsid w:val="00E83098"/>
    <w:rsid w:val="00E854FE"/>
    <w:rsid w:val="00E906CC"/>
    <w:rsid w:val="00E939A0"/>
    <w:rsid w:val="00E97E4E"/>
    <w:rsid w:val="00EA1CC2"/>
    <w:rsid w:val="00EA1D04"/>
    <w:rsid w:val="00EA2D76"/>
    <w:rsid w:val="00EA4644"/>
    <w:rsid w:val="00EA758A"/>
    <w:rsid w:val="00EB03CE"/>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2C42"/>
    <w:rsid w:val="00ED52FF"/>
    <w:rsid w:val="00ED5E0B"/>
    <w:rsid w:val="00EE37B6"/>
    <w:rsid w:val="00EE5E17"/>
    <w:rsid w:val="00EF0F45"/>
    <w:rsid w:val="00EF7463"/>
    <w:rsid w:val="00EF7971"/>
    <w:rsid w:val="00F002EF"/>
    <w:rsid w:val="00F01EE9"/>
    <w:rsid w:val="00F04900"/>
    <w:rsid w:val="00F04C11"/>
    <w:rsid w:val="00F04CDD"/>
    <w:rsid w:val="00F065A4"/>
    <w:rsid w:val="00F11FBB"/>
    <w:rsid w:val="00F126B9"/>
    <w:rsid w:val="00F12715"/>
    <w:rsid w:val="00F13627"/>
    <w:rsid w:val="00F144D5"/>
    <w:rsid w:val="00F146F0"/>
    <w:rsid w:val="00F15039"/>
    <w:rsid w:val="00F16466"/>
    <w:rsid w:val="00F20A15"/>
    <w:rsid w:val="00F20FF3"/>
    <w:rsid w:val="00F2190B"/>
    <w:rsid w:val="00F228B5"/>
    <w:rsid w:val="00F2389C"/>
    <w:rsid w:val="00F2461A"/>
    <w:rsid w:val="00F257D1"/>
    <w:rsid w:val="00F25C67"/>
    <w:rsid w:val="00F26151"/>
    <w:rsid w:val="00F30DFF"/>
    <w:rsid w:val="00F32B80"/>
    <w:rsid w:val="00F340EB"/>
    <w:rsid w:val="00F35285"/>
    <w:rsid w:val="00F42F7E"/>
    <w:rsid w:val="00F43B9D"/>
    <w:rsid w:val="00F44D5E"/>
    <w:rsid w:val="00F4500A"/>
    <w:rsid w:val="00F52809"/>
    <w:rsid w:val="00F53A35"/>
    <w:rsid w:val="00F55A3D"/>
    <w:rsid w:val="00F5744B"/>
    <w:rsid w:val="00F61209"/>
    <w:rsid w:val="00F6259E"/>
    <w:rsid w:val="00F65DD4"/>
    <w:rsid w:val="00F66ED3"/>
    <w:rsid w:val="00F672B2"/>
    <w:rsid w:val="00F72EB4"/>
    <w:rsid w:val="00F81A65"/>
    <w:rsid w:val="00F82B4A"/>
    <w:rsid w:val="00F83973"/>
    <w:rsid w:val="00F84A0F"/>
    <w:rsid w:val="00F87CAD"/>
    <w:rsid w:val="00F87FA3"/>
    <w:rsid w:val="00F93D8C"/>
    <w:rsid w:val="00FA3102"/>
    <w:rsid w:val="00FA32E6"/>
    <w:rsid w:val="00FA4698"/>
    <w:rsid w:val="00FA48D4"/>
    <w:rsid w:val="00FA54FA"/>
    <w:rsid w:val="00FA6D39"/>
    <w:rsid w:val="00FB09A1"/>
    <w:rsid w:val="00FB227E"/>
    <w:rsid w:val="00FB3D61"/>
    <w:rsid w:val="00FB44CE"/>
    <w:rsid w:val="00FB5009"/>
    <w:rsid w:val="00FB76AB"/>
    <w:rsid w:val="00FC47A9"/>
    <w:rsid w:val="00FD03FE"/>
    <w:rsid w:val="00FD126E"/>
    <w:rsid w:val="00FD16EC"/>
    <w:rsid w:val="00FD3C36"/>
    <w:rsid w:val="00FD4D81"/>
    <w:rsid w:val="00FD7385"/>
    <w:rsid w:val="00FD7498"/>
    <w:rsid w:val="00FD7FB3"/>
    <w:rsid w:val="00FE081C"/>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8B5DE"/>
  <w14:defaultImageDpi w14:val="330"/>
  <w15:docId w15:val="{3A8DA1E7-9C43-4B12-9767-4D5622E6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D41"/>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4556EC"/>
    <w:pPr>
      <w:spacing w:line="240" w:lineRule="auto"/>
      <w:jc w:val="both"/>
    </w:pPr>
    <w:rPr>
      <w:rFonts w:asciiTheme="minorHAnsi" w:hAnsiTheme="minorHAnsi" w:cstheme="minorHAnsi"/>
      <w:sz w:val="22"/>
      <w:szCs w:val="20"/>
    </w:rPr>
  </w:style>
  <w:style w:type="character" w:customStyle="1" w:styleId="FootnoteTextChar">
    <w:name w:val="Footnote Text Char"/>
    <w:basedOn w:val="DefaultParagraphFont"/>
    <w:link w:val="FootnoteText"/>
    <w:uiPriority w:val="99"/>
    <w:rsid w:val="004556EC"/>
    <w:rPr>
      <w:rFonts w:asciiTheme="minorHAnsi" w:hAnsiTheme="minorHAnsi" w:cstheme="minorHAnsi"/>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16610B"/>
    <w:rPr>
      <w:color w:val="0000FF" w:themeColor="hyperlink"/>
      <w:u w:val="single"/>
    </w:rPr>
  </w:style>
  <w:style w:type="paragraph" w:styleId="Caption">
    <w:name w:val="caption"/>
    <w:basedOn w:val="Normal"/>
    <w:next w:val="Normal"/>
    <w:uiPriority w:val="35"/>
    <w:unhideWhenUsed/>
    <w:qFormat/>
    <w:rsid w:val="00BB7EC0"/>
    <w:pPr>
      <w:spacing w:after="200" w:line="240" w:lineRule="auto"/>
    </w:pPr>
    <w:rPr>
      <w:rFonts w:eastAsiaTheme="minorHAnsi" w:cstheme="minorBidi"/>
      <w:b/>
      <w:iCs/>
      <w:szCs w:val="18"/>
      <w:lang w:eastAsia="en-US"/>
    </w:rPr>
  </w:style>
  <w:style w:type="paragraph" w:styleId="NoSpacing">
    <w:name w:val="No Spacing"/>
    <w:link w:val="NoSpacingChar"/>
    <w:uiPriority w:val="1"/>
    <w:qFormat/>
    <w:rsid w:val="00AB7F11"/>
    <w:rPr>
      <w:sz w:val="24"/>
      <w:szCs w:val="24"/>
    </w:rPr>
  </w:style>
  <w:style w:type="character" w:customStyle="1" w:styleId="NoSpacingChar">
    <w:name w:val="No Spacing Char"/>
    <w:basedOn w:val="DefaultParagraphFont"/>
    <w:link w:val="NoSpacing"/>
    <w:uiPriority w:val="1"/>
    <w:rsid w:val="00AB7F11"/>
    <w:rPr>
      <w:sz w:val="24"/>
      <w:szCs w:val="24"/>
    </w:rPr>
  </w:style>
  <w:style w:type="character" w:styleId="CommentReference">
    <w:name w:val="annotation reference"/>
    <w:basedOn w:val="DefaultParagraphFont"/>
    <w:semiHidden/>
    <w:unhideWhenUsed/>
    <w:rsid w:val="008E2EC8"/>
    <w:rPr>
      <w:sz w:val="16"/>
      <w:szCs w:val="16"/>
    </w:rPr>
  </w:style>
  <w:style w:type="paragraph" w:styleId="BalloonText">
    <w:name w:val="Balloon Text"/>
    <w:basedOn w:val="Normal"/>
    <w:link w:val="BalloonTextChar"/>
    <w:semiHidden/>
    <w:unhideWhenUsed/>
    <w:rsid w:val="008E2EC8"/>
    <w:pPr>
      <w:spacing w:line="240" w:lineRule="auto"/>
      <w:jc w:val="both"/>
    </w:pPr>
    <w:rPr>
      <w:rFonts w:cs="Segoe UI"/>
      <w:b/>
      <w:color w:val="FF0000"/>
      <w:szCs w:val="18"/>
    </w:rPr>
  </w:style>
  <w:style w:type="character" w:customStyle="1" w:styleId="BalloonTextChar">
    <w:name w:val="Balloon Text Char"/>
    <w:basedOn w:val="DefaultParagraphFont"/>
    <w:link w:val="BalloonText"/>
    <w:semiHidden/>
    <w:rsid w:val="008E2EC8"/>
    <w:rPr>
      <w:rFonts w:cs="Segoe UI"/>
      <w:b/>
      <w:color w:val="FF0000"/>
      <w:sz w:val="24"/>
      <w:szCs w:val="18"/>
    </w:rPr>
  </w:style>
  <w:style w:type="paragraph" w:styleId="CommentText">
    <w:name w:val="annotation text"/>
    <w:basedOn w:val="Normal"/>
    <w:link w:val="CommentTextChar"/>
    <w:semiHidden/>
    <w:unhideWhenUsed/>
    <w:rsid w:val="008E2EC8"/>
    <w:pPr>
      <w:spacing w:line="240" w:lineRule="auto"/>
      <w:jc w:val="both"/>
    </w:pPr>
    <w:rPr>
      <w:i/>
      <w:color w:val="FF0000"/>
      <w:szCs w:val="20"/>
    </w:rPr>
  </w:style>
  <w:style w:type="character" w:customStyle="1" w:styleId="CommentTextChar">
    <w:name w:val="Comment Text Char"/>
    <w:basedOn w:val="DefaultParagraphFont"/>
    <w:link w:val="CommentText"/>
    <w:semiHidden/>
    <w:rsid w:val="008E2EC8"/>
    <w:rPr>
      <w:i/>
      <w:color w:val="FF0000"/>
      <w:sz w:val="24"/>
    </w:rPr>
  </w:style>
  <w:style w:type="paragraph" w:styleId="CommentSubject">
    <w:name w:val="annotation subject"/>
    <w:basedOn w:val="CommentText"/>
    <w:next w:val="CommentText"/>
    <w:link w:val="CommentSubjectChar"/>
    <w:semiHidden/>
    <w:unhideWhenUsed/>
    <w:rsid w:val="008E2EC8"/>
    <w:pPr>
      <w:jc w:val="left"/>
    </w:pPr>
    <w:rPr>
      <w:b/>
      <w:bCs/>
      <w:i w:val="0"/>
      <w:color w:val="auto"/>
      <w:sz w:val="20"/>
    </w:rPr>
  </w:style>
  <w:style w:type="character" w:customStyle="1" w:styleId="CommentSubjectChar">
    <w:name w:val="Comment Subject Char"/>
    <w:basedOn w:val="CommentTextChar"/>
    <w:link w:val="CommentSubject"/>
    <w:semiHidden/>
    <w:rsid w:val="008E2EC8"/>
    <w:rPr>
      <w:b/>
      <w:bCs/>
      <w:i w:val="0"/>
      <w:color w:val="FF0000"/>
      <w:sz w:val="24"/>
    </w:rPr>
  </w:style>
  <w:style w:type="paragraph" w:styleId="Revision">
    <w:name w:val="Revision"/>
    <w:hidden/>
    <w:semiHidden/>
    <w:rsid w:val="00C8790E"/>
    <w:rPr>
      <w:sz w:val="24"/>
      <w:szCs w:val="24"/>
    </w:rPr>
  </w:style>
  <w:style w:type="paragraph" w:styleId="NormalWeb">
    <w:name w:val="Normal (Web)"/>
    <w:basedOn w:val="Normal"/>
    <w:semiHidden/>
    <w:unhideWhenUsed/>
    <w:rsid w:val="00800525"/>
  </w:style>
  <w:style w:type="character" w:styleId="UnresolvedMention">
    <w:name w:val="Unresolved Mention"/>
    <w:basedOn w:val="DefaultParagraphFont"/>
    <w:uiPriority w:val="99"/>
    <w:semiHidden/>
    <w:unhideWhenUsed/>
    <w:rsid w:val="00766FA7"/>
    <w:rPr>
      <w:color w:val="605E5C"/>
      <w:shd w:val="clear" w:color="auto" w:fill="E1DFDD"/>
    </w:rPr>
  </w:style>
  <w:style w:type="character" w:styleId="PageNumber">
    <w:name w:val="page number"/>
    <w:basedOn w:val="DefaultParagraphFont"/>
    <w:semiHidden/>
    <w:unhideWhenUsed/>
    <w:rsid w:val="00573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77812">
      <w:bodyDiv w:val="1"/>
      <w:marLeft w:val="0"/>
      <w:marRight w:val="0"/>
      <w:marTop w:val="0"/>
      <w:marBottom w:val="0"/>
      <w:divBdr>
        <w:top w:val="none" w:sz="0" w:space="0" w:color="auto"/>
        <w:left w:val="none" w:sz="0" w:space="0" w:color="auto"/>
        <w:bottom w:val="none" w:sz="0" w:space="0" w:color="auto"/>
        <w:right w:val="none" w:sz="0" w:space="0" w:color="auto"/>
      </w:divBdr>
    </w:div>
    <w:div w:id="380331404">
      <w:bodyDiv w:val="1"/>
      <w:marLeft w:val="0"/>
      <w:marRight w:val="0"/>
      <w:marTop w:val="0"/>
      <w:marBottom w:val="0"/>
      <w:divBdr>
        <w:top w:val="none" w:sz="0" w:space="0" w:color="auto"/>
        <w:left w:val="none" w:sz="0" w:space="0" w:color="auto"/>
        <w:bottom w:val="none" w:sz="0" w:space="0" w:color="auto"/>
        <w:right w:val="none" w:sz="0" w:space="0" w:color="auto"/>
      </w:divBdr>
      <w:divsChild>
        <w:div w:id="351614156">
          <w:marLeft w:val="0"/>
          <w:marRight w:val="0"/>
          <w:marTop w:val="0"/>
          <w:marBottom w:val="0"/>
          <w:divBdr>
            <w:top w:val="none" w:sz="0" w:space="0" w:color="auto"/>
            <w:left w:val="none" w:sz="0" w:space="0" w:color="auto"/>
            <w:bottom w:val="none" w:sz="0" w:space="0" w:color="auto"/>
            <w:right w:val="none" w:sz="0" w:space="0" w:color="auto"/>
          </w:divBdr>
          <w:divsChild>
            <w:div w:id="305013136">
              <w:marLeft w:val="0"/>
              <w:marRight w:val="0"/>
              <w:marTop w:val="0"/>
              <w:marBottom w:val="0"/>
              <w:divBdr>
                <w:top w:val="none" w:sz="0" w:space="0" w:color="auto"/>
                <w:left w:val="none" w:sz="0" w:space="0" w:color="auto"/>
                <w:bottom w:val="none" w:sz="0" w:space="0" w:color="auto"/>
                <w:right w:val="none" w:sz="0" w:space="0" w:color="auto"/>
              </w:divBdr>
              <w:divsChild>
                <w:div w:id="193463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45015">
      <w:bodyDiv w:val="1"/>
      <w:marLeft w:val="0"/>
      <w:marRight w:val="0"/>
      <w:marTop w:val="0"/>
      <w:marBottom w:val="0"/>
      <w:divBdr>
        <w:top w:val="none" w:sz="0" w:space="0" w:color="auto"/>
        <w:left w:val="none" w:sz="0" w:space="0" w:color="auto"/>
        <w:bottom w:val="none" w:sz="0" w:space="0" w:color="auto"/>
        <w:right w:val="none" w:sz="0" w:space="0" w:color="auto"/>
      </w:divBdr>
    </w:div>
    <w:div w:id="798230135">
      <w:bodyDiv w:val="1"/>
      <w:marLeft w:val="0"/>
      <w:marRight w:val="0"/>
      <w:marTop w:val="0"/>
      <w:marBottom w:val="0"/>
      <w:divBdr>
        <w:top w:val="none" w:sz="0" w:space="0" w:color="auto"/>
        <w:left w:val="none" w:sz="0" w:space="0" w:color="auto"/>
        <w:bottom w:val="none" w:sz="0" w:space="0" w:color="auto"/>
        <w:right w:val="none" w:sz="0" w:space="0" w:color="auto"/>
      </w:divBdr>
      <w:divsChild>
        <w:div w:id="221411981">
          <w:marLeft w:val="0"/>
          <w:marRight w:val="0"/>
          <w:marTop w:val="0"/>
          <w:marBottom w:val="0"/>
          <w:divBdr>
            <w:top w:val="none" w:sz="0" w:space="0" w:color="auto"/>
            <w:left w:val="none" w:sz="0" w:space="0" w:color="auto"/>
            <w:bottom w:val="none" w:sz="0" w:space="0" w:color="auto"/>
            <w:right w:val="none" w:sz="0" w:space="0" w:color="auto"/>
          </w:divBdr>
          <w:divsChild>
            <w:div w:id="1431001041">
              <w:marLeft w:val="0"/>
              <w:marRight w:val="0"/>
              <w:marTop w:val="0"/>
              <w:marBottom w:val="0"/>
              <w:divBdr>
                <w:top w:val="none" w:sz="0" w:space="0" w:color="auto"/>
                <w:left w:val="none" w:sz="0" w:space="0" w:color="auto"/>
                <w:bottom w:val="none" w:sz="0" w:space="0" w:color="auto"/>
                <w:right w:val="none" w:sz="0" w:space="0" w:color="auto"/>
              </w:divBdr>
              <w:divsChild>
                <w:div w:id="74207196">
                  <w:marLeft w:val="0"/>
                  <w:marRight w:val="0"/>
                  <w:marTop w:val="0"/>
                  <w:marBottom w:val="0"/>
                  <w:divBdr>
                    <w:top w:val="none" w:sz="0" w:space="0" w:color="auto"/>
                    <w:left w:val="none" w:sz="0" w:space="0" w:color="auto"/>
                    <w:bottom w:val="none" w:sz="0" w:space="0" w:color="auto"/>
                    <w:right w:val="none" w:sz="0" w:space="0" w:color="auto"/>
                  </w:divBdr>
                  <w:divsChild>
                    <w:div w:id="371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01271976">
      <w:bodyDiv w:val="1"/>
      <w:marLeft w:val="0"/>
      <w:marRight w:val="0"/>
      <w:marTop w:val="0"/>
      <w:marBottom w:val="0"/>
      <w:divBdr>
        <w:top w:val="none" w:sz="0" w:space="0" w:color="auto"/>
        <w:left w:val="none" w:sz="0" w:space="0" w:color="auto"/>
        <w:bottom w:val="none" w:sz="0" w:space="0" w:color="auto"/>
        <w:right w:val="none" w:sz="0" w:space="0" w:color="auto"/>
      </w:divBdr>
    </w:div>
    <w:div w:id="1030568606">
      <w:bodyDiv w:val="1"/>
      <w:marLeft w:val="0"/>
      <w:marRight w:val="0"/>
      <w:marTop w:val="0"/>
      <w:marBottom w:val="0"/>
      <w:divBdr>
        <w:top w:val="none" w:sz="0" w:space="0" w:color="auto"/>
        <w:left w:val="none" w:sz="0" w:space="0" w:color="auto"/>
        <w:bottom w:val="none" w:sz="0" w:space="0" w:color="auto"/>
        <w:right w:val="none" w:sz="0" w:space="0" w:color="auto"/>
      </w:divBdr>
    </w:div>
    <w:div w:id="1090587902">
      <w:bodyDiv w:val="1"/>
      <w:marLeft w:val="0"/>
      <w:marRight w:val="0"/>
      <w:marTop w:val="0"/>
      <w:marBottom w:val="0"/>
      <w:divBdr>
        <w:top w:val="none" w:sz="0" w:space="0" w:color="auto"/>
        <w:left w:val="none" w:sz="0" w:space="0" w:color="auto"/>
        <w:bottom w:val="none" w:sz="0" w:space="0" w:color="auto"/>
        <w:right w:val="none" w:sz="0" w:space="0" w:color="auto"/>
      </w:divBdr>
    </w:div>
    <w:div w:id="1164467661">
      <w:bodyDiv w:val="1"/>
      <w:marLeft w:val="0"/>
      <w:marRight w:val="0"/>
      <w:marTop w:val="0"/>
      <w:marBottom w:val="0"/>
      <w:divBdr>
        <w:top w:val="none" w:sz="0" w:space="0" w:color="auto"/>
        <w:left w:val="none" w:sz="0" w:space="0" w:color="auto"/>
        <w:bottom w:val="none" w:sz="0" w:space="0" w:color="auto"/>
        <w:right w:val="none" w:sz="0" w:space="0" w:color="auto"/>
      </w:divBdr>
    </w:div>
    <w:div w:id="1315648200">
      <w:bodyDiv w:val="1"/>
      <w:marLeft w:val="0"/>
      <w:marRight w:val="0"/>
      <w:marTop w:val="0"/>
      <w:marBottom w:val="0"/>
      <w:divBdr>
        <w:top w:val="none" w:sz="0" w:space="0" w:color="auto"/>
        <w:left w:val="none" w:sz="0" w:space="0" w:color="auto"/>
        <w:bottom w:val="none" w:sz="0" w:space="0" w:color="auto"/>
        <w:right w:val="none" w:sz="0" w:space="0" w:color="auto"/>
      </w:divBdr>
    </w:div>
    <w:div w:id="1491677631">
      <w:bodyDiv w:val="1"/>
      <w:marLeft w:val="0"/>
      <w:marRight w:val="0"/>
      <w:marTop w:val="0"/>
      <w:marBottom w:val="0"/>
      <w:divBdr>
        <w:top w:val="none" w:sz="0" w:space="0" w:color="auto"/>
        <w:left w:val="none" w:sz="0" w:space="0" w:color="auto"/>
        <w:bottom w:val="none" w:sz="0" w:space="0" w:color="auto"/>
        <w:right w:val="none" w:sz="0" w:space="0" w:color="auto"/>
      </w:divBdr>
      <w:divsChild>
        <w:div w:id="1056859292">
          <w:marLeft w:val="0"/>
          <w:marRight w:val="0"/>
          <w:marTop w:val="0"/>
          <w:marBottom w:val="0"/>
          <w:divBdr>
            <w:top w:val="none" w:sz="0" w:space="0" w:color="auto"/>
            <w:left w:val="none" w:sz="0" w:space="0" w:color="auto"/>
            <w:bottom w:val="none" w:sz="0" w:space="0" w:color="auto"/>
            <w:right w:val="none" w:sz="0" w:space="0" w:color="auto"/>
          </w:divBdr>
          <w:divsChild>
            <w:div w:id="1620186602">
              <w:marLeft w:val="0"/>
              <w:marRight w:val="0"/>
              <w:marTop w:val="0"/>
              <w:marBottom w:val="0"/>
              <w:divBdr>
                <w:top w:val="none" w:sz="0" w:space="0" w:color="auto"/>
                <w:left w:val="none" w:sz="0" w:space="0" w:color="auto"/>
                <w:bottom w:val="none" w:sz="0" w:space="0" w:color="auto"/>
                <w:right w:val="none" w:sz="0" w:space="0" w:color="auto"/>
              </w:divBdr>
              <w:divsChild>
                <w:div w:id="64824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746964">
      <w:bodyDiv w:val="1"/>
      <w:marLeft w:val="0"/>
      <w:marRight w:val="0"/>
      <w:marTop w:val="0"/>
      <w:marBottom w:val="0"/>
      <w:divBdr>
        <w:top w:val="none" w:sz="0" w:space="0" w:color="auto"/>
        <w:left w:val="none" w:sz="0" w:space="0" w:color="auto"/>
        <w:bottom w:val="none" w:sz="0" w:space="0" w:color="auto"/>
        <w:right w:val="none" w:sz="0" w:space="0" w:color="auto"/>
      </w:divBdr>
    </w:div>
    <w:div w:id="1970085005">
      <w:bodyDiv w:val="1"/>
      <w:marLeft w:val="0"/>
      <w:marRight w:val="0"/>
      <w:marTop w:val="0"/>
      <w:marBottom w:val="0"/>
      <w:divBdr>
        <w:top w:val="none" w:sz="0" w:space="0" w:color="auto"/>
        <w:left w:val="none" w:sz="0" w:space="0" w:color="auto"/>
        <w:bottom w:val="none" w:sz="0" w:space="0" w:color="auto"/>
        <w:right w:val="none" w:sz="0" w:space="0" w:color="auto"/>
      </w:divBdr>
    </w:div>
    <w:div w:id="2082092701">
      <w:bodyDiv w:val="1"/>
      <w:marLeft w:val="0"/>
      <w:marRight w:val="0"/>
      <w:marTop w:val="0"/>
      <w:marBottom w:val="0"/>
      <w:divBdr>
        <w:top w:val="none" w:sz="0" w:space="0" w:color="auto"/>
        <w:left w:val="none" w:sz="0" w:space="0" w:color="auto"/>
        <w:bottom w:val="none" w:sz="0" w:space="0" w:color="auto"/>
        <w:right w:val="none" w:sz="0" w:space="0" w:color="auto"/>
      </w:divBdr>
      <w:divsChild>
        <w:div w:id="313684646">
          <w:marLeft w:val="0"/>
          <w:marRight w:val="0"/>
          <w:marTop w:val="0"/>
          <w:marBottom w:val="0"/>
          <w:divBdr>
            <w:top w:val="none" w:sz="0" w:space="0" w:color="auto"/>
            <w:left w:val="none" w:sz="0" w:space="0" w:color="auto"/>
            <w:bottom w:val="none" w:sz="0" w:space="0" w:color="auto"/>
            <w:right w:val="none" w:sz="0" w:space="0" w:color="auto"/>
          </w:divBdr>
          <w:divsChild>
            <w:div w:id="1737897985">
              <w:marLeft w:val="0"/>
              <w:marRight w:val="0"/>
              <w:marTop w:val="0"/>
              <w:marBottom w:val="0"/>
              <w:divBdr>
                <w:top w:val="none" w:sz="0" w:space="0" w:color="auto"/>
                <w:left w:val="none" w:sz="0" w:space="0" w:color="auto"/>
                <w:bottom w:val="none" w:sz="0" w:space="0" w:color="auto"/>
                <w:right w:val="none" w:sz="0" w:space="0" w:color="auto"/>
              </w:divBdr>
              <w:divsChild>
                <w:div w:id="100296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srn.com/abstract=35865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F2C108-F3B3-254A-B37E-44D6372A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C:\Users\ADMIN\AppData\Local\Temp\Temp1_TF_Template_Word_Windows_2016.zip\TF_Template_Word_Windows_2016.dotx</Template>
  <TotalTime>0</TotalTime>
  <Pages>15</Pages>
  <Words>3814</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25503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subject/>
  <dc:creator>ADMIN</dc:creator>
  <cp:keywords/>
  <dc:description/>
  <cp:lastModifiedBy>idy ukpong</cp:lastModifiedBy>
  <cp:revision>2</cp:revision>
  <cp:lastPrinted>2011-07-22T14:54:00Z</cp:lastPrinted>
  <dcterms:created xsi:type="dcterms:W3CDTF">2021-01-08T18:35:00Z</dcterms:created>
  <dcterms:modified xsi:type="dcterms:W3CDTF">2021-01-08T18:35:00Z</dcterms:modified>
</cp:coreProperties>
</file>