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E27BE" w14:textId="77777777" w:rsidR="007B6A71" w:rsidRDefault="00CE1F16">
      <w:pPr>
        <w:pStyle w:val="Heading1"/>
        <w:spacing w:before="77"/>
        <w:ind w:right="1024"/>
      </w:pPr>
      <w:r>
        <w:rPr>
          <w:spacing w:val="-10"/>
        </w:rPr>
        <w:t xml:space="preserve">Title: </w:t>
      </w:r>
      <w:r>
        <w:t xml:space="preserve">A </w:t>
      </w:r>
      <w:r>
        <w:rPr>
          <w:spacing w:val="-9"/>
        </w:rPr>
        <w:t xml:space="preserve">global </w:t>
      </w:r>
      <w:r>
        <w:rPr>
          <w:spacing w:val="-10"/>
        </w:rPr>
        <w:t xml:space="preserve">analysis </w:t>
      </w:r>
      <w:r>
        <w:rPr>
          <w:spacing w:val="-5"/>
        </w:rPr>
        <w:t xml:space="preserve">of </w:t>
      </w:r>
      <w:r>
        <w:rPr>
          <w:spacing w:val="-10"/>
        </w:rPr>
        <w:t xml:space="preserve">subsidence, </w:t>
      </w:r>
      <w:r>
        <w:rPr>
          <w:spacing w:val="-11"/>
        </w:rPr>
        <w:t xml:space="preserve">relative </w:t>
      </w:r>
      <w:r>
        <w:rPr>
          <w:spacing w:val="-10"/>
        </w:rPr>
        <w:t xml:space="preserve">sea-level change </w:t>
      </w:r>
      <w:r>
        <w:rPr>
          <w:spacing w:val="-7"/>
        </w:rPr>
        <w:t xml:space="preserve">and </w:t>
      </w:r>
      <w:r>
        <w:rPr>
          <w:spacing w:val="-10"/>
        </w:rPr>
        <w:t xml:space="preserve">coastal </w:t>
      </w:r>
      <w:r>
        <w:rPr>
          <w:spacing w:val="-9"/>
        </w:rPr>
        <w:t xml:space="preserve">flood </w:t>
      </w:r>
      <w:r>
        <w:rPr>
          <w:spacing w:val="-10"/>
        </w:rPr>
        <w:t>exposure</w:t>
      </w:r>
    </w:p>
    <w:p w14:paraId="5A777EC3" w14:textId="77777777" w:rsidR="007B6A71" w:rsidRDefault="007B6A71">
      <w:pPr>
        <w:pStyle w:val="BodyText"/>
        <w:rPr>
          <w:b/>
          <w:sz w:val="20"/>
        </w:rPr>
      </w:pPr>
    </w:p>
    <w:p w14:paraId="3546D768" w14:textId="77777777" w:rsidR="007B6A71" w:rsidRDefault="007B6A71">
      <w:pPr>
        <w:pStyle w:val="BodyText"/>
        <w:spacing w:before="10"/>
        <w:rPr>
          <w:b/>
          <w:sz w:val="19"/>
        </w:rPr>
      </w:pPr>
    </w:p>
    <w:p w14:paraId="79C27F14" w14:textId="77777777" w:rsidR="007B6A71" w:rsidRDefault="00CE1F16">
      <w:pPr>
        <w:pStyle w:val="BodyText"/>
        <w:spacing w:before="90"/>
        <w:ind w:left="1180"/>
      </w:pPr>
      <w:r>
        <w:t>Authors:</w:t>
      </w:r>
    </w:p>
    <w:p w14:paraId="35921B5A" w14:textId="77777777" w:rsidR="007B6A71" w:rsidRDefault="007B6A71">
      <w:pPr>
        <w:pStyle w:val="BodyText"/>
        <w:spacing w:before="8"/>
        <w:rPr>
          <w:sz w:val="22"/>
        </w:rPr>
      </w:pPr>
    </w:p>
    <w:p w14:paraId="4130138D" w14:textId="77777777" w:rsidR="007B6A71" w:rsidRDefault="00CE1F16">
      <w:pPr>
        <w:pStyle w:val="BodyText"/>
        <w:tabs>
          <w:tab w:val="left" w:pos="1180"/>
        </w:tabs>
        <w:spacing w:line="465" w:lineRule="auto"/>
        <w:ind w:left="1180" w:right="836" w:hanging="841"/>
        <w:rPr>
          <w:sz w:val="16"/>
        </w:rPr>
      </w:pPr>
      <w:r>
        <w:t>5</w:t>
      </w:r>
      <w:r>
        <w:tab/>
        <w:t>Robert J. Nicholls</w:t>
      </w:r>
      <w:r>
        <w:rPr>
          <w:position w:val="9"/>
          <w:sz w:val="16"/>
        </w:rPr>
        <w:t>1</w:t>
      </w:r>
      <w:r>
        <w:t>, Daniel Lincke</w:t>
      </w:r>
      <w:r>
        <w:rPr>
          <w:position w:val="9"/>
          <w:sz w:val="16"/>
        </w:rPr>
        <w:t>2</w:t>
      </w:r>
      <w:r>
        <w:t>, Jochen Hinkel</w:t>
      </w:r>
      <w:r>
        <w:rPr>
          <w:position w:val="9"/>
          <w:sz w:val="16"/>
        </w:rPr>
        <w:t>2,3</w:t>
      </w:r>
      <w:r>
        <w:t>, Sally Brown</w:t>
      </w:r>
      <w:r>
        <w:rPr>
          <w:position w:val="9"/>
          <w:sz w:val="16"/>
        </w:rPr>
        <w:t>4</w:t>
      </w:r>
      <w:r>
        <w:t>, Athanasios T. Vafeidis</w:t>
      </w:r>
      <w:r>
        <w:rPr>
          <w:position w:val="9"/>
          <w:sz w:val="16"/>
        </w:rPr>
        <w:t>5</w:t>
      </w:r>
      <w:r>
        <w:t>, Benoit Meyssignac</w:t>
      </w:r>
      <w:r>
        <w:rPr>
          <w:position w:val="9"/>
          <w:sz w:val="16"/>
        </w:rPr>
        <w:t>6</w:t>
      </w:r>
      <w:r>
        <w:t>, Susan E. Hanson</w:t>
      </w:r>
      <w:r>
        <w:rPr>
          <w:position w:val="9"/>
          <w:sz w:val="16"/>
        </w:rPr>
        <w:t>7</w:t>
      </w:r>
      <w:r>
        <w:t>, Jan Merkens</w:t>
      </w:r>
      <w:r>
        <w:rPr>
          <w:position w:val="9"/>
          <w:sz w:val="16"/>
        </w:rPr>
        <w:t>5</w:t>
      </w:r>
      <w:r>
        <w:t>, Jiayi</w:t>
      </w:r>
      <w:r>
        <w:rPr>
          <w:spacing w:val="-1"/>
        </w:rPr>
        <w:t xml:space="preserve"> </w:t>
      </w:r>
      <w:r>
        <w:t>Fang</w:t>
      </w:r>
      <w:r>
        <w:rPr>
          <w:position w:val="9"/>
          <w:sz w:val="16"/>
        </w:rPr>
        <w:t>8</w:t>
      </w:r>
    </w:p>
    <w:p w14:paraId="6C6AE97A" w14:textId="77777777" w:rsidR="007B6A71" w:rsidRDefault="007B6A71">
      <w:pPr>
        <w:pStyle w:val="BodyText"/>
        <w:rPr>
          <w:sz w:val="28"/>
        </w:rPr>
      </w:pPr>
    </w:p>
    <w:p w14:paraId="5C8BE4AE" w14:textId="77777777" w:rsidR="007B6A71" w:rsidRDefault="00CE1F16">
      <w:pPr>
        <w:pStyle w:val="BodyText"/>
        <w:spacing w:before="248"/>
        <w:ind w:left="1180"/>
      </w:pPr>
      <w:r>
        <w:t>Affiliations:</w:t>
      </w:r>
    </w:p>
    <w:p w14:paraId="7DD0CEAF" w14:textId="77777777" w:rsidR="007B6A71" w:rsidRDefault="007B6A71">
      <w:pPr>
        <w:pStyle w:val="BodyText"/>
        <w:spacing w:before="8"/>
        <w:rPr>
          <w:sz w:val="22"/>
        </w:rPr>
      </w:pPr>
    </w:p>
    <w:p w14:paraId="4E9609DB" w14:textId="77777777" w:rsidR="007B6A71" w:rsidRDefault="00CE1F16">
      <w:pPr>
        <w:pStyle w:val="BodyText"/>
        <w:ind w:left="2044"/>
      </w:pPr>
      <w:r>
        <w:rPr>
          <w:position w:val="9"/>
          <w:sz w:val="16"/>
        </w:rPr>
        <w:t xml:space="preserve">1 </w:t>
      </w:r>
      <w:r>
        <w:t>Tyndall Centre for Climate Change Research, University of East Anglia, Norwich, UK</w:t>
      </w:r>
    </w:p>
    <w:p w14:paraId="6D05012E" w14:textId="77777777" w:rsidR="007B6A71" w:rsidRDefault="007B6A71">
      <w:pPr>
        <w:pStyle w:val="BodyText"/>
        <w:spacing w:before="8"/>
        <w:rPr>
          <w:sz w:val="22"/>
        </w:rPr>
      </w:pPr>
    </w:p>
    <w:p w14:paraId="740B2DC1" w14:textId="77777777" w:rsidR="007B6A71" w:rsidRDefault="00CE1F16">
      <w:pPr>
        <w:pStyle w:val="BodyText"/>
        <w:tabs>
          <w:tab w:val="left" w:pos="2044"/>
        </w:tabs>
        <w:ind w:left="220"/>
      </w:pPr>
      <w:r>
        <w:t>10</w:t>
      </w:r>
      <w:r>
        <w:tab/>
      </w:r>
      <w:r>
        <w:rPr>
          <w:position w:val="9"/>
          <w:sz w:val="16"/>
        </w:rPr>
        <w:t xml:space="preserve">2 </w:t>
      </w:r>
      <w:r>
        <w:t>Global Climate Forum e.V. (GCF), Berlin,</w:t>
      </w:r>
      <w:r>
        <w:rPr>
          <w:spacing w:val="-21"/>
        </w:rPr>
        <w:t xml:space="preserve"> </w:t>
      </w:r>
      <w:r>
        <w:t>Germany</w:t>
      </w:r>
    </w:p>
    <w:p w14:paraId="6BE7429E" w14:textId="77777777" w:rsidR="007B6A71" w:rsidRDefault="007B6A71">
      <w:pPr>
        <w:pStyle w:val="BodyText"/>
        <w:spacing w:before="7"/>
        <w:rPr>
          <w:sz w:val="22"/>
        </w:rPr>
      </w:pPr>
    </w:p>
    <w:p w14:paraId="21F38AD5" w14:textId="77777777" w:rsidR="007B6A71" w:rsidRDefault="00CE1F16">
      <w:pPr>
        <w:pStyle w:val="BodyText"/>
        <w:spacing w:before="1" w:line="480" w:lineRule="auto"/>
        <w:ind w:left="2044" w:right="657"/>
      </w:pPr>
      <w:r>
        <w:rPr>
          <w:position w:val="9"/>
          <w:sz w:val="16"/>
        </w:rPr>
        <w:t xml:space="preserve">3 </w:t>
      </w:r>
      <w:r>
        <w:t>Division of Resource Economics, Albrecht Daniel Thaer-Institute and B</w:t>
      </w:r>
      <w:r>
        <w:t>erlin Workshop in Institutional Analysis of Social-Ecological Systems (WINS), Humboldt- University, Berlin, Germany</w:t>
      </w:r>
    </w:p>
    <w:p w14:paraId="1721C25B" w14:textId="77777777" w:rsidR="007B6A71" w:rsidRDefault="00CE1F16">
      <w:pPr>
        <w:pStyle w:val="BodyText"/>
        <w:spacing w:line="276" w:lineRule="exact"/>
        <w:ind w:left="2044"/>
      </w:pPr>
      <w:r>
        <w:rPr>
          <w:position w:val="9"/>
          <w:sz w:val="16"/>
        </w:rPr>
        <w:t xml:space="preserve">4 </w:t>
      </w:r>
      <w:r>
        <w:t>Department of Life and Environmental Sciences, Faculty of Science and Technology,</w:t>
      </w:r>
    </w:p>
    <w:p w14:paraId="0529E0A6" w14:textId="77777777" w:rsidR="007B6A71" w:rsidRDefault="007B6A71">
      <w:pPr>
        <w:pStyle w:val="BodyText"/>
      </w:pPr>
    </w:p>
    <w:p w14:paraId="329BEDA3" w14:textId="77777777" w:rsidR="007B6A71" w:rsidRDefault="00CE1F16">
      <w:pPr>
        <w:pStyle w:val="BodyText"/>
        <w:tabs>
          <w:tab w:val="left" w:pos="2044"/>
        </w:tabs>
        <w:ind w:left="220"/>
      </w:pPr>
      <w:r>
        <w:t>15</w:t>
      </w:r>
      <w:r>
        <w:tab/>
        <w:t>Bournemouth University,</w:t>
      </w:r>
      <w:r>
        <w:rPr>
          <w:spacing w:val="1"/>
        </w:rPr>
        <w:t xml:space="preserve"> </w:t>
      </w:r>
      <w:r>
        <w:t>UK</w:t>
      </w:r>
    </w:p>
    <w:p w14:paraId="22F85BEF" w14:textId="77777777" w:rsidR="007B6A71" w:rsidRDefault="007B6A71">
      <w:pPr>
        <w:pStyle w:val="BodyText"/>
        <w:spacing w:before="8"/>
        <w:rPr>
          <w:sz w:val="22"/>
        </w:rPr>
      </w:pPr>
    </w:p>
    <w:p w14:paraId="2CEBB1DF" w14:textId="77777777" w:rsidR="007B6A71" w:rsidRDefault="00CE1F16">
      <w:pPr>
        <w:pStyle w:val="BodyText"/>
        <w:ind w:left="2044"/>
      </w:pPr>
      <w:r>
        <w:rPr>
          <w:position w:val="9"/>
          <w:sz w:val="16"/>
        </w:rPr>
        <w:t xml:space="preserve">5 </w:t>
      </w:r>
      <w:r>
        <w:t>Kiel University, Department of Geography, Kiel, Germany</w:t>
      </w:r>
    </w:p>
    <w:p w14:paraId="69138DE1" w14:textId="77777777" w:rsidR="007B6A71" w:rsidRDefault="007B6A71">
      <w:pPr>
        <w:pStyle w:val="BodyText"/>
        <w:spacing w:before="7"/>
        <w:rPr>
          <w:sz w:val="22"/>
        </w:rPr>
      </w:pPr>
    </w:p>
    <w:p w14:paraId="2E36D0B9" w14:textId="77777777" w:rsidR="007B6A71" w:rsidRDefault="00CE1F16">
      <w:pPr>
        <w:pStyle w:val="BodyText"/>
        <w:spacing w:before="1"/>
        <w:ind w:left="2044"/>
      </w:pPr>
      <w:r>
        <w:rPr>
          <w:position w:val="9"/>
          <w:sz w:val="16"/>
        </w:rPr>
        <w:t xml:space="preserve">6 </w:t>
      </w:r>
      <w:r>
        <w:t>LEGOS, Université de Toulouse, CNES, CNRS, UPS, IRD, 31400 Toulouse, France.</w:t>
      </w:r>
    </w:p>
    <w:p w14:paraId="07F216D6" w14:textId="77777777" w:rsidR="007B6A71" w:rsidRDefault="007B6A71">
      <w:pPr>
        <w:pStyle w:val="BodyText"/>
        <w:spacing w:before="7"/>
        <w:rPr>
          <w:sz w:val="22"/>
        </w:rPr>
      </w:pPr>
    </w:p>
    <w:p w14:paraId="6D62CA1C" w14:textId="77777777" w:rsidR="007B6A71" w:rsidRDefault="00CE1F16">
      <w:pPr>
        <w:pStyle w:val="BodyText"/>
        <w:ind w:left="2044"/>
      </w:pPr>
      <w:r>
        <w:rPr>
          <w:position w:val="9"/>
          <w:sz w:val="16"/>
        </w:rPr>
        <w:t xml:space="preserve">7 </w:t>
      </w:r>
      <w:r>
        <w:t>School of Engineering, University of Southampton, Southampton, UK</w:t>
      </w:r>
    </w:p>
    <w:p w14:paraId="01F0811F" w14:textId="77777777" w:rsidR="007B6A71" w:rsidRDefault="007B6A71">
      <w:pPr>
        <w:pStyle w:val="BodyText"/>
        <w:spacing w:before="8"/>
        <w:rPr>
          <w:sz w:val="22"/>
        </w:rPr>
      </w:pPr>
    </w:p>
    <w:p w14:paraId="029639F0" w14:textId="77777777" w:rsidR="007B6A71" w:rsidRDefault="00CE1F16">
      <w:pPr>
        <w:pStyle w:val="BodyText"/>
        <w:ind w:left="2044"/>
      </w:pPr>
      <w:r>
        <w:rPr>
          <w:position w:val="9"/>
          <w:sz w:val="16"/>
        </w:rPr>
        <w:t xml:space="preserve">8 </w:t>
      </w:r>
      <w:r>
        <w:t>School of Geographic Sciences, East China Normal University, Shanghai, 200241,</w:t>
      </w:r>
    </w:p>
    <w:p w14:paraId="58395E17" w14:textId="77777777" w:rsidR="007B6A71" w:rsidRDefault="007B6A71">
      <w:pPr>
        <w:pStyle w:val="BodyText"/>
      </w:pPr>
    </w:p>
    <w:p w14:paraId="2BDB8825" w14:textId="77777777" w:rsidR="007B6A71" w:rsidRDefault="00CE1F16">
      <w:pPr>
        <w:pStyle w:val="BodyText"/>
        <w:tabs>
          <w:tab w:val="left" w:pos="2044"/>
        </w:tabs>
        <w:ind w:left="220"/>
      </w:pPr>
      <w:r>
        <w:t>20</w:t>
      </w:r>
      <w:r>
        <w:tab/>
        <w:t>China</w:t>
      </w:r>
    </w:p>
    <w:p w14:paraId="2002C5F1" w14:textId="77777777" w:rsidR="007B6A71" w:rsidRDefault="007B6A71">
      <w:pPr>
        <w:pStyle w:val="BodyText"/>
        <w:rPr>
          <w:sz w:val="20"/>
        </w:rPr>
      </w:pPr>
    </w:p>
    <w:p w14:paraId="25706181" w14:textId="77777777" w:rsidR="007B6A71" w:rsidRDefault="007B6A71">
      <w:pPr>
        <w:pStyle w:val="BodyText"/>
        <w:rPr>
          <w:sz w:val="20"/>
        </w:rPr>
      </w:pPr>
    </w:p>
    <w:p w14:paraId="6359591E" w14:textId="77777777" w:rsidR="007B6A71" w:rsidRDefault="007B6A71">
      <w:pPr>
        <w:pStyle w:val="BodyText"/>
        <w:rPr>
          <w:sz w:val="20"/>
        </w:rPr>
      </w:pPr>
    </w:p>
    <w:p w14:paraId="75BCCA22" w14:textId="77777777" w:rsidR="007B6A71" w:rsidRDefault="007B6A71">
      <w:pPr>
        <w:pStyle w:val="BodyText"/>
        <w:spacing w:before="11"/>
        <w:rPr>
          <w:sz w:val="12"/>
        </w:rPr>
      </w:pPr>
    </w:p>
    <w:tbl>
      <w:tblPr>
        <w:tblW w:w="0" w:type="auto"/>
        <w:tblInd w:w="1137" w:type="dxa"/>
        <w:tblLayout w:type="fixed"/>
        <w:tblCellMar>
          <w:left w:w="0" w:type="dxa"/>
          <w:right w:w="0" w:type="dxa"/>
        </w:tblCellMar>
        <w:tblLook w:val="01E0" w:firstRow="1" w:lastRow="1" w:firstColumn="1" w:lastColumn="1" w:noHBand="0" w:noVBand="0"/>
      </w:tblPr>
      <w:tblGrid>
        <w:gridCol w:w="2361"/>
        <w:gridCol w:w="2777"/>
      </w:tblGrid>
      <w:tr w:rsidR="007B6A71" w14:paraId="7B5CE502" w14:textId="77777777">
        <w:trPr>
          <w:trHeight w:val="408"/>
        </w:trPr>
        <w:tc>
          <w:tcPr>
            <w:tcW w:w="2361" w:type="dxa"/>
          </w:tcPr>
          <w:p w14:paraId="66A36C51" w14:textId="77777777" w:rsidR="007B6A71" w:rsidRDefault="00CE1F16">
            <w:pPr>
              <w:pStyle w:val="TableParagraph"/>
              <w:spacing w:before="0" w:line="266" w:lineRule="exact"/>
              <w:ind w:left="50"/>
              <w:rPr>
                <w:sz w:val="24"/>
              </w:rPr>
            </w:pPr>
            <w:r>
              <w:rPr>
                <w:sz w:val="24"/>
              </w:rPr>
              <w:t>ORCID</w:t>
            </w:r>
          </w:p>
        </w:tc>
        <w:tc>
          <w:tcPr>
            <w:tcW w:w="2777" w:type="dxa"/>
          </w:tcPr>
          <w:p w14:paraId="267F43E8" w14:textId="77777777" w:rsidR="007B6A71" w:rsidRDefault="007B6A71">
            <w:pPr>
              <w:pStyle w:val="TableParagraph"/>
              <w:spacing w:before="0"/>
              <w:rPr>
                <w:sz w:val="24"/>
              </w:rPr>
            </w:pPr>
          </w:p>
        </w:tc>
      </w:tr>
      <w:tr w:rsidR="007B6A71" w14:paraId="15F6C17C" w14:textId="77777777">
        <w:trPr>
          <w:trHeight w:val="551"/>
        </w:trPr>
        <w:tc>
          <w:tcPr>
            <w:tcW w:w="2361" w:type="dxa"/>
          </w:tcPr>
          <w:p w14:paraId="35CA73BD" w14:textId="77777777" w:rsidR="007B6A71" w:rsidRDefault="00CE1F16">
            <w:pPr>
              <w:pStyle w:val="TableParagraph"/>
              <w:ind w:left="50"/>
              <w:rPr>
                <w:sz w:val="24"/>
              </w:rPr>
            </w:pPr>
            <w:r>
              <w:rPr>
                <w:sz w:val="24"/>
              </w:rPr>
              <w:t>Robert J. Nicholls</w:t>
            </w:r>
          </w:p>
        </w:tc>
        <w:tc>
          <w:tcPr>
            <w:tcW w:w="2777" w:type="dxa"/>
          </w:tcPr>
          <w:p w14:paraId="32C6F6CC" w14:textId="77777777" w:rsidR="007B6A71" w:rsidRDefault="00CE1F16">
            <w:pPr>
              <w:pStyle w:val="TableParagraph"/>
              <w:ind w:right="47"/>
              <w:jc w:val="right"/>
              <w:rPr>
                <w:sz w:val="24"/>
              </w:rPr>
            </w:pPr>
            <w:r>
              <w:rPr>
                <w:sz w:val="24"/>
              </w:rPr>
              <w:t>0000-0002-9715-1109</w:t>
            </w:r>
          </w:p>
        </w:tc>
      </w:tr>
      <w:tr w:rsidR="007B6A71" w14:paraId="745E9E6E" w14:textId="77777777">
        <w:trPr>
          <w:trHeight w:val="408"/>
        </w:trPr>
        <w:tc>
          <w:tcPr>
            <w:tcW w:w="2361" w:type="dxa"/>
          </w:tcPr>
          <w:p w14:paraId="36696F90" w14:textId="77777777" w:rsidR="007B6A71" w:rsidRDefault="00CE1F16">
            <w:pPr>
              <w:pStyle w:val="TableParagraph"/>
              <w:spacing w:line="256" w:lineRule="exact"/>
              <w:ind w:left="50"/>
              <w:rPr>
                <w:sz w:val="24"/>
              </w:rPr>
            </w:pPr>
            <w:r>
              <w:rPr>
                <w:sz w:val="24"/>
              </w:rPr>
              <w:t>Daniel Lincke</w:t>
            </w:r>
          </w:p>
        </w:tc>
        <w:tc>
          <w:tcPr>
            <w:tcW w:w="2777" w:type="dxa"/>
          </w:tcPr>
          <w:p w14:paraId="05E9C607" w14:textId="77777777" w:rsidR="007B6A71" w:rsidRDefault="00CE1F16">
            <w:pPr>
              <w:pStyle w:val="TableParagraph"/>
              <w:spacing w:line="256" w:lineRule="exact"/>
              <w:ind w:right="47"/>
              <w:jc w:val="right"/>
              <w:rPr>
                <w:sz w:val="24"/>
              </w:rPr>
            </w:pPr>
            <w:r>
              <w:rPr>
                <w:sz w:val="24"/>
              </w:rPr>
              <w:t>0000-0003-4250-5077</w:t>
            </w:r>
          </w:p>
        </w:tc>
      </w:tr>
    </w:tbl>
    <w:p w14:paraId="6CF0E263" w14:textId="77777777" w:rsidR="007B6A71" w:rsidRDefault="007B6A71">
      <w:pPr>
        <w:spacing w:line="256" w:lineRule="exact"/>
        <w:jc w:val="right"/>
        <w:rPr>
          <w:sz w:val="24"/>
        </w:rPr>
        <w:sectPr w:rsidR="007B6A71">
          <w:footerReference w:type="default" r:id="rId7"/>
          <w:type w:val="continuous"/>
          <w:pgSz w:w="12240" w:h="15840"/>
          <w:pgMar w:top="1360" w:right="1000" w:bottom="1720" w:left="260" w:header="720" w:footer="1538" w:gutter="0"/>
          <w:pgNumType w:start="1"/>
          <w:cols w:space="720"/>
        </w:sectPr>
      </w:pPr>
    </w:p>
    <w:tbl>
      <w:tblPr>
        <w:tblW w:w="0" w:type="auto"/>
        <w:tblInd w:w="177" w:type="dxa"/>
        <w:tblLayout w:type="fixed"/>
        <w:tblCellMar>
          <w:left w:w="0" w:type="dxa"/>
          <w:right w:w="0" w:type="dxa"/>
        </w:tblCellMar>
        <w:tblLook w:val="01E0" w:firstRow="1" w:lastRow="1" w:firstColumn="1" w:lastColumn="1" w:noHBand="0" w:noVBand="0"/>
      </w:tblPr>
      <w:tblGrid>
        <w:gridCol w:w="650"/>
        <w:gridCol w:w="2902"/>
        <w:gridCol w:w="2598"/>
      </w:tblGrid>
      <w:tr w:rsidR="007B6A71" w14:paraId="4F004943" w14:textId="77777777">
        <w:trPr>
          <w:trHeight w:val="409"/>
        </w:trPr>
        <w:tc>
          <w:tcPr>
            <w:tcW w:w="650" w:type="dxa"/>
          </w:tcPr>
          <w:p w14:paraId="7029D6B0" w14:textId="77777777" w:rsidR="007B6A71" w:rsidRDefault="00CE1F16">
            <w:pPr>
              <w:pStyle w:val="TableParagraph"/>
              <w:spacing w:before="0" w:line="266" w:lineRule="exact"/>
              <w:ind w:left="50"/>
              <w:rPr>
                <w:sz w:val="24"/>
              </w:rPr>
            </w:pPr>
            <w:r>
              <w:rPr>
                <w:sz w:val="24"/>
              </w:rPr>
              <w:lastRenderedPageBreak/>
              <w:t>25</w:t>
            </w:r>
          </w:p>
        </w:tc>
        <w:tc>
          <w:tcPr>
            <w:tcW w:w="2902" w:type="dxa"/>
          </w:tcPr>
          <w:p w14:paraId="101E1F58" w14:textId="77777777" w:rsidR="007B6A71" w:rsidRDefault="00CE1F16">
            <w:pPr>
              <w:pStyle w:val="TableParagraph"/>
              <w:spacing w:before="0" w:line="266" w:lineRule="exact"/>
              <w:ind w:left="360"/>
              <w:rPr>
                <w:sz w:val="24"/>
              </w:rPr>
            </w:pPr>
            <w:r>
              <w:rPr>
                <w:sz w:val="24"/>
              </w:rPr>
              <w:t>Jochen Hinkel</w:t>
            </w:r>
          </w:p>
        </w:tc>
        <w:tc>
          <w:tcPr>
            <w:tcW w:w="2598" w:type="dxa"/>
          </w:tcPr>
          <w:p w14:paraId="6EA51AC1" w14:textId="77777777" w:rsidR="007B6A71" w:rsidRDefault="00CE1F16">
            <w:pPr>
              <w:pStyle w:val="TableParagraph"/>
              <w:spacing w:before="0" w:line="266" w:lineRule="exact"/>
              <w:ind w:left="339"/>
              <w:rPr>
                <w:sz w:val="24"/>
              </w:rPr>
            </w:pPr>
            <w:r>
              <w:rPr>
                <w:sz w:val="24"/>
              </w:rPr>
              <w:t>0000-0001-7590-992X</w:t>
            </w:r>
          </w:p>
        </w:tc>
      </w:tr>
      <w:tr w:rsidR="007B6A71" w14:paraId="10401F8C" w14:textId="77777777">
        <w:trPr>
          <w:trHeight w:val="552"/>
        </w:trPr>
        <w:tc>
          <w:tcPr>
            <w:tcW w:w="650" w:type="dxa"/>
          </w:tcPr>
          <w:p w14:paraId="59075F96" w14:textId="77777777" w:rsidR="007B6A71" w:rsidRDefault="007B6A71">
            <w:pPr>
              <w:pStyle w:val="TableParagraph"/>
              <w:spacing w:before="0"/>
              <w:rPr>
                <w:sz w:val="24"/>
              </w:rPr>
            </w:pPr>
          </w:p>
        </w:tc>
        <w:tc>
          <w:tcPr>
            <w:tcW w:w="2902" w:type="dxa"/>
          </w:tcPr>
          <w:p w14:paraId="0AEAEBF1" w14:textId="77777777" w:rsidR="007B6A71" w:rsidRDefault="00CE1F16">
            <w:pPr>
              <w:pStyle w:val="TableParagraph"/>
              <w:ind w:left="360"/>
              <w:rPr>
                <w:sz w:val="24"/>
              </w:rPr>
            </w:pPr>
            <w:r>
              <w:rPr>
                <w:sz w:val="24"/>
              </w:rPr>
              <w:t>Sally Brown</w:t>
            </w:r>
          </w:p>
        </w:tc>
        <w:tc>
          <w:tcPr>
            <w:tcW w:w="2598" w:type="dxa"/>
          </w:tcPr>
          <w:p w14:paraId="716A25FC" w14:textId="77777777" w:rsidR="007B6A71" w:rsidRDefault="00CE1F16">
            <w:pPr>
              <w:pStyle w:val="TableParagraph"/>
              <w:ind w:left="339"/>
              <w:rPr>
                <w:sz w:val="24"/>
              </w:rPr>
            </w:pPr>
            <w:r>
              <w:rPr>
                <w:sz w:val="24"/>
              </w:rPr>
              <w:t>0000-0003-1185-1962</w:t>
            </w:r>
          </w:p>
        </w:tc>
      </w:tr>
      <w:tr w:rsidR="007B6A71" w14:paraId="5E2A8A05" w14:textId="77777777">
        <w:trPr>
          <w:trHeight w:val="552"/>
        </w:trPr>
        <w:tc>
          <w:tcPr>
            <w:tcW w:w="650" w:type="dxa"/>
          </w:tcPr>
          <w:p w14:paraId="07070006" w14:textId="77777777" w:rsidR="007B6A71" w:rsidRDefault="007B6A71">
            <w:pPr>
              <w:pStyle w:val="TableParagraph"/>
              <w:spacing w:before="0"/>
              <w:rPr>
                <w:sz w:val="24"/>
              </w:rPr>
            </w:pPr>
          </w:p>
        </w:tc>
        <w:tc>
          <w:tcPr>
            <w:tcW w:w="2902" w:type="dxa"/>
          </w:tcPr>
          <w:p w14:paraId="3298A891" w14:textId="77777777" w:rsidR="007B6A71" w:rsidRDefault="00CE1F16">
            <w:pPr>
              <w:pStyle w:val="TableParagraph"/>
              <w:ind w:left="360"/>
              <w:rPr>
                <w:sz w:val="24"/>
              </w:rPr>
            </w:pPr>
            <w:r>
              <w:rPr>
                <w:sz w:val="24"/>
              </w:rPr>
              <w:t>Athanasios T. Vafeidis</w:t>
            </w:r>
          </w:p>
        </w:tc>
        <w:tc>
          <w:tcPr>
            <w:tcW w:w="2598" w:type="dxa"/>
          </w:tcPr>
          <w:p w14:paraId="258799F8" w14:textId="77777777" w:rsidR="007B6A71" w:rsidRDefault="00CE1F16">
            <w:pPr>
              <w:pStyle w:val="TableParagraph"/>
              <w:ind w:left="339"/>
              <w:rPr>
                <w:sz w:val="24"/>
              </w:rPr>
            </w:pPr>
            <w:r>
              <w:rPr>
                <w:sz w:val="24"/>
              </w:rPr>
              <w:t>0000-0002-3906-5544</w:t>
            </w:r>
          </w:p>
        </w:tc>
      </w:tr>
      <w:tr w:rsidR="007B6A71" w14:paraId="7AFBE863" w14:textId="77777777">
        <w:trPr>
          <w:trHeight w:val="551"/>
        </w:trPr>
        <w:tc>
          <w:tcPr>
            <w:tcW w:w="650" w:type="dxa"/>
          </w:tcPr>
          <w:p w14:paraId="20FDD43C" w14:textId="77777777" w:rsidR="007B6A71" w:rsidRDefault="007B6A71">
            <w:pPr>
              <w:pStyle w:val="TableParagraph"/>
              <w:spacing w:before="0"/>
              <w:rPr>
                <w:sz w:val="24"/>
              </w:rPr>
            </w:pPr>
          </w:p>
        </w:tc>
        <w:tc>
          <w:tcPr>
            <w:tcW w:w="2902" w:type="dxa"/>
          </w:tcPr>
          <w:p w14:paraId="44C3C349" w14:textId="77777777" w:rsidR="007B6A71" w:rsidRDefault="00CE1F16">
            <w:pPr>
              <w:pStyle w:val="TableParagraph"/>
              <w:ind w:left="360"/>
              <w:rPr>
                <w:sz w:val="24"/>
              </w:rPr>
            </w:pPr>
            <w:r>
              <w:rPr>
                <w:sz w:val="24"/>
              </w:rPr>
              <w:t>Benoit Meyssignac</w:t>
            </w:r>
          </w:p>
        </w:tc>
        <w:tc>
          <w:tcPr>
            <w:tcW w:w="2598" w:type="dxa"/>
          </w:tcPr>
          <w:p w14:paraId="252797EB" w14:textId="77777777" w:rsidR="007B6A71" w:rsidRDefault="00CE1F16">
            <w:pPr>
              <w:pStyle w:val="TableParagraph"/>
              <w:ind w:left="339"/>
              <w:rPr>
                <w:sz w:val="24"/>
              </w:rPr>
            </w:pPr>
            <w:r>
              <w:rPr>
                <w:sz w:val="24"/>
              </w:rPr>
              <w:t>0000-0001-6325-9843</w:t>
            </w:r>
          </w:p>
        </w:tc>
      </w:tr>
      <w:tr w:rsidR="007B6A71" w14:paraId="320562DB" w14:textId="77777777">
        <w:trPr>
          <w:trHeight w:val="552"/>
        </w:trPr>
        <w:tc>
          <w:tcPr>
            <w:tcW w:w="650" w:type="dxa"/>
          </w:tcPr>
          <w:p w14:paraId="2D0F0BE3" w14:textId="77777777" w:rsidR="007B6A71" w:rsidRDefault="007B6A71">
            <w:pPr>
              <w:pStyle w:val="TableParagraph"/>
              <w:spacing w:before="0"/>
              <w:rPr>
                <w:sz w:val="24"/>
              </w:rPr>
            </w:pPr>
          </w:p>
        </w:tc>
        <w:tc>
          <w:tcPr>
            <w:tcW w:w="2902" w:type="dxa"/>
          </w:tcPr>
          <w:p w14:paraId="3547C8ED" w14:textId="77777777" w:rsidR="007B6A71" w:rsidRDefault="00CE1F16">
            <w:pPr>
              <w:pStyle w:val="TableParagraph"/>
              <w:ind w:left="360"/>
              <w:rPr>
                <w:sz w:val="24"/>
              </w:rPr>
            </w:pPr>
            <w:r>
              <w:rPr>
                <w:sz w:val="24"/>
              </w:rPr>
              <w:t>Susan E. Hanson</w:t>
            </w:r>
          </w:p>
        </w:tc>
        <w:tc>
          <w:tcPr>
            <w:tcW w:w="2598" w:type="dxa"/>
          </w:tcPr>
          <w:p w14:paraId="1DF3EE30" w14:textId="77777777" w:rsidR="007B6A71" w:rsidRDefault="00CE1F16">
            <w:pPr>
              <w:pStyle w:val="TableParagraph"/>
              <w:ind w:left="339"/>
              <w:rPr>
                <w:sz w:val="24"/>
              </w:rPr>
            </w:pPr>
            <w:r>
              <w:rPr>
                <w:sz w:val="24"/>
              </w:rPr>
              <w:t>0000-0002-2198-1595</w:t>
            </w:r>
          </w:p>
        </w:tc>
      </w:tr>
      <w:tr w:rsidR="007B6A71" w14:paraId="1F20DADA" w14:textId="77777777">
        <w:trPr>
          <w:trHeight w:val="551"/>
        </w:trPr>
        <w:tc>
          <w:tcPr>
            <w:tcW w:w="650" w:type="dxa"/>
          </w:tcPr>
          <w:p w14:paraId="13AE46F9" w14:textId="77777777" w:rsidR="007B6A71" w:rsidRDefault="00CE1F16">
            <w:pPr>
              <w:pStyle w:val="TableParagraph"/>
              <w:ind w:left="50"/>
              <w:rPr>
                <w:sz w:val="24"/>
              </w:rPr>
            </w:pPr>
            <w:r>
              <w:rPr>
                <w:sz w:val="24"/>
              </w:rPr>
              <w:t>30</w:t>
            </w:r>
          </w:p>
        </w:tc>
        <w:tc>
          <w:tcPr>
            <w:tcW w:w="2902" w:type="dxa"/>
          </w:tcPr>
          <w:p w14:paraId="1FE58903" w14:textId="77777777" w:rsidR="007B6A71" w:rsidRDefault="00CE1F16">
            <w:pPr>
              <w:pStyle w:val="TableParagraph"/>
              <w:ind w:left="360"/>
              <w:rPr>
                <w:sz w:val="24"/>
              </w:rPr>
            </w:pPr>
            <w:r>
              <w:rPr>
                <w:sz w:val="24"/>
              </w:rPr>
              <w:t>Jan Merkens</w:t>
            </w:r>
          </w:p>
        </w:tc>
        <w:tc>
          <w:tcPr>
            <w:tcW w:w="2598" w:type="dxa"/>
          </w:tcPr>
          <w:p w14:paraId="43C607AA" w14:textId="77777777" w:rsidR="007B6A71" w:rsidRDefault="00CE1F16">
            <w:pPr>
              <w:pStyle w:val="TableParagraph"/>
              <w:ind w:left="339"/>
              <w:rPr>
                <w:sz w:val="24"/>
              </w:rPr>
            </w:pPr>
            <w:r>
              <w:rPr>
                <w:sz w:val="24"/>
              </w:rPr>
              <w:t>0000-0003-0916-2906</w:t>
            </w:r>
          </w:p>
        </w:tc>
      </w:tr>
      <w:tr w:rsidR="007B6A71" w14:paraId="6FEF8828" w14:textId="77777777">
        <w:trPr>
          <w:trHeight w:val="408"/>
        </w:trPr>
        <w:tc>
          <w:tcPr>
            <w:tcW w:w="650" w:type="dxa"/>
          </w:tcPr>
          <w:p w14:paraId="4A78ABB8" w14:textId="77777777" w:rsidR="007B6A71" w:rsidRDefault="007B6A71">
            <w:pPr>
              <w:pStyle w:val="TableParagraph"/>
              <w:spacing w:before="0"/>
              <w:rPr>
                <w:sz w:val="24"/>
              </w:rPr>
            </w:pPr>
          </w:p>
        </w:tc>
        <w:tc>
          <w:tcPr>
            <w:tcW w:w="2902" w:type="dxa"/>
          </w:tcPr>
          <w:p w14:paraId="12609979" w14:textId="77777777" w:rsidR="007B6A71" w:rsidRDefault="00CE1F16">
            <w:pPr>
              <w:pStyle w:val="TableParagraph"/>
              <w:spacing w:line="256" w:lineRule="exact"/>
              <w:ind w:left="360"/>
              <w:rPr>
                <w:sz w:val="24"/>
              </w:rPr>
            </w:pPr>
            <w:r>
              <w:rPr>
                <w:sz w:val="24"/>
              </w:rPr>
              <w:t>Jiayi Fang</w:t>
            </w:r>
          </w:p>
        </w:tc>
        <w:tc>
          <w:tcPr>
            <w:tcW w:w="2598" w:type="dxa"/>
          </w:tcPr>
          <w:p w14:paraId="1EEC7274" w14:textId="77777777" w:rsidR="007B6A71" w:rsidRDefault="00CE1F16">
            <w:pPr>
              <w:pStyle w:val="TableParagraph"/>
              <w:spacing w:line="256" w:lineRule="exact"/>
              <w:ind w:left="339"/>
              <w:rPr>
                <w:sz w:val="24"/>
              </w:rPr>
            </w:pPr>
            <w:r>
              <w:rPr>
                <w:sz w:val="24"/>
              </w:rPr>
              <w:t>0000-0002-0420-5615</w:t>
            </w:r>
          </w:p>
        </w:tc>
      </w:tr>
    </w:tbl>
    <w:p w14:paraId="53475354" w14:textId="77777777" w:rsidR="007B6A71" w:rsidRDefault="007B6A71">
      <w:pPr>
        <w:spacing w:line="256" w:lineRule="exact"/>
        <w:rPr>
          <w:sz w:val="24"/>
        </w:rPr>
        <w:sectPr w:rsidR="007B6A71">
          <w:pgSz w:w="12240" w:h="15840"/>
          <w:pgMar w:top="1440" w:right="1000" w:bottom="1800" w:left="260" w:header="0" w:footer="1538" w:gutter="0"/>
          <w:cols w:space="720"/>
        </w:sectPr>
      </w:pPr>
    </w:p>
    <w:p w14:paraId="72548D76" w14:textId="77777777" w:rsidR="007B6A71" w:rsidRDefault="00CE1F16">
      <w:pPr>
        <w:pStyle w:val="Heading1"/>
        <w:spacing w:before="77"/>
      </w:pPr>
      <w:r>
        <w:lastRenderedPageBreak/>
        <w:t>Editors Summary:</w:t>
      </w:r>
    </w:p>
    <w:p w14:paraId="30C3E0CD" w14:textId="77777777" w:rsidR="007B6A71" w:rsidRDefault="007B6A71">
      <w:pPr>
        <w:pStyle w:val="BodyText"/>
        <w:spacing w:before="10"/>
        <w:rPr>
          <w:b/>
          <w:sz w:val="19"/>
        </w:rPr>
      </w:pPr>
    </w:p>
    <w:p w14:paraId="6593F8E7" w14:textId="77777777" w:rsidR="007B6A71" w:rsidRDefault="00CE1F16">
      <w:pPr>
        <w:pStyle w:val="BodyText"/>
        <w:tabs>
          <w:tab w:val="left" w:pos="1180"/>
        </w:tabs>
        <w:spacing w:before="90"/>
        <w:ind w:left="220"/>
      </w:pPr>
      <w:r>
        <w:t>35</w:t>
      </w:r>
      <w:r>
        <w:tab/>
        <w:t>Land subsidence/uplift influences the rate of sea-level rise. Most coastal populations live</w:t>
      </w:r>
      <w:r>
        <w:rPr>
          <w:spacing w:val="-4"/>
        </w:rPr>
        <w:t xml:space="preserve"> </w:t>
      </w:r>
      <w:r>
        <w:t>in</w:t>
      </w:r>
    </w:p>
    <w:p w14:paraId="78C0AD5A" w14:textId="77777777" w:rsidR="007B6A71" w:rsidRDefault="007B6A71">
      <w:pPr>
        <w:pStyle w:val="BodyText"/>
        <w:spacing w:before="2"/>
        <w:rPr>
          <w:sz w:val="16"/>
        </w:rPr>
      </w:pPr>
    </w:p>
    <w:p w14:paraId="12C74411" w14:textId="77777777" w:rsidR="007B6A71" w:rsidRDefault="00CE1F16">
      <w:pPr>
        <w:pStyle w:val="BodyText"/>
        <w:spacing w:before="90" w:line="480" w:lineRule="auto"/>
        <w:ind w:left="1180" w:right="857"/>
      </w:pPr>
      <w:r>
        <w:t>subsiding areas and as a result experience average rates of relative sea-level rise three to four times fa</w:t>
      </w:r>
      <w:r>
        <w:t>ster than due to climate change alone. This indicates the need for policy to address subsidence.</w:t>
      </w:r>
    </w:p>
    <w:p w14:paraId="018B0916" w14:textId="77777777" w:rsidR="007B6A71" w:rsidRDefault="007B6A71">
      <w:pPr>
        <w:pStyle w:val="BodyText"/>
        <w:rPr>
          <w:sz w:val="20"/>
        </w:rPr>
      </w:pPr>
    </w:p>
    <w:p w14:paraId="4DE83A5A" w14:textId="77777777" w:rsidR="007B6A71" w:rsidRDefault="007B6A71">
      <w:pPr>
        <w:pStyle w:val="BodyText"/>
        <w:spacing w:before="7"/>
        <w:rPr>
          <w:sz w:val="20"/>
        </w:rPr>
      </w:pPr>
    </w:p>
    <w:p w14:paraId="611372B9" w14:textId="77777777" w:rsidR="007B6A71" w:rsidRDefault="00CE1F16">
      <w:pPr>
        <w:tabs>
          <w:tab w:val="left" w:pos="1180"/>
        </w:tabs>
        <w:spacing w:before="89"/>
        <w:ind w:left="220"/>
        <w:rPr>
          <w:b/>
          <w:sz w:val="28"/>
        </w:rPr>
      </w:pPr>
      <w:r>
        <w:rPr>
          <w:sz w:val="24"/>
        </w:rPr>
        <w:t>40</w:t>
      </w:r>
      <w:r>
        <w:rPr>
          <w:sz w:val="24"/>
        </w:rPr>
        <w:tab/>
      </w:r>
      <w:r>
        <w:rPr>
          <w:b/>
          <w:sz w:val="28"/>
        </w:rPr>
        <w:t>Abstract:</w:t>
      </w:r>
    </w:p>
    <w:p w14:paraId="42251B51" w14:textId="77777777" w:rsidR="007B6A71" w:rsidRDefault="007B6A71">
      <w:pPr>
        <w:pStyle w:val="BodyText"/>
        <w:spacing w:before="1"/>
        <w:rPr>
          <w:b/>
          <w:sz w:val="20"/>
        </w:rPr>
      </w:pPr>
    </w:p>
    <w:p w14:paraId="2495D2C9" w14:textId="77777777" w:rsidR="007B6A71" w:rsidRDefault="00CE1F16">
      <w:pPr>
        <w:pStyle w:val="BodyText"/>
        <w:spacing w:before="90" w:line="480" w:lineRule="auto"/>
        <w:ind w:left="1180" w:right="806"/>
      </w:pPr>
      <w:r>
        <w:t>Climate-induced sea-level rise and vertical land movements, including natural and human- induced subsidence in sedimentary coastal lowlands, combine to change relative sea levels around the world's coast. Although this affects local rates of sea-level rise</w:t>
      </w:r>
      <w:r>
        <w:t>, assessments of the coastal impacts of subsidence are lacking on a global scale. Here, we quantify global-mean</w:t>
      </w:r>
    </w:p>
    <w:p w14:paraId="22C43320" w14:textId="77777777" w:rsidR="007B6A71" w:rsidRDefault="00CE1F16">
      <w:pPr>
        <w:pStyle w:val="BodyText"/>
        <w:tabs>
          <w:tab w:val="left" w:pos="1180"/>
        </w:tabs>
        <w:spacing w:line="274" w:lineRule="exact"/>
        <w:ind w:left="220"/>
      </w:pPr>
      <w:r>
        <w:t>45</w:t>
      </w:r>
      <w:r>
        <w:tab/>
        <w:t>relative sea-level rise to be 2.5 mm/yr over the last two decades. However, as coastal</w:t>
      </w:r>
      <w:r>
        <w:rPr>
          <w:spacing w:val="-10"/>
        </w:rPr>
        <w:t xml:space="preserve"> </w:t>
      </w:r>
      <w:r>
        <w:t>inhabitants</w:t>
      </w:r>
    </w:p>
    <w:p w14:paraId="5BEA1EC0" w14:textId="77777777" w:rsidR="007B6A71" w:rsidRDefault="007B6A71">
      <w:pPr>
        <w:pStyle w:val="BodyText"/>
        <w:spacing w:before="2"/>
        <w:rPr>
          <w:sz w:val="16"/>
        </w:rPr>
      </w:pPr>
    </w:p>
    <w:p w14:paraId="3FAA9A92" w14:textId="77777777" w:rsidR="007B6A71" w:rsidRDefault="00CE1F16">
      <w:pPr>
        <w:pStyle w:val="BodyText"/>
        <w:spacing w:before="90" w:line="480" w:lineRule="auto"/>
        <w:ind w:left="1180" w:right="709"/>
      </w:pPr>
      <w:r>
        <w:t>are preferentially located in subsiding l</w:t>
      </w:r>
      <w:r>
        <w:t xml:space="preserve">ocations, they experience an average relative sea-level rise up to four times faster at 7.8 to 9.9 mm/yr. These results indicate that the impacts and adaptation needs are much higher than reported global sea-level rise measurements suggest. In particular, </w:t>
      </w:r>
      <w:r>
        <w:t>human-induced subsidence in and surrounding coastal cities can be rapidly reduced</w:t>
      </w:r>
    </w:p>
    <w:p w14:paraId="0EF89F52" w14:textId="77777777" w:rsidR="007B6A71" w:rsidRDefault="00CE1F16">
      <w:pPr>
        <w:pStyle w:val="BodyText"/>
        <w:tabs>
          <w:tab w:val="left" w:pos="1180"/>
        </w:tabs>
        <w:ind w:left="220"/>
      </w:pPr>
      <w:r>
        <w:t>50</w:t>
      </w:r>
      <w:r>
        <w:tab/>
        <w:t>with appropriate policy for groundwater utilization and drainage. Such policy would</w:t>
      </w:r>
      <w:r>
        <w:rPr>
          <w:spacing w:val="-11"/>
        </w:rPr>
        <w:t xml:space="preserve"> </w:t>
      </w:r>
      <w:r>
        <w:t>offer</w:t>
      </w:r>
    </w:p>
    <w:p w14:paraId="7304BCD1" w14:textId="77777777" w:rsidR="007B6A71" w:rsidRDefault="007B6A71">
      <w:pPr>
        <w:pStyle w:val="BodyText"/>
        <w:spacing w:before="2"/>
        <w:rPr>
          <w:sz w:val="16"/>
        </w:rPr>
      </w:pPr>
    </w:p>
    <w:p w14:paraId="17CC8854" w14:textId="77777777" w:rsidR="007B6A71" w:rsidRDefault="00CE1F16">
      <w:pPr>
        <w:pStyle w:val="BodyText"/>
        <w:spacing w:before="90" w:line="480" w:lineRule="auto"/>
        <w:ind w:left="1180" w:right="463"/>
      </w:pPr>
      <w:r>
        <w:t>substantial and rapid benefits to reduce growth of coastal flood exposure due to</w:t>
      </w:r>
      <w:r>
        <w:t xml:space="preserve"> relative sea-level rise.</w:t>
      </w:r>
    </w:p>
    <w:p w14:paraId="1C96AF4C" w14:textId="77777777" w:rsidR="007B6A71" w:rsidRDefault="007B6A71">
      <w:pPr>
        <w:spacing w:line="480" w:lineRule="auto"/>
        <w:sectPr w:rsidR="007B6A71">
          <w:pgSz w:w="12240" w:h="15840"/>
          <w:pgMar w:top="1360" w:right="1000" w:bottom="1800" w:left="260" w:header="0" w:footer="1538" w:gutter="0"/>
          <w:cols w:space="720"/>
        </w:sectPr>
      </w:pPr>
    </w:p>
    <w:p w14:paraId="5BCFB39A" w14:textId="77777777" w:rsidR="007B6A71" w:rsidRDefault="00CE1F16">
      <w:pPr>
        <w:pStyle w:val="Heading1"/>
        <w:spacing w:before="77"/>
      </w:pPr>
      <w:r>
        <w:lastRenderedPageBreak/>
        <w:t>Main Text:</w:t>
      </w:r>
    </w:p>
    <w:p w14:paraId="4A29EF3D" w14:textId="77777777" w:rsidR="007B6A71" w:rsidRDefault="007B6A71">
      <w:pPr>
        <w:pStyle w:val="BodyText"/>
        <w:spacing w:before="10"/>
        <w:rPr>
          <w:b/>
          <w:sz w:val="19"/>
        </w:rPr>
      </w:pPr>
    </w:p>
    <w:p w14:paraId="45CBDE43" w14:textId="77777777" w:rsidR="007B6A71" w:rsidRDefault="00CE1F16">
      <w:pPr>
        <w:pStyle w:val="BodyText"/>
        <w:tabs>
          <w:tab w:val="left" w:pos="1180"/>
        </w:tabs>
        <w:spacing w:before="90" w:line="470" w:lineRule="auto"/>
        <w:ind w:left="1180" w:right="621" w:hanging="961"/>
      </w:pPr>
      <w:r>
        <w:t>55</w:t>
      </w:r>
      <w:r>
        <w:tab/>
        <w:t>It is widely recognised that climate-induced sea-level rise (SLR) is raising water levels around the world’s coast</w:t>
      </w:r>
      <w:r>
        <w:rPr>
          <w:position w:val="9"/>
          <w:sz w:val="16"/>
        </w:rPr>
        <w:t xml:space="preserve">1-3 </w:t>
      </w:r>
      <w:r>
        <w:t>and that this will lead to an increase in flood risk and other impacts unless there</w:t>
      </w:r>
      <w:r>
        <w:t xml:space="preserve"> is corresponding adaptation</w:t>
      </w:r>
      <w:r>
        <w:rPr>
          <w:position w:val="9"/>
          <w:sz w:val="16"/>
        </w:rPr>
        <w:t>4</w:t>
      </w:r>
      <w:r>
        <w:t>. Against this background, a large literature has assessed the magnitude of SLR, and its impacts and adaptation needs at global scales</w:t>
      </w:r>
      <w:r>
        <w:rPr>
          <w:position w:val="9"/>
          <w:sz w:val="16"/>
        </w:rPr>
        <w:t>2</w:t>
      </w:r>
      <w:r>
        <w:t>. Indeed, this</w:t>
      </w:r>
      <w:r>
        <w:rPr>
          <w:spacing w:val="-14"/>
        </w:rPr>
        <w:t xml:space="preserve"> </w:t>
      </w:r>
      <w:r>
        <w:t>literature is essential for setting and evaluating mitigation targets, strate</w:t>
      </w:r>
      <w:r>
        <w:t>gic adaptation, and</w:t>
      </w:r>
      <w:r>
        <w:rPr>
          <w:spacing w:val="-15"/>
        </w:rPr>
        <w:t xml:space="preserve"> </w:t>
      </w:r>
      <w:r>
        <w:t>designing</w:t>
      </w:r>
    </w:p>
    <w:p w14:paraId="391A87C8" w14:textId="77777777" w:rsidR="007B6A71" w:rsidRDefault="00CE1F16">
      <w:pPr>
        <w:pStyle w:val="BodyText"/>
        <w:tabs>
          <w:tab w:val="left" w:pos="1180"/>
        </w:tabs>
        <w:spacing w:before="10"/>
        <w:ind w:left="220"/>
      </w:pPr>
      <w:r>
        <w:t>60</w:t>
      </w:r>
      <w:r>
        <w:tab/>
        <w:t>financial arrangements for funding adaptation and compensation for loss and damage. Over</w:t>
      </w:r>
      <w:r>
        <w:rPr>
          <w:spacing w:val="-9"/>
        </w:rPr>
        <w:t xml:space="preserve"> </w:t>
      </w:r>
      <w:r>
        <w:t>time,</w:t>
      </w:r>
    </w:p>
    <w:p w14:paraId="49D7DC85" w14:textId="77777777" w:rsidR="007B6A71" w:rsidRDefault="007B6A71">
      <w:pPr>
        <w:pStyle w:val="BodyText"/>
        <w:spacing w:before="2"/>
        <w:rPr>
          <w:sz w:val="16"/>
        </w:rPr>
      </w:pPr>
    </w:p>
    <w:p w14:paraId="7933C47D" w14:textId="77777777" w:rsidR="007B6A71" w:rsidRDefault="00CE1F16">
      <w:pPr>
        <w:pStyle w:val="BodyText"/>
        <w:spacing w:before="90" w:line="480" w:lineRule="auto"/>
        <w:ind w:left="1180" w:right="450"/>
      </w:pPr>
      <w:r>
        <w:t>this literature has progressed from focusing on climate-induced regional SLR to also including geological sources of local relative sea-level change such as glacial-isostatic adjustment (GIA) in order to serve local adaptation needs, for which the source o</w:t>
      </w:r>
      <w:r>
        <w:t>f relative SLR is irrelevant. To our knowledge, however, no global study has quantitatively considered the contribution of</w:t>
      </w:r>
    </w:p>
    <w:p w14:paraId="5205D802" w14:textId="77777777" w:rsidR="007B6A71" w:rsidRDefault="00CE1F16">
      <w:pPr>
        <w:pStyle w:val="BodyText"/>
        <w:tabs>
          <w:tab w:val="left" w:pos="1180"/>
        </w:tabs>
        <w:spacing w:before="1"/>
        <w:ind w:left="220"/>
      </w:pPr>
      <w:r>
        <w:t>65</w:t>
      </w:r>
      <w:r>
        <w:tab/>
        <w:t>subsidence to global SLR risk. This may constitute a serious limitation in global</w:t>
      </w:r>
      <w:r>
        <w:rPr>
          <w:spacing w:val="-15"/>
        </w:rPr>
        <w:t xml:space="preserve"> </w:t>
      </w:r>
      <w:r>
        <w:t>exposure</w:t>
      </w:r>
    </w:p>
    <w:p w14:paraId="453CB472" w14:textId="77777777" w:rsidR="007B6A71" w:rsidRDefault="007B6A71">
      <w:pPr>
        <w:pStyle w:val="BodyText"/>
        <w:spacing w:before="2"/>
        <w:rPr>
          <w:sz w:val="16"/>
        </w:rPr>
      </w:pPr>
    </w:p>
    <w:p w14:paraId="44E34C96" w14:textId="77777777" w:rsidR="007B6A71" w:rsidRDefault="00CE1F16">
      <w:pPr>
        <w:pStyle w:val="BodyText"/>
        <w:spacing w:before="90" w:line="480" w:lineRule="auto"/>
        <w:ind w:left="1180" w:right="469"/>
      </w:pPr>
      <w:r>
        <w:t xml:space="preserve">estimates as human-induced subsidence </w:t>
      </w:r>
      <w:r>
        <w:t>in particular can lead to rates of local SLR that are much higher than current rates of climate-induced SLR. Furthermore, these high rates occur specifically in densely populated areas such as cities and deltas. This could have a large effect</w:t>
      </w:r>
      <w:r>
        <w:rPr>
          <w:spacing w:val="-18"/>
        </w:rPr>
        <w:t xml:space="preserve"> </w:t>
      </w:r>
      <w:r>
        <w:t>on people’s e</w:t>
      </w:r>
      <w:r>
        <w:t>xperience of relative sea-level rise, but so far the size of this effect has not</w:t>
      </w:r>
      <w:r>
        <w:rPr>
          <w:spacing w:val="-10"/>
        </w:rPr>
        <w:t xml:space="preserve"> </w:t>
      </w:r>
      <w:r>
        <w:t>been</w:t>
      </w:r>
    </w:p>
    <w:p w14:paraId="5EFDE1CB" w14:textId="77777777" w:rsidR="007B6A71" w:rsidRDefault="00CE1F16">
      <w:pPr>
        <w:pStyle w:val="BodyText"/>
        <w:tabs>
          <w:tab w:val="left" w:pos="1180"/>
        </w:tabs>
        <w:ind w:left="220"/>
      </w:pPr>
      <w:r>
        <w:t>70</w:t>
      </w:r>
      <w:r>
        <w:tab/>
        <w:t>studied at global</w:t>
      </w:r>
      <w:r>
        <w:rPr>
          <w:spacing w:val="-1"/>
        </w:rPr>
        <w:t xml:space="preserve"> </w:t>
      </w:r>
      <w:r>
        <w:t>scales.</w:t>
      </w:r>
    </w:p>
    <w:p w14:paraId="4CCC17A4" w14:textId="77777777" w:rsidR="007B6A71" w:rsidRDefault="007B6A71">
      <w:pPr>
        <w:pStyle w:val="BodyText"/>
        <w:rPr>
          <w:sz w:val="20"/>
        </w:rPr>
      </w:pPr>
    </w:p>
    <w:p w14:paraId="4CB3C1D3" w14:textId="77777777" w:rsidR="007B6A71" w:rsidRDefault="007B6A71">
      <w:pPr>
        <w:pStyle w:val="BodyText"/>
        <w:rPr>
          <w:sz w:val="20"/>
        </w:rPr>
      </w:pPr>
    </w:p>
    <w:p w14:paraId="271F8DED" w14:textId="77777777" w:rsidR="007B6A71" w:rsidRDefault="007B6A71">
      <w:pPr>
        <w:pStyle w:val="BodyText"/>
        <w:spacing w:before="2"/>
      </w:pPr>
    </w:p>
    <w:p w14:paraId="00948183" w14:textId="77777777" w:rsidR="007B6A71" w:rsidRDefault="00CE1F16">
      <w:pPr>
        <w:pStyle w:val="BodyText"/>
        <w:spacing w:before="90" w:line="480" w:lineRule="auto"/>
        <w:ind w:left="1180" w:right="649"/>
      </w:pPr>
      <w:r>
        <w:t>Important geological processes that are contributing to relative sea-level change include tectonics, glacial-isostatic adjustment (GIA) and subsidence in geologically recent sedimentary</w:t>
      </w:r>
    </w:p>
    <w:p w14:paraId="5C392BD8" w14:textId="77777777" w:rsidR="007B6A71" w:rsidRDefault="00CE1F16">
      <w:pPr>
        <w:pStyle w:val="BodyText"/>
        <w:spacing w:before="1"/>
        <w:ind w:left="1180"/>
      </w:pPr>
      <w:r>
        <w:t xml:space="preserve">deposits such as deltas, which can be significantly enhanced by human </w:t>
      </w:r>
      <w:r>
        <w:t>agency especially</w:t>
      </w:r>
    </w:p>
    <w:p w14:paraId="1853F296" w14:textId="77777777" w:rsidR="007B6A71" w:rsidRDefault="007B6A71">
      <w:pPr>
        <w:pStyle w:val="BodyText"/>
        <w:spacing w:before="7"/>
        <w:rPr>
          <w:sz w:val="22"/>
        </w:rPr>
      </w:pPr>
    </w:p>
    <w:p w14:paraId="678E1FC2" w14:textId="77777777" w:rsidR="007B6A71" w:rsidRDefault="00CE1F16">
      <w:pPr>
        <w:pStyle w:val="BodyText"/>
        <w:tabs>
          <w:tab w:val="left" w:pos="1180"/>
        </w:tabs>
        <w:spacing w:before="1"/>
        <w:ind w:left="220"/>
      </w:pPr>
      <w:r>
        <w:t>75</w:t>
      </w:r>
      <w:r>
        <w:tab/>
        <w:t>groundwater withdrawal</w:t>
      </w:r>
      <w:r>
        <w:rPr>
          <w:position w:val="9"/>
          <w:sz w:val="16"/>
        </w:rPr>
        <w:t>5-10</w:t>
      </w:r>
      <w:r>
        <w:t>. As global models are available (e.g., Peltier et al</w:t>
      </w:r>
      <w:r>
        <w:rPr>
          <w:position w:val="9"/>
          <w:sz w:val="16"/>
        </w:rPr>
        <w:t>11</w:t>
      </w:r>
      <w:r>
        <w:t>) and it is a</w:t>
      </w:r>
      <w:r>
        <w:rPr>
          <w:spacing w:val="-7"/>
        </w:rPr>
        <w:t xml:space="preserve"> </w:t>
      </w:r>
      <w:r>
        <w:t>long-</w:t>
      </w:r>
    </w:p>
    <w:p w14:paraId="52654951" w14:textId="77777777" w:rsidR="007B6A71" w:rsidRDefault="007B6A71">
      <w:pPr>
        <w:pStyle w:val="BodyText"/>
        <w:spacing w:before="2"/>
        <w:rPr>
          <w:sz w:val="16"/>
        </w:rPr>
      </w:pPr>
    </w:p>
    <w:p w14:paraId="12BA7B3A" w14:textId="77777777" w:rsidR="007B6A71" w:rsidRDefault="00CE1F16">
      <w:pPr>
        <w:pStyle w:val="BodyText"/>
        <w:spacing w:before="90"/>
        <w:ind w:left="1180"/>
      </w:pPr>
      <w:r>
        <w:t>term stable process causing either uplift or subsidence depending on location, GIA is often</w:t>
      </w:r>
    </w:p>
    <w:p w14:paraId="17160889" w14:textId="77777777" w:rsidR="007B6A71" w:rsidRDefault="007B6A71">
      <w:pPr>
        <w:sectPr w:rsidR="007B6A71">
          <w:pgSz w:w="12240" w:h="15840"/>
          <w:pgMar w:top="1360" w:right="1000" w:bottom="1800" w:left="260" w:header="0" w:footer="1538" w:gutter="0"/>
          <w:cols w:space="720"/>
        </w:sectPr>
      </w:pPr>
    </w:p>
    <w:p w14:paraId="4352268B" w14:textId="77777777" w:rsidR="007B6A71" w:rsidRDefault="00CE1F16">
      <w:pPr>
        <w:pStyle w:val="BodyText"/>
        <w:spacing w:before="74" w:line="480" w:lineRule="auto"/>
        <w:ind w:left="1180" w:right="736"/>
      </w:pPr>
      <w:r>
        <w:lastRenderedPageBreak/>
        <w:t>considered in global analy</w:t>
      </w:r>
      <w:r>
        <w:t>sis of relative sea level and impacts. Other sources of land elevation change are not regularly included, being implicitly seen as a local problem.</w:t>
      </w:r>
    </w:p>
    <w:p w14:paraId="419D73DE" w14:textId="77777777" w:rsidR="007B6A71" w:rsidRDefault="007B6A71">
      <w:pPr>
        <w:pStyle w:val="BodyText"/>
        <w:rPr>
          <w:sz w:val="20"/>
        </w:rPr>
      </w:pPr>
    </w:p>
    <w:p w14:paraId="5072EF87" w14:textId="77777777" w:rsidR="007B6A71" w:rsidRDefault="007B6A71">
      <w:pPr>
        <w:pStyle w:val="BodyText"/>
        <w:spacing w:before="3"/>
        <w:rPr>
          <w:sz w:val="20"/>
        </w:rPr>
      </w:pPr>
    </w:p>
    <w:p w14:paraId="645BECC0" w14:textId="77777777" w:rsidR="007B6A71" w:rsidRDefault="00CE1F16">
      <w:pPr>
        <w:pStyle w:val="BodyText"/>
        <w:tabs>
          <w:tab w:val="left" w:pos="1180"/>
        </w:tabs>
        <w:spacing w:before="90" w:line="470" w:lineRule="auto"/>
        <w:ind w:left="1180" w:right="631" w:hanging="961"/>
      </w:pPr>
      <w:r>
        <w:t>80</w:t>
      </w:r>
      <w:r>
        <w:tab/>
      </w:r>
      <w:r>
        <w:t>Natural subsidence, mainly due to the compaction of young sediments in deltas, is widespread and significant</w:t>
      </w:r>
      <w:r>
        <w:rPr>
          <w:position w:val="9"/>
          <w:sz w:val="16"/>
        </w:rPr>
        <w:t>12</w:t>
      </w:r>
      <w:r>
        <w:t>. However, the most rapid rates of subsidence are human-induced. These are caused by accelerated compaction primarily due to withdrawal of undergr</w:t>
      </w:r>
      <w:r>
        <w:t>ound fluids including groundwater, oil and gas, as well as drainage of organic soils</w:t>
      </w:r>
      <w:r>
        <w:rPr>
          <w:position w:val="9"/>
          <w:sz w:val="16"/>
        </w:rPr>
        <w:t>8,12</w:t>
      </w:r>
      <w:r>
        <w:t>. As Ericson et al</w:t>
      </w:r>
      <w:r>
        <w:rPr>
          <w:position w:val="9"/>
          <w:sz w:val="16"/>
        </w:rPr>
        <w:t>13</w:t>
      </w:r>
      <w:r>
        <w:t>, Syvitski et al</w:t>
      </w:r>
      <w:r>
        <w:rPr>
          <w:position w:val="9"/>
          <w:sz w:val="16"/>
        </w:rPr>
        <w:t xml:space="preserve">14 </w:t>
      </w:r>
      <w:r>
        <w:t>and Tessler et al</w:t>
      </w:r>
      <w:r>
        <w:rPr>
          <w:position w:val="9"/>
          <w:sz w:val="16"/>
        </w:rPr>
        <w:t xml:space="preserve">15 </w:t>
      </w:r>
      <w:r>
        <w:t>among others have demonstrated, these processes are marked in many</w:t>
      </w:r>
      <w:r>
        <w:rPr>
          <w:spacing w:val="24"/>
        </w:rPr>
        <w:t xml:space="preserve"> </w:t>
      </w:r>
      <w:r>
        <w:t>of</w:t>
      </w:r>
    </w:p>
    <w:p w14:paraId="3596725E" w14:textId="77777777" w:rsidR="007B6A71" w:rsidRDefault="00CE1F16">
      <w:pPr>
        <w:pStyle w:val="BodyText"/>
        <w:tabs>
          <w:tab w:val="left" w:pos="1180"/>
        </w:tabs>
        <w:spacing w:before="10"/>
        <w:ind w:left="220"/>
      </w:pPr>
      <w:r>
        <w:t>85</w:t>
      </w:r>
      <w:r>
        <w:tab/>
        <w:t>the world’s deltas and are often com</w:t>
      </w:r>
      <w:r>
        <w:t>pounded by both local flood defences within the delta</w:t>
      </w:r>
      <w:r>
        <w:rPr>
          <w:spacing w:val="-10"/>
        </w:rPr>
        <w:t xml:space="preserve"> </w:t>
      </w:r>
      <w:r>
        <w:t>and</w:t>
      </w:r>
    </w:p>
    <w:p w14:paraId="67AE5A36" w14:textId="77777777" w:rsidR="007B6A71" w:rsidRDefault="007B6A71">
      <w:pPr>
        <w:pStyle w:val="BodyText"/>
        <w:spacing w:before="2"/>
        <w:rPr>
          <w:sz w:val="16"/>
        </w:rPr>
      </w:pPr>
    </w:p>
    <w:p w14:paraId="26C7B032" w14:textId="77777777" w:rsidR="007B6A71" w:rsidRDefault="00CE1F16">
      <w:pPr>
        <w:pStyle w:val="BodyText"/>
        <w:spacing w:before="90" w:line="480" w:lineRule="auto"/>
        <w:ind w:left="1180" w:right="569"/>
      </w:pPr>
      <w:r>
        <w:t>upstream dams, which collectively reduce the sediment supply that maintains these sedimentary landforms. Sand extraction and mining can exacerbate this loss of sediment supply.</w:t>
      </w:r>
    </w:p>
    <w:p w14:paraId="55BF3B30" w14:textId="77777777" w:rsidR="007B6A71" w:rsidRDefault="00CE1F16">
      <w:pPr>
        <w:pStyle w:val="BodyText"/>
        <w:ind w:left="1180"/>
      </w:pPr>
      <w:r>
        <w:t xml:space="preserve">Cumulatively, human </w:t>
      </w:r>
      <w:r>
        <w:t>effects on subsidence are at their largest in some coastal cities located on</w:t>
      </w:r>
    </w:p>
    <w:p w14:paraId="244E9627" w14:textId="77777777" w:rsidR="007B6A71" w:rsidRDefault="007B6A71">
      <w:pPr>
        <w:pStyle w:val="BodyText"/>
        <w:spacing w:before="2"/>
        <w:rPr>
          <w:sz w:val="16"/>
        </w:rPr>
      </w:pPr>
    </w:p>
    <w:p w14:paraId="75E3175A" w14:textId="77777777" w:rsidR="007B6A71" w:rsidRDefault="00CE1F16">
      <w:pPr>
        <w:pStyle w:val="BodyText"/>
        <w:spacing w:before="90"/>
        <w:ind w:left="1180"/>
      </w:pPr>
      <w:r>
        <w:t>deltas and alluvial plains: a net subsidence of more than 4 m has occurred during the 20th</w:t>
      </w:r>
    </w:p>
    <w:p w14:paraId="2403D8F3" w14:textId="77777777" w:rsidR="007B6A71" w:rsidRDefault="007B6A71">
      <w:pPr>
        <w:pStyle w:val="BodyText"/>
        <w:spacing w:before="8"/>
        <w:rPr>
          <w:sz w:val="22"/>
        </w:rPr>
      </w:pPr>
    </w:p>
    <w:p w14:paraId="42A6A27E" w14:textId="77777777" w:rsidR="007B6A71" w:rsidRDefault="00CE1F16">
      <w:pPr>
        <w:pStyle w:val="BodyText"/>
        <w:tabs>
          <w:tab w:val="left" w:pos="1180"/>
        </w:tabs>
        <w:spacing w:line="472" w:lineRule="auto"/>
        <w:ind w:left="1180" w:right="777" w:hanging="961"/>
      </w:pPr>
      <w:r>
        <w:t>90</w:t>
      </w:r>
      <w:r>
        <w:tab/>
        <w:t>century in parts of Tokyo, and 2 to 3 m in Shanghai, Bangkok, Jakarta and New Orlea</w:t>
      </w:r>
      <w:r>
        <w:t>ns</w:t>
      </w:r>
      <w:r>
        <w:rPr>
          <w:position w:val="9"/>
          <w:sz w:val="16"/>
        </w:rPr>
        <w:t>16-19</w:t>
      </w:r>
      <w:r>
        <w:t>. Many deltas and subsiding cities are in Asia and the World Bank</w:t>
      </w:r>
      <w:r>
        <w:rPr>
          <w:position w:val="9"/>
          <w:sz w:val="16"/>
        </w:rPr>
        <w:t xml:space="preserve">20 </w:t>
      </w:r>
      <w:r>
        <w:t>recognised that subsidence could be as significant as climate-induced SLR in parts of coastal Asia over the 21st</w:t>
      </w:r>
      <w:r>
        <w:rPr>
          <w:spacing w:val="-14"/>
        </w:rPr>
        <w:t xml:space="preserve"> </w:t>
      </w:r>
      <w:r>
        <w:t>century.</w:t>
      </w:r>
    </w:p>
    <w:p w14:paraId="0DB488CE" w14:textId="77777777" w:rsidR="007B6A71" w:rsidRDefault="007B6A71">
      <w:pPr>
        <w:pStyle w:val="BodyText"/>
        <w:rPr>
          <w:sz w:val="26"/>
        </w:rPr>
      </w:pPr>
    </w:p>
    <w:p w14:paraId="61F0EFD2" w14:textId="77777777" w:rsidR="007B6A71" w:rsidRDefault="007B6A71">
      <w:pPr>
        <w:pStyle w:val="BodyText"/>
        <w:spacing w:before="9"/>
        <w:rPr>
          <w:sz w:val="22"/>
        </w:rPr>
      </w:pPr>
    </w:p>
    <w:p w14:paraId="732D32D6" w14:textId="77777777" w:rsidR="007B6A71" w:rsidRDefault="00CE1F16">
      <w:pPr>
        <w:pStyle w:val="BodyText"/>
        <w:spacing w:before="1"/>
        <w:ind w:left="1180"/>
      </w:pPr>
      <w:r>
        <w:t>To analyse the relative importance of subsidence on relat</w:t>
      </w:r>
      <w:r>
        <w:t>ive SLR, we consider data for four</w:t>
      </w:r>
    </w:p>
    <w:p w14:paraId="28043CFF" w14:textId="77777777" w:rsidR="007B6A71" w:rsidRDefault="007B6A71">
      <w:pPr>
        <w:pStyle w:val="BodyText"/>
        <w:spacing w:before="7"/>
        <w:rPr>
          <w:sz w:val="22"/>
        </w:rPr>
      </w:pPr>
    </w:p>
    <w:p w14:paraId="45A4C2DA" w14:textId="77777777" w:rsidR="007B6A71" w:rsidRDefault="00CE1F16">
      <w:pPr>
        <w:pStyle w:val="BodyText"/>
        <w:tabs>
          <w:tab w:val="left" w:pos="1180"/>
        </w:tabs>
        <w:spacing w:line="475" w:lineRule="auto"/>
        <w:ind w:left="1180" w:right="670" w:hanging="961"/>
        <w:jc w:val="both"/>
      </w:pPr>
      <w:r>
        <w:t>95</w:t>
      </w:r>
      <w:r>
        <w:tab/>
        <w:t>components of relative sea-level change: (1) climate-induced sea-level change</w:t>
      </w:r>
      <w:r>
        <w:rPr>
          <w:position w:val="9"/>
          <w:sz w:val="16"/>
        </w:rPr>
        <w:t>21,22</w:t>
      </w:r>
      <w:r>
        <w:t>; (2) glacial- isostatic adjustment (GIA)</w:t>
      </w:r>
      <w:r>
        <w:rPr>
          <w:position w:val="9"/>
          <w:sz w:val="16"/>
        </w:rPr>
        <w:t>11</w:t>
      </w:r>
      <w:r>
        <w:t>; (3) recent estimates of total deltaic subsidence, including natural and human-induced changes; and (4) recent estimates of human-induced subsidence in coastal cities on deltas and alluvial plains (which operate at a sub-delta scale and hence is additiona</w:t>
      </w:r>
      <w:r>
        <w:t>l</w:t>
      </w:r>
      <w:r>
        <w:rPr>
          <w:spacing w:val="-14"/>
        </w:rPr>
        <w:t xml:space="preserve"> </w:t>
      </w:r>
      <w:r>
        <w:t>to</w:t>
      </w:r>
    </w:p>
    <w:p w14:paraId="5CD3F238" w14:textId="77777777" w:rsidR="007B6A71" w:rsidRDefault="00CE1F16">
      <w:pPr>
        <w:pStyle w:val="BodyText"/>
        <w:spacing w:before="8"/>
        <w:ind w:left="1180"/>
      </w:pPr>
      <w:r>
        <w:t>the subsidence due to component 3). In addition to the individual components, we also consider</w:t>
      </w:r>
    </w:p>
    <w:p w14:paraId="4A00440E" w14:textId="77777777" w:rsidR="007B6A71" w:rsidRDefault="007B6A71">
      <w:pPr>
        <w:sectPr w:rsidR="007B6A71">
          <w:pgSz w:w="12240" w:h="15840"/>
          <w:pgMar w:top="1360" w:right="1000" w:bottom="1800" w:left="260" w:header="0" w:footer="1538" w:gutter="0"/>
          <w:cols w:space="720"/>
        </w:sectPr>
      </w:pPr>
    </w:p>
    <w:p w14:paraId="073FB4A4" w14:textId="77777777" w:rsidR="007B6A71" w:rsidRDefault="00CE1F16">
      <w:pPr>
        <w:pStyle w:val="BodyText"/>
        <w:tabs>
          <w:tab w:val="left" w:pos="1180"/>
        </w:tabs>
        <w:spacing w:before="74"/>
        <w:ind w:left="100"/>
      </w:pPr>
      <w:r>
        <w:lastRenderedPageBreak/>
        <w:t>100</w:t>
      </w:r>
      <w:r>
        <w:tab/>
        <w:t>the combined effect of all these components, which is the local relative SLR. To compute</w:t>
      </w:r>
      <w:r>
        <w:rPr>
          <w:spacing w:val="-8"/>
        </w:rPr>
        <w:t xml:space="preserve"> </w:t>
      </w:r>
      <w:r>
        <w:t>global</w:t>
      </w:r>
    </w:p>
    <w:p w14:paraId="3201AC1B" w14:textId="77777777" w:rsidR="007B6A71" w:rsidRDefault="007B6A71">
      <w:pPr>
        <w:pStyle w:val="BodyText"/>
        <w:spacing w:before="2"/>
        <w:rPr>
          <w:sz w:val="16"/>
        </w:rPr>
      </w:pPr>
    </w:p>
    <w:p w14:paraId="053447F3" w14:textId="77777777" w:rsidR="007B6A71" w:rsidRDefault="00CE1F16">
      <w:pPr>
        <w:pStyle w:val="BodyText"/>
        <w:spacing w:before="90" w:line="480" w:lineRule="auto"/>
        <w:ind w:left="1180" w:right="469"/>
      </w:pPr>
      <w:r>
        <w:t>relative SLR, we weight local relative SL</w:t>
      </w:r>
      <w:r>
        <w:t>R values by the length of coast and thus obtain an estimate of the average relative SLR per kilometre of coast. Given that the distribution of coastal population and hence SLR risks and adaptation needs are not uniform, we also estimate the global relative</w:t>
      </w:r>
      <w:r>
        <w:t xml:space="preserve"> SLR weighted by coastal population, giving an estimate of the average relative</w:t>
      </w:r>
    </w:p>
    <w:p w14:paraId="41B8FB56" w14:textId="77777777" w:rsidR="007B6A71" w:rsidRDefault="00CE1F16">
      <w:pPr>
        <w:pStyle w:val="BodyText"/>
        <w:tabs>
          <w:tab w:val="left" w:pos="1180"/>
        </w:tabs>
        <w:spacing w:before="1"/>
        <w:ind w:left="100"/>
      </w:pPr>
      <w:r>
        <w:t>105</w:t>
      </w:r>
      <w:r>
        <w:tab/>
        <w:t>SLR per coastal resident. We then consider the relative role of subsidence in enhancing</w:t>
      </w:r>
      <w:r>
        <w:rPr>
          <w:spacing w:val="-12"/>
        </w:rPr>
        <w:t xml:space="preserve"> </w:t>
      </w:r>
      <w:r>
        <w:t>coastal</w:t>
      </w:r>
    </w:p>
    <w:p w14:paraId="708EE5B6" w14:textId="77777777" w:rsidR="007B6A71" w:rsidRDefault="007B6A71">
      <w:pPr>
        <w:pStyle w:val="BodyText"/>
        <w:spacing w:before="2"/>
        <w:rPr>
          <w:sz w:val="16"/>
        </w:rPr>
      </w:pPr>
    </w:p>
    <w:p w14:paraId="350F5E4B" w14:textId="77777777" w:rsidR="007B6A71" w:rsidRDefault="00CE1F16">
      <w:pPr>
        <w:pStyle w:val="BodyText"/>
        <w:spacing w:before="90" w:line="480" w:lineRule="auto"/>
        <w:ind w:left="1180" w:right="489"/>
      </w:pPr>
      <w:r>
        <w:t xml:space="preserve">flood risk to 2050 compared to other changes, assuming current estimates of subsidence continue. For this, we focus on the coastal flood plain population (i.e., exposure) as a metric as it is independent of adaptation. All components, data and methods are </w:t>
      </w:r>
      <w:r>
        <w:t>defined and described in more detail in the Methods.</w:t>
      </w:r>
    </w:p>
    <w:p w14:paraId="29A141BB" w14:textId="77777777" w:rsidR="007B6A71" w:rsidRDefault="00CE1F16">
      <w:pPr>
        <w:pStyle w:val="BodyText"/>
        <w:ind w:left="100"/>
      </w:pPr>
      <w:r>
        <w:t>110</w:t>
      </w:r>
    </w:p>
    <w:p w14:paraId="2A637EA6" w14:textId="77777777" w:rsidR="007B6A71" w:rsidRDefault="007B6A71">
      <w:pPr>
        <w:pStyle w:val="BodyText"/>
        <w:spacing w:before="3"/>
        <w:rPr>
          <w:sz w:val="16"/>
        </w:rPr>
      </w:pPr>
    </w:p>
    <w:p w14:paraId="45FE665E" w14:textId="77777777" w:rsidR="007B6A71" w:rsidRDefault="00CE1F16">
      <w:pPr>
        <w:pStyle w:val="BodyText"/>
        <w:spacing w:before="90" w:line="480" w:lineRule="auto"/>
        <w:ind w:left="1180" w:right="496"/>
      </w:pPr>
      <w:r>
        <w:t>Considering weighting by coastal length, the analysis shows that contemporary global-mean coastal relative SLR, including climate and geological components, averages 2.5 mm/yr over the last two deca</w:t>
      </w:r>
      <w:r>
        <w:t>des with climate-induced SLR being the dominant component (Fig. 1; Table 1).</w:t>
      </w:r>
    </w:p>
    <w:p w14:paraId="4BAA099A" w14:textId="77777777" w:rsidR="007B6A71" w:rsidRDefault="00CE1F16">
      <w:pPr>
        <w:pStyle w:val="BodyText"/>
        <w:ind w:left="1180"/>
      </w:pPr>
      <w:r>
        <w:t>This is less than the climate-induced change component alone as GIA causes a net average fall in</w:t>
      </w:r>
    </w:p>
    <w:p w14:paraId="553F3089" w14:textId="77777777" w:rsidR="007B6A71" w:rsidRDefault="007B6A71">
      <w:pPr>
        <w:pStyle w:val="BodyText"/>
        <w:spacing w:before="2"/>
        <w:rPr>
          <w:sz w:val="16"/>
        </w:rPr>
      </w:pPr>
    </w:p>
    <w:p w14:paraId="7435DE91" w14:textId="77777777" w:rsidR="007B6A71" w:rsidRDefault="00CE1F16">
      <w:pPr>
        <w:pStyle w:val="BodyText"/>
        <w:tabs>
          <w:tab w:val="left" w:pos="1180"/>
        </w:tabs>
        <w:spacing w:before="90"/>
        <w:ind w:left="100"/>
      </w:pPr>
      <w:r>
        <w:t>115</w:t>
      </w:r>
      <w:r>
        <w:tab/>
      </w:r>
      <w:r>
        <w:t>relative sea level around the world’s coasts. Globally, the combined effect of</w:t>
      </w:r>
      <w:r>
        <w:rPr>
          <w:spacing w:val="-3"/>
        </w:rPr>
        <w:t xml:space="preserve"> </w:t>
      </w:r>
      <w:r>
        <w:t>subsidence</w:t>
      </w:r>
    </w:p>
    <w:p w14:paraId="51A868F8" w14:textId="77777777" w:rsidR="007B6A71" w:rsidRDefault="007B6A71">
      <w:pPr>
        <w:pStyle w:val="BodyText"/>
        <w:spacing w:before="2"/>
        <w:rPr>
          <w:sz w:val="16"/>
        </w:rPr>
      </w:pPr>
    </w:p>
    <w:p w14:paraId="44CFDB85" w14:textId="77777777" w:rsidR="007B6A71" w:rsidRDefault="00CE1F16">
      <w:pPr>
        <w:pStyle w:val="BodyText"/>
        <w:spacing w:before="90" w:line="480" w:lineRule="auto"/>
        <w:ind w:left="1180" w:right="657"/>
      </w:pPr>
      <w:r>
        <w:t>components in deltas and coastal cities is almost negligible and cannot be distinguished in the cumulative distribution curve (Extended Data Fig. 1). This reflects t</w:t>
      </w:r>
      <w:r>
        <w:t>hat, based on the data analysed, only 6.5 percent and 0.8 percent of the world’s coast comprises subsiding deltas and subsiding cities respectively.</w:t>
      </w:r>
    </w:p>
    <w:p w14:paraId="75254698" w14:textId="77777777" w:rsidR="007B6A71" w:rsidRDefault="00CE1F16">
      <w:pPr>
        <w:pStyle w:val="BodyText"/>
        <w:spacing w:before="1"/>
        <w:ind w:left="100"/>
      </w:pPr>
      <w:r>
        <w:t>120</w:t>
      </w:r>
    </w:p>
    <w:p w14:paraId="321227C9" w14:textId="77777777" w:rsidR="007B6A71" w:rsidRDefault="007B6A71">
      <w:pPr>
        <w:sectPr w:rsidR="007B6A71">
          <w:pgSz w:w="12240" w:h="15840"/>
          <w:pgMar w:top="1360" w:right="1000" w:bottom="1800" w:left="260" w:header="0" w:footer="1538" w:gutter="0"/>
          <w:cols w:space="720"/>
        </w:sectPr>
      </w:pPr>
    </w:p>
    <w:p w14:paraId="7D8D1984" w14:textId="77777777" w:rsidR="007B6A71" w:rsidRDefault="00CE1F16">
      <w:pPr>
        <w:pStyle w:val="BodyText"/>
        <w:ind w:left="1221"/>
        <w:rPr>
          <w:sz w:val="20"/>
        </w:rPr>
      </w:pPr>
      <w:r>
        <w:rPr>
          <w:noProof/>
          <w:sz w:val="20"/>
        </w:rPr>
        <w:lastRenderedPageBreak/>
        <w:drawing>
          <wp:inline distT="0" distB="0" distL="0" distR="0" wp14:anchorId="30CA6187" wp14:editId="5F0C3722">
            <wp:extent cx="5536949" cy="41386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536949" cy="4138612"/>
                    </a:xfrm>
                    <a:prstGeom prst="rect">
                      <a:avLst/>
                    </a:prstGeom>
                  </pic:spPr>
                </pic:pic>
              </a:graphicData>
            </a:graphic>
          </wp:inline>
        </w:drawing>
      </w:r>
    </w:p>
    <w:p w14:paraId="2918D271" w14:textId="77777777" w:rsidR="007B6A71" w:rsidRDefault="007B6A71">
      <w:pPr>
        <w:pStyle w:val="BodyText"/>
        <w:rPr>
          <w:sz w:val="20"/>
        </w:rPr>
      </w:pPr>
    </w:p>
    <w:p w14:paraId="384E0BB3" w14:textId="77777777" w:rsidR="007B6A71" w:rsidRDefault="007B6A71">
      <w:pPr>
        <w:pStyle w:val="BodyText"/>
        <w:spacing w:before="5"/>
        <w:rPr>
          <w:sz w:val="25"/>
        </w:rPr>
      </w:pPr>
    </w:p>
    <w:p w14:paraId="252392EB" w14:textId="77777777" w:rsidR="007B6A71" w:rsidRDefault="00CE1F16">
      <w:pPr>
        <w:spacing w:before="89" w:line="480" w:lineRule="auto"/>
        <w:ind w:left="1180" w:right="628"/>
        <w:rPr>
          <w:i/>
          <w:sz w:val="24"/>
        </w:rPr>
      </w:pPr>
      <w:r>
        <w:rPr>
          <w:b/>
          <w:i/>
          <w:sz w:val="24"/>
        </w:rPr>
        <w:t xml:space="preserve">Fig 1: </w:t>
      </w:r>
      <w:r>
        <w:rPr>
          <w:i/>
          <w:sz w:val="24"/>
        </w:rPr>
        <w:t>Cumulative distribution of contemporary (last two decades) length-weighted and</w:t>
      </w:r>
      <w:r>
        <w:rPr>
          <w:i/>
          <w:sz w:val="24"/>
        </w:rPr>
        <w:t xml:space="preserve"> population-weighted coastal relative sea-level rise, respectively. This includes lower and upper estimates to express uncertainty, although for length weighting the difference is too small to be distinguished.</w:t>
      </w:r>
    </w:p>
    <w:p w14:paraId="60C80062" w14:textId="77777777" w:rsidR="007B6A71" w:rsidRDefault="007B6A71">
      <w:pPr>
        <w:pStyle w:val="BodyText"/>
        <w:rPr>
          <w:i/>
          <w:sz w:val="26"/>
        </w:rPr>
      </w:pPr>
    </w:p>
    <w:p w14:paraId="73C3A696" w14:textId="77777777" w:rsidR="007B6A71" w:rsidRDefault="007B6A71">
      <w:pPr>
        <w:pStyle w:val="BodyText"/>
        <w:rPr>
          <w:i/>
          <w:sz w:val="26"/>
        </w:rPr>
      </w:pPr>
    </w:p>
    <w:p w14:paraId="33DAB36A" w14:textId="77777777" w:rsidR="007B6A71" w:rsidRDefault="00CE1F16">
      <w:pPr>
        <w:spacing w:before="195" w:line="480" w:lineRule="auto"/>
        <w:ind w:left="1180" w:right="477"/>
        <w:rPr>
          <w:i/>
          <w:sz w:val="24"/>
        </w:rPr>
      </w:pPr>
      <w:r>
        <w:rPr>
          <w:b/>
          <w:i/>
          <w:sz w:val="24"/>
        </w:rPr>
        <w:t xml:space="preserve">Table 1: </w:t>
      </w:r>
      <w:r>
        <w:rPr>
          <w:i/>
          <w:sz w:val="24"/>
        </w:rPr>
        <w:t>Contribution of the climate and ge</w:t>
      </w:r>
      <w:r>
        <w:rPr>
          <w:i/>
          <w:sz w:val="24"/>
        </w:rPr>
        <w:t xml:space="preserve">ological components to relative sea−level change for length-weighted and population-weighted cases respectively. Average values are reported, except for cities and the global-mean sum where a low/high range is used to express the uncertainty in subsidence </w:t>
      </w:r>
      <w:r>
        <w:rPr>
          <w:i/>
          <w:sz w:val="24"/>
        </w:rPr>
        <w:t>(see Supplementary Table 2).</w:t>
      </w:r>
    </w:p>
    <w:p w14:paraId="6821CB23" w14:textId="77777777" w:rsidR="007B6A71" w:rsidRDefault="007B6A71">
      <w:pPr>
        <w:spacing w:line="480" w:lineRule="auto"/>
        <w:rPr>
          <w:sz w:val="24"/>
        </w:rPr>
        <w:sectPr w:rsidR="007B6A71">
          <w:pgSz w:w="12240" w:h="15840"/>
          <w:pgMar w:top="1480" w:right="1000" w:bottom="1800" w:left="260" w:header="0" w:footer="1538" w:gutter="0"/>
          <w:cols w:space="720"/>
        </w:sectPr>
      </w:pPr>
    </w:p>
    <w:tbl>
      <w:tblPr>
        <w:tblW w:w="0" w:type="auto"/>
        <w:tblInd w:w="1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18"/>
        <w:gridCol w:w="1555"/>
        <w:gridCol w:w="1555"/>
        <w:gridCol w:w="1555"/>
        <w:gridCol w:w="1556"/>
      </w:tblGrid>
      <w:tr w:rsidR="007B6A71" w14:paraId="44CF2980" w14:textId="77777777">
        <w:trPr>
          <w:trHeight w:val="364"/>
        </w:trPr>
        <w:tc>
          <w:tcPr>
            <w:tcW w:w="3418" w:type="dxa"/>
          </w:tcPr>
          <w:p w14:paraId="737AF18D" w14:textId="77777777" w:rsidR="007B6A71" w:rsidRDefault="00CE1F16">
            <w:pPr>
              <w:pStyle w:val="TableParagraph"/>
              <w:spacing w:before="42"/>
              <w:ind w:left="419"/>
              <w:rPr>
                <w:b/>
                <w:sz w:val="24"/>
              </w:rPr>
            </w:pPr>
            <w:r>
              <w:rPr>
                <w:b/>
                <w:color w:val="000009"/>
                <w:sz w:val="24"/>
              </w:rPr>
              <w:lastRenderedPageBreak/>
              <w:t>Relative SLR component</w:t>
            </w:r>
          </w:p>
        </w:tc>
        <w:tc>
          <w:tcPr>
            <w:tcW w:w="6221" w:type="dxa"/>
            <w:gridSpan w:val="4"/>
          </w:tcPr>
          <w:p w14:paraId="4E91A762" w14:textId="77777777" w:rsidR="007B6A71" w:rsidRDefault="00CE1F16">
            <w:pPr>
              <w:pStyle w:val="TableParagraph"/>
              <w:spacing w:before="42"/>
              <w:ind w:left="979" w:right="994"/>
              <w:jc w:val="center"/>
              <w:rPr>
                <w:b/>
                <w:sz w:val="24"/>
              </w:rPr>
            </w:pPr>
            <w:r>
              <w:rPr>
                <w:b/>
                <w:color w:val="000009"/>
                <w:sz w:val="24"/>
              </w:rPr>
              <w:t>Contribution to relative sea−level change</w:t>
            </w:r>
          </w:p>
        </w:tc>
      </w:tr>
      <w:tr w:rsidR="007B6A71" w14:paraId="427CC214" w14:textId="77777777">
        <w:trPr>
          <w:trHeight w:val="362"/>
        </w:trPr>
        <w:tc>
          <w:tcPr>
            <w:tcW w:w="3418" w:type="dxa"/>
          </w:tcPr>
          <w:p w14:paraId="5A77F79A" w14:textId="77777777" w:rsidR="007B6A71" w:rsidRDefault="007B6A71">
            <w:pPr>
              <w:pStyle w:val="TableParagraph"/>
              <w:spacing w:before="0"/>
            </w:pPr>
          </w:p>
        </w:tc>
        <w:tc>
          <w:tcPr>
            <w:tcW w:w="3110" w:type="dxa"/>
            <w:gridSpan w:val="2"/>
          </w:tcPr>
          <w:p w14:paraId="4762C28F" w14:textId="77777777" w:rsidR="007B6A71" w:rsidRDefault="00CE1F16">
            <w:pPr>
              <w:pStyle w:val="TableParagraph"/>
              <w:spacing w:before="42"/>
              <w:ind w:left="679"/>
              <w:rPr>
                <w:b/>
                <w:sz w:val="24"/>
              </w:rPr>
            </w:pPr>
            <w:r>
              <w:rPr>
                <w:b/>
                <w:color w:val="000009"/>
                <w:sz w:val="24"/>
              </w:rPr>
              <w:t>Length-weighted</w:t>
            </w:r>
          </w:p>
        </w:tc>
        <w:tc>
          <w:tcPr>
            <w:tcW w:w="3111" w:type="dxa"/>
            <w:gridSpan w:val="2"/>
          </w:tcPr>
          <w:p w14:paraId="32CECC34" w14:textId="77777777" w:rsidR="007B6A71" w:rsidRDefault="00CE1F16">
            <w:pPr>
              <w:pStyle w:val="TableParagraph"/>
              <w:spacing w:before="42"/>
              <w:ind w:left="488"/>
              <w:rPr>
                <w:b/>
                <w:sz w:val="24"/>
              </w:rPr>
            </w:pPr>
            <w:r>
              <w:rPr>
                <w:b/>
                <w:color w:val="000009"/>
                <w:sz w:val="24"/>
              </w:rPr>
              <w:t>Population-weighted</w:t>
            </w:r>
          </w:p>
        </w:tc>
      </w:tr>
      <w:tr w:rsidR="007B6A71" w14:paraId="53392D28" w14:textId="77777777">
        <w:trPr>
          <w:trHeight w:val="364"/>
        </w:trPr>
        <w:tc>
          <w:tcPr>
            <w:tcW w:w="3418" w:type="dxa"/>
          </w:tcPr>
          <w:p w14:paraId="472E5547" w14:textId="77777777" w:rsidR="007B6A71" w:rsidRDefault="007B6A71">
            <w:pPr>
              <w:pStyle w:val="TableParagraph"/>
              <w:spacing w:before="0"/>
            </w:pPr>
          </w:p>
        </w:tc>
        <w:tc>
          <w:tcPr>
            <w:tcW w:w="1555" w:type="dxa"/>
          </w:tcPr>
          <w:p w14:paraId="578A60BB" w14:textId="77777777" w:rsidR="007B6A71" w:rsidRDefault="00CE1F16">
            <w:pPr>
              <w:pStyle w:val="TableParagraph"/>
              <w:spacing w:before="44"/>
              <w:ind w:left="401" w:right="412"/>
              <w:jc w:val="center"/>
              <w:rPr>
                <w:b/>
                <w:sz w:val="24"/>
              </w:rPr>
            </w:pPr>
            <w:r>
              <w:rPr>
                <w:b/>
                <w:color w:val="000009"/>
                <w:sz w:val="24"/>
              </w:rPr>
              <w:t>mm/yr</w:t>
            </w:r>
          </w:p>
        </w:tc>
        <w:tc>
          <w:tcPr>
            <w:tcW w:w="1555" w:type="dxa"/>
          </w:tcPr>
          <w:p w14:paraId="72ADBAE6" w14:textId="77777777" w:rsidR="007B6A71" w:rsidRDefault="00CE1F16">
            <w:pPr>
              <w:pStyle w:val="TableParagraph"/>
              <w:spacing w:before="44"/>
              <w:ind w:left="648"/>
              <w:rPr>
                <w:b/>
                <w:sz w:val="24"/>
              </w:rPr>
            </w:pPr>
            <w:r>
              <w:rPr>
                <w:b/>
                <w:color w:val="000009"/>
                <w:sz w:val="24"/>
              </w:rPr>
              <w:t>%</w:t>
            </w:r>
          </w:p>
        </w:tc>
        <w:tc>
          <w:tcPr>
            <w:tcW w:w="1555" w:type="dxa"/>
          </w:tcPr>
          <w:p w14:paraId="0DE80903" w14:textId="77777777" w:rsidR="007B6A71" w:rsidRDefault="00CE1F16">
            <w:pPr>
              <w:pStyle w:val="TableParagraph"/>
              <w:spacing w:before="44"/>
              <w:ind w:left="402" w:right="411"/>
              <w:jc w:val="center"/>
              <w:rPr>
                <w:b/>
                <w:sz w:val="24"/>
              </w:rPr>
            </w:pPr>
            <w:r>
              <w:rPr>
                <w:b/>
                <w:color w:val="000009"/>
                <w:sz w:val="24"/>
              </w:rPr>
              <w:t>mm/yr</w:t>
            </w:r>
          </w:p>
        </w:tc>
        <w:tc>
          <w:tcPr>
            <w:tcW w:w="1556" w:type="dxa"/>
          </w:tcPr>
          <w:p w14:paraId="19AE6A85" w14:textId="77777777" w:rsidR="007B6A71" w:rsidRDefault="00CE1F16">
            <w:pPr>
              <w:pStyle w:val="TableParagraph"/>
              <w:spacing w:before="44"/>
              <w:ind w:right="9"/>
              <w:jc w:val="center"/>
              <w:rPr>
                <w:b/>
                <w:sz w:val="24"/>
              </w:rPr>
            </w:pPr>
            <w:r>
              <w:rPr>
                <w:b/>
                <w:color w:val="000009"/>
                <w:sz w:val="24"/>
              </w:rPr>
              <w:t>%</w:t>
            </w:r>
          </w:p>
        </w:tc>
      </w:tr>
      <w:tr w:rsidR="007B6A71" w14:paraId="2F154A61" w14:textId="77777777">
        <w:trPr>
          <w:trHeight w:val="640"/>
        </w:trPr>
        <w:tc>
          <w:tcPr>
            <w:tcW w:w="3418" w:type="dxa"/>
          </w:tcPr>
          <w:p w14:paraId="53864440" w14:textId="77777777" w:rsidR="007B6A71" w:rsidRDefault="00CE1F16">
            <w:pPr>
              <w:pStyle w:val="TableParagraph"/>
              <w:spacing w:before="40"/>
              <w:ind w:left="26" w:right="400"/>
              <w:rPr>
                <w:sz w:val="24"/>
              </w:rPr>
            </w:pPr>
            <w:r>
              <w:rPr>
                <w:color w:val="000009"/>
                <w:sz w:val="24"/>
              </w:rPr>
              <w:t>Climate-induced SLR (1993 to 2015)</w:t>
            </w:r>
          </w:p>
        </w:tc>
        <w:tc>
          <w:tcPr>
            <w:tcW w:w="1555" w:type="dxa"/>
          </w:tcPr>
          <w:p w14:paraId="60F53A97" w14:textId="77777777" w:rsidR="007B6A71" w:rsidRDefault="00CE1F16">
            <w:pPr>
              <w:pStyle w:val="TableParagraph"/>
              <w:spacing w:before="40"/>
              <w:ind w:left="402" w:right="411"/>
              <w:jc w:val="center"/>
              <w:rPr>
                <w:sz w:val="24"/>
              </w:rPr>
            </w:pPr>
            <w:r>
              <w:rPr>
                <w:color w:val="000009"/>
                <w:sz w:val="24"/>
              </w:rPr>
              <w:t>3.2</w:t>
            </w:r>
          </w:p>
        </w:tc>
        <w:tc>
          <w:tcPr>
            <w:tcW w:w="1555" w:type="dxa"/>
          </w:tcPr>
          <w:p w14:paraId="3AD5AFE9" w14:textId="77777777" w:rsidR="007B6A71" w:rsidRDefault="00CE1F16">
            <w:pPr>
              <w:pStyle w:val="TableParagraph"/>
              <w:spacing w:before="40"/>
              <w:ind w:left="588"/>
              <w:rPr>
                <w:sz w:val="24"/>
              </w:rPr>
            </w:pPr>
            <w:r>
              <w:rPr>
                <w:color w:val="000009"/>
                <w:sz w:val="24"/>
              </w:rPr>
              <w:t>122</w:t>
            </w:r>
          </w:p>
        </w:tc>
        <w:tc>
          <w:tcPr>
            <w:tcW w:w="1555" w:type="dxa"/>
          </w:tcPr>
          <w:p w14:paraId="32CA5D8E" w14:textId="77777777" w:rsidR="007B6A71" w:rsidRDefault="00CE1F16">
            <w:pPr>
              <w:pStyle w:val="TableParagraph"/>
              <w:spacing w:before="40"/>
              <w:ind w:left="402" w:right="409"/>
              <w:jc w:val="center"/>
              <w:rPr>
                <w:sz w:val="24"/>
              </w:rPr>
            </w:pPr>
            <w:r>
              <w:rPr>
                <w:color w:val="000009"/>
                <w:sz w:val="24"/>
              </w:rPr>
              <w:t>3.8</w:t>
            </w:r>
          </w:p>
        </w:tc>
        <w:tc>
          <w:tcPr>
            <w:tcW w:w="1556" w:type="dxa"/>
          </w:tcPr>
          <w:p w14:paraId="1873D73F" w14:textId="77777777" w:rsidR="007B6A71" w:rsidRDefault="00CE1F16">
            <w:pPr>
              <w:pStyle w:val="TableParagraph"/>
              <w:spacing w:before="40"/>
              <w:ind w:left="357" w:right="367"/>
              <w:jc w:val="center"/>
              <w:rPr>
                <w:sz w:val="24"/>
              </w:rPr>
            </w:pPr>
            <w:r>
              <w:rPr>
                <w:color w:val="000009"/>
                <w:sz w:val="24"/>
              </w:rPr>
              <w:t>39 to 49</w:t>
            </w:r>
          </w:p>
        </w:tc>
      </w:tr>
      <w:tr w:rsidR="007B6A71" w14:paraId="3C9D1F09" w14:textId="77777777">
        <w:trPr>
          <w:trHeight w:val="364"/>
        </w:trPr>
        <w:tc>
          <w:tcPr>
            <w:tcW w:w="3418" w:type="dxa"/>
          </w:tcPr>
          <w:p w14:paraId="5ED33172" w14:textId="77777777" w:rsidR="007B6A71" w:rsidRDefault="00CE1F16">
            <w:pPr>
              <w:pStyle w:val="TableParagraph"/>
              <w:spacing w:before="37"/>
              <w:ind w:left="26"/>
              <w:rPr>
                <w:sz w:val="24"/>
              </w:rPr>
            </w:pPr>
            <w:r>
              <w:rPr>
                <w:color w:val="000009"/>
                <w:sz w:val="24"/>
              </w:rPr>
              <w:t>Glacial Isostatic Adjustment</w:t>
            </w:r>
          </w:p>
        </w:tc>
        <w:tc>
          <w:tcPr>
            <w:tcW w:w="1555" w:type="dxa"/>
          </w:tcPr>
          <w:p w14:paraId="671CC3D2" w14:textId="77777777" w:rsidR="007B6A71" w:rsidRDefault="00CE1F16">
            <w:pPr>
              <w:pStyle w:val="TableParagraph"/>
              <w:spacing w:before="37"/>
              <w:ind w:left="401" w:right="412"/>
              <w:jc w:val="center"/>
              <w:rPr>
                <w:sz w:val="24"/>
              </w:rPr>
            </w:pPr>
            <w:r>
              <w:rPr>
                <w:color w:val="000009"/>
                <w:sz w:val="24"/>
              </w:rPr>
              <w:t>-0.8</w:t>
            </w:r>
          </w:p>
        </w:tc>
        <w:tc>
          <w:tcPr>
            <w:tcW w:w="1555" w:type="dxa"/>
          </w:tcPr>
          <w:p w14:paraId="55912E39" w14:textId="77777777" w:rsidR="007B6A71" w:rsidRDefault="00CE1F16">
            <w:pPr>
              <w:pStyle w:val="TableParagraph"/>
              <w:spacing w:before="37"/>
              <w:ind w:left="610"/>
              <w:rPr>
                <w:sz w:val="24"/>
              </w:rPr>
            </w:pPr>
            <w:r>
              <w:rPr>
                <w:color w:val="000009"/>
                <w:sz w:val="24"/>
              </w:rPr>
              <w:t>-32</w:t>
            </w:r>
          </w:p>
        </w:tc>
        <w:tc>
          <w:tcPr>
            <w:tcW w:w="1555" w:type="dxa"/>
          </w:tcPr>
          <w:p w14:paraId="3DA71FDE" w14:textId="77777777" w:rsidR="007B6A71" w:rsidRDefault="00CE1F16">
            <w:pPr>
              <w:pStyle w:val="TableParagraph"/>
              <w:spacing w:before="37"/>
              <w:ind w:left="402" w:right="412"/>
              <w:jc w:val="center"/>
              <w:rPr>
                <w:sz w:val="24"/>
              </w:rPr>
            </w:pPr>
            <w:r>
              <w:rPr>
                <w:color w:val="000009"/>
                <w:sz w:val="24"/>
              </w:rPr>
              <w:t>-0.3</w:t>
            </w:r>
          </w:p>
        </w:tc>
        <w:tc>
          <w:tcPr>
            <w:tcW w:w="1556" w:type="dxa"/>
          </w:tcPr>
          <w:p w14:paraId="4F7E5559" w14:textId="77777777" w:rsidR="007B6A71" w:rsidRDefault="00CE1F16">
            <w:pPr>
              <w:pStyle w:val="TableParagraph"/>
              <w:spacing w:before="37"/>
              <w:ind w:left="357" w:right="364"/>
              <w:jc w:val="center"/>
              <w:rPr>
                <w:sz w:val="24"/>
              </w:rPr>
            </w:pPr>
            <w:r>
              <w:rPr>
                <w:color w:val="000009"/>
                <w:sz w:val="24"/>
              </w:rPr>
              <w:t>-3</w:t>
            </w:r>
          </w:p>
        </w:tc>
      </w:tr>
      <w:tr w:rsidR="007B6A71" w14:paraId="2990F299" w14:textId="77777777">
        <w:trPr>
          <w:trHeight w:val="362"/>
        </w:trPr>
        <w:tc>
          <w:tcPr>
            <w:tcW w:w="3418" w:type="dxa"/>
          </w:tcPr>
          <w:p w14:paraId="72BC5EBA" w14:textId="77777777" w:rsidR="007B6A71" w:rsidRDefault="00CE1F16">
            <w:pPr>
              <w:pStyle w:val="TableParagraph"/>
              <w:spacing w:before="37"/>
              <w:ind w:left="26"/>
              <w:rPr>
                <w:sz w:val="24"/>
              </w:rPr>
            </w:pPr>
            <w:r>
              <w:rPr>
                <w:color w:val="000009"/>
                <w:sz w:val="24"/>
              </w:rPr>
              <w:t>Delta Subsidence</w:t>
            </w:r>
          </w:p>
        </w:tc>
        <w:tc>
          <w:tcPr>
            <w:tcW w:w="1555" w:type="dxa"/>
          </w:tcPr>
          <w:p w14:paraId="3F8B0A32" w14:textId="77777777" w:rsidR="007B6A71" w:rsidRDefault="00CE1F16">
            <w:pPr>
              <w:pStyle w:val="TableParagraph"/>
              <w:spacing w:before="37"/>
              <w:ind w:left="402" w:right="411"/>
              <w:jc w:val="center"/>
              <w:rPr>
                <w:sz w:val="24"/>
              </w:rPr>
            </w:pPr>
            <w:r>
              <w:rPr>
                <w:color w:val="000009"/>
                <w:sz w:val="24"/>
              </w:rPr>
              <w:t>0.1</w:t>
            </w:r>
          </w:p>
        </w:tc>
        <w:tc>
          <w:tcPr>
            <w:tcW w:w="1555" w:type="dxa"/>
          </w:tcPr>
          <w:p w14:paraId="5412E71F" w14:textId="77777777" w:rsidR="007B6A71" w:rsidRDefault="00CE1F16">
            <w:pPr>
              <w:pStyle w:val="TableParagraph"/>
              <w:spacing w:before="37"/>
              <w:ind w:right="10"/>
              <w:jc w:val="center"/>
              <w:rPr>
                <w:sz w:val="24"/>
              </w:rPr>
            </w:pPr>
            <w:r>
              <w:rPr>
                <w:color w:val="000009"/>
                <w:sz w:val="24"/>
              </w:rPr>
              <w:t>4</w:t>
            </w:r>
          </w:p>
        </w:tc>
        <w:tc>
          <w:tcPr>
            <w:tcW w:w="1555" w:type="dxa"/>
          </w:tcPr>
          <w:p w14:paraId="74396A9F" w14:textId="77777777" w:rsidR="007B6A71" w:rsidRDefault="00CE1F16">
            <w:pPr>
              <w:pStyle w:val="TableParagraph"/>
              <w:spacing w:before="37"/>
              <w:ind w:left="402" w:right="409"/>
              <w:jc w:val="center"/>
              <w:rPr>
                <w:sz w:val="24"/>
              </w:rPr>
            </w:pPr>
            <w:r>
              <w:rPr>
                <w:color w:val="000009"/>
                <w:sz w:val="24"/>
              </w:rPr>
              <w:t>1.6</w:t>
            </w:r>
          </w:p>
        </w:tc>
        <w:tc>
          <w:tcPr>
            <w:tcW w:w="1556" w:type="dxa"/>
          </w:tcPr>
          <w:p w14:paraId="59BC5836" w14:textId="77777777" w:rsidR="007B6A71" w:rsidRDefault="00CE1F16">
            <w:pPr>
              <w:pStyle w:val="TableParagraph"/>
              <w:spacing w:before="37"/>
              <w:ind w:left="357" w:right="367"/>
              <w:jc w:val="center"/>
              <w:rPr>
                <w:sz w:val="24"/>
              </w:rPr>
            </w:pPr>
            <w:r>
              <w:rPr>
                <w:color w:val="000009"/>
                <w:sz w:val="24"/>
              </w:rPr>
              <w:t>16 to 21</w:t>
            </w:r>
          </w:p>
        </w:tc>
      </w:tr>
      <w:tr w:rsidR="007B6A71" w14:paraId="02E24B4D" w14:textId="77777777">
        <w:trPr>
          <w:trHeight w:val="364"/>
        </w:trPr>
        <w:tc>
          <w:tcPr>
            <w:tcW w:w="3418" w:type="dxa"/>
          </w:tcPr>
          <w:p w14:paraId="38B7AF66" w14:textId="77777777" w:rsidR="007B6A71" w:rsidRDefault="00CE1F16">
            <w:pPr>
              <w:pStyle w:val="TableParagraph"/>
              <w:spacing w:before="40"/>
              <w:ind w:left="26"/>
              <w:rPr>
                <w:sz w:val="24"/>
              </w:rPr>
            </w:pPr>
            <w:r>
              <w:rPr>
                <w:color w:val="000009"/>
                <w:sz w:val="24"/>
              </w:rPr>
              <w:t>City Subsidence</w:t>
            </w:r>
          </w:p>
        </w:tc>
        <w:tc>
          <w:tcPr>
            <w:tcW w:w="1555" w:type="dxa"/>
          </w:tcPr>
          <w:p w14:paraId="79D0B165" w14:textId="77777777" w:rsidR="007B6A71" w:rsidRDefault="00CE1F16">
            <w:pPr>
              <w:pStyle w:val="TableParagraph"/>
              <w:spacing w:before="40"/>
              <w:ind w:left="402" w:right="411"/>
              <w:jc w:val="center"/>
              <w:rPr>
                <w:sz w:val="24"/>
              </w:rPr>
            </w:pPr>
            <w:r>
              <w:rPr>
                <w:color w:val="000009"/>
                <w:sz w:val="24"/>
              </w:rPr>
              <w:t>0.1</w:t>
            </w:r>
          </w:p>
        </w:tc>
        <w:tc>
          <w:tcPr>
            <w:tcW w:w="1555" w:type="dxa"/>
          </w:tcPr>
          <w:p w14:paraId="56326B9F" w14:textId="77777777" w:rsidR="007B6A71" w:rsidRDefault="00CE1F16">
            <w:pPr>
              <w:pStyle w:val="TableParagraph"/>
              <w:spacing w:before="40"/>
              <w:ind w:right="10"/>
              <w:jc w:val="center"/>
              <w:rPr>
                <w:sz w:val="24"/>
              </w:rPr>
            </w:pPr>
            <w:r>
              <w:rPr>
                <w:color w:val="000009"/>
                <w:sz w:val="24"/>
              </w:rPr>
              <w:t>3</w:t>
            </w:r>
          </w:p>
        </w:tc>
        <w:tc>
          <w:tcPr>
            <w:tcW w:w="1555" w:type="dxa"/>
          </w:tcPr>
          <w:p w14:paraId="67579D62" w14:textId="77777777" w:rsidR="007B6A71" w:rsidRDefault="00CE1F16">
            <w:pPr>
              <w:pStyle w:val="TableParagraph"/>
              <w:spacing w:before="40"/>
              <w:ind w:left="315"/>
              <w:rPr>
                <w:sz w:val="24"/>
              </w:rPr>
            </w:pPr>
            <w:r>
              <w:rPr>
                <w:color w:val="000009"/>
                <w:sz w:val="24"/>
              </w:rPr>
              <w:t>2.7 to 4.8</w:t>
            </w:r>
          </w:p>
        </w:tc>
        <w:tc>
          <w:tcPr>
            <w:tcW w:w="1556" w:type="dxa"/>
          </w:tcPr>
          <w:p w14:paraId="273DA4A6" w14:textId="77777777" w:rsidR="007B6A71" w:rsidRDefault="00CE1F16">
            <w:pPr>
              <w:pStyle w:val="TableParagraph"/>
              <w:spacing w:before="40"/>
              <w:ind w:left="357" w:right="367"/>
              <w:jc w:val="center"/>
              <w:rPr>
                <w:sz w:val="24"/>
              </w:rPr>
            </w:pPr>
            <w:r>
              <w:rPr>
                <w:color w:val="000009"/>
                <w:sz w:val="24"/>
              </w:rPr>
              <w:t>35 to 49</w:t>
            </w:r>
          </w:p>
        </w:tc>
      </w:tr>
      <w:tr w:rsidR="007B6A71" w14:paraId="1813623E" w14:textId="77777777">
        <w:trPr>
          <w:trHeight w:val="359"/>
        </w:trPr>
        <w:tc>
          <w:tcPr>
            <w:tcW w:w="3418" w:type="dxa"/>
          </w:tcPr>
          <w:p w14:paraId="3E6F7807" w14:textId="77777777" w:rsidR="007B6A71" w:rsidRDefault="00CE1F16">
            <w:pPr>
              <w:pStyle w:val="TableParagraph"/>
              <w:spacing w:before="32"/>
              <w:ind w:left="26"/>
              <w:rPr>
                <w:sz w:val="24"/>
              </w:rPr>
            </w:pPr>
            <w:r>
              <w:rPr>
                <w:color w:val="000009"/>
                <w:sz w:val="24"/>
              </w:rPr>
              <w:t>Global−mean sum</w:t>
            </w:r>
          </w:p>
        </w:tc>
        <w:tc>
          <w:tcPr>
            <w:tcW w:w="1555" w:type="dxa"/>
          </w:tcPr>
          <w:p w14:paraId="555C8115" w14:textId="77777777" w:rsidR="007B6A71" w:rsidRDefault="00CE1F16">
            <w:pPr>
              <w:pStyle w:val="TableParagraph"/>
              <w:spacing w:before="32"/>
              <w:ind w:left="402" w:right="411"/>
              <w:jc w:val="center"/>
              <w:rPr>
                <w:sz w:val="24"/>
              </w:rPr>
            </w:pPr>
            <w:r>
              <w:rPr>
                <w:color w:val="000009"/>
                <w:sz w:val="24"/>
              </w:rPr>
              <w:t>2.6</w:t>
            </w:r>
          </w:p>
        </w:tc>
        <w:tc>
          <w:tcPr>
            <w:tcW w:w="1555" w:type="dxa"/>
          </w:tcPr>
          <w:p w14:paraId="58D0D99F" w14:textId="77777777" w:rsidR="007B6A71" w:rsidRDefault="007B6A71">
            <w:pPr>
              <w:pStyle w:val="TableParagraph"/>
              <w:spacing w:before="0"/>
            </w:pPr>
          </w:p>
        </w:tc>
        <w:tc>
          <w:tcPr>
            <w:tcW w:w="1555" w:type="dxa"/>
          </w:tcPr>
          <w:p w14:paraId="5F397E2E" w14:textId="77777777" w:rsidR="007B6A71" w:rsidRDefault="00CE1F16">
            <w:pPr>
              <w:pStyle w:val="TableParagraph"/>
              <w:spacing w:before="32"/>
              <w:ind w:left="315"/>
              <w:rPr>
                <w:sz w:val="24"/>
              </w:rPr>
            </w:pPr>
            <w:r>
              <w:rPr>
                <w:color w:val="000009"/>
                <w:sz w:val="24"/>
              </w:rPr>
              <w:t>7.8 to 9.9</w:t>
            </w:r>
          </w:p>
        </w:tc>
        <w:tc>
          <w:tcPr>
            <w:tcW w:w="1556" w:type="dxa"/>
          </w:tcPr>
          <w:p w14:paraId="3BAA873F" w14:textId="77777777" w:rsidR="007B6A71" w:rsidRDefault="007B6A71">
            <w:pPr>
              <w:pStyle w:val="TableParagraph"/>
              <w:spacing w:before="0"/>
            </w:pPr>
          </w:p>
        </w:tc>
      </w:tr>
    </w:tbl>
    <w:p w14:paraId="3AAC9CA5" w14:textId="77777777" w:rsidR="007B6A71" w:rsidRDefault="007B6A71">
      <w:pPr>
        <w:pStyle w:val="BodyText"/>
        <w:rPr>
          <w:i/>
          <w:sz w:val="20"/>
        </w:rPr>
      </w:pPr>
    </w:p>
    <w:p w14:paraId="0B0241A8" w14:textId="77777777" w:rsidR="007B6A71" w:rsidRDefault="007B6A71">
      <w:pPr>
        <w:pStyle w:val="BodyText"/>
        <w:rPr>
          <w:i/>
          <w:sz w:val="20"/>
        </w:rPr>
      </w:pPr>
    </w:p>
    <w:p w14:paraId="709D8A18" w14:textId="77777777" w:rsidR="007B6A71" w:rsidRDefault="007B6A71">
      <w:pPr>
        <w:pStyle w:val="BodyText"/>
        <w:spacing w:before="7"/>
        <w:rPr>
          <w:i/>
          <w:sz w:val="20"/>
        </w:rPr>
      </w:pPr>
    </w:p>
    <w:p w14:paraId="66C7A02B" w14:textId="77777777" w:rsidR="007B6A71" w:rsidRDefault="00CE1F16">
      <w:pPr>
        <w:pStyle w:val="BodyText"/>
        <w:spacing w:before="90" w:line="480" w:lineRule="auto"/>
        <w:ind w:left="1180" w:right="657"/>
      </w:pPr>
      <w:r>
        <w:t>In contrast, weighting by coastal population shows that coastal inhabitants on average experienced much higher relative SLR, reflecting the heterogeneous distribution of coastal population (Fig. 1, Table 1). The median relative SLR per person is about 5 mm</w:t>
      </w:r>
      <w:r>
        <w:t>/yr, while the</w:t>
      </w:r>
    </w:p>
    <w:p w14:paraId="13588FBA" w14:textId="77777777" w:rsidR="007B6A71" w:rsidRDefault="00CE1F16">
      <w:pPr>
        <w:pStyle w:val="BodyText"/>
        <w:tabs>
          <w:tab w:val="left" w:pos="1180"/>
        </w:tabs>
        <w:ind w:left="100"/>
      </w:pPr>
      <w:r>
        <w:t>125</w:t>
      </w:r>
      <w:r>
        <w:tab/>
        <w:t>mean is up to four times higher at 7.8 to 9.9 mm/yr over the last two decades. This</w:t>
      </w:r>
      <w:r>
        <w:rPr>
          <w:spacing w:val="-5"/>
        </w:rPr>
        <w:t xml:space="preserve"> </w:t>
      </w:r>
      <w:r>
        <w:t>global</w:t>
      </w:r>
    </w:p>
    <w:p w14:paraId="478EA0F2" w14:textId="77777777" w:rsidR="007B6A71" w:rsidRDefault="007B6A71">
      <w:pPr>
        <w:pStyle w:val="BodyText"/>
        <w:spacing w:before="2"/>
        <w:rPr>
          <w:sz w:val="16"/>
        </w:rPr>
      </w:pPr>
    </w:p>
    <w:p w14:paraId="45C13D9A" w14:textId="77777777" w:rsidR="007B6A71" w:rsidRDefault="00CE1F16">
      <w:pPr>
        <w:pStyle w:val="BodyText"/>
        <w:spacing w:before="90" w:line="480" w:lineRule="auto"/>
        <w:ind w:left="1180" w:right="463"/>
      </w:pPr>
      <w:r>
        <w:t>enhancement of average sea-level rise per person mainly reflects that coastal residents are concentrated in subsiding areas including deltas, and</w:t>
      </w:r>
      <w:r>
        <w:t xml:space="preserve"> especially in subsiding coastal cities, which gives a high-end tail to the distribution (Fig. 1; Extended Data Fig. 1). Effectively, delta and city subsidence and population density are not independent - higher population densities lead to</w:t>
      </w:r>
    </w:p>
    <w:p w14:paraId="2165270C" w14:textId="77777777" w:rsidR="007B6A71" w:rsidRDefault="007B6A71">
      <w:pPr>
        <w:spacing w:line="480" w:lineRule="auto"/>
        <w:sectPr w:rsidR="007B6A71">
          <w:pgSz w:w="12240" w:h="15840"/>
          <w:pgMar w:top="1440" w:right="1000" w:bottom="1800" w:left="260" w:header="0" w:footer="1538" w:gutter="0"/>
          <w:cols w:space="720"/>
        </w:sectPr>
      </w:pPr>
    </w:p>
    <w:p w14:paraId="4097B2A1" w14:textId="77777777" w:rsidR="007B6A71" w:rsidRDefault="00CE1F16">
      <w:pPr>
        <w:pStyle w:val="BodyText"/>
        <w:ind w:left="100"/>
      </w:pPr>
      <w:r>
        <w:t>130</w:t>
      </w:r>
    </w:p>
    <w:p w14:paraId="16AC97F8" w14:textId="77777777" w:rsidR="007B6A71" w:rsidRDefault="007B6A71">
      <w:pPr>
        <w:pStyle w:val="BodyText"/>
        <w:rPr>
          <w:sz w:val="26"/>
        </w:rPr>
      </w:pPr>
    </w:p>
    <w:p w14:paraId="764EB186" w14:textId="77777777" w:rsidR="007B6A71" w:rsidRDefault="007B6A71">
      <w:pPr>
        <w:pStyle w:val="BodyText"/>
        <w:rPr>
          <w:sz w:val="26"/>
        </w:rPr>
      </w:pPr>
    </w:p>
    <w:p w14:paraId="43FD56DE" w14:textId="77777777" w:rsidR="007B6A71" w:rsidRDefault="007B6A71">
      <w:pPr>
        <w:pStyle w:val="BodyText"/>
        <w:rPr>
          <w:sz w:val="26"/>
        </w:rPr>
      </w:pPr>
    </w:p>
    <w:p w14:paraId="68FA5FC8" w14:textId="77777777" w:rsidR="007B6A71" w:rsidRDefault="007B6A71">
      <w:pPr>
        <w:pStyle w:val="BodyText"/>
        <w:rPr>
          <w:sz w:val="26"/>
        </w:rPr>
      </w:pPr>
    </w:p>
    <w:p w14:paraId="68397364" w14:textId="77777777" w:rsidR="007B6A71" w:rsidRDefault="007B6A71">
      <w:pPr>
        <w:pStyle w:val="BodyText"/>
        <w:rPr>
          <w:sz w:val="26"/>
        </w:rPr>
      </w:pPr>
    </w:p>
    <w:p w14:paraId="7F0CA734" w14:textId="77777777" w:rsidR="007B6A71" w:rsidRDefault="007B6A71">
      <w:pPr>
        <w:pStyle w:val="BodyText"/>
        <w:rPr>
          <w:sz w:val="26"/>
        </w:rPr>
      </w:pPr>
    </w:p>
    <w:p w14:paraId="23777AF7" w14:textId="77777777" w:rsidR="007B6A71" w:rsidRDefault="007B6A71">
      <w:pPr>
        <w:pStyle w:val="BodyText"/>
        <w:rPr>
          <w:sz w:val="26"/>
        </w:rPr>
      </w:pPr>
    </w:p>
    <w:p w14:paraId="39B51FFC" w14:textId="77777777" w:rsidR="007B6A71" w:rsidRDefault="007B6A71">
      <w:pPr>
        <w:pStyle w:val="BodyText"/>
        <w:spacing w:before="1"/>
        <w:rPr>
          <w:sz w:val="34"/>
        </w:rPr>
      </w:pPr>
    </w:p>
    <w:p w14:paraId="7498E09C" w14:textId="77777777" w:rsidR="007B6A71" w:rsidRDefault="00CE1F16">
      <w:pPr>
        <w:pStyle w:val="BodyText"/>
        <w:ind w:left="100"/>
      </w:pPr>
      <w:r>
        <w:t>135</w:t>
      </w:r>
    </w:p>
    <w:p w14:paraId="27EDA740" w14:textId="77777777" w:rsidR="007B6A71" w:rsidRDefault="00CE1F16">
      <w:pPr>
        <w:pStyle w:val="BodyText"/>
        <w:spacing w:line="465" w:lineRule="auto"/>
        <w:ind w:left="100" w:right="434"/>
      </w:pPr>
      <w:r>
        <w:br w:type="column"/>
      </w:r>
      <w:r>
        <w:t>human actions that promote subsidence and loss of elevation. Furthermore, deltas have fertile soils and hence have historically been hotspots for human management and development</w:t>
      </w:r>
      <w:r>
        <w:rPr>
          <w:position w:val="9"/>
          <w:sz w:val="16"/>
        </w:rPr>
        <w:t>14</w:t>
      </w:r>
      <w:r>
        <w:t>.</w:t>
      </w:r>
    </w:p>
    <w:p w14:paraId="63360F59" w14:textId="77777777" w:rsidR="007B6A71" w:rsidRDefault="00CE1F16">
      <w:pPr>
        <w:pStyle w:val="BodyText"/>
        <w:spacing w:before="18" w:line="480" w:lineRule="auto"/>
        <w:ind w:left="100" w:right="434"/>
      </w:pPr>
      <w:r>
        <w:t>Hence, the relative sea-level change components linked to human activities</w:t>
      </w:r>
      <w:r>
        <w:t xml:space="preserve"> tend to increase with population density around the world’s coasts (Extended Data Fig 2). We estimate that 51 to 70 percent of the total global average relative SLR experienced by people is due to delta and city subsidence (Table 1). In contrast, the glob</w:t>
      </w:r>
      <w:r>
        <w:t>al effect of GIA is almost negligible when considering</w:t>
      </w:r>
    </w:p>
    <w:p w14:paraId="2BF7C604" w14:textId="77777777" w:rsidR="007B6A71" w:rsidRDefault="007B6A71">
      <w:pPr>
        <w:spacing w:line="480" w:lineRule="auto"/>
        <w:sectPr w:rsidR="007B6A71">
          <w:type w:val="continuous"/>
          <w:pgSz w:w="12240" w:h="15840"/>
          <w:pgMar w:top="1360" w:right="1000" w:bottom="1720" w:left="260" w:header="720" w:footer="720" w:gutter="0"/>
          <w:cols w:num="2" w:space="720" w:equalWidth="0">
            <w:col w:w="501" w:space="580"/>
            <w:col w:w="9899"/>
          </w:cols>
        </w:sectPr>
      </w:pPr>
    </w:p>
    <w:p w14:paraId="5B744485" w14:textId="77777777" w:rsidR="007B6A71" w:rsidRDefault="00CE1F16">
      <w:pPr>
        <w:pStyle w:val="BodyText"/>
        <w:spacing w:before="1"/>
        <w:ind w:left="1180"/>
      </w:pPr>
      <w:r>
        <w:t>population weighting (Extended Data Fig. 1).</w:t>
      </w:r>
    </w:p>
    <w:p w14:paraId="16757D95" w14:textId="77777777" w:rsidR="007B6A71" w:rsidRDefault="007B6A71">
      <w:pPr>
        <w:sectPr w:rsidR="007B6A71">
          <w:type w:val="continuous"/>
          <w:pgSz w:w="12240" w:h="15840"/>
          <w:pgMar w:top="1360" w:right="1000" w:bottom="1720" w:left="260" w:header="720" w:footer="720" w:gutter="0"/>
          <w:cols w:space="720"/>
        </w:sectPr>
      </w:pPr>
    </w:p>
    <w:p w14:paraId="345F79BF" w14:textId="77777777" w:rsidR="007B6A71" w:rsidRDefault="00CE1F16">
      <w:pPr>
        <w:pStyle w:val="BodyText"/>
        <w:spacing w:before="74" w:line="480" w:lineRule="auto"/>
        <w:ind w:left="1180" w:right="463"/>
      </w:pPr>
      <w:r>
        <w:lastRenderedPageBreak/>
        <w:t xml:space="preserve">Globally, average sea-level changes over the last two decades are distributed unevenly across coastal length and coastal </w:t>
      </w:r>
      <w:r>
        <w:t>population (Fig. 1). About 12.5 percent of the world’s coast by length</w:t>
      </w:r>
    </w:p>
    <w:p w14:paraId="4DCE6C34" w14:textId="77777777" w:rsidR="007B6A71" w:rsidRDefault="00CE1F16">
      <w:pPr>
        <w:pStyle w:val="BodyText"/>
        <w:tabs>
          <w:tab w:val="left" w:pos="1180"/>
        </w:tabs>
        <w:spacing w:before="1"/>
        <w:ind w:left="100"/>
      </w:pPr>
      <w:r>
        <w:t>140</w:t>
      </w:r>
      <w:r>
        <w:tab/>
        <w:t>is experiencing relative sea-level fall, this being attributed to uplift caused by GIA.</w:t>
      </w:r>
      <w:r>
        <w:rPr>
          <w:spacing w:val="-11"/>
        </w:rPr>
        <w:t xml:space="preserve"> </w:t>
      </w:r>
      <w:r>
        <w:t>However,</w:t>
      </w:r>
    </w:p>
    <w:p w14:paraId="0319DC3D" w14:textId="77777777" w:rsidR="007B6A71" w:rsidRDefault="007B6A71">
      <w:pPr>
        <w:pStyle w:val="BodyText"/>
        <w:spacing w:before="2"/>
        <w:rPr>
          <w:sz w:val="16"/>
        </w:rPr>
      </w:pPr>
    </w:p>
    <w:p w14:paraId="1222BF5E" w14:textId="77777777" w:rsidR="007B6A71" w:rsidRDefault="00CE1F16">
      <w:pPr>
        <w:pStyle w:val="BodyText"/>
        <w:spacing w:before="90" w:line="480" w:lineRule="auto"/>
        <w:ind w:left="1180" w:right="512"/>
      </w:pPr>
      <w:r>
        <w:t>these areas only have 2.7 million inhabitants (less than one percent of global coas</w:t>
      </w:r>
      <w:r>
        <w:t>tal</w:t>
      </w:r>
      <w:r>
        <w:rPr>
          <w:spacing w:val="-18"/>
        </w:rPr>
        <w:t xml:space="preserve"> </w:t>
      </w:r>
      <w:r>
        <w:t>population). Conversely, only about 0.7-0.8 percent of the world's coast by length is experiencing a SLR above 10 mm/yr (the range covers uncertainty in city subsidence). However, these coasts contain large subsiding cities such as Jakarta and 147 to 1</w:t>
      </w:r>
      <w:r>
        <w:t>71 million inhabitants</w:t>
      </w:r>
      <w:r>
        <w:rPr>
          <w:spacing w:val="-7"/>
        </w:rPr>
        <w:t xml:space="preserve"> </w:t>
      </w:r>
      <w:r>
        <w:t>(19.1-22.3</w:t>
      </w:r>
    </w:p>
    <w:p w14:paraId="5A143D42" w14:textId="77777777" w:rsidR="007B6A71" w:rsidRDefault="00CE1F16">
      <w:pPr>
        <w:pStyle w:val="BodyText"/>
        <w:tabs>
          <w:tab w:val="left" w:pos="1180"/>
        </w:tabs>
        <w:ind w:left="100"/>
      </w:pPr>
      <w:r>
        <w:t>145</w:t>
      </w:r>
      <w:r>
        <w:tab/>
        <w:t>percent of the global coastal</w:t>
      </w:r>
      <w:r>
        <w:rPr>
          <w:spacing w:val="-1"/>
        </w:rPr>
        <w:t xml:space="preserve"> </w:t>
      </w:r>
      <w:r>
        <w:t>population).</w:t>
      </w:r>
    </w:p>
    <w:p w14:paraId="557F0217" w14:textId="77777777" w:rsidR="007B6A71" w:rsidRDefault="007B6A71">
      <w:pPr>
        <w:pStyle w:val="BodyText"/>
        <w:rPr>
          <w:sz w:val="20"/>
        </w:rPr>
      </w:pPr>
    </w:p>
    <w:p w14:paraId="04800287" w14:textId="77777777" w:rsidR="007B6A71" w:rsidRDefault="007B6A71">
      <w:pPr>
        <w:pStyle w:val="BodyText"/>
        <w:rPr>
          <w:sz w:val="20"/>
        </w:rPr>
      </w:pPr>
    </w:p>
    <w:p w14:paraId="3DEDA42C" w14:textId="77777777" w:rsidR="007B6A71" w:rsidRDefault="007B6A71">
      <w:pPr>
        <w:pStyle w:val="BodyText"/>
        <w:spacing w:before="2"/>
      </w:pPr>
    </w:p>
    <w:p w14:paraId="60C00F7D" w14:textId="77777777" w:rsidR="007B6A71" w:rsidRDefault="00CE1F16">
      <w:pPr>
        <w:pStyle w:val="BodyText"/>
        <w:spacing w:before="90" w:line="480" w:lineRule="auto"/>
        <w:ind w:left="1180" w:right="503"/>
      </w:pPr>
      <w:r>
        <w:t>Average coastal population-weighted relative sea-level rise is also often higher at the regional level than coastal-length weighted relative sea-level rise estimates (Fig 2): 11 of 23 world regions show more than 50 percent increases in population-weighted</w:t>
      </w:r>
      <w:r>
        <w:t xml:space="preserve"> relative sea-level rise when</w:t>
      </w:r>
    </w:p>
    <w:p w14:paraId="431F10A4" w14:textId="77777777" w:rsidR="007B6A71" w:rsidRDefault="00CE1F16">
      <w:pPr>
        <w:pStyle w:val="BodyText"/>
        <w:tabs>
          <w:tab w:val="left" w:pos="1180"/>
        </w:tabs>
        <w:spacing w:before="1"/>
        <w:ind w:left="100"/>
      </w:pPr>
      <w:r>
        <w:t>150</w:t>
      </w:r>
      <w:r>
        <w:tab/>
        <w:t>compared to coastal length-weighted relative sea-level rise (Supplementary Table 4).</w:t>
      </w:r>
      <w:r>
        <w:rPr>
          <w:spacing w:val="-9"/>
        </w:rPr>
        <w:t xml:space="preserve"> </w:t>
      </w:r>
      <w:r>
        <w:t>Seven</w:t>
      </w:r>
    </w:p>
    <w:p w14:paraId="19CE4271" w14:textId="77777777" w:rsidR="007B6A71" w:rsidRDefault="007B6A71">
      <w:pPr>
        <w:pStyle w:val="BodyText"/>
        <w:spacing w:before="2"/>
        <w:rPr>
          <w:sz w:val="16"/>
        </w:rPr>
      </w:pPr>
    </w:p>
    <w:p w14:paraId="18D79AE1" w14:textId="77777777" w:rsidR="007B6A71" w:rsidRDefault="00CE1F16">
      <w:pPr>
        <w:pStyle w:val="BodyText"/>
        <w:spacing w:before="90" w:line="480" w:lineRule="auto"/>
        <w:ind w:left="1180" w:right="423"/>
      </w:pPr>
      <w:r>
        <w:t>regions have an increase of more than 100 percent (the Baltic Sea Coast, North and West Europe, North America Atlantic Coast, Nort</w:t>
      </w:r>
      <w:r>
        <w:t>h America Pacific Coast, South America Pacific Coast, Southern Mediterranean and South-East Asia), reflecting regions where coastal residents are strongly concentrated in areas where relative sea-level rise is higher. In absolute terms, the effect</w:t>
      </w:r>
    </w:p>
    <w:p w14:paraId="225D7B90" w14:textId="77777777" w:rsidR="007B6A71" w:rsidRDefault="00CE1F16">
      <w:pPr>
        <w:pStyle w:val="BodyText"/>
        <w:tabs>
          <w:tab w:val="left" w:pos="1180"/>
        </w:tabs>
        <w:ind w:left="100"/>
      </w:pPr>
      <w:r>
        <w:t>155</w:t>
      </w:r>
      <w:r>
        <w:tab/>
        <w:t>in S</w:t>
      </w:r>
      <w:r>
        <w:t>outh, South-east and East Asia is noteworthy (Supplementary Table 4), as these</w:t>
      </w:r>
      <w:r>
        <w:rPr>
          <w:spacing w:val="-12"/>
        </w:rPr>
        <w:t xml:space="preserve"> </w:t>
      </w:r>
      <w:r>
        <w:t>regions</w:t>
      </w:r>
    </w:p>
    <w:p w14:paraId="775A0446" w14:textId="77777777" w:rsidR="007B6A71" w:rsidRDefault="007B6A71">
      <w:pPr>
        <w:pStyle w:val="BodyText"/>
        <w:spacing w:before="2"/>
        <w:rPr>
          <w:sz w:val="16"/>
        </w:rPr>
      </w:pPr>
    </w:p>
    <w:p w14:paraId="5362DDC6" w14:textId="77777777" w:rsidR="007B6A71" w:rsidRDefault="00CE1F16">
      <w:pPr>
        <w:pStyle w:val="BodyText"/>
        <w:spacing w:before="90" w:line="480" w:lineRule="auto"/>
        <w:ind w:left="1180" w:right="455"/>
      </w:pPr>
      <w:r>
        <w:t>collectively contain 71% of the global coastal population below 10-m elevation (546 million out of 768 million people globally in 2015) and 75% of the global coastal fl</w:t>
      </w:r>
      <w:r>
        <w:t>oodplain population (185 million out of 249 million people globally in 2015).</w:t>
      </w:r>
    </w:p>
    <w:p w14:paraId="12E2E7F3" w14:textId="77777777" w:rsidR="007B6A71" w:rsidRDefault="007B6A71">
      <w:pPr>
        <w:spacing w:line="480" w:lineRule="auto"/>
        <w:sectPr w:rsidR="007B6A71">
          <w:pgSz w:w="12240" w:h="15840"/>
          <w:pgMar w:top="1360" w:right="1000" w:bottom="1800" w:left="260" w:header="0" w:footer="1538" w:gutter="0"/>
          <w:cols w:space="720"/>
        </w:sectPr>
      </w:pPr>
    </w:p>
    <w:p w14:paraId="25E901C9" w14:textId="77777777" w:rsidR="007B6A71" w:rsidRDefault="007B6A71">
      <w:pPr>
        <w:pStyle w:val="BodyText"/>
        <w:rPr>
          <w:sz w:val="20"/>
        </w:rPr>
      </w:pPr>
    </w:p>
    <w:p w14:paraId="76F651CF" w14:textId="77777777" w:rsidR="007B6A71" w:rsidRDefault="007B6A71">
      <w:pPr>
        <w:pStyle w:val="BodyText"/>
        <w:rPr>
          <w:sz w:val="20"/>
        </w:rPr>
      </w:pPr>
    </w:p>
    <w:p w14:paraId="62AD7193" w14:textId="77777777" w:rsidR="007B6A71" w:rsidRDefault="007B6A71">
      <w:pPr>
        <w:pStyle w:val="BodyText"/>
        <w:rPr>
          <w:sz w:val="20"/>
        </w:rPr>
      </w:pPr>
    </w:p>
    <w:p w14:paraId="32EB0C83" w14:textId="77777777" w:rsidR="007B6A71" w:rsidRDefault="007B6A71">
      <w:pPr>
        <w:pStyle w:val="BodyText"/>
        <w:rPr>
          <w:sz w:val="20"/>
        </w:rPr>
      </w:pPr>
    </w:p>
    <w:p w14:paraId="7E4BDDF2" w14:textId="77777777" w:rsidR="007B6A71" w:rsidRDefault="007B6A71">
      <w:pPr>
        <w:pStyle w:val="BodyText"/>
        <w:rPr>
          <w:sz w:val="20"/>
        </w:rPr>
      </w:pPr>
    </w:p>
    <w:p w14:paraId="3F8E7D62" w14:textId="77777777" w:rsidR="007B6A71" w:rsidRDefault="007B6A71">
      <w:pPr>
        <w:pStyle w:val="BodyText"/>
        <w:rPr>
          <w:sz w:val="20"/>
        </w:rPr>
      </w:pPr>
    </w:p>
    <w:p w14:paraId="586CE4CD" w14:textId="77777777" w:rsidR="007B6A71" w:rsidRDefault="007B6A71">
      <w:pPr>
        <w:pStyle w:val="BodyText"/>
        <w:rPr>
          <w:sz w:val="20"/>
        </w:rPr>
      </w:pPr>
    </w:p>
    <w:p w14:paraId="64928242" w14:textId="77777777" w:rsidR="007B6A71" w:rsidRDefault="007B6A71">
      <w:pPr>
        <w:pStyle w:val="BodyText"/>
        <w:rPr>
          <w:sz w:val="20"/>
        </w:rPr>
      </w:pPr>
    </w:p>
    <w:p w14:paraId="639C0C7E" w14:textId="77777777" w:rsidR="007B6A71" w:rsidRDefault="007B6A71">
      <w:pPr>
        <w:pStyle w:val="BodyText"/>
        <w:rPr>
          <w:sz w:val="20"/>
        </w:rPr>
      </w:pPr>
    </w:p>
    <w:p w14:paraId="74983AE7" w14:textId="77777777" w:rsidR="007B6A71" w:rsidRDefault="007B6A71">
      <w:pPr>
        <w:pStyle w:val="BodyText"/>
        <w:rPr>
          <w:sz w:val="20"/>
        </w:rPr>
      </w:pPr>
    </w:p>
    <w:p w14:paraId="0F1896CC" w14:textId="77777777" w:rsidR="007B6A71" w:rsidRDefault="007B6A71">
      <w:pPr>
        <w:pStyle w:val="BodyText"/>
        <w:rPr>
          <w:sz w:val="20"/>
        </w:rPr>
      </w:pPr>
    </w:p>
    <w:p w14:paraId="3D5DD2B9" w14:textId="77777777" w:rsidR="007B6A71" w:rsidRDefault="007B6A71">
      <w:pPr>
        <w:pStyle w:val="BodyText"/>
        <w:rPr>
          <w:sz w:val="20"/>
        </w:rPr>
      </w:pPr>
    </w:p>
    <w:p w14:paraId="5369C90A" w14:textId="77777777" w:rsidR="007B6A71" w:rsidRDefault="007B6A71">
      <w:pPr>
        <w:pStyle w:val="BodyText"/>
        <w:rPr>
          <w:sz w:val="20"/>
        </w:rPr>
      </w:pPr>
    </w:p>
    <w:p w14:paraId="1C526990" w14:textId="77777777" w:rsidR="007B6A71" w:rsidRDefault="007B6A71">
      <w:pPr>
        <w:pStyle w:val="BodyText"/>
        <w:rPr>
          <w:sz w:val="20"/>
        </w:rPr>
      </w:pPr>
    </w:p>
    <w:p w14:paraId="20A8867E" w14:textId="77777777" w:rsidR="007B6A71" w:rsidRDefault="007B6A71">
      <w:pPr>
        <w:pStyle w:val="BodyText"/>
        <w:rPr>
          <w:sz w:val="20"/>
        </w:rPr>
      </w:pPr>
    </w:p>
    <w:p w14:paraId="7C3C46B1" w14:textId="77777777" w:rsidR="007B6A71" w:rsidRDefault="007B6A71">
      <w:pPr>
        <w:pStyle w:val="BodyText"/>
        <w:rPr>
          <w:sz w:val="20"/>
        </w:rPr>
      </w:pPr>
    </w:p>
    <w:p w14:paraId="2F70F9F9" w14:textId="77777777" w:rsidR="007B6A71" w:rsidRDefault="007B6A71">
      <w:pPr>
        <w:pStyle w:val="BodyText"/>
        <w:rPr>
          <w:sz w:val="20"/>
        </w:rPr>
      </w:pPr>
    </w:p>
    <w:p w14:paraId="1C32A119" w14:textId="77777777" w:rsidR="007B6A71" w:rsidRDefault="007B6A71">
      <w:pPr>
        <w:pStyle w:val="BodyText"/>
        <w:rPr>
          <w:sz w:val="20"/>
        </w:rPr>
      </w:pPr>
    </w:p>
    <w:p w14:paraId="5D5AF52D" w14:textId="77777777" w:rsidR="007B6A71" w:rsidRDefault="007B6A71">
      <w:pPr>
        <w:pStyle w:val="BodyText"/>
        <w:rPr>
          <w:sz w:val="20"/>
        </w:rPr>
      </w:pPr>
    </w:p>
    <w:p w14:paraId="057CA8ED" w14:textId="77777777" w:rsidR="007B6A71" w:rsidRDefault="007B6A71">
      <w:pPr>
        <w:pStyle w:val="BodyText"/>
        <w:rPr>
          <w:sz w:val="20"/>
        </w:rPr>
      </w:pPr>
    </w:p>
    <w:p w14:paraId="1A693CF4" w14:textId="77777777" w:rsidR="007B6A71" w:rsidRDefault="007B6A71">
      <w:pPr>
        <w:pStyle w:val="BodyText"/>
        <w:rPr>
          <w:sz w:val="20"/>
        </w:rPr>
      </w:pPr>
    </w:p>
    <w:p w14:paraId="5254209A" w14:textId="77777777" w:rsidR="007B6A71" w:rsidRDefault="007B6A71">
      <w:pPr>
        <w:pStyle w:val="BodyText"/>
        <w:rPr>
          <w:sz w:val="20"/>
        </w:rPr>
      </w:pPr>
    </w:p>
    <w:p w14:paraId="0073841F" w14:textId="77777777" w:rsidR="007B6A71" w:rsidRDefault="007B6A71">
      <w:pPr>
        <w:pStyle w:val="BodyText"/>
        <w:rPr>
          <w:sz w:val="20"/>
        </w:rPr>
      </w:pPr>
    </w:p>
    <w:p w14:paraId="6AA05A5F" w14:textId="77777777" w:rsidR="007B6A71" w:rsidRDefault="007B6A71">
      <w:pPr>
        <w:pStyle w:val="BodyText"/>
        <w:rPr>
          <w:sz w:val="20"/>
        </w:rPr>
      </w:pPr>
    </w:p>
    <w:p w14:paraId="24B7E8CC" w14:textId="77777777" w:rsidR="007B6A71" w:rsidRDefault="007B6A71">
      <w:pPr>
        <w:pStyle w:val="BodyText"/>
        <w:rPr>
          <w:sz w:val="20"/>
        </w:rPr>
      </w:pPr>
    </w:p>
    <w:p w14:paraId="3E6AA9D5" w14:textId="77777777" w:rsidR="007B6A71" w:rsidRDefault="007B6A71">
      <w:pPr>
        <w:pStyle w:val="BodyText"/>
        <w:rPr>
          <w:sz w:val="20"/>
        </w:rPr>
      </w:pPr>
    </w:p>
    <w:p w14:paraId="1D023469" w14:textId="77777777" w:rsidR="007B6A71" w:rsidRDefault="007B6A71">
      <w:pPr>
        <w:pStyle w:val="BodyText"/>
        <w:rPr>
          <w:sz w:val="20"/>
        </w:rPr>
      </w:pPr>
    </w:p>
    <w:p w14:paraId="78A1666D" w14:textId="77777777" w:rsidR="007B6A71" w:rsidRDefault="007B6A71">
      <w:pPr>
        <w:pStyle w:val="BodyText"/>
        <w:rPr>
          <w:sz w:val="20"/>
        </w:rPr>
      </w:pPr>
    </w:p>
    <w:p w14:paraId="62E34BF9" w14:textId="77777777" w:rsidR="007B6A71" w:rsidRDefault="007B6A71">
      <w:pPr>
        <w:pStyle w:val="BodyText"/>
        <w:rPr>
          <w:sz w:val="20"/>
        </w:rPr>
      </w:pPr>
    </w:p>
    <w:p w14:paraId="44E66A58" w14:textId="77777777" w:rsidR="007B6A71" w:rsidRDefault="007B6A71">
      <w:pPr>
        <w:pStyle w:val="BodyText"/>
        <w:rPr>
          <w:sz w:val="20"/>
        </w:rPr>
      </w:pPr>
    </w:p>
    <w:p w14:paraId="568A9878" w14:textId="77777777" w:rsidR="007B6A71" w:rsidRDefault="007B6A71">
      <w:pPr>
        <w:pStyle w:val="BodyText"/>
        <w:rPr>
          <w:sz w:val="20"/>
        </w:rPr>
      </w:pPr>
    </w:p>
    <w:p w14:paraId="1E082004" w14:textId="77777777" w:rsidR="007B6A71" w:rsidRDefault="007B6A71">
      <w:pPr>
        <w:pStyle w:val="BodyText"/>
        <w:rPr>
          <w:sz w:val="20"/>
        </w:rPr>
      </w:pPr>
    </w:p>
    <w:p w14:paraId="38C10CED" w14:textId="77777777" w:rsidR="007B6A71" w:rsidRDefault="007B6A71">
      <w:pPr>
        <w:pStyle w:val="BodyText"/>
        <w:rPr>
          <w:sz w:val="20"/>
        </w:rPr>
      </w:pPr>
    </w:p>
    <w:p w14:paraId="6119A0E9" w14:textId="77777777" w:rsidR="007B6A71" w:rsidRDefault="007B6A71">
      <w:pPr>
        <w:pStyle w:val="BodyText"/>
        <w:rPr>
          <w:sz w:val="20"/>
        </w:rPr>
      </w:pPr>
    </w:p>
    <w:p w14:paraId="2F3EE90E" w14:textId="77777777" w:rsidR="007B6A71" w:rsidRDefault="007B6A71">
      <w:pPr>
        <w:pStyle w:val="BodyText"/>
        <w:rPr>
          <w:sz w:val="20"/>
        </w:rPr>
      </w:pPr>
    </w:p>
    <w:p w14:paraId="1B7F92D5" w14:textId="77777777" w:rsidR="007B6A71" w:rsidRDefault="007B6A71">
      <w:pPr>
        <w:pStyle w:val="BodyText"/>
        <w:rPr>
          <w:sz w:val="20"/>
        </w:rPr>
      </w:pPr>
    </w:p>
    <w:p w14:paraId="0830B991" w14:textId="77777777" w:rsidR="007B6A71" w:rsidRDefault="007B6A71">
      <w:pPr>
        <w:pStyle w:val="BodyText"/>
        <w:rPr>
          <w:sz w:val="20"/>
        </w:rPr>
      </w:pPr>
    </w:p>
    <w:p w14:paraId="504BAE64" w14:textId="77777777" w:rsidR="007B6A71" w:rsidRDefault="007B6A71">
      <w:pPr>
        <w:pStyle w:val="BodyText"/>
        <w:rPr>
          <w:sz w:val="20"/>
        </w:rPr>
      </w:pPr>
    </w:p>
    <w:p w14:paraId="026E0D72" w14:textId="77777777" w:rsidR="007B6A71" w:rsidRDefault="007B6A71">
      <w:pPr>
        <w:pStyle w:val="BodyText"/>
        <w:rPr>
          <w:sz w:val="20"/>
        </w:rPr>
      </w:pPr>
    </w:p>
    <w:p w14:paraId="53067D18" w14:textId="77777777" w:rsidR="007B6A71" w:rsidRDefault="007B6A71">
      <w:pPr>
        <w:pStyle w:val="BodyText"/>
        <w:rPr>
          <w:sz w:val="20"/>
        </w:rPr>
      </w:pPr>
    </w:p>
    <w:p w14:paraId="3AF9E1C8" w14:textId="77777777" w:rsidR="007B6A71" w:rsidRDefault="007B6A71">
      <w:pPr>
        <w:pStyle w:val="BodyText"/>
        <w:spacing w:before="1"/>
        <w:rPr>
          <w:sz w:val="18"/>
        </w:rPr>
      </w:pPr>
    </w:p>
    <w:p w14:paraId="1F577AE4" w14:textId="77777777" w:rsidR="007B6A71" w:rsidRDefault="00CE1F16">
      <w:pPr>
        <w:pStyle w:val="BodyText"/>
        <w:spacing w:before="90"/>
        <w:ind w:left="100"/>
      </w:pPr>
      <w:r>
        <w:rPr>
          <w:noProof/>
        </w:rPr>
        <w:drawing>
          <wp:anchor distT="0" distB="0" distL="0" distR="0" simplePos="0" relativeHeight="251657216" behindDoc="0" locked="0" layoutInCell="1" allowOverlap="1" wp14:anchorId="72ABEAF1" wp14:editId="4861065A">
            <wp:simplePos x="0" y="0"/>
            <wp:positionH relativeFrom="page">
              <wp:posOffset>952500</wp:posOffset>
            </wp:positionH>
            <wp:positionV relativeFrom="paragraph">
              <wp:posOffset>-5973659</wp:posOffset>
            </wp:positionV>
            <wp:extent cx="5731383" cy="6114050"/>
            <wp:effectExtent l="0" t="0" r="0" b="0"/>
            <wp:wrapNone/>
            <wp:docPr id="3" name="image2.jpeg" descr="C:\Users\ytc19nxu\AppData\Local\Microsoft\Windows\INetCache\Content.Word\Fig2_map_subsidence_GVA_pub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731383" cy="6114050"/>
                    </a:xfrm>
                    <a:prstGeom prst="rect">
                      <a:avLst/>
                    </a:prstGeom>
                  </pic:spPr>
                </pic:pic>
              </a:graphicData>
            </a:graphic>
          </wp:anchor>
        </w:drawing>
      </w:r>
      <w:r>
        <w:t>160</w:t>
      </w:r>
    </w:p>
    <w:p w14:paraId="7A12505F" w14:textId="77777777" w:rsidR="007B6A71" w:rsidRDefault="007B6A71">
      <w:pPr>
        <w:pStyle w:val="BodyText"/>
        <w:spacing w:before="7"/>
        <w:rPr>
          <w:sz w:val="21"/>
        </w:rPr>
      </w:pPr>
    </w:p>
    <w:p w14:paraId="2BA23AA8" w14:textId="77777777" w:rsidR="007B6A71" w:rsidRDefault="00CE1F16">
      <w:pPr>
        <w:spacing w:before="90" w:line="480" w:lineRule="auto"/>
        <w:ind w:left="1180" w:right="580"/>
        <w:rPr>
          <w:i/>
          <w:sz w:val="24"/>
        </w:rPr>
      </w:pPr>
      <w:r>
        <w:rPr>
          <w:b/>
          <w:i/>
          <w:sz w:val="24"/>
        </w:rPr>
        <w:t xml:space="preserve">Fig 2: </w:t>
      </w:r>
      <w:r>
        <w:rPr>
          <w:i/>
          <w:sz w:val="24"/>
        </w:rPr>
        <w:t>Average relative sea-level rise for 23 coastal world regions. (a) Length-weighted and (b) population-weighted. (see Supplementary Table 3 for region definitions).</w:t>
      </w:r>
    </w:p>
    <w:p w14:paraId="09B11979" w14:textId="77777777" w:rsidR="007B6A71" w:rsidRDefault="007B6A71">
      <w:pPr>
        <w:spacing w:line="480" w:lineRule="auto"/>
        <w:rPr>
          <w:sz w:val="24"/>
        </w:rPr>
        <w:sectPr w:rsidR="007B6A71">
          <w:pgSz w:w="12240" w:h="15840"/>
          <w:pgMar w:top="1440" w:right="1000" w:bottom="1800" w:left="260" w:header="0" w:footer="1538" w:gutter="0"/>
          <w:cols w:space="720"/>
        </w:sectPr>
      </w:pPr>
    </w:p>
    <w:p w14:paraId="6A2AF3A6" w14:textId="77777777" w:rsidR="007B6A71" w:rsidRDefault="00CE1F16">
      <w:pPr>
        <w:pStyle w:val="BodyText"/>
        <w:spacing w:before="74" w:line="480" w:lineRule="auto"/>
        <w:ind w:left="1180" w:right="435"/>
      </w:pPr>
      <w:r>
        <w:lastRenderedPageBreak/>
        <w:t>Finally, we assess the contributions of climate-induced SLR, GIA, delta subsidenc</w:t>
      </w:r>
      <w:r>
        <w:t>e and city subsidence to the evolution of the global population living in the coastal flood plain from 2015 to</w:t>
      </w:r>
    </w:p>
    <w:p w14:paraId="0CD20618" w14:textId="77777777" w:rsidR="007B6A71" w:rsidRDefault="00CE1F16">
      <w:pPr>
        <w:pStyle w:val="BodyText"/>
        <w:tabs>
          <w:tab w:val="left" w:pos="1180"/>
        </w:tabs>
        <w:spacing w:before="1"/>
        <w:ind w:left="100"/>
      </w:pPr>
      <w:r>
        <w:t>165</w:t>
      </w:r>
      <w:r>
        <w:tab/>
        <w:t>2050 (Fig. 3). This assumes that the observed subsidence in deltas and cities continues to</w:t>
      </w:r>
      <w:r>
        <w:rPr>
          <w:spacing w:val="-8"/>
        </w:rPr>
        <w:t xml:space="preserve"> </w:t>
      </w:r>
      <w:r>
        <w:t>2050,</w:t>
      </w:r>
    </w:p>
    <w:p w14:paraId="70407193" w14:textId="77777777" w:rsidR="007B6A71" w:rsidRDefault="007B6A71">
      <w:pPr>
        <w:pStyle w:val="BodyText"/>
        <w:spacing w:before="2"/>
        <w:rPr>
          <w:sz w:val="16"/>
        </w:rPr>
      </w:pPr>
    </w:p>
    <w:p w14:paraId="735210B5" w14:textId="77777777" w:rsidR="007B6A71" w:rsidRDefault="00CE1F16">
      <w:pPr>
        <w:pStyle w:val="BodyText"/>
        <w:spacing w:before="90" w:line="475" w:lineRule="auto"/>
        <w:ind w:left="1180" w:right="468"/>
      </w:pPr>
      <w:r>
        <w:t>representing a plausible scenario of future</w:t>
      </w:r>
      <w:r>
        <w:t xml:space="preserve"> subsidence. In 2015, this flood plain population is approximately 235 million people. Assuming no subsidence and no climate-induced SLR, this population rises to about 280 million people by 2050 due to socio-economic development alone (here SSP2)</w:t>
      </w:r>
      <w:r>
        <w:rPr>
          <w:position w:val="9"/>
          <w:sz w:val="16"/>
        </w:rPr>
        <w:t>23</w:t>
      </w:r>
      <w:r>
        <w:t>. Addin</w:t>
      </w:r>
      <w:r>
        <w:t>g the GIA component, reduces this number to 270 million, while adding the</w:t>
      </w:r>
    </w:p>
    <w:p w14:paraId="2E57D6C8" w14:textId="77777777" w:rsidR="007B6A71" w:rsidRDefault="00CE1F16">
      <w:pPr>
        <w:pStyle w:val="BodyText"/>
        <w:tabs>
          <w:tab w:val="left" w:pos="1180"/>
        </w:tabs>
        <w:spacing w:before="7"/>
        <w:ind w:left="100"/>
      </w:pPr>
      <w:r>
        <w:t>170</w:t>
      </w:r>
      <w:r>
        <w:tab/>
        <w:t>delta subsidence component increases it back to about 280 million people. Adding</w:t>
      </w:r>
      <w:r>
        <w:rPr>
          <w:spacing w:val="-9"/>
        </w:rPr>
        <w:t xml:space="preserve"> </w:t>
      </w:r>
      <w:r>
        <w:t>the</w:t>
      </w:r>
    </w:p>
    <w:p w14:paraId="7AD78733" w14:textId="77777777" w:rsidR="007B6A71" w:rsidRDefault="007B6A71">
      <w:pPr>
        <w:pStyle w:val="BodyText"/>
        <w:spacing w:before="2"/>
        <w:rPr>
          <w:sz w:val="16"/>
        </w:rPr>
      </w:pPr>
    </w:p>
    <w:p w14:paraId="396AB9D9" w14:textId="77777777" w:rsidR="007B6A71" w:rsidRDefault="00CE1F16">
      <w:pPr>
        <w:pStyle w:val="BodyText"/>
        <w:spacing w:before="90" w:line="480" w:lineRule="auto"/>
        <w:ind w:left="1180" w:right="449"/>
      </w:pPr>
      <w:r>
        <w:t>uncontrolled city subsidence component further increases the flood plain population to about</w:t>
      </w:r>
      <w:r>
        <w:t xml:space="preserve"> 305 to 320 million people (a net increase of 25 to 40 million people summing across the GIA, delta and city subsidence components). Additionally considering climate-induced SLR, the exposed population increases to 330 to 350 million by 2050 (a net increas</w:t>
      </w:r>
      <w:r>
        <w:t>e of 25 to 30 million people due</w:t>
      </w:r>
    </w:p>
    <w:p w14:paraId="4E68794C" w14:textId="77777777" w:rsidR="007B6A71" w:rsidRDefault="00CE1F16">
      <w:pPr>
        <w:pStyle w:val="BodyText"/>
        <w:tabs>
          <w:tab w:val="left" w:pos="1180"/>
        </w:tabs>
        <w:ind w:left="100"/>
      </w:pPr>
      <w:r>
        <w:t>175</w:t>
      </w:r>
      <w:r>
        <w:tab/>
        <w:t>to climate change) (Fig. 3(d)). The effects of subsidence and climate-induced SLR on</w:t>
      </w:r>
      <w:r>
        <w:rPr>
          <w:spacing w:val="-6"/>
        </w:rPr>
        <w:t xml:space="preserve"> </w:t>
      </w:r>
      <w:r>
        <w:t>exposed</w:t>
      </w:r>
    </w:p>
    <w:p w14:paraId="19022CAE" w14:textId="77777777" w:rsidR="007B6A71" w:rsidRDefault="007B6A71">
      <w:pPr>
        <w:pStyle w:val="BodyText"/>
        <w:spacing w:before="3"/>
        <w:rPr>
          <w:sz w:val="16"/>
        </w:rPr>
      </w:pPr>
    </w:p>
    <w:p w14:paraId="0378E169" w14:textId="77777777" w:rsidR="007B6A71" w:rsidRDefault="00CE1F16">
      <w:pPr>
        <w:pStyle w:val="BodyText"/>
        <w:spacing w:before="90" w:line="480" w:lineRule="auto"/>
        <w:ind w:left="1180" w:right="809"/>
      </w:pPr>
      <w:r>
        <w:t>population numbers can therefore be seen as being comparable in magnitude over the next 30 years. Under other SSPs, the results are similar (see Extended Data Fig, 3).</w:t>
      </w:r>
    </w:p>
    <w:p w14:paraId="4F6C3696" w14:textId="77777777" w:rsidR="007B6A71" w:rsidRDefault="007B6A71">
      <w:pPr>
        <w:spacing w:line="480" w:lineRule="auto"/>
        <w:sectPr w:rsidR="007B6A71">
          <w:pgSz w:w="12240" w:h="15840"/>
          <w:pgMar w:top="1360" w:right="1000" w:bottom="1800" w:left="260" w:header="0" w:footer="1538" w:gutter="0"/>
          <w:cols w:space="720"/>
        </w:sectPr>
      </w:pPr>
    </w:p>
    <w:p w14:paraId="0576F03D" w14:textId="77777777" w:rsidR="007B6A71" w:rsidRDefault="00CE1F16">
      <w:pPr>
        <w:pStyle w:val="BodyText"/>
        <w:ind w:left="1232"/>
        <w:rPr>
          <w:sz w:val="20"/>
        </w:rPr>
      </w:pPr>
      <w:r>
        <w:rPr>
          <w:noProof/>
          <w:sz w:val="20"/>
        </w:rPr>
        <w:lastRenderedPageBreak/>
        <w:drawing>
          <wp:inline distT="0" distB="0" distL="0" distR="0" wp14:anchorId="4D3D8CA0" wp14:editId="4D48BF79">
            <wp:extent cx="5729130" cy="2749296"/>
            <wp:effectExtent l="0" t="0" r="0" b="0"/>
            <wp:docPr id="5" name="image3.jpeg" descr="C:\Users\ytc19nxu\Documents\DIVA\Global subsidence\Final paper for journal\Figures\PDF versions\Fig3_subsidence_exposure_population_2015_2050_onlySSP2_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729130" cy="2749296"/>
                    </a:xfrm>
                    <a:prstGeom prst="rect">
                      <a:avLst/>
                    </a:prstGeom>
                  </pic:spPr>
                </pic:pic>
              </a:graphicData>
            </a:graphic>
          </wp:inline>
        </w:drawing>
      </w:r>
    </w:p>
    <w:p w14:paraId="3EEAFC2C" w14:textId="77777777" w:rsidR="007B6A71" w:rsidRDefault="007B6A71">
      <w:pPr>
        <w:pStyle w:val="BodyText"/>
        <w:spacing w:before="4"/>
        <w:rPr>
          <w:sz w:val="26"/>
        </w:rPr>
      </w:pPr>
    </w:p>
    <w:p w14:paraId="57D8FDAC" w14:textId="77777777" w:rsidR="007B6A71" w:rsidRDefault="00CE1F16">
      <w:pPr>
        <w:spacing w:before="90" w:line="480" w:lineRule="auto"/>
        <w:ind w:left="1180" w:right="474"/>
        <w:rPr>
          <w:i/>
          <w:sz w:val="24"/>
        </w:rPr>
      </w:pPr>
      <w:r>
        <w:rPr>
          <w:b/>
          <w:i/>
          <w:sz w:val="24"/>
        </w:rPr>
        <w:t xml:space="preserve">Fig 3: </w:t>
      </w:r>
      <w:r>
        <w:rPr>
          <w:i/>
          <w:sz w:val="24"/>
        </w:rPr>
        <w:t>Global population in the coastal flood plain from 2015 to 2050. This considers sea-level rise scenarios under RCP2.6, RCP4.5 and RCP8.5 emissions, as well as no climate-induced sea- level rise as a reference, and assumes the SSP2 socio-economic scenario. S</w:t>
      </w:r>
      <w:r>
        <w:rPr>
          <w:i/>
          <w:sz w:val="24"/>
        </w:rPr>
        <w:t>ubsidence/GIA assumptions as indicated. (a) No vertical land movement. (b) GIA only. (c) GIA and delta subsidence. (d) GIA, delta and uncontrolled city subsidence. (e) GIA, delta and city subsidence controlled to 5 mm/yr. The uncertainty bands reflect unce</w:t>
      </w:r>
      <w:r>
        <w:rPr>
          <w:i/>
          <w:sz w:val="24"/>
        </w:rPr>
        <w:t>rtainty in rates of city subsidence (see Fig. 1). Simulations start in 1995, while the flood plain is defined based on the 100-year event.</w:t>
      </w:r>
    </w:p>
    <w:p w14:paraId="3A889995" w14:textId="77777777" w:rsidR="007B6A71" w:rsidRDefault="007B6A71">
      <w:pPr>
        <w:pStyle w:val="BodyText"/>
        <w:rPr>
          <w:i/>
          <w:sz w:val="20"/>
        </w:rPr>
      </w:pPr>
    </w:p>
    <w:p w14:paraId="2578CAC3" w14:textId="77777777" w:rsidR="007B6A71" w:rsidRDefault="007B6A71">
      <w:pPr>
        <w:pStyle w:val="BodyText"/>
        <w:rPr>
          <w:i/>
          <w:sz w:val="20"/>
        </w:rPr>
      </w:pPr>
    </w:p>
    <w:p w14:paraId="26076851" w14:textId="77777777" w:rsidR="007B6A71" w:rsidRDefault="00CE1F16">
      <w:pPr>
        <w:pStyle w:val="BodyText"/>
        <w:tabs>
          <w:tab w:val="left" w:pos="1180"/>
        </w:tabs>
        <w:spacing w:before="213"/>
        <w:ind w:left="100"/>
      </w:pPr>
      <w:r>
        <w:t>180</w:t>
      </w:r>
      <w:r>
        <w:tab/>
        <w:t>These findings have important implications for coastal management, climate action</w:t>
      </w:r>
      <w:r>
        <w:rPr>
          <w:spacing w:val="-8"/>
        </w:rPr>
        <w:t xml:space="preserve"> </w:t>
      </w:r>
      <w:r>
        <w:t>and</w:t>
      </w:r>
    </w:p>
    <w:p w14:paraId="0539BE3A" w14:textId="77777777" w:rsidR="007B6A71" w:rsidRDefault="007B6A71">
      <w:pPr>
        <w:pStyle w:val="BodyText"/>
        <w:spacing w:before="2"/>
        <w:rPr>
          <w:sz w:val="16"/>
        </w:rPr>
      </w:pPr>
    </w:p>
    <w:p w14:paraId="13435F89" w14:textId="77777777" w:rsidR="007B6A71" w:rsidRDefault="00CE1F16">
      <w:pPr>
        <w:pStyle w:val="BodyText"/>
        <w:spacing w:before="90" w:line="480" w:lineRule="auto"/>
        <w:ind w:left="1180" w:right="463"/>
      </w:pPr>
      <w:r>
        <w:t>sustainability goals. Fo</w:t>
      </w:r>
      <w:r>
        <w:t>r climate mitigation, they mean that contemporary and future global SLR risks and adaptation needs are much higher than previously assessed. For adaptation, this means that reducing human-induced subsidence constitutes a globally significant coastal adapta</w:t>
      </w:r>
      <w:r>
        <w:t>tion option. While from a conceptual point of view it can be debated if managing subsidence</w:t>
      </w:r>
    </w:p>
    <w:p w14:paraId="1AB4C18B" w14:textId="77777777" w:rsidR="007B6A71" w:rsidRDefault="00CE1F16">
      <w:pPr>
        <w:pStyle w:val="BodyText"/>
        <w:tabs>
          <w:tab w:val="left" w:pos="1180"/>
        </w:tabs>
        <w:spacing w:before="1"/>
        <w:ind w:left="100"/>
      </w:pPr>
      <w:r>
        <w:t>185</w:t>
      </w:r>
      <w:r>
        <w:tab/>
        <w:t>constitutes adaptation, from a practical point of view this has a higher potential for</w:t>
      </w:r>
      <w:r>
        <w:rPr>
          <w:spacing w:val="-7"/>
        </w:rPr>
        <w:t xml:space="preserve"> </w:t>
      </w:r>
      <w:r>
        <w:t>reducing</w:t>
      </w:r>
    </w:p>
    <w:p w14:paraId="2371C2DF" w14:textId="77777777" w:rsidR="007B6A71" w:rsidRDefault="007B6A71">
      <w:pPr>
        <w:sectPr w:rsidR="007B6A71">
          <w:pgSz w:w="12240" w:h="15840"/>
          <w:pgMar w:top="1500" w:right="1000" w:bottom="1800" w:left="260" w:header="0" w:footer="1538" w:gutter="0"/>
          <w:cols w:space="720"/>
        </w:sectPr>
      </w:pPr>
    </w:p>
    <w:p w14:paraId="5E4DA287" w14:textId="77777777" w:rsidR="007B6A71" w:rsidRDefault="00CE1F16">
      <w:pPr>
        <w:pStyle w:val="BodyText"/>
        <w:spacing w:before="74" w:line="480" w:lineRule="auto"/>
        <w:ind w:left="1180" w:right="902"/>
      </w:pPr>
      <w:r>
        <w:lastRenderedPageBreak/>
        <w:t xml:space="preserve">coastal exposure than climate mitigation over the </w:t>
      </w:r>
      <w:r>
        <w:t>next 30 years. For example, if we reduce coastal city subsidence to 5 mm/yr, population exposure could be reduced by about 20 to 35 million people or 6 to 10 percent by 2050 compared with unreduced city subsidence (Fig. 3e compared to Fig. 3d), whereas und</w:t>
      </w:r>
      <w:r>
        <w:t>er ambitious climate mitigation (i.e., from RCP8.5 to</w:t>
      </w:r>
    </w:p>
    <w:p w14:paraId="6360F3C0" w14:textId="77777777" w:rsidR="007B6A71" w:rsidRDefault="007B6A71">
      <w:pPr>
        <w:spacing w:line="480" w:lineRule="auto"/>
        <w:sectPr w:rsidR="007B6A71">
          <w:pgSz w:w="12240" w:h="15840"/>
          <w:pgMar w:top="1360" w:right="1000" w:bottom="1800" w:left="260" w:header="0" w:footer="1538" w:gutter="0"/>
          <w:cols w:space="720"/>
        </w:sectPr>
      </w:pPr>
    </w:p>
    <w:p w14:paraId="1973FD5F" w14:textId="77777777" w:rsidR="007B6A71" w:rsidRDefault="00CE1F16">
      <w:pPr>
        <w:pStyle w:val="BodyText"/>
        <w:spacing w:before="1"/>
        <w:ind w:left="100"/>
      </w:pPr>
      <w:r>
        <w:t>190</w:t>
      </w:r>
    </w:p>
    <w:p w14:paraId="11CBD937" w14:textId="77777777" w:rsidR="007B6A71" w:rsidRDefault="007B6A71">
      <w:pPr>
        <w:pStyle w:val="BodyText"/>
        <w:rPr>
          <w:sz w:val="26"/>
        </w:rPr>
      </w:pPr>
    </w:p>
    <w:p w14:paraId="5458D331" w14:textId="77777777" w:rsidR="007B6A71" w:rsidRDefault="007B6A71">
      <w:pPr>
        <w:pStyle w:val="BodyText"/>
        <w:rPr>
          <w:sz w:val="26"/>
        </w:rPr>
      </w:pPr>
    </w:p>
    <w:p w14:paraId="6EAAF230" w14:textId="77777777" w:rsidR="007B6A71" w:rsidRDefault="007B6A71">
      <w:pPr>
        <w:pStyle w:val="BodyText"/>
        <w:rPr>
          <w:sz w:val="26"/>
        </w:rPr>
      </w:pPr>
    </w:p>
    <w:p w14:paraId="2F1A1127" w14:textId="77777777" w:rsidR="007B6A71" w:rsidRDefault="007B6A71">
      <w:pPr>
        <w:pStyle w:val="BodyText"/>
        <w:rPr>
          <w:sz w:val="26"/>
        </w:rPr>
      </w:pPr>
    </w:p>
    <w:p w14:paraId="1610C66F" w14:textId="77777777" w:rsidR="007B6A71" w:rsidRDefault="007B6A71">
      <w:pPr>
        <w:pStyle w:val="BodyText"/>
        <w:rPr>
          <w:sz w:val="26"/>
        </w:rPr>
      </w:pPr>
    </w:p>
    <w:p w14:paraId="1C994BD2" w14:textId="77777777" w:rsidR="007B6A71" w:rsidRDefault="007B6A71">
      <w:pPr>
        <w:pStyle w:val="BodyText"/>
        <w:rPr>
          <w:sz w:val="26"/>
        </w:rPr>
      </w:pPr>
    </w:p>
    <w:p w14:paraId="3FFE734F" w14:textId="77777777" w:rsidR="007B6A71" w:rsidRDefault="007B6A71">
      <w:pPr>
        <w:pStyle w:val="BodyText"/>
        <w:rPr>
          <w:sz w:val="26"/>
        </w:rPr>
      </w:pPr>
    </w:p>
    <w:p w14:paraId="1F9A6422" w14:textId="77777777" w:rsidR="007B6A71" w:rsidRDefault="007B6A71">
      <w:pPr>
        <w:pStyle w:val="BodyText"/>
        <w:rPr>
          <w:sz w:val="34"/>
        </w:rPr>
      </w:pPr>
    </w:p>
    <w:p w14:paraId="01003C4E" w14:textId="77777777" w:rsidR="007B6A71" w:rsidRDefault="00CE1F16">
      <w:pPr>
        <w:pStyle w:val="BodyText"/>
        <w:ind w:left="100"/>
      </w:pPr>
      <w:r>
        <w:t>195</w:t>
      </w:r>
    </w:p>
    <w:p w14:paraId="0116288C" w14:textId="77777777" w:rsidR="007B6A71" w:rsidRDefault="007B6A71">
      <w:pPr>
        <w:pStyle w:val="BodyText"/>
        <w:rPr>
          <w:sz w:val="26"/>
        </w:rPr>
      </w:pPr>
    </w:p>
    <w:p w14:paraId="4A1E3CC8" w14:textId="77777777" w:rsidR="007B6A71" w:rsidRDefault="007B6A71">
      <w:pPr>
        <w:pStyle w:val="BodyText"/>
        <w:rPr>
          <w:sz w:val="26"/>
        </w:rPr>
      </w:pPr>
    </w:p>
    <w:p w14:paraId="050E934C" w14:textId="77777777" w:rsidR="007B6A71" w:rsidRDefault="007B6A71">
      <w:pPr>
        <w:pStyle w:val="BodyText"/>
        <w:rPr>
          <w:sz w:val="26"/>
        </w:rPr>
      </w:pPr>
    </w:p>
    <w:p w14:paraId="1B356C2E" w14:textId="77777777" w:rsidR="007B6A71" w:rsidRDefault="007B6A71">
      <w:pPr>
        <w:pStyle w:val="BodyText"/>
        <w:rPr>
          <w:sz w:val="26"/>
        </w:rPr>
      </w:pPr>
    </w:p>
    <w:p w14:paraId="6B83E292" w14:textId="77777777" w:rsidR="007B6A71" w:rsidRDefault="007B6A71">
      <w:pPr>
        <w:pStyle w:val="BodyText"/>
        <w:rPr>
          <w:sz w:val="26"/>
        </w:rPr>
      </w:pPr>
    </w:p>
    <w:p w14:paraId="3D97EE47" w14:textId="77777777" w:rsidR="007B6A71" w:rsidRDefault="007B6A71">
      <w:pPr>
        <w:pStyle w:val="BodyText"/>
        <w:rPr>
          <w:sz w:val="26"/>
        </w:rPr>
      </w:pPr>
    </w:p>
    <w:p w14:paraId="089D01B9" w14:textId="77777777" w:rsidR="007B6A71" w:rsidRDefault="007B6A71">
      <w:pPr>
        <w:pStyle w:val="BodyText"/>
        <w:rPr>
          <w:sz w:val="26"/>
        </w:rPr>
      </w:pPr>
    </w:p>
    <w:p w14:paraId="0A57C737" w14:textId="77777777" w:rsidR="007B6A71" w:rsidRDefault="007B6A71">
      <w:pPr>
        <w:pStyle w:val="BodyText"/>
        <w:spacing w:before="1"/>
        <w:rPr>
          <w:sz w:val="34"/>
        </w:rPr>
      </w:pPr>
    </w:p>
    <w:p w14:paraId="64823483" w14:textId="77777777" w:rsidR="007B6A71" w:rsidRDefault="00CE1F16">
      <w:pPr>
        <w:pStyle w:val="BodyText"/>
        <w:ind w:left="100"/>
      </w:pPr>
      <w:r>
        <w:t>200</w:t>
      </w:r>
    </w:p>
    <w:p w14:paraId="722573E2" w14:textId="77777777" w:rsidR="007B6A71" w:rsidRDefault="00CE1F16">
      <w:pPr>
        <w:pStyle w:val="BodyText"/>
        <w:spacing w:before="1" w:line="475" w:lineRule="auto"/>
        <w:ind w:left="100" w:right="434"/>
      </w:pPr>
      <w:r>
        <w:br w:type="column"/>
      </w:r>
      <w:r>
        <w:t>RCP2.6), population exposure would be reduced by about 5 million people or 1.5 percent over the same timeframe. Climate mitigation would lead to much larger benefits after 2050</w:t>
      </w:r>
      <w:r>
        <w:rPr>
          <w:position w:val="9"/>
          <w:sz w:val="16"/>
        </w:rPr>
        <w:t xml:space="preserve">2,24 </w:t>
      </w:r>
      <w:r>
        <w:t>(not assessed here), and these two policies can and should be complementary</w:t>
      </w:r>
      <w:r>
        <w:t xml:space="preserve">. Reducing city subsidence to 5 mm/yr or less is feasible as demonstrated in the Netherlands and many Asian cities (e.g., Tokyo, Osaka, Shanghai), where it involves managing groundwater withdrawal and maintaining high water tables. However, these policies </w:t>
      </w:r>
      <w:r>
        <w:t>generally reduce rather than stop all subsidence</w:t>
      </w:r>
      <w:r>
        <w:rPr>
          <w:position w:val="9"/>
          <w:sz w:val="16"/>
        </w:rPr>
        <w:t xml:space="preserve">9,17 </w:t>
      </w:r>
      <w:r>
        <w:t>and there are wider implications and risks associated with rising water tables for cities. Therefore, while some subsidence control may be feasible, other SLR adaptation approaches will still be necessar</w:t>
      </w:r>
      <w:r>
        <w:t>y and compatible with adapting to climate change</w:t>
      </w:r>
      <w:r>
        <w:rPr>
          <w:position w:val="9"/>
          <w:sz w:val="16"/>
        </w:rPr>
        <w:t>2,18</w:t>
      </w:r>
      <w:r>
        <w:t>. Controlled flooding and sedimentation could be an innovative response to loss of elevation in deltas, especially in agricultural areas. This would involve a major shift in thinking in delta management</w:t>
      </w:r>
    </w:p>
    <w:p w14:paraId="21DB8D54" w14:textId="77777777" w:rsidR="007B6A71" w:rsidRDefault="007B6A71">
      <w:pPr>
        <w:spacing w:line="475" w:lineRule="auto"/>
        <w:sectPr w:rsidR="007B6A71">
          <w:type w:val="continuous"/>
          <w:pgSz w:w="12240" w:h="15840"/>
          <w:pgMar w:top="1360" w:right="1000" w:bottom="1720" w:left="260" w:header="720" w:footer="720" w:gutter="0"/>
          <w:cols w:num="2" w:space="720" w:equalWidth="0">
            <w:col w:w="501" w:space="580"/>
            <w:col w:w="9899"/>
          </w:cols>
        </w:sectPr>
      </w:pPr>
    </w:p>
    <w:p w14:paraId="7EC99C77" w14:textId="77777777" w:rsidR="007B6A71" w:rsidRDefault="00CE1F16">
      <w:pPr>
        <w:pStyle w:val="BodyText"/>
        <w:spacing w:before="16" w:line="465" w:lineRule="auto"/>
        <w:ind w:left="1180" w:right="548"/>
      </w:pPr>
      <w:r>
        <w:t>to controlling rather than eliminating flooding, and recognising sediment and sedimentation as a resource</w:t>
      </w:r>
      <w:r>
        <w:rPr>
          <w:position w:val="9"/>
          <w:sz w:val="16"/>
        </w:rPr>
        <w:t>14,25,26</w:t>
      </w:r>
      <w:r>
        <w:t>.</w:t>
      </w:r>
    </w:p>
    <w:p w14:paraId="17846FFA" w14:textId="77777777" w:rsidR="007B6A71" w:rsidRDefault="007B6A71">
      <w:pPr>
        <w:pStyle w:val="BodyText"/>
        <w:rPr>
          <w:sz w:val="28"/>
        </w:rPr>
      </w:pPr>
    </w:p>
    <w:p w14:paraId="4EC88F47" w14:textId="77777777" w:rsidR="007B6A71" w:rsidRDefault="00CE1F16">
      <w:pPr>
        <w:pStyle w:val="BodyText"/>
        <w:spacing w:before="248"/>
        <w:ind w:left="1180"/>
      </w:pPr>
      <w:r>
        <w:t>The influence of subsidence on relative SLR has grown through the 20th century alongside</w:t>
      </w:r>
    </w:p>
    <w:p w14:paraId="7F2D7F3D" w14:textId="77777777" w:rsidR="007B6A71" w:rsidRDefault="007B6A71">
      <w:pPr>
        <w:pStyle w:val="BodyText"/>
        <w:spacing w:before="2"/>
        <w:rPr>
          <w:sz w:val="16"/>
        </w:rPr>
      </w:pPr>
    </w:p>
    <w:p w14:paraId="0F774F4F" w14:textId="77777777" w:rsidR="007B6A71" w:rsidRDefault="00CE1F16">
      <w:pPr>
        <w:pStyle w:val="BodyText"/>
        <w:tabs>
          <w:tab w:val="left" w:pos="1180"/>
        </w:tabs>
        <w:spacing w:before="90"/>
        <w:ind w:left="100"/>
      </w:pPr>
      <w:r>
        <w:t>205</w:t>
      </w:r>
      <w:r>
        <w:tab/>
        <w:t>expanding coastal populations in susceptible areas – notably in deltas and especially in large</w:t>
      </w:r>
      <w:r>
        <w:rPr>
          <w:spacing w:val="-10"/>
        </w:rPr>
        <w:t xml:space="preserve"> </w:t>
      </w:r>
      <w:r>
        <w:t>and</w:t>
      </w:r>
    </w:p>
    <w:p w14:paraId="6F2A3ED2" w14:textId="77777777" w:rsidR="007B6A71" w:rsidRDefault="007B6A71">
      <w:pPr>
        <w:pStyle w:val="BodyText"/>
        <w:spacing w:before="3"/>
        <w:rPr>
          <w:sz w:val="16"/>
        </w:rPr>
      </w:pPr>
    </w:p>
    <w:p w14:paraId="42B8F62D" w14:textId="77777777" w:rsidR="007B6A71" w:rsidRDefault="00CE1F16">
      <w:pPr>
        <w:pStyle w:val="BodyText"/>
        <w:spacing w:before="90" w:line="480" w:lineRule="auto"/>
        <w:ind w:left="1180" w:right="649"/>
      </w:pPr>
      <w:r>
        <w:t>expanding cities on those deltas. The results discussed here i</w:t>
      </w:r>
      <w:r>
        <w:t>ndicate this will certainly continue and maybe even grow in magnitude and extent with increasing coastal urbanisation in</w:t>
      </w:r>
    </w:p>
    <w:p w14:paraId="4CC8E7CD" w14:textId="77777777" w:rsidR="007B6A71" w:rsidRDefault="00CE1F16">
      <w:pPr>
        <w:pStyle w:val="BodyText"/>
        <w:ind w:left="1180"/>
      </w:pPr>
      <w:r>
        <w:t>susceptible settings. Improved measurements of natural and human-induced subsidence</w:t>
      </w:r>
    </w:p>
    <w:p w14:paraId="527179F0" w14:textId="77777777" w:rsidR="007B6A71" w:rsidRDefault="007B6A71">
      <w:pPr>
        <w:sectPr w:rsidR="007B6A71">
          <w:type w:val="continuous"/>
          <w:pgSz w:w="12240" w:h="15840"/>
          <w:pgMar w:top="1360" w:right="1000" w:bottom="1720" w:left="260" w:header="720" w:footer="720" w:gutter="0"/>
          <w:cols w:space="720"/>
        </w:sectPr>
      </w:pPr>
    </w:p>
    <w:p w14:paraId="665FDD8D" w14:textId="77777777" w:rsidR="007B6A71" w:rsidRDefault="00CE1F16">
      <w:pPr>
        <w:pStyle w:val="BodyText"/>
        <w:spacing w:before="74"/>
        <w:ind w:left="1180"/>
      </w:pPr>
      <w:r>
        <w:lastRenderedPageBreak/>
        <w:t>processes are emerging and analysed sys</w:t>
      </w:r>
      <w:r>
        <w:t>tematically, as shown here, this will allow fuller</w:t>
      </w:r>
    </w:p>
    <w:p w14:paraId="06C3639C" w14:textId="77777777" w:rsidR="007B6A71" w:rsidRDefault="007B6A71">
      <w:pPr>
        <w:pStyle w:val="BodyText"/>
        <w:spacing w:before="2"/>
        <w:rPr>
          <w:sz w:val="16"/>
        </w:rPr>
      </w:pPr>
    </w:p>
    <w:p w14:paraId="10D1150B" w14:textId="77777777" w:rsidR="007B6A71" w:rsidRDefault="007B6A71">
      <w:pPr>
        <w:rPr>
          <w:sz w:val="16"/>
        </w:rPr>
        <w:sectPr w:rsidR="007B6A71">
          <w:pgSz w:w="12240" w:h="15840"/>
          <w:pgMar w:top="1360" w:right="1000" w:bottom="1800" w:left="260" w:header="0" w:footer="1538" w:gutter="0"/>
          <w:cols w:space="720"/>
        </w:sectPr>
      </w:pPr>
    </w:p>
    <w:p w14:paraId="4020F168" w14:textId="77777777" w:rsidR="007B6A71" w:rsidRDefault="00CE1F16">
      <w:pPr>
        <w:pStyle w:val="BodyText"/>
        <w:spacing w:before="90"/>
        <w:ind w:left="100"/>
      </w:pPr>
      <w:r>
        <w:t>210</w:t>
      </w:r>
    </w:p>
    <w:p w14:paraId="4AD9F547" w14:textId="77777777" w:rsidR="007B6A71" w:rsidRDefault="007B6A71">
      <w:pPr>
        <w:pStyle w:val="BodyText"/>
        <w:rPr>
          <w:sz w:val="26"/>
        </w:rPr>
      </w:pPr>
    </w:p>
    <w:p w14:paraId="26A37E1C" w14:textId="77777777" w:rsidR="007B6A71" w:rsidRDefault="007B6A71">
      <w:pPr>
        <w:pStyle w:val="BodyText"/>
        <w:rPr>
          <w:sz w:val="26"/>
        </w:rPr>
      </w:pPr>
    </w:p>
    <w:p w14:paraId="6929BF6D" w14:textId="77777777" w:rsidR="007B6A71" w:rsidRDefault="007B6A71">
      <w:pPr>
        <w:pStyle w:val="BodyText"/>
        <w:rPr>
          <w:sz w:val="26"/>
        </w:rPr>
      </w:pPr>
    </w:p>
    <w:p w14:paraId="01A1AED7" w14:textId="77777777" w:rsidR="007B6A71" w:rsidRDefault="007B6A71">
      <w:pPr>
        <w:pStyle w:val="BodyText"/>
        <w:rPr>
          <w:sz w:val="26"/>
        </w:rPr>
      </w:pPr>
    </w:p>
    <w:p w14:paraId="32BD1359" w14:textId="77777777" w:rsidR="007B6A71" w:rsidRDefault="007B6A71">
      <w:pPr>
        <w:pStyle w:val="BodyText"/>
        <w:rPr>
          <w:sz w:val="26"/>
        </w:rPr>
      </w:pPr>
    </w:p>
    <w:p w14:paraId="1A9BFB60" w14:textId="77777777" w:rsidR="007B6A71" w:rsidRDefault="007B6A71">
      <w:pPr>
        <w:pStyle w:val="BodyText"/>
        <w:rPr>
          <w:sz w:val="26"/>
        </w:rPr>
      </w:pPr>
    </w:p>
    <w:p w14:paraId="6D076023" w14:textId="77777777" w:rsidR="007B6A71" w:rsidRDefault="007B6A71">
      <w:pPr>
        <w:pStyle w:val="BodyText"/>
        <w:rPr>
          <w:sz w:val="26"/>
        </w:rPr>
      </w:pPr>
    </w:p>
    <w:p w14:paraId="4F000122" w14:textId="77777777" w:rsidR="007B6A71" w:rsidRDefault="007B6A71">
      <w:pPr>
        <w:pStyle w:val="BodyText"/>
        <w:spacing w:before="1"/>
        <w:rPr>
          <w:sz w:val="34"/>
        </w:rPr>
      </w:pPr>
    </w:p>
    <w:p w14:paraId="4E38527D" w14:textId="77777777" w:rsidR="007B6A71" w:rsidRDefault="00CE1F16">
      <w:pPr>
        <w:pStyle w:val="BodyText"/>
        <w:ind w:left="100"/>
      </w:pPr>
      <w:r>
        <w:t>215</w:t>
      </w:r>
    </w:p>
    <w:p w14:paraId="61C156C8" w14:textId="77777777" w:rsidR="007B6A71" w:rsidRDefault="00CE1F16">
      <w:pPr>
        <w:pStyle w:val="BodyText"/>
        <w:spacing w:before="90" w:line="465" w:lineRule="auto"/>
        <w:ind w:left="100" w:right="434"/>
      </w:pPr>
      <w:r>
        <w:br w:type="column"/>
      </w:r>
      <w:r>
        <w:t>appreciation of the potential consequences of relative SLR at regional to global scales and appropriate responses developed</w:t>
      </w:r>
      <w:r>
        <w:rPr>
          <w:position w:val="9"/>
          <w:sz w:val="16"/>
        </w:rPr>
        <w:t>27-29</w:t>
      </w:r>
      <w:r>
        <w:t>.</w:t>
      </w:r>
    </w:p>
    <w:p w14:paraId="512B1A89" w14:textId="77777777" w:rsidR="007B6A71" w:rsidRDefault="007B6A71">
      <w:pPr>
        <w:pStyle w:val="BodyText"/>
        <w:rPr>
          <w:sz w:val="28"/>
        </w:rPr>
      </w:pPr>
    </w:p>
    <w:p w14:paraId="7DA5D87A" w14:textId="77777777" w:rsidR="007B6A71" w:rsidRDefault="00CE1F16">
      <w:pPr>
        <w:pStyle w:val="BodyText"/>
        <w:spacing w:before="248" w:line="480" w:lineRule="auto"/>
        <w:ind w:left="100" w:right="769"/>
      </w:pPr>
      <w:r>
        <w:t>In conclusion, this analysis shows that, due to its coincidence with major population centres, subsidence has global social a</w:t>
      </w:r>
      <w:r>
        <w:t>nd economic implications. Its influence on exposure to coastal flooding is comparable to, if not greater than, climate-induced sea-level rise over the next few</w:t>
      </w:r>
    </w:p>
    <w:p w14:paraId="5E6EB0F0" w14:textId="77777777" w:rsidR="007B6A71" w:rsidRDefault="007B6A71">
      <w:pPr>
        <w:spacing w:line="480" w:lineRule="auto"/>
        <w:sectPr w:rsidR="007B6A71">
          <w:type w:val="continuous"/>
          <w:pgSz w:w="12240" w:h="15840"/>
          <w:pgMar w:top="1360" w:right="1000" w:bottom="1720" w:left="260" w:header="720" w:footer="720" w:gutter="0"/>
          <w:cols w:num="2" w:space="720" w:equalWidth="0">
            <w:col w:w="501" w:space="580"/>
            <w:col w:w="9899"/>
          </w:cols>
        </w:sectPr>
      </w:pPr>
    </w:p>
    <w:p w14:paraId="5786C153" w14:textId="77777777" w:rsidR="007B6A71" w:rsidRDefault="00CE1F16">
      <w:pPr>
        <w:pStyle w:val="BodyText"/>
        <w:spacing w:before="1" w:line="480" w:lineRule="auto"/>
        <w:ind w:left="1180" w:right="496"/>
      </w:pPr>
      <w:r>
        <w:t>decades and will remain significant thereafter. As such, subsidence shoul</w:t>
      </w:r>
      <w:r>
        <w:t>d be better recognized in regional and global assessments of relative sea-level rise impacts, and not simply restricted to local assessments. This, in turn, would improve the evidential basis for adaptation, disaster risk</w:t>
      </w:r>
    </w:p>
    <w:p w14:paraId="67B37AB2" w14:textId="77777777" w:rsidR="007B6A71" w:rsidRDefault="00CE1F16">
      <w:pPr>
        <w:pStyle w:val="BodyText"/>
        <w:ind w:left="1180"/>
      </w:pPr>
      <w:r>
        <w:t>reduction, and development strateg</w:t>
      </w:r>
      <w:r>
        <w:t>ies in coastal areas.</w:t>
      </w:r>
    </w:p>
    <w:p w14:paraId="6B76EDEE" w14:textId="77777777" w:rsidR="007B6A71" w:rsidRDefault="007B6A71">
      <w:pPr>
        <w:pStyle w:val="BodyText"/>
        <w:spacing w:before="4"/>
      </w:pPr>
    </w:p>
    <w:p w14:paraId="4C92B98C" w14:textId="77777777" w:rsidR="007B6A71" w:rsidRDefault="00CE1F16">
      <w:pPr>
        <w:tabs>
          <w:tab w:val="left" w:pos="1180"/>
        </w:tabs>
        <w:ind w:left="100"/>
        <w:rPr>
          <w:b/>
          <w:sz w:val="28"/>
        </w:rPr>
      </w:pPr>
      <w:r>
        <w:rPr>
          <w:sz w:val="24"/>
        </w:rPr>
        <w:t>220</w:t>
      </w:r>
      <w:r>
        <w:rPr>
          <w:sz w:val="24"/>
        </w:rPr>
        <w:tab/>
      </w:r>
      <w:r>
        <w:rPr>
          <w:b/>
          <w:sz w:val="28"/>
        </w:rPr>
        <w:t>References:</w:t>
      </w:r>
    </w:p>
    <w:p w14:paraId="33E513E4" w14:textId="77777777" w:rsidR="007B6A71" w:rsidRDefault="007B6A71">
      <w:pPr>
        <w:pStyle w:val="BodyText"/>
        <w:spacing w:before="9"/>
        <w:rPr>
          <w:b/>
          <w:sz w:val="19"/>
        </w:rPr>
      </w:pPr>
    </w:p>
    <w:p w14:paraId="7638D81C" w14:textId="77777777" w:rsidR="007B6A71" w:rsidRDefault="007B6A71">
      <w:pPr>
        <w:rPr>
          <w:sz w:val="19"/>
        </w:rPr>
        <w:sectPr w:rsidR="007B6A71">
          <w:type w:val="continuous"/>
          <w:pgSz w:w="12240" w:h="15840"/>
          <w:pgMar w:top="1360" w:right="1000" w:bottom="1720" w:left="260" w:header="720" w:footer="720" w:gutter="0"/>
          <w:cols w:space="720"/>
        </w:sectPr>
      </w:pPr>
    </w:p>
    <w:p w14:paraId="7DC7928B" w14:textId="77777777" w:rsidR="007B6A71" w:rsidRDefault="007B6A71">
      <w:pPr>
        <w:pStyle w:val="BodyText"/>
        <w:rPr>
          <w:b/>
          <w:sz w:val="26"/>
        </w:rPr>
      </w:pPr>
    </w:p>
    <w:p w14:paraId="6C4DDFBF" w14:textId="77777777" w:rsidR="007B6A71" w:rsidRDefault="007B6A71">
      <w:pPr>
        <w:pStyle w:val="BodyText"/>
        <w:rPr>
          <w:b/>
          <w:sz w:val="26"/>
        </w:rPr>
      </w:pPr>
    </w:p>
    <w:p w14:paraId="028D88F8" w14:textId="77777777" w:rsidR="007B6A71" w:rsidRDefault="007B6A71">
      <w:pPr>
        <w:pStyle w:val="BodyText"/>
        <w:rPr>
          <w:b/>
          <w:sz w:val="26"/>
        </w:rPr>
      </w:pPr>
    </w:p>
    <w:p w14:paraId="0ACC38D6" w14:textId="77777777" w:rsidR="007B6A71" w:rsidRDefault="007B6A71">
      <w:pPr>
        <w:pStyle w:val="BodyText"/>
        <w:spacing w:before="10"/>
        <w:rPr>
          <w:b/>
          <w:sz w:val="25"/>
        </w:rPr>
      </w:pPr>
    </w:p>
    <w:p w14:paraId="57AD19B3" w14:textId="77777777" w:rsidR="007B6A71" w:rsidRDefault="00CE1F16">
      <w:pPr>
        <w:pStyle w:val="BodyText"/>
        <w:ind w:left="100"/>
      </w:pPr>
      <w:r>
        <w:t>225</w:t>
      </w:r>
    </w:p>
    <w:p w14:paraId="26BFBC17" w14:textId="77777777" w:rsidR="007B6A71" w:rsidRDefault="007B6A71">
      <w:pPr>
        <w:pStyle w:val="BodyText"/>
        <w:rPr>
          <w:sz w:val="26"/>
        </w:rPr>
      </w:pPr>
    </w:p>
    <w:p w14:paraId="249F8145" w14:textId="77777777" w:rsidR="007B6A71" w:rsidRDefault="007B6A71">
      <w:pPr>
        <w:pStyle w:val="BodyText"/>
        <w:rPr>
          <w:sz w:val="26"/>
        </w:rPr>
      </w:pPr>
    </w:p>
    <w:p w14:paraId="162EEF6A" w14:textId="77777777" w:rsidR="007B6A71" w:rsidRDefault="007B6A71">
      <w:pPr>
        <w:pStyle w:val="BodyText"/>
        <w:rPr>
          <w:sz w:val="26"/>
        </w:rPr>
      </w:pPr>
    </w:p>
    <w:p w14:paraId="21A36397" w14:textId="77777777" w:rsidR="007B6A71" w:rsidRDefault="00CE1F16">
      <w:pPr>
        <w:pStyle w:val="BodyText"/>
        <w:spacing w:before="207"/>
        <w:ind w:left="100"/>
      </w:pPr>
      <w:r>
        <w:t>230</w:t>
      </w:r>
    </w:p>
    <w:p w14:paraId="14306688" w14:textId="77777777" w:rsidR="007B6A71" w:rsidRDefault="007B6A71">
      <w:pPr>
        <w:pStyle w:val="BodyText"/>
        <w:rPr>
          <w:sz w:val="26"/>
        </w:rPr>
      </w:pPr>
    </w:p>
    <w:p w14:paraId="1FDA3E9C" w14:textId="77777777" w:rsidR="007B6A71" w:rsidRDefault="007B6A71">
      <w:pPr>
        <w:pStyle w:val="BodyText"/>
        <w:rPr>
          <w:sz w:val="26"/>
        </w:rPr>
      </w:pPr>
    </w:p>
    <w:p w14:paraId="12A099ED" w14:textId="77777777" w:rsidR="007B6A71" w:rsidRDefault="007B6A71">
      <w:pPr>
        <w:pStyle w:val="BodyText"/>
        <w:rPr>
          <w:sz w:val="26"/>
        </w:rPr>
      </w:pPr>
    </w:p>
    <w:p w14:paraId="363DD5DE" w14:textId="77777777" w:rsidR="007B6A71" w:rsidRDefault="00CE1F16">
      <w:pPr>
        <w:pStyle w:val="BodyText"/>
        <w:spacing w:before="208"/>
        <w:ind w:left="100"/>
      </w:pPr>
      <w:r>
        <w:t>235</w:t>
      </w:r>
    </w:p>
    <w:p w14:paraId="7D426509" w14:textId="77777777" w:rsidR="007B6A71" w:rsidRDefault="00CE1F16">
      <w:pPr>
        <w:pStyle w:val="ListParagraph"/>
        <w:numPr>
          <w:ilvl w:val="0"/>
          <w:numId w:val="4"/>
        </w:numPr>
        <w:tabs>
          <w:tab w:val="left" w:pos="819"/>
          <w:tab w:val="left" w:pos="820"/>
        </w:tabs>
        <w:spacing w:before="90"/>
        <w:ind w:right="1060"/>
        <w:rPr>
          <w:sz w:val="24"/>
        </w:rPr>
      </w:pPr>
      <w:r>
        <w:rPr>
          <w:w w:val="99"/>
          <w:sz w:val="24"/>
        </w:rPr>
        <w:br w:type="column"/>
      </w:r>
      <w:r>
        <w:rPr>
          <w:sz w:val="24"/>
        </w:rPr>
        <w:t xml:space="preserve">Nerem, R. S. </w:t>
      </w:r>
      <w:r>
        <w:rPr>
          <w:i/>
          <w:sz w:val="24"/>
        </w:rPr>
        <w:t xml:space="preserve">et al. </w:t>
      </w:r>
      <w:r>
        <w:rPr>
          <w:sz w:val="24"/>
        </w:rPr>
        <w:t xml:space="preserve">Climate-change–driven accelerated sea-level rise detected in the altimeter era. </w:t>
      </w:r>
      <w:r>
        <w:rPr>
          <w:i/>
          <w:sz w:val="24"/>
        </w:rPr>
        <w:t xml:space="preserve">Proceedings of the National Academy of Sciences </w:t>
      </w:r>
      <w:r>
        <w:rPr>
          <w:b/>
          <w:sz w:val="24"/>
        </w:rPr>
        <w:t>115</w:t>
      </w:r>
      <w:r>
        <w:rPr>
          <w:sz w:val="24"/>
        </w:rPr>
        <w:t>, 2022,</w:t>
      </w:r>
      <w:r>
        <w:rPr>
          <w:sz w:val="24"/>
          <w:u w:val="single"/>
        </w:rPr>
        <w:t xml:space="preserve"> https://doi.org/10.1073/pnas.1717312115</w:t>
      </w:r>
      <w:r>
        <w:rPr>
          <w:spacing w:val="-1"/>
          <w:sz w:val="24"/>
        </w:rPr>
        <w:t xml:space="preserve"> </w:t>
      </w:r>
      <w:r>
        <w:rPr>
          <w:sz w:val="24"/>
        </w:rPr>
        <w:t>(2018).</w:t>
      </w:r>
    </w:p>
    <w:p w14:paraId="772AFDBB" w14:textId="77777777" w:rsidR="007B6A71" w:rsidRDefault="00CE1F16">
      <w:pPr>
        <w:pStyle w:val="ListParagraph"/>
        <w:numPr>
          <w:ilvl w:val="0"/>
          <w:numId w:val="4"/>
        </w:numPr>
        <w:tabs>
          <w:tab w:val="left" w:pos="819"/>
          <w:tab w:val="left" w:pos="820"/>
        </w:tabs>
        <w:spacing w:before="1"/>
        <w:ind w:right="546"/>
        <w:rPr>
          <w:sz w:val="24"/>
        </w:rPr>
      </w:pPr>
      <w:r>
        <w:rPr>
          <w:sz w:val="24"/>
        </w:rPr>
        <w:t xml:space="preserve">Oppenheimer, M. </w:t>
      </w:r>
      <w:r>
        <w:rPr>
          <w:i/>
          <w:sz w:val="24"/>
        </w:rPr>
        <w:t xml:space="preserve">et al. </w:t>
      </w:r>
      <w:r>
        <w:rPr>
          <w:sz w:val="24"/>
        </w:rPr>
        <w:t xml:space="preserve">in </w:t>
      </w:r>
      <w:r>
        <w:rPr>
          <w:i/>
          <w:sz w:val="24"/>
        </w:rPr>
        <w:t xml:space="preserve">IPCC Special Report on the Ocean and Cryosphere in a Changing Climate </w:t>
      </w:r>
      <w:r>
        <w:rPr>
          <w:sz w:val="24"/>
        </w:rPr>
        <w:t xml:space="preserve">(eds H O Pörtner </w:t>
      </w:r>
      <w:r>
        <w:rPr>
          <w:i/>
          <w:sz w:val="24"/>
        </w:rPr>
        <w:t>et al.</w:t>
      </w:r>
      <w:r>
        <w:rPr>
          <w:sz w:val="24"/>
        </w:rPr>
        <w:t>) Ch. 4 Sea level rise and imp</w:t>
      </w:r>
      <w:r>
        <w:rPr>
          <w:sz w:val="24"/>
        </w:rPr>
        <w:t>lications for low lying islands, coasts and communities, (Intergovernmental Panel on Climate Change (IPCC),</w:t>
      </w:r>
      <w:r>
        <w:rPr>
          <w:spacing w:val="-1"/>
          <w:sz w:val="24"/>
        </w:rPr>
        <w:t xml:space="preserve"> </w:t>
      </w:r>
      <w:r>
        <w:rPr>
          <w:sz w:val="24"/>
        </w:rPr>
        <w:t>2019)</w:t>
      </w:r>
    </w:p>
    <w:p w14:paraId="4754EBB0" w14:textId="77777777" w:rsidR="007B6A71" w:rsidRDefault="00CE1F16">
      <w:pPr>
        <w:pStyle w:val="ListParagraph"/>
        <w:numPr>
          <w:ilvl w:val="0"/>
          <w:numId w:val="4"/>
        </w:numPr>
        <w:tabs>
          <w:tab w:val="left" w:pos="819"/>
          <w:tab w:val="left" w:pos="820"/>
        </w:tabs>
        <w:ind w:right="483"/>
        <w:rPr>
          <w:sz w:val="24"/>
        </w:rPr>
      </w:pPr>
      <w:r>
        <w:rPr>
          <w:sz w:val="24"/>
        </w:rPr>
        <w:t xml:space="preserve">Church, J. A. </w:t>
      </w:r>
      <w:r>
        <w:rPr>
          <w:i/>
          <w:sz w:val="24"/>
        </w:rPr>
        <w:t xml:space="preserve">et al. </w:t>
      </w:r>
      <w:r>
        <w:rPr>
          <w:sz w:val="24"/>
        </w:rPr>
        <w:t xml:space="preserve">in </w:t>
      </w:r>
      <w:r>
        <w:rPr>
          <w:i/>
          <w:sz w:val="24"/>
        </w:rPr>
        <w:t>Climate Change 2013: The Physical Science Basis. Contribution of Working Group I to the Fifth Assessment Report of the</w:t>
      </w:r>
      <w:r>
        <w:rPr>
          <w:i/>
          <w:sz w:val="24"/>
        </w:rPr>
        <w:t xml:space="preserve"> Intergovernmental Panel on Climate Change </w:t>
      </w:r>
      <w:r>
        <w:rPr>
          <w:sz w:val="24"/>
        </w:rPr>
        <w:t xml:space="preserve">(eds T F Stocker </w:t>
      </w:r>
      <w:r>
        <w:rPr>
          <w:i/>
          <w:sz w:val="24"/>
        </w:rPr>
        <w:t>et al.</w:t>
      </w:r>
      <w:r>
        <w:rPr>
          <w:sz w:val="24"/>
        </w:rPr>
        <w:t>) Ch. 13 Sea level change, 1137-1216 (Cambridge University Press,</w:t>
      </w:r>
      <w:r>
        <w:rPr>
          <w:spacing w:val="-5"/>
          <w:sz w:val="24"/>
        </w:rPr>
        <w:t xml:space="preserve"> </w:t>
      </w:r>
      <w:r>
        <w:rPr>
          <w:sz w:val="24"/>
        </w:rPr>
        <w:t>2013)</w:t>
      </w:r>
    </w:p>
    <w:p w14:paraId="1FE2A96A" w14:textId="77777777" w:rsidR="007B6A71" w:rsidRDefault="00CE1F16">
      <w:pPr>
        <w:pStyle w:val="ListParagraph"/>
        <w:numPr>
          <w:ilvl w:val="0"/>
          <w:numId w:val="4"/>
        </w:numPr>
        <w:tabs>
          <w:tab w:val="left" w:pos="819"/>
          <w:tab w:val="left" w:pos="820"/>
        </w:tabs>
        <w:ind w:right="459"/>
        <w:rPr>
          <w:sz w:val="24"/>
        </w:rPr>
      </w:pPr>
      <w:r>
        <w:rPr>
          <w:sz w:val="24"/>
        </w:rPr>
        <w:t xml:space="preserve">Wong, P. P. </w:t>
      </w:r>
      <w:r>
        <w:rPr>
          <w:i/>
          <w:sz w:val="24"/>
        </w:rPr>
        <w:t xml:space="preserve">et al. </w:t>
      </w:r>
      <w:r>
        <w:rPr>
          <w:sz w:val="24"/>
        </w:rPr>
        <w:t xml:space="preserve">in </w:t>
      </w:r>
      <w:r>
        <w:rPr>
          <w:i/>
          <w:sz w:val="24"/>
        </w:rPr>
        <w:t>Climate Change 2014: Impacts, Adaptation, and Vulnerability, Pt</w:t>
      </w:r>
      <w:r>
        <w:rPr>
          <w:i/>
          <w:spacing w:val="-12"/>
          <w:sz w:val="24"/>
        </w:rPr>
        <w:t xml:space="preserve"> </w:t>
      </w:r>
      <w:r>
        <w:rPr>
          <w:i/>
          <w:sz w:val="24"/>
        </w:rPr>
        <w:t xml:space="preserve">A: Global and Sectoral Aspects: </w:t>
      </w:r>
      <w:r>
        <w:rPr>
          <w:i/>
          <w:sz w:val="24"/>
        </w:rPr>
        <w:t xml:space="preserve">Working Group II Contribution to the Fifth Assessment Report of the Intergovernmental Panel on Climate Change </w:t>
      </w:r>
      <w:r>
        <w:rPr>
          <w:sz w:val="24"/>
        </w:rPr>
        <w:t xml:space="preserve">(eds C. B. Field </w:t>
      </w:r>
      <w:r>
        <w:rPr>
          <w:i/>
          <w:sz w:val="24"/>
        </w:rPr>
        <w:t>et al.</w:t>
      </w:r>
      <w:r>
        <w:rPr>
          <w:sz w:val="24"/>
        </w:rPr>
        <w:t>) Ch. 5 Coastal systems and low-lying areas, 361-409</w:t>
      </w:r>
      <w:r>
        <w:rPr>
          <w:spacing w:val="-2"/>
          <w:sz w:val="24"/>
        </w:rPr>
        <w:t xml:space="preserve"> </w:t>
      </w:r>
      <w:r>
        <w:rPr>
          <w:sz w:val="24"/>
        </w:rPr>
        <w:t>(2014)</w:t>
      </w:r>
    </w:p>
    <w:p w14:paraId="5589FF41" w14:textId="77777777" w:rsidR="007B6A71" w:rsidRDefault="00CE1F16">
      <w:pPr>
        <w:pStyle w:val="ListParagraph"/>
        <w:numPr>
          <w:ilvl w:val="0"/>
          <w:numId w:val="4"/>
        </w:numPr>
        <w:tabs>
          <w:tab w:val="left" w:pos="819"/>
          <w:tab w:val="left" w:pos="820"/>
        </w:tabs>
        <w:ind w:right="824"/>
        <w:rPr>
          <w:sz w:val="24"/>
        </w:rPr>
      </w:pPr>
      <w:r>
        <w:rPr>
          <w:sz w:val="24"/>
        </w:rPr>
        <w:t xml:space="preserve">Emery, K. O. &amp; Aubrey, D. G. </w:t>
      </w:r>
      <w:r>
        <w:rPr>
          <w:i/>
          <w:sz w:val="24"/>
        </w:rPr>
        <w:t xml:space="preserve">Sea Levels, Land Levels, and Tide </w:t>
      </w:r>
      <w:r>
        <w:rPr>
          <w:i/>
          <w:sz w:val="24"/>
        </w:rPr>
        <w:t>Gauges</w:t>
      </w:r>
      <w:r>
        <w:rPr>
          <w:sz w:val="24"/>
        </w:rPr>
        <w:t>. (Springer- Verlag,</w:t>
      </w:r>
      <w:r>
        <w:rPr>
          <w:spacing w:val="-1"/>
          <w:sz w:val="24"/>
        </w:rPr>
        <w:t xml:space="preserve"> </w:t>
      </w:r>
      <w:r>
        <w:rPr>
          <w:sz w:val="24"/>
        </w:rPr>
        <w:t>1991).</w:t>
      </w:r>
    </w:p>
    <w:p w14:paraId="2A123FD9" w14:textId="77777777" w:rsidR="007B6A71" w:rsidRDefault="00CE1F16">
      <w:pPr>
        <w:pStyle w:val="ListParagraph"/>
        <w:numPr>
          <w:ilvl w:val="0"/>
          <w:numId w:val="4"/>
        </w:numPr>
        <w:tabs>
          <w:tab w:val="left" w:pos="819"/>
          <w:tab w:val="left" w:pos="820"/>
        </w:tabs>
        <w:ind w:right="504"/>
        <w:rPr>
          <w:sz w:val="24"/>
        </w:rPr>
      </w:pPr>
      <w:r>
        <w:rPr>
          <w:sz w:val="24"/>
        </w:rPr>
        <w:t xml:space="preserve">Rovere, A., Stocchi, P. &amp; Vacchi, M. Eustatic and relative sea level changes. </w:t>
      </w:r>
      <w:r>
        <w:rPr>
          <w:i/>
          <w:sz w:val="24"/>
        </w:rPr>
        <w:t xml:space="preserve">Current Climate Change Reports </w:t>
      </w:r>
      <w:r>
        <w:rPr>
          <w:b/>
          <w:sz w:val="24"/>
        </w:rPr>
        <w:t>2</w:t>
      </w:r>
      <w:r>
        <w:rPr>
          <w:sz w:val="24"/>
        </w:rPr>
        <w:t xml:space="preserve">, 221-231, </w:t>
      </w:r>
      <w:r>
        <w:rPr>
          <w:sz w:val="24"/>
          <w:u w:val="single"/>
        </w:rPr>
        <w:t>https://doi.org/10.1007/s40641-016-0045-7</w:t>
      </w:r>
      <w:r>
        <w:rPr>
          <w:spacing w:val="-11"/>
          <w:sz w:val="24"/>
        </w:rPr>
        <w:t xml:space="preserve"> </w:t>
      </w:r>
      <w:r>
        <w:rPr>
          <w:sz w:val="24"/>
        </w:rPr>
        <w:t>(2016).</w:t>
      </w:r>
    </w:p>
    <w:p w14:paraId="19283C81" w14:textId="77777777" w:rsidR="007B6A71" w:rsidRDefault="007B6A71">
      <w:pPr>
        <w:rPr>
          <w:sz w:val="24"/>
        </w:rPr>
        <w:sectPr w:rsidR="007B6A71">
          <w:type w:val="continuous"/>
          <w:pgSz w:w="12240" w:h="15840"/>
          <w:pgMar w:top="1360" w:right="1000" w:bottom="1720" w:left="260" w:header="720" w:footer="720" w:gutter="0"/>
          <w:cols w:num="2" w:space="720" w:equalWidth="0">
            <w:col w:w="501" w:space="580"/>
            <w:col w:w="9899"/>
          </w:cols>
        </w:sectPr>
      </w:pPr>
    </w:p>
    <w:p w14:paraId="37A5DE15" w14:textId="77777777" w:rsidR="007B6A71" w:rsidRDefault="00CE1F16">
      <w:pPr>
        <w:pStyle w:val="BodyText"/>
        <w:spacing w:before="74"/>
        <w:ind w:left="100"/>
      </w:pPr>
      <w:r>
        <w:lastRenderedPageBreak/>
        <w:t>240</w:t>
      </w:r>
    </w:p>
    <w:p w14:paraId="71458E76" w14:textId="77777777" w:rsidR="007B6A71" w:rsidRDefault="007B6A71">
      <w:pPr>
        <w:pStyle w:val="BodyText"/>
        <w:rPr>
          <w:sz w:val="26"/>
        </w:rPr>
      </w:pPr>
    </w:p>
    <w:p w14:paraId="147745F9" w14:textId="77777777" w:rsidR="007B6A71" w:rsidRDefault="007B6A71">
      <w:pPr>
        <w:pStyle w:val="BodyText"/>
        <w:rPr>
          <w:sz w:val="26"/>
        </w:rPr>
      </w:pPr>
    </w:p>
    <w:p w14:paraId="3EC413BC" w14:textId="77777777" w:rsidR="007B6A71" w:rsidRDefault="007B6A71">
      <w:pPr>
        <w:pStyle w:val="BodyText"/>
        <w:rPr>
          <w:sz w:val="26"/>
        </w:rPr>
      </w:pPr>
    </w:p>
    <w:p w14:paraId="0335E892" w14:textId="77777777" w:rsidR="007B6A71" w:rsidRDefault="00CE1F16">
      <w:pPr>
        <w:pStyle w:val="BodyText"/>
        <w:spacing w:before="208"/>
        <w:ind w:left="100"/>
      </w:pPr>
      <w:r>
        <w:t>245</w:t>
      </w:r>
    </w:p>
    <w:p w14:paraId="4627D147" w14:textId="77777777" w:rsidR="007B6A71" w:rsidRDefault="007B6A71">
      <w:pPr>
        <w:pStyle w:val="BodyText"/>
        <w:rPr>
          <w:sz w:val="26"/>
        </w:rPr>
      </w:pPr>
    </w:p>
    <w:p w14:paraId="00945908" w14:textId="77777777" w:rsidR="007B6A71" w:rsidRDefault="007B6A71">
      <w:pPr>
        <w:pStyle w:val="BodyText"/>
        <w:rPr>
          <w:sz w:val="26"/>
        </w:rPr>
      </w:pPr>
    </w:p>
    <w:p w14:paraId="56282FEB" w14:textId="77777777" w:rsidR="007B6A71" w:rsidRDefault="007B6A71">
      <w:pPr>
        <w:pStyle w:val="BodyText"/>
        <w:rPr>
          <w:sz w:val="26"/>
        </w:rPr>
      </w:pPr>
    </w:p>
    <w:p w14:paraId="5EC3240F" w14:textId="77777777" w:rsidR="007B6A71" w:rsidRDefault="00CE1F16">
      <w:pPr>
        <w:pStyle w:val="BodyText"/>
        <w:spacing w:before="207"/>
        <w:ind w:left="100"/>
      </w:pPr>
      <w:r>
        <w:t>250</w:t>
      </w:r>
    </w:p>
    <w:p w14:paraId="7F4B4902" w14:textId="77777777" w:rsidR="007B6A71" w:rsidRDefault="007B6A71">
      <w:pPr>
        <w:pStyle w:val="BodyText"/>
        <w:rPr>
          <w:sz w:val="26"/>
        </w:rPr>
      </w:pPr>
    </w:p>
    <w:p w14:paraId="063CD1B5" w14:textId="77777777" w:rsidR="007B6A71" w:rsidRDefault="007B6A71">
      <w:pPr>
        <w:pStyle w:val="BodyText"/>
        <w:rPr>
          <w:sz w:val="26"/>
        </w:rPr>
      </w:pPr>
    </w:p>
    <w:p w14:paraId="6645C985" w14:textId="77777777" w:rsidR="007B6A71" w:rsidRDefault="007B6A71">
      <w:pPr>
        <w:pStyle w:val="BodyText"/>
        <w:rPr>
          <w:sz w:val="26"/>
        </w:rPr>
      </w:pPr>
    </w:p>
    <w:p w14:paraId="1E50D912" w14:textId="77777777" w:rsidR="007B6A71" w:rsidRDefault="00CE1F16">
      <w:pPr>
        <w:pStyle w:val="BodyText"/>
        <w:spacing w:before="207"/>
        <w:ind w:left="100"/>
      </w:pPr>
      <w:r>
        <w:t>255</w:t>
      </w:r>
    </w:p>
    <w:p w14:paraId="1EA454A5" w14:textId="77777777" w:rsidR="007B6A71" w:rsidRDefault="007B6A71">
      <w:pPr>
        <w:pStyle w:val="BodyText"/>
        <w:rPr>
          <w:sz w:val="26"/>
        </w:rPr>
      </w:pPr>
    </w:p>
    <w:p w14:paraId="214FEDE6" w14:textId="77777777" w:rsidR="007B6A71" w:rsidRDefault="007B6A71">
      <w:pPr>
        <w:pStyle w:val="BodyText"/>
        <w:rPr>
          <w:sz w:val="26"/>
        </w:rPr>
      </w:pPr>
    </w:p>
    <w:p w14:paraId="12664DA0" w14:textId="77777777" w:rsidR="007B6A71" w:rsidRDefault="007B6A71">
      <w:pPr>
        <w:pStyle w:val="BodyText"/>
        <w:rPr>
          <w:sz w:val="26"/>
        </w:rPr>
      </w:pPr>
    </w:p>
    <w:p w14:paraId="79BCA805" w14:textId="77777777" w:rsidR="007B6A71" w:rsidRDefault="00CE1F16">
      <w:pPr>
        <w:pStyle w:val="BodyText"/>
        <w:spacing w:before="207"/>
        <w:ind w:left="100"/>
      </w:pPr>
      <w:r>
        <w:t>260</w:t>
      </w:r>
    </w:p>
    <w:p w14:paraId="5586D129" w14:textId="77777777" w:rsidR="007B6A71" w:rsidRDefault="007B6A71">
      <w:pPr>
        <w:pStyle w:val="BodyText"/>
        <w:rPr>
          <w:sz w:val="26"/>
        </w:rPr>
      </w:pPr>
    </w:p>
    <w:p w14:paraId="3012E9C9" w14:textId="77777777" w:rsidR="007B6A71" w:rsidRDefault="007B6A71">
      <w:pPr>
        <w:pStyle w:val="BodyText"/>
        <w:rPr>
          <w:sz w:val="26"/>
        </w:rPr>
      </w:pPr>
    </w:p>
    <w:p w14:paraId="609FA054" w14:textId="77777777" w:rsidR="007B6A71" w:rsidRDefault="007B6A71">
      <w:pPr>
        <w:pStyle w:val="BodyText"/>
        <w:rPr>
          <w:sz w:val="26"/>
        </w:rPr>
      </w:pPr>
    </w:p>
    <w:p w14:paraId="66D6AE53" w14:textId="77777777" w:rsidR="007B6A71" w:rsidRDefault="00CE1F16">
      <w:pPr>
        <w:pStyle w:val="BodyText"/>
        <w:spacing w:before="208"/>
        <w:ind w:left="100"/>
      </w:pPr>
      <w:r>
        <w:t>265</w:t>
      </w:r>
    </w:p>
    <w:p w14:paraId="54EA9100" w14:textId="77777777" w:rsidR="007B6A71" w:rsidRDefault="007B6A71">
      <w:pPr>
        <w:pStyle w:val="BodyText"/>
        <w:rPr>
          <w:sz w:val="26"/>
        </w:rPr>
      </w:pPr>
    </w:p>
    <w:p w14:paraId="45C98797" w14:textId="77777777" w:rsidR="007B6A71" w:rsidRDefault="007B6A71">
      <w:pPr>
        <w:pStyle w:val="BodyText"/>
        <w:rPr>
          <w:sz w:val="26"/>
        </w:rPr>
      </w:pPr>
    </w:p>
    <w:p w14:paraId="5F63767C" w14:textId="77777777" w:rsidR="007B6A71" w:rsidRDefault="007B6A71">
      <w:pPr>
        <w:pStyle w:val="BodyText"/>
        <w:rPr>
          <w:sz w:val="26"/>
        </w:rPr>
      </w:pPr>
    </w:p>
    <w:p w14:paraId="05C54998" w14:textId="77777777" w:rsidR="007B6A71" w:rsidRDefault="00CE1F16">
      <w:pPr>
        <w:pStyle w:val="BodyText"/>
        <w:spacing w:before="207"/>
        <w:ind w:left="100"/>
      </w:pPr>
      <w:r>
        <w:t>270</w:t>
      </w:r>
    </w:p>
    <w:p w14:paraId="7CA4F7D3" w14:textId="77777777" w:rsidR="007B6A71" w:rsidRDefault="007B6A71">
      <w:pPr>
        <w:pStyle w:val="BodyText"/>
        <w:rPr>
          <w:sz w:val="26"/>
        </w:rPr>
      </w:pPr>
    </w:p>
    <w:p w14:paraId="5FC44EEA" w14:textId="77777777" w:rsidR="007B6A71" w:rsidRDefault="007B6A71">
      <w:pPr>
        <w:pStyle w:val="BodyText"/>
        <w:rPr>
          <w:sz w:val="26"/>
        </w:rPr>
      </w:pPr>
    </w:p>
    <w:p w14:paraId="09144B31" w14:textId="77777777" w:rsidR="007B6A71" w:rsidRDefault="007B6A71">
      <w:pPr>
        <w:pStyle w:val="BodyText"/>
        <w:rPr>
          <w:sz w:val="26"/>
        </w:rPr>
      </w:pPr>
    </w:p>
    <w:p w14:paraId="6A9544A8" w14:textId="77777777" w:rsidR="007B6A71" w:rsidRDefault="00CE1F16">
      <w:pPr>
        <w:pStyle w:val="BodyText"/>
        <w:spacing w:before="207"/>
        <w:ind w:left="100"/>
      </w:pPr>
      <w:r>
        <w:t>275</w:t>
      </w:r>
    </w:p>
    <w:p w14:paraId="7B77C129" w14:textId="77777777" w:rsidR="007B6A71" w:rsidRDefault="007B6A71">
      <w:pPr>
        <w:pStyle w:val="BodyText"/>
        <w:rPr>
          <w:sz w:val="26"/>
        </w:rPr>
      </w:pPr>
    </w:p>
    <w:p w14:paraId="3C3A43D2" w14:textId="77777777" w:rsidR="007B6A71" w:rsidRDefault="007B6A71">
      <w:pPr>
        <w:pStyle w:val="BodyText"/>
        <w:rPr>
          <w:sz w:val="26"/>
        </w:rPr>
      </w:pPr>
    </w:p>
    <w:p w14:paraId="2248A7EE" w14:textId="77777777" w:rsidR="007B6A71" w:rsidRDefault="007B6A71">
      <w:pPr>
        <w:pStyle w:val="BodyText"/>
        <w:rPr>
          <w:sz w:val="26"/>
        </w:rPr>
      </w:pPr>
    </w:p>
    <w:p w14:paraId="585F2ABA" w14:textId="77777777" w:rsidR="007B6A71" w:rsidRDefault="00CE1F16">
      <w:pPr>
        <w:pStyle w:val="BodyText"/>
        <w:spacing w:before="208"/>
        <w:ind w:left="100"/>
      </w:pPr>
      <w:r>
        <w:t>280</w:t>
      </w:r>
    </w:p>
    <w:p w14:paraId="55F71688" w14:textId="77777777" w:rsidR="007B6A71" w:rsidRDefault="00CE1F16">
      <w:pPr>
        <w:pStyle w:val="ListParagraph"/>
        <w:numPr>
          <w:ilvl w:val="0"/>
          <w:numId w:val="4"/>
        </w:numPr>
        <w:tabs>
          <w:tab w:val="left" w:pos="819"/>
          <w:tab w:val="left" w:pos="820"/>
        </w:tabs>
        <w:spacing w:before="74"/>
        <w:ind w:right="512"/>
        <w:rPr>
          <w:sz w:val="24"/>
        </w:rPr>
      </w:pPr>
      <w:r>
        <w:rPr>
          <w:spacing w:val="-3"/>
          <w:sz w:val="24"/>
        </w:rPr>
        <w:br w:type="column"/>
      </w:r>
      <w:r>
        <w:rPr>
          <w:sz w:val="24"/>
        </w:rPr>
        <w:t xml:space="preserve">Lickley, M. J., Hay, C. C., Tamisiea, M. E. &amp; Mitrovica, J. X. Bias in estimates of global mean sea level change inferred from satellite altimetry. </w:t>
      </w:r>
      <w:r>
        <w:rPr>
          <w:i/>
          <w:sz w:val="24"/>
        </w:rPr>
        <w:t xml:space="preserve">Journal of Climate </w:t>
      </w:r>
      <w:r>
        <w:rPr>
          <w:b/>
          <w:sz w:val="24"/>
        </w:rPr>
        <w:t>31</w:t>
      </w:r>
      <w:r>
        <w:rPr>
          <w:sz w:val="24"/>
        </w:rPr>
        <w:t xml:space="preserve">, 5263- 5271, </w:t>
      </w:r>
      <w:r>
        <w:rPr>
          <w:sz w:val="24"/>
          <w:u w:val="single"/>
        </w:rPr>
        <w:t>https://doi.org/10.1175/JCLI-D-18-0024.1</w:t>
      </w:r>
      <w:r>
        <w:rPr>
          <w:spacing w:val="1"/>
          <w:sz w:val="24"/>
        </w:rPr>
        <w:t xml:space="preserve"> </w:t>
      </w:r>
      <w:r>
        <w:rPr>
          <w:sz w:val="24"/>
        </w:rPr>
        <w:t>(2018).</w:t>
      </w:r>
    </w:p>
    <w:p w14:paraId="03284E01" w14:textId="77777777" w:rsidR="007B6A71" w:rsidRDefault="00CE1F16">
      <w:pPr>
        <w:pStyle w:val="ListParagraph"/>
        <w:numPr>
          <w:ilvl w:val="0"/>
          <w:numId w:val="4"/>
        </w:numPr>
        <w:tabs>
          <w:tab w:val="left" w:pos="819"/>
          <w:tab w:val="left" w:pos="820"/>
        </w:tabs>
        <w:spacing w:before="1"/>
        <w:ind w:right="1353"/>
        <w:rPr>
          <w:sz w:val="24"/>
        </w:rPr>
      </w:pPr>
      <w:r>
        <w:rPr>
          <w:sz w:val="24"/>
        </w:rPr>
        <w:t>Milliman, J. &amp; Haq, B. U</w:t>
      </w:r>
      <w:r>
        <w:rPr>
          <w:sz w:val="24"/>
        </w:rPr>
        <w:t xml:space="preserve">.(eds) </w:t>
      </w:r>
      <w:r>
        <w:rPr>
          <w:i/>
          <w:sz w:val="24"/>
        </w:rPr>
        <w:t>Sea-Level Rise and Coastal Subsidence:</w:t>
      </w:r>
      <w:r>
        <w:rPr>
          <w:i/>
          <w:spacing w:val="-12"/>
          <w:sz w:val="24"/>
        </w:rPr>
        <w:t xml:space="preserve"> </w:t>
      </w:r>
      <w:r>
        <w:rPr>
          <w:i/>
          <w:sz w:val="24"/>
        </w:rPr>
        <w:t>Causes, Consequences, and Strategies</w:t>
      </w:r>
      <w:r>
        <w:rPr>
          <w:sz w:val="24"/>
        </w:rPr>
        <w:t>. (Springer,</w:t>
      </w:r>
      <w:r>
        <w:rPr>
          <w:spacing w:val="-1"/>
          <w:sz w:val="24"/>
        </w:rPr>
        <w:t xml:space="preserve"> </w:t>
      </w:r>
      <w:r>
        <w:rPr>
          <w:sz w:val="24"/>
        </w:rPr>
        <w:t>1996).</w:t>
      </w:r>
    </w:p>
    <w:p w14:paraId="3C4533BC" w14:textId="77777777" w:rsidR="007B6A71" w:rsidRDefault="00CE1F16">
      <w:pPr>
        <w:pStyle w:val="ListParagraph"/>
        <w:numPr>
          <w:ilvl w:val="0"/>
          <w:numId w:val="4"/>
        </w:numPr>
        <w:tabs>
          <w:tab w:val="left" w:pos="819"/>
          <w:tab w:val="left" w:pos="820"/>
        </w:tabs>
        <w:ind w:right="678"/>
        <w:rPr>
          <w:sz w:val="24"/>
        </w:rPr>
      </w:pPr>
      <w:r>
        <w:rPr>
          <w:sz w:val="24"/>
        </w:rPr>
        <w:t xml:space="preserve">Erkens, G., Bucx, T., Dam, R., de Lange, G. &amp; Lambert, J. Sinking coastal cities. </w:t>
      </w:r>
      <w:r>
        <w:rPr>
          <w:i/>
          <w:sz w:val="24"/>
        </w:rPr>
        <w:t xml:space="preserve">Proc. IAHS </w:t>
      </w:r>
      <w:r>
        <w:rPr>
          <w:b/>
          <w:sz w:val="24"/>
        </w:rPr>
        <w:t>372</w:t>
      </w:r>
      <w:r>
        <w:rPr>
          <w:sz w:val="24"/>
        </w:rPr>
        <w:t xml:space="preserve">, 189-198, </w:t>
      </w:r>
      <w:r>
        <w:rPr>
          <w:sz w:val="24"/>
          <w:u w:val="single"/>
        </w:rPr>
        <w:t>https://doi.org/10.5194/piahs-372-189-2015</w:t>
      </w:r>
      <w:r>
        <w:rPr>
          <w:spacing w:val="-2"/>
          <w:sz w:val="24"/>
        </w:rPr>
        <w:t xml:space="preserve"> </w:t>
      </w:r>
      <w:r>
        <w:rPr>
          <w:sz w:val="24"/>
        </w:rPr>
        <w:t>(201</w:t>
      </w:r>
      <w:r>
        <w:rPr>
          <w:sz w:val="24"/>
        </w:rPr>
        <w:t>5).</w:t>
      </w:r>
    </w:p>
    <w:p w14:paraId="45DE960E" w14:textId="77777777" w:rsidR="007B6A71" w:rsidRDefault="00CE1F16">
      <w:pPr>
        <w:pStyle w:val="ListParagraph"/>
        <w:numPr>
          <w:ilvl w:val="0"/>
          <w:numId w:val="4"/>
        </w:numPr>
        <w:tabs>
          <w:tab w:val="left" w:pos="819"/>
          <w:tab w:val="left" w:pos="820"/>
        </w:tabs>
        <w:ind w:right="617"/>
        <w:rPr>
          <w:sz w:val="24"/>
        </w:rPr>
      </w:pPr>
      <w:r>
        <w:rPr>
          <w:sz w:val="24"/>
        </w:rPr>
        <w:t xml:space="preserve">Frederikse, T., Riva, R. E. M. &amp; King, M. A. Ocean bottom deformation due to present- day mass redistribution and its impact on sea level observations. </w:t>
      </w:r>
      <w:r>
        <w:rPr>
          <w:i/>
          <w:sz w:val="24"/>
        </w:rPr>
        <w:t xml:space="preserve">Geophysical Research Letters </w:t>
      </w:r>
      <w:r>
        <w:rPr>
          <w:b/>
          <w:sz w:val="24"/>
        </w:rPr>
        <w:t>44</w:t>
      </w:r>
      <w:r>
        <w:rPr>
          <w:sz w:val="24"/>
        </w:rPr>
        <w:t xml:space="preserve">, 12,306-312,314, </w:t>
      </w:r>
      <w:r>
        <w:rPr>
          <w:sz w:val="24"/>
          <w:u w:val="single"/>
        </w:rPr>
        <w:t>https://doi.org/10.1002/2017GL075419</w:t>
      </w:r>
      <w:r>
        <w:rPr>
          <w:spacing w:val="-1"/>
          <w:sz w:val="24"/>
        </w:rPr>
        <w:t xml:space="preserve"> </w:t>
      </w:r>
      <w:r>
        <w:rPr>
          <w:sz w:val="24"/>
        </w:rPr>
        <w:t>(2017).</w:t>
      </w:r>
    </w:p>
    <w:p w14:paraId="072F7101" w14:textId="77777777" w:rsidR="007B6A71" w:rsidRDefault="00CE1F16">
      <w:pPr>
        <w:pStyle w:val="ListParagraph"/>
        <w:numPr>
          <w:ilvl w:val="0"/>
          <w:numId w:val="4"/>
        </w:numPr>
        <w:tabs>
          <w:tab w:val="left" w:pos="819"/>
          <w:tab w:val="left" w:pos="820"/>
        </w:tabs>
        <w:ind w:right="593"/>
        <w:rPr>
          <w:sz w:val="24"/>
        </w:rPr>
      </w:pPr>
      <w:r>
        <w:rPr>
          <w:sz w:val="24"/>
        </w:rPr>
        <w:t>Peltie</w:t>
      </w:r>
      <w:r>
        <w:rPr>
          <w:sz w:val="24"/>
        </w:rPr>
        <w:t xml:space="preserve">r, W. R., Argus, D. F. &amp; Drummond, R. Space geodesy constrains ice age terminal deglaciation: The global ICE-6G_C (VM5a) model. </w:t>
      </w:r>
      <w:r>
        <w:rPr>
          <w:i/>
          <w:sz w:val="24"/>
        </w:rPr>
        <w:t xml:space="preserve">Journal of Geophysical Research: Solid Earth </w:t>
      </w:r>
      <w:r>
        <w:rPr>
          <w:b/>
          <w:sz w:val="24"/>
        </w:rPr>
        <w:t>120</w:t>
      </w:r>
      <w:r>
        <w:rPr>
          <w:sz w:val="24"/>
        </w:rPr>
        <w:t xml:space="preserve">, 450-487, </w:t>
      </w:r>
      <w:r>
        <w:rPr>
          <w:sz w:val="24"/>
          <w:u w:val="single"/>
        </w:rPr>
        <w:t>https://doi.org/10.1002/2014JB011176</w:t>
      </w:r>
      <w:r>
        <w:rPr>
          <w:spacing w:val="-1"/>
          <w:sz w:val="24"/>
        </w:rPr>
        <w:t xml:space="preserve"> </w:t>
      </w:r>
      <w:r>
        <w:rPr>
          <w:sz w:val="24"/>
        </w:rPr>
        <w:t>(2015).</w:t>
      </w:r>
    </w:p>
    <w:p w14:paraId="420EE5A4" w14:textId="77777777" w:rsidR="007B6A71" w:rsidRDefault="00CE1F16">
      <w:pPr>
        <w:pStyle w:val="ListParagraph"/>
        <w:numPr>
          <w:ilvl w:val="0"/>
          <w:numId w:val="4"/>
        </w:numPr>
        <w:tabs>
          <w:tab w:val="left" w:pos="819"/>
          <w:tab w:val="left" w:pos="820"/>
        </w:tabs>
        <w:ind w:right="2954"/>
        <w:rPr>
          <w:sz w:val="24"/>
        </w:rPr>
      </w:pPr>
      <w:r>
        <w:rPr>
          <w:sz w:val="24"/>
        </w:rPr>
        <w:t xml:space="preserve">Syvitski, J. P. M. Deltas at risk. </w:t>
      </w:r>
      <w:r>
        <w:rPr>
          <w:i/>
          <w:sz w:val="24"/>
        </w:rPr>
        <w:t xml:space="preserve">Sustainability Science </w:t>
      </w:r>
      <w:r>
        <w:rPr>
          <w:b/>
          <w:sz w:val="24"/>
        </w:rPr>
        <w:t>3</w:t>
      </w:r>
      <w:r>
        <w:rPr>
          <w:sz w:val="24"/>
        </w:rPr>
        <w:t>,</w:t>
      </w:r>
      <w:r>
        <w:rPr>
          <w:spacing w:val="-12"/>
          <w:sz w:val="24"/>
        </w:rPr>
        <w:t xml:space="preserve"> </w:t>
      </w:r>
      <w:r>
        <w:rPr>
          <w:sz w:val="24"/>
        </w:rPr>
        <w:t>23-32,</w:t>
      </w:r>
      <w:r>
        <w:rPr>
          <w:sz w:val="24"/>
          <w:u w:val="single"/>
        </w:rPr>
        <w:t xml:space="preserve"> https://doi.org/10.1007/s11625-008-0043-3</w:t>
      </w:r>
      <w:r>
        <w:rPr>
          <w:spacing w:val="-1"/>
          <w:sz w:val="24"/>
        </w:rPr>
        <w:t xml:space="preserve"> </w:t>
      </w:r>
      <w:r>
        <w:rPr>
          <w:sz w:val="24"/>
        </w:rPr>
        <w:t>(2008).</w:t>
      </w:r>
    </w:p>
    <w:p w14:paraId="508C99D9" w14:textId="77777777" w:rsidR="007B6A71" w:rsidRDefault="00CE1F16">
      <w:pPr>
        <w:pStyle w:val="ListParagraph"/>
        <w:numPr>
          <w:ilvl w:val="0"/>
          <w:numId w:val="4"/>
        </w:numPr>
        <w:tabs>
          <w:tab w:val="left" w:pos="819"/>
          <w:tab w:val="left" w:pos="820"/>
        </w:tabs>
        <w:ind w:right="603"/>
        <w:rPr>
          <w:sz w:val="24"/>
        </w:rPr>
      </w:pPr>
      <w:r>
        <w:rPr>
          <w:sz w:val="24"/>
        </w:rPr>
        <w:t xml:space="preserve">Ericson, J. P., Vörösmarty, C. J., Dingman, S. L., Ward, </w:t>
      </w:r>
      <w:r>
        <w:rPr>
          <w:spacing w:val="-3"/>
          <w:sz w:val="24"/>
        </w:rPr>
        <w:t xml:space="preserve">L. </w:t>
      </w:r>
      <w:r>
        <w:rPr>
          <w:sz w:val="24"/>
        </w:rPr>
        <w:t>G. &amp; Meybeck, M. Effective sea-level rise and deltas: Causes of change and hum</w:t>
      </w:r>
      <w:r>
        <w:rPr>
          <w:sz w:val="24"/>
        </w:rPr>
        <w:t xml:space="preserve">an dimension implications. </w:t>
      </w:r>
      <w:r>
        <w:rPr>
          <w:i/>
          <w:sz w:val="24"/>
        </w:rPr>
        <w:t xml:space="preserve">Global and Planetary Change </w:t>
      </w:r>
      <w:r>
        <w:rPr>
          <w:b/>
          <w:sz w:val="24"/>
        </w:rPr>
        <w:t>50</w:t>
      </w:r>
      <w:r>
        <w:rPr>
          <w:sz w:val="24"/>
        </w:rPr>
        <w:t xml:space="preserve">, 63-82, </w:t>
      </w:r>
      <w:r>
        <w:rPr>
          <w:sz w:val="24"/>
          <w:u w:val="single"/>
        </w:rPr>
        <w:t>https://doi.org/10.1016/j.gloplacha.2005.07.004</w:t>
      </w:r>
      <w:r>
        <w:rPr>
          <w:sz w:val="24"/>
        </w:rPr>
        <w:t xml:space="preserve"> (2006).</w:t>
      </w:r>
    </w:p>
    <w:p w14:paraId="3CF6E86F" w14:textId="77777777" w:rsidR="007B6A71" w:rsidRDefault="00CE1F16">
      <w:pPr>
        <w:pStyle w:val="ListParagraph"/>
        <w:numPr>
          <w:ilvl w:val="0"/>
          <w:numId w:val="4"/>
        </w:numPr>
        <w:tabs>
          <w:tab w:val="left" w:pos="819"/>
          <w:tab w:val="left" w:pos="820"/>
        </w:tabs>
        <w:ind w:right="478"/>
        <w:rPr>
          <w:sz w:val="24"/>
        </w:rPr>
      </w:pPr>
      <w:r>
        <w:rPr>
          <w:sz w:val="24"/>
        </w:rPr>
        <w:t xml:space="preserve">Syvitski, J. P. M. </w:t>
      </w:r>
      <w:r>
        <w:rPr>
          <w:i/>
          <w:sz w:val="24"/>
        </w:rPr>
        <w:t xml:space="preserve">et al. </w:t>
      </w:r>
      <w:r>
        <w:rPr>
          <w:sz w:val="24"/>
        </w:rPr>
        <w:t xml:space="preserve">Sinking deltas due to human activities. </w:t>
      </w:r>
      <w:r>
        <w:rPr>
          <w:i/>
          <w:sz w:val="24"/>
        </w:rPr>
        <w:t xml:space="preserve">Nature Geoscience </w:t>
      </w:r>
      <w:r>
        <w:rPr>
          <w:b/>
          <w:sz w:val="24"/>
        </w:rPr>
        <w:t>2</w:t>
      </w:r>
      <w:r>
        <w:rPr>
          <w:sz w:val="24"/>
        </w:rPr>
        <w:t xml:space="preserve">, 681- 686, </w:t>
      </w:r>
      <w:r>
        <w:rPr>
          <w:sz w:val="24"/>
          <w:u w:val="single"/>
        </w:rPr>
        <w:t>https://doi.org/10.1038/ngeo629</w:t>
      </w:r>
      <w:r>
        <w:rPr>
          <w:spacing w:val="3"/>
          <w:sz w:val="24"/>
        </w:rPr>
        <w:t xml:space="preserve"> </w:t>
      </w:r>
      <w:r>
        <w:rPr>
          <w:sz w:val="24"/>
        </w:rPr>
        <w:t>(2009</w:t>
      </w:r>
      <w:r>
        <w:rPr>
          <w:sz w:val="24"/>
        </w:rPr>
        <w:t>).</w:t>
      </w:r>
    </w:p>
    <w:p w14:paraId="673FB28E" w14:textId="77777777" w:rsidR="007B6A71" w:rsidRDefault="00CE1F16">
      <w:pPr>
        <w:pStyle w:val="ListParagraph"/>
        <w:numPr>
          <w:ilvl w:val="0"/>
          <w:numId w:val="4"/>
        </w:numPr>
        <w:tabs>
          <w:tab w:val="left" w:pos="819"/>
          <w:tab w:val="left" w:pos="820"/>
        </w:tabs>
        <w:spacing w:before="1"/>
        <w:ind w:right="578"/>
        <w:rPr>
          <w:sz w:val="24"/>
        </w:rPr>
      </w:pPr>
      <w:r>
        <w:rPr>
          <w:sz w:val="24"/>
        </w:rPr>
        <w:t xml:space="preserve">Tessler, Z. D., Vörösmarty, C. J., Overeem, I. &amp; Syvitski, J. P. M. A model of water and sediment balance as determinants of relative sea level rise in contemporary and future deltas. </w:t>
      </w:r>
      <w:r>
        <w:rPr>
          <w:i/>
          <w:sz w:val="24"/>
        </w:rPr>
        <w:t xml:space="preserve">Geomorphology </w:t>
      </w:r>
      <w:r>
        <w:rPr>
          <w:b/>
          <w:sz w:val="24"/>
        </w:rPr>
        <w:t>305</w:t>
      </w:r>
      <w:r>
        <w:rPr>
          <w:sz w:val="24"/>
        </w:rPr>
        <w:t xml:space="preserve">, 209-220, </w:t>
      </w:r>
      <w:r>
        <w:rPr>
          <w:sz w:val="24"/>
          <w:u w:val="single"/>
        </w:rPr>
        <w:t>https://doi.org/10.1016/j.geomorph.2017.0</w:t>
      </w:r>
      <w:r>
        <w:rPr>
          <w:sz w:val="24"/>
          <w:u w:val="single"/>
        </w:rPr>
        <w:t>9.040</w:t>
      </w:r>
      <w:r>
        <w:rPr>
          <w:sz w:val="24"/>
        </w:rPr>
        <w:t xml:space="preserve"> (2018).</w:t>
      </w:r>
    </w:p>
    <w:p w14:paraId="11B1CF53" w14:textId="77777777" w:rsidR="007B6A71" w:rsidRDefault="00CE1F16">
      <w:pPr>
        <w:pStyle w:val="ListParagraph"/>
        <w:numPr>
          <w:ilvl w:val="0"/>
          <w:numId w:val="4"/>
        </w:numPr>
        <w:tabs>
          <w:tab w:val="left" w:pos="819"/>
          <w:tab w:val="left" w:pos="820"/>
        </w:tabs>
        <w:ind w:right="1388"/>
        <w:rPr>
          <w:sz w:val="24"/>
        </w:rPr>
      </w:pPr>
      <w:r>
        <w:rPr>
          <w:sz w:val="24"/>
        </w:rPr>
        <w:t xml:space="preserve">Nicholls, R. J. Coastal megacities and climate change. </w:t>
      </w:r>
      <w:r>
        <w:rPr>
          <w:i/>
          <w:sz w:val="24"/>
        </w:rPr>
        <w:t xml:space="preserve">GeoJournal </w:t>
      </w:r>
      <w:r>
        <w:rPr>
          <w:b/>
          <w:sz w:val="24"/>
        </w:rPr>
        <w:t>37</w:t>
      </w:r>
      <w:r>
        <w:rPr>
          <w:sz w:val="24"/>
        </w:rPr>
        <w:t>,</w:t>
      </w:r>
      <w:r>
        <w:rPr>
          <w:spacing w:val="-11"/>
          <w:sz w:val="24"/>
        </w:rPr>
        <w:t xml:space="preserve"> </w:t>
      </w:r>
      <w:r>
        <w:rPr>
          <w:sz w:val="24"/>
        </w:rPr>
        <w:t>369-379,</w:t>
      </w:r>
      <w:r>
        <w:rPr>
          <w:sz w:val="24"/>
          <w:u w:val="single"/>
        </w:rPr>
        <w:t xml:space="preserve"> https://doi.org/10.1007/BF00814018</w:t>
      </w:r>
      <w:r>
        <w:rPr>
          <w:sz w:val="24"/>
        </w:rPr>
        <w:t xml:space="preserve"> (1995).</w:t>
      </w:r>
    </w:p>
    <w:p w14:paraId="6D6B5F8B" w14:textId="77777777" w:rsidR="007B6A71" w:rsidRDefault="00CE1F16">
      <w:pPr>
        <w:pStyle w:val="ListParagraph"/>
        <w:numPr>
          <w:ilvl w:val="0"/>
          <w:numId w:val="4"/>
        </w:numPr>
        <w:tabs>
          <w:tab w:val="left" w:pos="819"/>
          <w:tab w:val="left" w:pos="820"/>
        </w:tabs>
        <w:ind w:right="501"/>
        <w:rPr>
          <w:sz w:val="24"/>
        </w:rPr>
      </w:pPr>
      <w:r>
        <w:rPr>
          <w:sz w:val="24"/>
        </w:rPr>
        <w:t xml:space="preserve">Kaneko, S. &amp; Toyota, T. in </w:t>
      </w:r>
      <w:r>
        <w:rPr>
          <w:i/>
          <w:sz w:val="24"/>
        </w:rPr>
        <w:t>Groundwater and Subsurface Environments: Human</w:t>
      </w:r>
      <w:r>
        <w:rPr>
          <w:i/>
          <w:spacing w:val="-11"/>
          <w:sz w:val="24"/>
        </w:rPr>
        <w:t xml:space="preserve"> </w:t>
      </w:r>
      <w:r>
        <w:rPr>
          <w:i/>
          <w:sz w:val="24"/>
        </w:rPr>
        <w:t xml:space="preserve">Impacts </w:t>
      </w:r>
      <w:r>
        <w:rPr>
          <w:i/>
          <w:sz w:val="24"/>
        </w:rPr>
        <w:t xml:space="preserve">in Asian Coastal Cities </w:t>
      </w:r>
      <w:r>
        <w:rPr>
          <w:sz w:val="24"/>
        </w:rPr>
        <w:t>(ed Makoto Taniguchi) Ch. Long-term urbanization and land subsidence in Asian megacities: An indicators system approach, 249-270 (Springer Japan, 2011)</w:t>
      </w:r>
      <w:r>
        <w:rPr>
          <w:spacing w:val="-2"/>
          <w:sz w:val="24"/>
        </w:rPr>
        <w:t xml:space="preserve"> </w:t>
      </w:r>
      <w:r>
        <w:rPr>
          <w:sz w:val="24"/>
          <w:u w:val="single"/>
        </w:rPr>
        <w:t>https://doi.org/10.1007/978-4-431-53904-9_13</w:t>
      </w:r>
    </w:p>
    <w:p w14:paraId="4B3D40C5" w14:textId="77777777" w:rsidR="007B6A71" w:rsidRDefault="00CE1F16">
      <w:pPr>
        <w:pStyle w:val="ListParagraph"/>
        <w:numPr>
          <w:ilvl w:val="0"/>
          <w:numId w:val="4"/>
        </w:numPr>
        <w:tabs>
          <w:tab w:val="left" w:pos="819"/>
          <w:tab w:val="left" w:pos="820"/>
        </w:tabs>
        <w:ind w:right="741"/>
        <w:rPr>
          <w:sz w:val="24"/>
        </w:rPr>
      </w:pPr>
      <w:r>
        <w:rPr>
          <w:sz w:val="24"/>
        </w:rPr>
        <w:t xml:space="preserve">Esteban, M. </w:t>
      </w:r>
      <w:r>
        <w:rPr>
          <w:i/>
          <w:sz w:val="24"/>
        </w:rPr>
        <w:t xml:space="preserve">et al. </w:t>
      </w:r>
      <w:r>
        <w:rPr>
          <w:sz w:val="24"/>
        </w:rPr>
        <w:t>Adaptation to se</w:t>
      </w:r>
      <w:r>
        <w:rPr>
          <w:sz w:val="24"/>
        </w:rPr>
        <w:t>a level rise: Learning from present examples of</w:t>
      </w:r>
      <w:r>
        <w:rPr>
          <w:spacing w:val="-11"/>
          <w:sz w:val="24"/>
        </w:rPr>
        <w:t xml:space="preserve"> </w:t>
      </w:r>
      <w:r>
        <w:rPr>
          <w:sz w:val="24"/>
        </w:rPr>
        <w:t xml:space="preserve">land subsidence. </w:t>
      </w:r>
      <w:r>
        <w:rPr>
          <w:i/>
          <w:sz w:val="24"/>
        </w:rPr>
        <w:t xml:space="preserve">Ocean &amp; Coastal Management </w:t>
      </w:r>
      <w:r>
        <w:rPr>
          <w:b/>
          <w:sz w:val="24"/>
        </w:rPr>
        <w:t>189</w:t>
      </w:r>
      <w:r>
        <w:rPr>
          <w:sz w:val="24"/>
        </w:rPr>
        <w:t>, 104852,</w:t>
      </w:r>
      <w:r>
        <w:rPr>
          <w:sz w:val="24"/>
          <w:u w:val="single"/>
        </w:rPr>
        <w:t xml:space="preserve"> https://doi.org/10.1016/j.ocecoaman.2019.104852</w:t>
      </w:r>
      <w:r>
        <w:rPr>
          <w:spacing w:val="3"/>
          <w:sz w:val="24"/>
        </w:rPr>
        <w:t xml:space="preserve"> </w:t>
      </w:r>
      <w:r>
        <w:rPr>
          <w:sz w:val="24"/>
        </w:rPr>
        <w:t>(2020).</w:t>
      </w:r>
    </w:p>
    <w:p w14:paraId="07EAA75A" w14:textId="77777777" w:rsidR="007B6A71" w:rsidRDefault="00CE1F16">
      <w:pPr>
        <w:pStyle w:val="ListParagraph"/>
        <w:numPr>
          <w:ilvl w:val="0"/>
          <w:numId w:val="4"/>
        </w:numPr>
        <w:tabs>
          <w:tab w:val="left" w:pos="819"/>
          <w:tab w:val="left" w:pos="820"/>
        </w:tabs>
        <w:ind w:right="458"/>
        <w:rPr>
          <w:sz w:val="24"/>
        </w:rPr>
      </w:pPr>
      <w:r>
        <w:rPr>
          <w:sz w:val="24"/>
        </w:rPr>
        <w:t xml:space="preserve">Burkett, V. B., Zilkowski, D. B. &amp; Hart, D. A. in </w:t>
      </w:r>
      <w:r>
        <w:rPr>
          <w:i/>
          <w:sz w:val="24"/>
        </w:rPr>
        <w:t>Proceedings of USGS Aquifer Mechanics and Sub</w:t>
      </w:r>
      <w:r>
        <w:rPr>
          <w:i/>
          <w:sz w:val="24"/>
        </w:rPr>
        <w:t xml:space="preserve">sidence Interest Group conference, Galveston, TX, USA 27–29 November 2001. USGS water resources division open-file report series 03-308 </w:t>
      </w:r>
      <w:r>
        <w:rPr>
          <w:sz w:val="24"/>
        </w:rPr>
        <w:t>(eds K R Prince &amp; D. L. Galloway) Ch. Sea level rise and subsidence: implications for flooding in New Orleans, Louisiana</w:t>
      </w:r>
      <w:r>
        <w:rPr>
          <w:sz w:val="24"/>
        </w:rPr>
        <w:t>, 63-70 (US Geological Survey,</w:t>
      </w:r>
      <w:r>
        <w:rPr>
          <w:spacing w:val="1"/>
          <w:sz w:val="24"/>
        </w:rPr>
        <w:t xml:space="preserve"> </w:t>
      </w:r>
      <w:r>
        <w:rPr>
          <w:sz w:val="24"/>
        </w:rPr>
        <w:t>2003)</w:t>
      </w:r>
    </w:p>
    <w:p w14:paraId="5022DCBE" w14:textId="77777777" w:rsidR="007B6A71" w:rsidRDefault="00CE1F16">
      <w:pPr>
        <w:pStyle w:val="ListParagraph"/>
        <w:numPr>
          <w:ilvl w:val="0"/>
          <w:numId w:val="4"/>
        </w:numPr>
        <w:tabs>
          <w:tab w:val="left" w:pos="819"/>
          <w:tab w:val="left" w:pos="820"/>
        </w:tabs>
        <w:spacing w:before="1"/>
        <w:ind w:right="1124"/>
        <w:rPr>
          <w:sz w:val="24"/>
        </w:rPr>
      </w:pPr>
      <w:r>
        <w:rPr>
          <w:sz w:val="24"/>
        </w:rPr>
        <w:t>World Bank. Climate risks and adaptation in Asian coastal megacities: A</w:t>
      </w:r>
      <w:r>
        <w:rPr>
          <w:spacing w:val="-13"/>
          <w:sz w:val="24"/>
        </w:rPr>
        <w:t xml:space="preserve"> </w:t>
      </w:r>
      <w:r>
        <w:rPr>
          <w:sz w:val="24"/>
        </w:rPr>
        <w:t>synthesis report. 97pp (World Bank, Washington DC, USA,</w:t>
      </w:r>
      <w:r>
        <w:rPr>
          <w:spacing w:val="-1"/>
          <w:sz w:val="24"/>
        </w:rPr>
        <w:t xml:space="preserve"> </w:t>
      </w:r>
      <w:r>
        <w:rPr>
          <w:sz w:val="24"/>
        </w:rPr>
        <w:t>2010)</w:t>
      </w:r>
    </w:p>
    <w:p w14:paraId="647B55F0" w14:textId="77777777" w:rsidR="007B6A71" w:rsidRDefault="00CE1F16">
      <w:pPr>
        <w:pStyle w:val="ListParagraph"/>
        <w:numPr>
          <w:ilvl w:val="0"/>
          <w:numId w:val="4"/>
        </w:numPr>
        <w:tabs>
          <w:tab w:val="left" w:pos="819"/>
          <w:tab w:val="left" w:pos="820"/>
        </w:tabs>
        <w:ind w:right="706"/>
        <w:rPr>
          <w:sz w:val="24"/>
        </w:rPr>
      </w:pPr>
      <w:r>
        <w:rPr>
          <w:sz w:val="24"/>
        </w:rPr>
        <w:t xml:space="preserve">Ablain, M. </w:t>
      </w:r>
      <w:r>
        <w:rPr>
          <w:i/>
          <w:sz w:val="24"/>
        </w:rPr>
        <w:t xml:space="preserve">et al. </w:t>
      </w:r>
      <w:r>
        <w:rPr>
          <w:sz w:val="24"/>
        </w:rPr>
        <w:t xml:space="preserve">Improved sea level record over the satellite altimetry era (1993–2010) from the Climate Change Initiative project. </w:t>
      </w:r>
      <w:r>
        <w:rPr>
          <w:i/>
          <w:sz w:val="24"/>
        </w:rPr>
        <w:t xml:space="preserve">Ocean Science </w:t>
      </w:r>
      <w:r>
        <w:rPr>
          <w:b/>
          <w:sz w:val="24"/>
        </w:rPr>
        <w:t>11</w:t>
      </w:r>
      <w:r>
        <w:rPr>
          <w:sz w:val="24"/>
        </w:rPr>
        <w:t>, 67-82,</w:t>
      </w:r>
      <w:r>
        <w:rPr>
          <w:sz w:val="24"/>
          <w:u w:val="single"/>
        </w:rPr>
        <w:t xml:space="preserve"> https://doi.org/10.5194/os-11-67-2015</w:t>
      </w:r>
      <w:r>
        <w:rPr>
          <w:spacing w:val="-1"/>
          <w:sz w:val="24"/>
        </w:rPr>
        <w:t xml:space="preserve"> </w:t>
      </w:r>
      <w:r>
        <w:rPr>
          <w:sz w:val="24"/>
        </w:rPr>
        <w:t>(2015).</w:t>
      </w:r>
    </w:p>
    <w:p w14:paraId="6A9CCE1F" w14:textId="77777777" w:rsidR="007B6A71" w:rsidRDefault="007B6A71">
      <w:pPr>
        <w:rPr>
          <w:sz w:val="24"/>
        </w:rPr>
        <w:sectPr w:rsidR="007B6A71">
          <w:pgSz w:w="12240" w:h="15840"/>
          <w:pgMar w:top="1360" w:right="1000" w:bottom="1800" w:left="260" w:header="0" w:footer="1538" w:gutter="0"/>
          <w:cols w:num="2" w:space="720" w:equalWidth="0">
            <w:col w:w="501" w:space="580"/>
            <w:col w:w="9899"/>
          </w:cols>
        </w:sectPr>
      </w:pPr>
    </w:p>
    <w:p w14:paraId="1C9C77B8" w14:textId="77777777" w:rsidR="007B6A71" w:rsidRDefault="007B6A71">
      <w:pPr>
        <w:pStyle w:val="BodyText"/>
        <w:spacing w:before="5"/>
        <w:rPr>
          <w:sz w:val="30"/>
        </w:rPr>
      </w:pPr>
    </w:p>
    <w:p w14:paraId="39A99C5F" w14:textId="77777777" w:rsidR="007B6A71" w:rsidRDefault="00CE1F16">
      <w:pPr>
        <w:pStyle w:val="BodyText"/>
        <w:ind w:left="100"/>
      </w:pPr>
      <w:r>
        <w:t>285</w:t>
      </w:r>
    </w:p>
    <w:p w14:paraId="3AE0A9C6" w14:textId="77777777" w:rsidR="007B6A71" w:rsidRDefault="007B6A71">
      <w:pPr>
        <w:pStyle w:val="BodyText"/>
        <w:rPr>
          <w:sz w:val="26"/>
        </w:rPr>
      </w:pPr>
    </w:p>
    <w:p w14:paraId="57DDF2C9" w14:textId="77777777" w:rsidR="007B6A71" w:rsidRDefault="007B6A71">
      <w:pPr>
        <w:pStyle w:val="BodyText"/>
        <w:rPr>
          <w:sz w:val="26"/>
        </w:rPr>
      </w:pPr>
    </w:p>
    <w:p w14:paraId="78B7EB66" w14:textId="77777777" w:rsidR="007B6A71" w:rsidRDefault="007B6A71">
      <w:pPr>
        <w:pStyle w:val="BodyText"/>
        <w:rPr>
          <w:sz w:val="26"/>
        </w:rPr>
      </w:pPr>
    </w:p>
    <w:p w14:paraId="42CE94DA" w14:textId="77777777" w:rsidR="007B6A71" w:rsidRDefault="00CE1F16">
      <w:pPr>
        <w:pStyle w:val="BodyText"/>
        <w:spacing w:before="208"/>
        <w:ind w:left="100"/>
      </w:pPr>
      <w:r>
        <w:t>290</w:t>
      </w:r>
    </w:p>
    <w:p w14:paraId="0A313F26" w14:textId="77777777" w:rsidR="007B6A71" w:rsidRDefault="007B6A71">
      <w:pPr>
        <w:pStyle w:val="BodyText"/>
        <w:rPr>
          <w:sz w:val="26"/>
        </w:rPr>
      </w:pPr>
    </w:p>
    <w:p w14:paraId="1E504104" w14:textId="77777777" w:rsidR="007B6A71" w:rsidRDefault="007B6A71">
      <w:pPr>
        <w:pStyle w:val="BodyText"/>
        <w:rPr>
          <w:sz w:val="26"/>
        </w:rPr>
      </w:pPr>
    </w:p>
    <w:p w14:paraId="07DAF060" w14:textId="77777777" w:rsidR="007B6A71" w:rsidRDefault="007B6A71">
      <w:pPr>
        <w:pStyle w:val="BodyText"/>
        <w:rPr>
          <w:sz w:val="26"/>
        </w:rPr>
      </w:pPr>
    </w:p>
    <w:p w14:paraId="75445602" w14:textId="77777777" w:rsidR="007B6A71" w:rsidRDefault="00CE1F16">
      <w:pPr>
        <w:pStyle w:val="BodyText"/>
        <w:spacing w:before="207"/>
        <w:ind w:left="100"/>
      </w:pPr>
      <w:r>
        <w:t>295</w:t>
      </w:r>
    </w:p>
    <w:p w14:paraId="59A48156" w14:textId="77777777" w:rsidR="007B6A71" w:rsidRDefault="007B6A71">
      <w:pPr>
        <w:pStyle w:val="BodyText"/>
        <w:rPr>
          <w:sz w:val="26"/>
        </w:rPr>
      </w:pPr>
    </w:p>
    <w:p w14:paraId="1702AEC4" w14:textId="77777777" w:rsidR="007B6A71" w:rsidRDefault="007B6A71">
      <w:pPr>
        <w:pStyle w:val="BodyText"/>
        <w:rPr>
          <w:sz w:val="26"/>
        </w:rPr>
      </w:pPr>
    </w:p>
    <w:p w14:paraId="5CF7459B" w14:textId="77777777" w:rsidR="007B6A71" w:rsidRDefault="007B6A71">
      <w:pPr>
        <w:pStyle w:val="BodyText"/>
        <w:rPr>
          <w:sz w:val="26"/>
        </w:rPr>
      </w:pPr>
    </w:p>
    <w:p w14:paraId="15363230" w14:textId="77777777" w:rsidR="007B6A71" w:rsidRDefault="00CE1F16">
      <w:pPr>
        <w:pStyle w:val="BodyText"/>
        <w:spacing w:before="207"/>
        <w:ind w:left="100"/>
      </w:pPr>
      <w:r>
        <w:t>300</w:t>
      </w:r>
    </w:p>
    <w:p w14:paraId="5B301DF9" w14:textId="77777777" w:rsidR="007B6A71" w:rsidRDefault="007B6A71">
      <w:pPr>
        <w:pStyle w:val="BodyText"/>
        <w:rPr>
          <w:sz w:val="26"/>
        </w:rPr>
      </w:pPr>
    </w:p>
    <w:p w14:paraId="5FFABEAF" w14:textId="77777777" w:rsidR="007B6A71" w:rsidRDefault="007B6A71">
      <w:pPr>
        <w:pStyle w:val="BodyText"/>
        <w:rPr>
          <w:sz w:val="26"/>
        </w:rPr>
      </w:pPr>
    </w:p>
    <w:p w14:paraId="317228A0" w14:textId="77777777" w:rsidR="007B6A71" w:rsidRDefault="007B6A71">
      <w:pPr>
        <w:pStyle w:val="BodyText"/>
        <w:rPr>
          <w:sz w:val="26"/>
        </w:rPr>
      </w:pPr>
    </w:p>
    <w:p w14:paraId="038D4EEE" w14:textId="77777777" w:rsidR="007B6A71" w:rsidRDefault="00CE1F16">
      <w:pPr>
        <w:pStyle w:val="BodyText"/>
        <w:spacing w:before="207"/>
        <w:ind w:left="100"/>
      </w:pPr>
      <w:r>
        <w:t>305</w:t>
      </w:r>
    </w:p>
    <w:p w14:paraId="5F19BAE7" w14:textId="77777777" w:rsidR="007B6A71" w:rsidRDefault="00CE1F16">
      <w:pPr>
        <w:pStyle w:val="ListParagraph"/>
        <w:numPr>
          <w:ilvl w:val="0"/>
          <w:numId w:val="4"/>
        </w:numPr>
        <w:tabs>
          <w:tab w:val="left" w:pos="819"/>
          <w:tab w:val="left" w:pos="820"/>
        </w:tabs>
        <w:spacing w:before="74"/>
        <w:ind w:right="779"/>
        <w:rPr>
          <w:sz w:val="24"/>
        </w:rPr>
      </w:pPr>
      <w:r>
        <w:rPr>
          <w:spacing w:val="-3"/>
          <w:sz w:val="24"/>
        </w:rPr>
        <w:br w:type="column"/>
      </w:r>
      <w:r>
        <w:rPr>
          <w:sz w:val="24"/>
        </w:rPr>
        <w:t xml:space="preserve">Legeais, J. F. </w:t>
      </w:r>
      <w:r>
        <w:rPr>
          <w:i/>
          <w:sz w:val="24"/>
        </w:rPr>
        <w:t xml:space="preserve">et al. </w:t>
      </w:r>
      <w:r>
        <w:rPr>
          <w:sz w:val="24"/>
        </w:rPr>
        <w:t>An improved and homogeneous altimeter sea level record from</w:t>
      </w:r>
      <w:r>
        <w:rPr>
          <w:spacing w:val="-17"/>
          <w:sz w:val="24"/>
        </w:rPr>
        <w:t xml:space="preserve"> </w:t>
      </w:r>
      <w:r>
        <w:rPr>
          <w:sz w:val="24"/>
        </w:rPr>
        <w:t xml:space="preserve">the ESA Climate Change Initiative. </w:t>
      </w:r>
      <w:r>
        <w:rPr>
          <w:i/>
          <w:sz w:val="24"/>
        </w:rPr>
        <w:t xml:space="preserve">Earth Systems Scientific Data </w:t>
      </w:r>
      <w:r>
        <w:rPr>
          <w:b/>
          <w:sz w:val="24"/>
        </w:rPr>
        <w:t>10</w:t>
      </w:r>
      <w:r>
        <w:rPr>
          <w:sz w:val="24"/>
        </w:rPr>
        <w:t>, 281-301,</w:t>
      </w:r>
      <w:r>
        <w:rPr>
          <w:sz w:val="24"/>
          <w:u w:val="single"/>
        </w:rPr>
        <w:t xml:space="preserve"> https://doi.org/10.5194/essd-10-281-2018</w:t>
      </w:r>
      <w:r>
        <w:rPr>
          <w:spacing w:val="-1"/>
          <w:sz w:val="24"/>
        </w:rPr>
        <w:t xml:space="preserve"> </w:t>
      </w:r>
      <w:r>
        <w:rPr>
          <w:sz w:val="24"/>
        </w:rPr>
        <w:t>(2018).</w:t>
      </w:r>
    </w:p>
    <w:p w14:paraId="792423D4" w14:textId="77777777" w:rsidR="007B6A71" w:rsidRDefault="00CE1F16">
      <w:pPr>
        <w:pStyle w:val="ListParagraph"/>
        <w:numPr>
          <w:ilvl w:val="0"/>
          <w:numId w:val="4"/>
        </w:numPr>
        <w:tabs>
          <w:tab w:val="left" w:pos="819"/>
          <w:tab w:val="left" w:pos="820"/>
        </w:tabs>
        <w:spacing w:before="1"/>
        <w:ind w:right="558"/>
        <w:rPr>
          <w:sz w:val="24"/>
        </w:rPr>
      </w:pPr>
      <w:r>
        <w:rPr>
          <w:sz w:val="24"/>
        </w:rPr>
        <w:t xml:space="preserve">Kriegler, E. </w:t>
      </w:r>
      <w:r>
        <w:rPr>
          <w:i/>
          <w:sz w:val="24"/>
        </w:rPr>
        <w:t xml:space="preserve">et al. </w:t>
      </w:r>
      <w:r>
        <w:rPr>
          <w:sz w:val="24"/>
        </w:rPr>
        <w:t>A new scenario framework fo</w:t>
      </w:r>
      <w:r>
        <w:rPr>
          <w:sz w:val="24"/>
        </w:rPr>
        <w:t>r climate change research: the concept</w:t>
      </w:r>
      <w:r>
        <w:rPr>
          <w:spacing w:val="-16"/>
          <w:sz w:val="24"/>
        </w:rPr>
        <w:t xml:space="preserve"> </w:t>
      </w:r>
      <w:r>
        <w:rPr>
          <w:sz w:val="24"/>
        </w:rPr>
        <w:t xml:space="preserve">of shared climate policy assumptions. </w:t>
      </w:r>
      <w:r>
        <w:rPr>
          <w:i/>
          <w:sz w:val="24"/>
        </w:rPr>
        <w:t xml:space="preserve">Climatic Change </w:t>
      </w:r>
      <w:r>
        <w:rPr>
          <w:b/>
          <w:sz w:val="24"/>
        </w:rPr>
        <w:t>122</w:t>
      </w:r>
      <w:r>
        <w:rPr>
          <w:sz w:val="24"/>
        </w:rPr>
        <w:t>, 401-414,</w:t>
      </w:r>
      <w:r>
        <w:rPr>
          <w:sz w:val="24"/>
          <w:u w:val="single"/>
        </w:rPr>
        <w:t xml:space="preserve"> https://doi.org/10.1007/s10584-013-0971-5</w:t>
      </w:r>
      <w:r>
        <w:rPr>
          <w:spacing w:val="-1"/>
          <w:sz w:val="24"/>
        </w:rPr>
        <w:t xml:space="preserve"> </w:t>
      </w:r>
      <w:r>
        <w:rPr>
          <w:sz w:val="24"/>
        </w:rPr>
        <w:t>(2014).</w:t>
      </w:r>
    </w:p>
    <w:p w14:paraId="7A7F7C24" w14:textId="77777777" w:rsidR="007B6A71" w:rsidRDefault="00CE1F16">
      <w:pPr>
        <w:pStyle w:val="ListParagraph"/>
        <w:numPr>
          <w:ilvl w:val="0"/>
          <w:numId w:val="4"/>
        </w:numPr>
        <w:tabs>
          <w:tab w:val="left" w:pos="819"/>
          <w:tab w:val="left" w:pos="820"/>
        </w:tabs>
        <w:ind w:right="558"/>
        <w:rPr>
          <w:sz w:val="24"/>
        </w:rPr>
      </w:pPr>
      <w:r>
        <w:rPr>
          <w:sz w:val="24"/>
        </w:rPr>
        <w:t xml:space="preserve">Nicholls, R. J. </w:t>
      </w:r>
      <w:r>
        <w:rPr>
          <w:i/>
          <w:sz w:val="24"/>
        </w:rPr>
        <w:t xml:space="preserve">et al. </w:t>
      </w:r>
      <w:r>
        <w:rPr>
          <w:sz w:val="24"/>
        </w:rPr>
        <w:t>Stabilization of global temperature at 1.5&amp;#xb0;C and 2.0&amp;#xb0;C: implicatio</w:t>
      </w:r>
      <w:r>
        <w:rPr>
          <w:sz w:val="24"/>
        </w:rPr>
        <w:t xml:space="preserve">ns for coastal areas. </w:t>
      </w:r>
      <w:r>
        <w:rPr>
          <w:i/>
          <w:sz w:val="24"/>
        </w:rPr>
        <w:t xml:space="preserve">Philosophical Transactions of the Royal Society A: Mathematical, Physical and Engineering Sciences </w:t>
      </w:r>
      <w:r>
        <w:rPr>
          <w:b/>
          <w:sz w:val="24"/>
        </w:rPr>
        <w:t>376</w:t>
      </w:r>
      <w:r>
        <w:rPr>
          <w:sz w:val="24"/>
        </w:rPr>
        <w:t>, 20160448,</w:t>
      </w:r>
      <w:r>
        <w:rPr>
          <w:sz w:val="24"/>
          <w:u w:val="single"/>
        </w:rPr>
        <w:t xml:space="preserve"> https://doi.org/10.1098/rsta.2016.0448</w:t>
      </w:r>
      <w:r>
        <w:rPr>
          <w:spacing w:val="-1"/>
          <w:sz w:val="24"/>
        </w:rPr>
        <w:t xml:space="preserve"> </w:t>
      </w:r>
      <w:r>
        <w:rPr>
          <w:sz w:val="24"/>
        </w:rPr>
        <w:t>(2018).</w:t>
      </w:r>
    </w:p>
    <w:p w14:paraId="07CA624C" w14:textId="77777777" w:rsidR="007B6A71" w:rsidRDefault="00CE1F16">
      <w:pPr>
        <w:pStyle w:val="ListParagraph"/>
        <w:numPr>
          <w:ilvl w:val="0"/>
          <w:numId w:val="4"/>
        </w:numPr>
        <w:tabs>
          <w:tab w:val="left" w:pos="819"/>
          <w:tab w:val="left" w:pos="820"/>
        </w:tabs>
        <w:ind w:right="689"/>
        <w:rPr>
          <w:sz w:val="24"/>
        </w:rPr>
      </w:pPr>
      <w:r>
        <w:rPr>
          <w:sz w:val="24"/>
        </w:rPr>
        <w:t xml:space="preserve">Day, J. W. </w:t>
      </w:r>
      <w:r>
        <w:rPr>
          <w:i/>
          <w:sz w:val="24"/>
        </w:rPr>
        <w:t xml:space="preserve">et al. </w:t>
      </w:r>
      <w:r>
        <w:rPr>
          <w:sz w:val="24"/>
        </w:rPr>
        <w:t>Restoration of the Mississippi Delta: Lessons from Hurr</w:t>
      </w:r>
      <w:r>
        <w:rPr>
          <w:sz w:val="24"/>
        </w:rPr>
        <w:t>icanes</w:t>
      </w:r>
      <w:r>
        <w:rPr>
          <w:spacing w:val="-17"/>
          <w:sz w:val="24"/>
        </w:rPr>
        <w:t xml:space="preserve"> </w:t>
      </w:r>
      <w:r>
        <w:rPr>
          <w:sz w:val="24"/>
        </w:rPr>
        <w:t xml:space="preserve">Katrina and Rita. </w:t>
      </w:r>
      <w:r>
        <w:rPr>
          <w:i/>
          <w:sz w:val="24"/>
        </w:rPr>
        <w:t xml:space="preserve">Science </w:t>
      </w:r>
      <w:r>
        <w:rPr>
          <w:b/>
          <w:sz w:val="24"/>
        </w:rPr>
        <w:t>315</w:t>
      </w:r>
      <w:r>
        <w:rPr>
          <w:sz w:val="24"/>
        </w:rPr>
        <w:t xml:space="preserve">, 1679, </w:t>
      </w:r>
      <w:r>
        <w:rPr>
          <w:sz w:val="24"/>
          <w:u w:val="single"/>
        </w:rPr>
        <w:t>https://doi.org/10.1126/science.1137030</w:t>
      </w:r>
      <w:r>
        <w:rPr>
          <w:spacing w:val="-4"/>
          <w:sz w:val="24"/>
        </w:rPr>
        <w:t xml:space="preserve"> </w:t>
      </w:r>
      <w:r>
        <w:rPr>
          <w:sz w:val="24"/>
        </w:rPr>
        <w:t>(2007).</w:t>
      </w:r>
    </w:p>
    <w:p w14:paraId="7A29C2C4" w14:textId="77777777" w:rsidR="007B6A71" w:rsidRDefault="00CE1F16">
      <w:pPr>
        <w:pStyle w:val="ListParagraph"/>
        <w:numPr>
          <w:ilvl w:val="0"/>
          <w:numId w:val="4"/>
        </w:numPr>
        <w:tabs>
          <w:tab w:val="left" w:pos="819"/>
          <w:tab w:val="left" w:pos="820"/>
        </w:tabs>
        <w:ind w:right="515"/>
        <w:rPr>
          <w:sz w:val="24"/>
        </w:rPr>
      </w:pPr>
      <w:r>
        <w:rPr>
          <w:sz w:val="24"/>
        </w:rPr>
        <w:t xml:space="preserve">Darby, S. E., Appeaning Addo, K., Hazra, S., Rahman, M. M. &amp; Nicholls, R. J. in </w:t>
      </w:r>
      <w:r>
        <w:rPr>
          <w:i/>
          <w:sz w:val="24"/>
        </w:rPr>
        <w:t xml:space="preserve">Deltas in the Anthropocene </w:t>
      </w:r>
      <w:r>
        <w:rPr>
          <w:sz w:val="24"/>
        </w:rPr>
        <w:t>(eds Robert J. Nicholls, W. Neil Adger, Craig W. Hutton, &amp;</w:t>
      </w:r>
      <w:r>
        <w:rPr>
          <w:spacing w:val="-15"/>
          <w:sz w:val="24"/>
        </w:rPr>
        <w:t xml:space="preserve"> </w:t>
      </w:r>
      <w:r>
        <w:rPr>
          <w:sz w:val="24"/>
        </w:rPr>
        <w:t>Susan</w:t>
      </w:r>
    </w:p>
    <w:p w14:paraId="2F21CC25" w14:textId="77777777" w:rsidR="007B6A71" w:rsidRDefault="00CE1F16">
      <w:pPr>
        <w:pStyle w:val="BodyText"/>
        <w:ind w:left="819" w:right="641"/>
      </w:pPr>
      <w:r>
        <w:t xml:space="preserve">E. Hanson) Ch. 5 Fluvial sediment supply and relative sea-level rise, 103-126 (Springer International Publishing, 2020) </w:t>
      </w:r>
      <w:r>
        <w:rPr>
          <w:u w:val="single"/>
        </w:rPr>
        <w:t>https://doi.org/10.1007/978-3-030-23517-8_5</w:t>
      </w:r>
    </w:p>
    <w:p w14:paraId="3EA1737E" w14:textId="77777777" w:rsidR="007B6A71" w:rsidRDefault="00CE1F16">
      <w:pPr>
        <w:pStyle w:val="ListParagraph"/>
        <w:numPr>
          <w:ilvl w:val="0"/>
          <w:numId w:val="4"/>
        </w:numPr>
        <w:tabs>
          <w:tab w:val="left" w:pos="819"/>
          <w:tab w:val="left" w:pos="820"/>
        </w:tabs>
        <w:ind w:right="724"/>
        <w:rPr>
          <w:sz w:val="24"/>
        </w:rPr>
      </w:pPr>
      <w:r>
        <w:rPr>
          <w:sz w:val="24"/>
        </w:rPr>
        <w:t xml:space="preserve">Nicholls, R. J. </w:t>
      </w:r>
      <w:r>
        <w:rPr>
          <w:i/>
          <w:sz w:val="24"/>
        </w:rPr>
        <w:t xml:space="preserve">et al. </w:t>
      </w:r>
      <w:r>
        <w:rPr>
          <w:sz w:val="24"/>
        </w:rPr>
        <w:t>Sea-</w:t>
      </w:r>
      <w:r>
        <w:rPr>
          <w:sz w:val="24"/>
        </w:rPr>
        <w:t xml:space="preserve">level scenarios for evaluating coastal impacts. </w:t>
      </w:r>
      <w:r>
        <w:rPr>
          <w:i/>
          <w:sz w:val="24"/>
        </w:rPr>
        <w:t xml:space="preserve">WIREs Climate Change </w:t>
      </w:r>
      <w:r>
        <w:rPr>
          <w:b/>
          <w:sz w:val="24"/>
        </w:rPr>
        <w:t>5</w:t>
      </w:r>
      <w:r>
        <w:rPr>
          <w:sz w:val="24"/>
        </w:rPr>
        <w:t xml:space="preserve">, 129-150, </w:t>
      </w:r>
      <w:r>
        <w:rPr>
          <w:sz w:val="24"/>
          <w:u w:val="single"/>
        </w:rPr>
        <w:t>https://doi.org/10.1002/wcc.253</w:t>
      </w:r>
      <w:r>
        <w:rPr>
          <w:spacing w:val="-1"/>
          <w:sz w:val="24"/>
        </w:rPr>
        <w:t xml:space="preserve"> </w:t>
      </w:r>
      <w:r>
        <w:rPr>
          <w:sz w:val="24"/>
        </w:rPr>
        <w:t>(2014).</w:t>
      </w:r>
    </w:p>
    <w:p w14:paraId="52D890A0" w14:textId="77777777" w:rsidR="007B6A71" w:rsidRDefault="00CE1F16">
      <w:pPr>
        <w:pStyle w:val="ListParagraph"/>
        <w:numPr>
          <w:ilvl w:val="0"/>
          <w:numId w:val="4"/>
        </w:numPr>
        <w:tabs>
          <w:tab w:val="left" w:pos="819"/>
          <w:tab w:val="left" w:pos="820"/>
        </w:tabs>
        <w:ind w:right="509"/>
        <w:rPr>
          <w:sz w:val="24"/>
        </w:rPr>
      </w:pPr>
      <w:r>
        <w:rPr>
          <w:sz w:val="24"/>
        </w:rPr>
        <w:t xml:space="preserve">Erkens, G. &amp; Sutanudjaja, E. H. Towards a global land subsidence map. </w:t>
      </w:r>
      <w:r>
        <w:rPr>
          <w:i/>
          <w:sz w:val="24"/>
        </w:rPr>
        <w:t xml:space="preserve">Proc. IAHS </w:t>
      </w:r>
      <w:r>
        <w:rPr>
          <w:b/>
          <w:spacing w:val="-3"/>
          <w:sz w:val="24"/>
        </w:rPr>
        <w:t>372</w:t>
      </w:r>
      <w:r>
        <w:rPr>
          <w:spacing w:val="-3"/>
          <w:sz w:val="24"/>
        </w:rPr>
        <w:t xml:space="preserve">, </w:t>
      </w:r>
      <w:r>
        <w:rPr>
          <w:sz w:val="24"/>
        </w:rPr>
        <w:t xml:space="preserve">83-87, </w:t>
      </w:r>
      <w:r>
        <w:rPr>
          <w:sz w:val="24"/>
          <w:u w:val="single"/>
        </w:rPr>
        <w:t>https://doi.org/10.5194/piahs-372-83-2015</w:t>
      </w:r>
      <w:r>
        <w:rPr>
          <w:spacing w:val="1"/>
          <w:sz w:val="24"/>
        </w:rPr>
        <w:t xml:space="preserve"> </w:t>
      </w:r>
      <w:r>
        <w:rPr>
          <w:sz w:val="24"/>
        </w:rPr>
        <w:t>(2015).</w:t>
      </w:r>
    </w:p>
    <w:p w14:paraId="59311A86" w14:textId="77777777" w:rsidR="007B6A71" w:rsidRDefault="00CE1F16">
      <w:pPr>
        <w:pStyle w:val="ListParagraph"/>
        <w:numPr>
          <w:ilvl w:val="0"/>
          <w:numId w:val="4"/>
        </w:numPr>
        <w:tabs>
          <w:tab w:val="left" w:pos="819"/>
          <w:tab w:val="left" w:pos="820"/>
        </w:tabs>
        <w:spacing w:before="1"/>
        <w:rPr>
          <w:sz w:val="24"/>
        </w:rPr>
      </w:pPr>
      <w:r>
        <w:rPr>
          <w:sz w:val="24"/>
        </w:rPr>
        <w:t>Higgins, S. A. Review: Advances in delta-subsidence research using satellite</w:t>
      </w:r>
      <w:r>
        <w:rPr>
          <w:spacing w:val="-8"/>
          <w:sz w:val="24"/>
        </w:rPr>
        <w:t xml:space="preserve"> </w:t>
      </w:r>
      <w:r>
        <w:rPr>
          <w:sz w:val="24"/>
        </w:rPr>
        <w:t>methods.</w:t>
      </w:r>
    </w:p>
    <w:p w14:paraId="4BD35CB2" w14:textId="77777777" w:rsidR="007B6A71" w:rsidRDefault="00CE1F16">
      <w:pPr>
        <w:ind w:left="819"/>
        <w:rPr>
          <w:sz w:val="24"/>
        </w:rPr>
      </w:pPr>
      <w:r>
        <w:rPr>
          <w:i/>
          <w:sz w:val="24"/>
        </w:rPr>
        <w:t xml:space="preserve">Hydrogeology Journal </w:t>
      </w:r>
      <w:r>
        <w:rPr>
          <w:b/>
          <w:sz w:val="24"/>
        </w:rPr>
        <w:t>24</w:t>
      </w:r>
      <w:r>
        <w:rPr>
          <w:sz w:val="24"/>
        </w:rPr>
        <w:t>, 58</w:t>
      </w:r>
      <w:r>
        <w:rPr>
          <w:sz w:val="24"/>
        </w:rPr>
        <w:t xml:space="preserve">7-600, </w:t>
      </w:r>
      <w:r>
        <w:rPr>
          <w:sz w:val="24"/>
          <w:u w:val="single"/>
        </w:rPr>
        <w:t>https://doi.org/10.1007/s10040-015-1330-6</w:t>
      </w:r>
      <w:r>
        <w:rPr>
          <w:sz w:val="24"/>
        </w:rPr>
        <w:t xml:space="preserve"> (2016).</w:t>
      </w:r>
    </w:p>
    <w:p w14:paraId="06980696" w14:textId="77777777" w:rsidR="007B6A71" w:rsidRDefault="007B6A71">
      <w:pPr>
        <w:rPr>
          <w:sz w:val="24"/>
        </w:rPr>
        <w:sectPr w:rsidR="007B6A71">
          <w:pgSz w:w="12240" w:h="15840"/>
          <w:pgMar w:top="1360" w:right="1000" w:bottom="1800" w:left="260" w:header="0" w:footer="1538" w:gutter="0"/>
          <w:cols w:num="2" w:space="720" w:equalWidth="0">
            <w:col w:w="501" w:space="580"/>
            <w:col w:w="9899"/>
          </w:cols>
        </w:sectPr>
      </w:pPr>
    </w:p>
    <w:p w14:paraId="11416DE1" w14:textId="77777777" w:rsidR="007B6A71" w:rsidRDefault="007B6A71">
      <w:pPr>
        <w:pStyle w:val="BodyText"/>
        <w:rPr>
          <w:sz w:val="20"/>
        </w:rPr>
      </w:pPr>
    </w:p>
    <w:p w14:paraId="16210BDC" w14:textId="77777777" w:rsidR="007B6A71" w:rsidRDefault="007B6A71">
      <w:pPr>
        <w:pStyle w:val="BodyText"/>
        <w:rPr>
          <w:sz w:val="20"/>
        </w:rPr>
      </w:pPr>
    </w:p>
    <w:p w14:paraId="0CD0B677" w14:textId="77777777" w:rsidR="007B6A71" w:rsidRDefault="007B6A71">
      <w:pPr>
        <w:pStyle w:val="BodyText"/>
        <w:rPr>
          <w:sz w:val="20"/>
        </w:rPr>
      </w:pPr>
    </w:p>
    <w:p w14:paraId="3DF4A7E8" w14:textId="77777777" w:rsidR="007B6A71" w:rsidRDefault="007B6A71">
      <w:pPr>
        <w:pStyle w:val="BodyText"/>
        <w:spacing w:before="6"/>
        <w:rPr>
          <w:sz w:val="28"/>
        </w:rPr>
      </w:pPr>
    </w:p>
    <w:p w14:paraId="6DDA3D5B" w14:textId="77777777" w:rsidR="007B6A71" w:rsidRDefault="00CE1F16">
      <w:pPr>
        <w:pStyle w:val="Heading1"/>
      </w:pPr>
      <w:r>
        <w:t>Methods:</w:t>
      </w:r>
    </w:p>
    <w:p w14:paraId="6870B03C" w14:textId="77777777" w:rsidR="007B6A71" w:rsidRDefault="007B6A71">
      <w:pPr>
        <w:pStyle w:val="BodyText"/>
        <w:spacing w:before="10"/>
        <w:rPr>
          <w:b/>
          <w:sz w:val="19"/>
        </w:rPr>
      </w:pPr>
    </w:p>
    <w:p w14:paraId="4625E874" w14:textId="77777777" w:rsidR="007B6A71" w:rsidRDefault="007B6A71">
      <w:pPr>
        <w:rPr>
          <w:sz w:val="19"/>
        </w:rPr>
        <w:sectPr w:rsidR="007B6A71">
          <w:type w:val="continuous"/>
          <w:pgSz w:w="12240" w:h="15840"/>
          <w:pgMar w:top="1360" w:right="1000" w:bottom="1720" w:left="260" w:header="720" w:footer="720" w:gutter="0"/>
          <w:cols w:space="720"/>
        </w:sectPr>
      </w:pPr>
    </w:p>
    <w:p w14:paraId="3753913E" w14:textId="77777777" w:rsidR="007B6A71" w:rsidRDefault="007B6A71">
      <w:pPr>
        <w:pStyle w:val="BodyText"/>
        <w:rPr>
          <w:b/>
          <w:sz w:val="26"/>
        </w:rPr>
      </w:pPr>
    </w:p>
    <w:p w14:paraId="1BF7CEF8" w14:textId="77777777" w:rsidR="007B6A71" w:rsidRDefault="007B6A71">
      <w:pPr>
        <w:pStyle w:val="BodyText"/>
        <w:spacing w:before="9"/>
        <w:rPr>
          <w:b/>
          <w:sz w:val="29"/>
        </w:rPr>
      </w:pPr>
    </w:p>
    <w:p w14:paraId="0CCBB299" w14:textId="77777777" w:rsidR="007B6A71" w:rsidRDefault="00CE1F16">
      <w:pPr>
        <w:pStyle w:val="BodyText"/>
        <w:ind w:left="100"/>
      </w:pPr>
      <w:r>
        <w:t>310</w:t>
      </w:r>
    </w:p>
    <w:p w14:paraId="7D8F5B64" w14:textId="77777777" w:rsidR="007B6A71" w:rsidRDefault="007B6A71">
      <w:pPr>
        <w:pStyle w:val="BodyText"/>
        <w:rPr>
          <w:sz w:val="26"/>
        </w:rPr>
      </w:pPr>
    </w:p>
    <w:p w14:paraId="7FB1F3ED" w14:textId="77777777" w:rsidR="007B6A71" w:rsidRDefault="007B6A71">
      <w:pPr>
        <w:pStyle w:val="BodyText"/>
        <w:rPr>
          <w:sz w:val="26"/>
        </w:rPr>
      </w:pPr>
    </w:p>
    <w:p w14:paraId="68E7BAD0" w14:textId="77777777" w:rsidR="007B6A71" w:rsidRDefault="007B6A71">
      <w:pPr>
        <w:pStyle w:val="BodyText"/>
        <w:rPr>
          <w:sz w:val="26"/>
        </w:rPr>
      </w:pPr>
    </w:p>
    <w:p w14:paraId="1CF6B72C" w14:textId="77777777" w:rsidR="007B6A71" w:rsidRDefault="007B6A71">
      <w:pPr>
        <w:pStyle w:val="BodyText"/>
        <w:rPr>
          <w:sz w:val="26"/>
        </w:rPr>
      </w:pPr>
    </w:p>
    <w:p w14:paraId="3FDDE542" w14:textId="77777777" w:rsidR="007B6A71" w:rsidRDefault="007B6A71">
      <w:pPr>
        <w:pStyle w:val="BodyText"/>
        <w:rPr>
          <w:sz w:val="26"/>
        </w:rPr>
      </w:pPr>
    </w:p>
    <w:p w14:paraId="3EB0D963" w14:textId="77777777" w:rsidR="007B6A71" w:rsidRDefault="007B6A71">
      <w:pPr>
        <w:pStyle w:val="BodyText"/>
        <w:rPr>
          <w:sz w:val="26"/>
        </w:rPr>
      </w:pPr>
    </w:p>
    <w:p w14:paraId="21907E96" w14:textId="77777777" w:rsidR="007B6A71" w:rsidRDefault="007B6A71">
      <w:pPr>
        <w:pStyle w:val="BodyText"/>
        <w:rPr>
          <w:sz w:val="26"/>
        </w:rPr>
      </w:pPr>
    </w:p>
    <w:p w14:paraId="3F550F3E" w14:textId="77777777" w:rsidR="007B6A71" w:rsidRDefault="007B6A71">
      <w:pPr>
        <w:pStyle w:val="BodyText"/>
        <w:spacing w:before="1"/>
        <w:rPr>
          <w:sz w:val="34"/>
        </w:rPr>
      </w:pPr>
    </w:p>
    <w:p w14:paraId="3D3693B1" w14:textId="77777777" w:rsidR="007B6A71" w:rsidRDefault="00CE1F16">
      <w:pPr>
        <w:pStyle w:val="BodyText"/>
        <w:ind w:left="100"/>
      </w:pPr>
      <w:r>
        <w:t>315</w:t>
      </w:r>
    </w:p>
    <w:p w14:paraId="71CCC2CB" w14:textId="77777777" w:rsidR="007B6A71" w:rsidRDefault="00CE1F16">
      <w:pPr>
        <w:pStyle w:val="BodyText"/>
        <w:spacing w:before="90" w:line="472" w:lineRule="auto"/>
        <w:ind w:left="100" w:right="422"/>
      </w:pPr>
      <w:r>
        <w:br w:type="column"/>
      </w:r>
      <w:r>
        <w:t>The analysis uses the framework of the Dynamic Interactive Vulnerability Assessment (DIVA) model which has been applied to problems such as coastal erosion</w:t>
      </w:r>
      <w:r>
        <w:rPr>
          <w:position w:val="9"/>
          <w:sz w:val="16"/>
        </w:rPr>
        <w:t>30</w:t>
      </w:r>
      <w:r>
        <w:t>, coastal flooding</w:t>
      </w:r>
      <w:r>
        <w:rPr>
          <w:position w:val="9"/>
          <w:sz w:val="16"/>
        </w:rPr>
        <w:t xml:space="preserve">31 </w:t>
      </w:r>
      <w:r>
        <w:t>and coastal wetland change</w:t>
      </w:r>
      <w:r>
        <w:rPr>
          <w:position w:val="9"/>
          <w:sz w:val="16"/>
        </w:rPr>
        <w:t>32</w:t>
      </w:r>
      <w:r>
        <w:t>, among others. The underlying structure is a dataset of coastal areas and floodplains based on 12,148 coastal segments which divide the world’s coast (excluding Antarctica) into lengths of similar coastal characteristics</w:t>
      </w:r>
      <w:r>
        <w:rPr>
          <w:position w:val="9"/>
          <w:sz w:val="16"/>
        </w:rPr>
        <w:t>33</w:t>
      </w:r>
      <w:r>
        <w:t>. The segments are variable in le</w:t>
      </w:r>
      <w:r>
        <w:t>ngth with average of 70 km. All data such as sea-level rise (SLR), socio-economic development, extreme water levels, subsidence rates, etc., is associated with the appropriate segment.</w:t>
      </w:r>
    </w:p>
    <w:p w14:paraId="5759C940" w14:textId="77777777" w:rsidR="007B6A71" w:rsidRDefault="007B6A71">
      <w:pPr>
        <w:spacing w:line="472" w:lineRule="auto"/>
        <w:sectPr w:rsidR="007B6A71">
          <w:type w:val="continuous"/>
          <w:pgSz w:w="12240" w:h="15840"/>
          <w:pgMar w:top="1360" w:right="1000" w:bottom="1720" w:left="260" w:header="720" w:footer="720" w:gutter="0"/>
          <w:cols w:num="2" w:space="720" w:equalWidth="0">
            <w:col w:w="501" w:space="580"/>
            <w:col w:w="9899"/>
          </w:cols>
        </w:sectPr>
      </w:pPr>
    </w:p>
    <w:p w14:paraId="2A8A7E7C" w14:textId="77777777" w:rsidR="007B6A71" w:rsidRDefault="00CE1F16">
      <w:pPr>
        <w:pStyle w:val="BodyText"/>
        <w:spacing w:before="13"/>
        <w:ind w:left="1180"/>
      </w:pPr>
      <w:r>
        <w:t>To analyse the global effects of subsidence on r</w:t>
      </w:r>
      <w:r>
        <w:t>elative sea-level rise we combine data on four</w:t>
      </w:r>
    </w:p>
    <w:p w14:paraId="1E23138C" w14:textId="77777777" w:rsidR="007B6A71" w:rsidRDefault="007B6A71">
      <w:pPr>
        <w:pStyle w:val="BodyText"/>
        <w:spacing w:before="11"/>
        <w:rPr>
          <w:sz w:val="23"/>
        </w:rPr>
      </w:pPr>
    </w:p>
    <w:p w14:paraId="42B193B0" w14:textId="77777777" w:rsidR="007B6A71" w:rsidRDefault="00CE1F16">
      <w:pPr>
        <w:pStyle w:val="BodyText"/>
        <w:ind w:left="1180"/>
      </w:pPr>
      <w:r>
        <w:t>components of relative sea-level change:</w:t>
      </w:r>
    </w:p>
    <w:p w14:paraId="317B98C3" w14:textId="77777777" w:rsidR="007B6A71" w:rsidRDefault="007B6A71">
      <w:pPr>
        <w:sectPr w:rsidR="007B6A71">
          <w:type w:val="continuous"/>
          <w:pgSz w:w="12240" w:h="15840"/>
          <w:pgMar w:top="1360" w:right="1000" w:bottom="1720" w:left="260" w:header="720" w:footer="720" w:gutter="0"/>
          <w:cols w:space="720"/>
        </w:sectPr>
      </w:pPr>
    </w:p>
    <w:p w14:paraId="6DA031CD" w14:textId="77777777" w:rsidR="007B6A71" w:rsidRDefault="00CE1F16">
      <w:pPr>
        <w:pStyle w:val="ListParagraph"/>
        <w:numPr>
          <w:ilvl w:val="1"/>
          <w:numId w:val="4"/>
        </w:numPr>
        <w:tabs>
          <w:tab w:val="left" w:pos="1901"/>
        </w:tabs>
        <w:spacing w:before="74"/>
        <w:ind w:hanging="361"/>
        <w:jc w:val="left"/>
        <w:rPr>
          <w:sz w:val="24"/>
        </w:rPr>
      </w:pPr>
      <w:r>
        <w:rPr>
          <w:sz w:val="24"/>
        </w:rPr>
        <w:lastRenderedPageBreak/>
        <w:t>Satellite observations of sea-level change from 1993 to</w:t>
      </w:r>
      <w:r>
        <w:rPr>
          <w:spacing w:val="-1"/>
          <w:sz w:val="24"/>
        </w:rPr>
        <w:t xml:space="preserve"> </w:t>
      </w:r>
      <w:r>
        <w:rPr>
          <w:sz w:val="24"/>
        </w:rPr>
        <w:t>2015;</w:t>
      </w:r>
    </w:p>
    <w:p w14:paraId="35A371D2" w14:textId="77777777" w:rsidR="007B6A71" w:rsidRDefault="007B6A71">
      <w:pPr>
        <w:pStyle w:val="BodyText"/>
        <w:spacing w:before="8"/>
        <w:rPr>
          <w:sz w:val="22"/>
        </w:rPr>
      </w:pPr>
    </w:p>
    <w:p w14:paraId="5A5251F0" w14:textId="77777777" w:rsidR="007B6A71" w:rsidRDefault="00CE1F16">
      <w:pPr>
        <w:pStyle w:val="ListParagraph"/>
        <w:numPr>
          <w:ilvl w:val="1"/>
          <w:numId w:val="4"/>
        </w:numPr>
        <w:tabs>
          <w:tab w:val="left" w:pos="1901"/>
        </w:tabs>
        <w:ind w:hanging="361"/>
        <w:jc w:val="left"/>
        <w:rPr>
          <w:sz w:val="24"/>
        </w:rPr>
      </w:pPr>
      <w:r>
        <w:rPr>
          <w:sz w:val="24"/>
        </w:rPr>
        <w:t>Glacial-isostatic adjustment (GIA), derived from the model of Peltier et</w:t>
      </w:r>
      <w:r>
        <w:rPr>
          <w:spacing w:val="-4"/>
          <w:sz w:val="24"/>
        </w:rPr>
        <w:t xml:space="preserve"> </w:t>
      </w:r>
      <w:r>
        <w:rPr>
          <w:sz w:val="24"/>
        </w:rPr>
        <w:t>al</w:t>
      </w:r>
      <w:r>
        <w:rPr>
          <w:position w:val="9"/>
          <w:sz w:val="16"/>
        </w:rPr>
        <w:t>11</w:t>
      </w:r>
      <w:r>
        <w:rPr>
          <w:sz w:val="24"/>
        </w:rPr>
        <w:t>;</w:t>
      </w:r>
    </w:p>
    <w:p w14:paraId="231E5D6C" w14:textId="77777777" w:rsidR="007B6A71" w:rsidRDefault="007B6A71">
      <w:pPr>
        <w:pStyle w:val="BodyText"/>
        <w:spacing w:before="2"/>
        <w:rPr>
          <w:sz w:val="16"/>
        </w:rPr>
      </w:pPr>
    </w:p>
    <w:p w14:paraId="5EF2CE07" w14:textId="77777777" w:rsidR="007B6A71" w:rsidRDefault="007B6A71">
      <w:pPr>
        <w:rPr>
          <w:sz w:val="16"/>
        </w:rPr>
        <w:sectPr w:rsidR="007B6A71">
          <w:pgSz w:w="12240" w:h="15840"/>
          <w:pgMar w:top="1360" w:right="1000" w:bottom="1800" w:left="260" w:header="0" w:footer="1538" w:gutter="0"/>
          <w:cols w:space="720"/>
        </w:sectPr>
      </w:pPr>
    </w:p>
    <w:p w14:paraId="23D6BB8F" w14:textId="77777777" w:rsidR="007B6A71" w:rsidRDefault="00CE1F16">
      <w:pPr>
        <w:pStyle w:val="BodyText"/>
        <w:spacing w:before="90"/>
        <w:ind w:left="100"/>
      </w:pPr>
      <w:r>
        <w:t>320</w:t>
      </w:r>
    </w:p>
    <w:p w14:paraId="7FE62EB1" w14:textId="77777777" w:rsidR="007B6A71" w:rsidRDefault="007B6A71">
      <w:pPr>
        <w:pStyle w:val="BodyText"/>
        <w:rPr>
          <w:sz w:val="26"/>
        </w:rPr>
      </w:pPr>
    </w:p>
    <w:p w14:paraId="3C9A4306" w14:textId="77777777" w:rsidR="007B6A71" w:rsidRDefault="007B6A71">
      <w:pPr>
        <w:pStyle w:val="BodyText"/>
        <w:rPr>
          <w:sz w:val="26"/>
        </w:rPr>
      </w:pPr>
    </w:p>
    <w:p w14:paraId="050A0770" w14:textId="77777777" w:rsidR="007B6A71" w:rsidRDefault="007B6A71">
      <w:pPr>
        <w:pStyle w:val="BodyText"/>
        <w:rPr>
          <w:sz w:val="26"/>
        </w:rPr>
      </w:pPr>
    </w:p>
    <w:p w14:paraId="6CCC0763" w14:textId="77777777" w:rsidR="007B6A71" w:rsidRDefault="007B6A71">
      <w:pPr>
        <w:pStyle w:val="BodyText"/>
        <w:rPr>
          <w:sz w:val="26"/>
        </w:rPr>
      </w:pPr>
    </w:p>
    <w:p w14:paraId="6A44478A" w14:textId="77777777" w:rsidR="007B6A71" w:rsidRDefault="007B6A71">
      <w:pPr>
        <w:pStyle w:val="BodyText"/>
        <w:rPr>
          <w:sz w:val="26"/>
        </w:rPr>
      </w:pPr>
    </w:p>
    <w:p w14:paraId="58796C99" w14:textId="77777777" w:rsidR="007B6A71" w:rsidRDefault="007B6A71">
      <w:pPr>
        <w:pStyle w:val="BodyText"/>
        <w:rPr>
          <w:sz w:val="26"/>
        </w:rPr>
      </w:pPr>
    </w:p>
    <w:p w14:paraId="4547FFE6" w14:textId="77777777" w:rsidR="007B6A71" w:rsidRDefault="007B6A71">
      <w:pPr>
        <w:pStyle w:val="BodyText"/>
        <w:rPr>
          <w:sz w:val="26"/>
        </w:rPr>
      </w:pPr>
    </w:p>
    <w:p w14:paraId="7630FDFB" w14:textId="77777777" w:rsidR="007B6A71" w:rsidRDefault="007B6A71">
      <w:pPr>
        <w:pStyle w:val="BodyText"/>
        <w:spacing w:before="1"/>
        <w:rPr>
          <w:sz w:val="34"/>
        </w:rPr>
      </w:pPr>
    </w:p>
    <w:p w14:paraId="508C87CF" w14:textId="77777777" w:rsidR="007B6A71" w:rsidRDefault="00CE1F16">
      <w:pPr>
        <w:pStyle w:val="BodyText"/>
        <w:ind w:left="100"/>
      </w:pPr>
      <w:r>
        <w:t>325</w:t>
      </w:r>
    </w:p>
    <w:p w14:paraId="3A42F354" w14:textId="77777777" w:rsidR="007B6A71" w:rsidRDefault="00CE1F16">
      <w:pPr>
        <w:pStyle w:val="ListParagraph"/>
        <w:numPr>
          <w:ilvl w:val="1"/>
          <w:numId w:val="4"/>
        </w:numPr>
        <w:tabs>
          <w:tab w:val="left" w:pos="460"/>
        </w:tabs>
        <w:spacing w:before="90" w:line="465" w:lineRule="auto"/>
        <w:ind w:left="459" w:right="913"/>
        <w:jc w:val="left"/>
        <w:rPr>
          <w:sz w:val="24"/>
        </w:rPr>
      </w:pPr>
      <w:r>
        <w:rPr>
          <w:w w:val="99"/>
          <w:sz w:val="24"/>
        </w:rPr>
        <w:br w:type="column"/>
      </w:r>
      <w:r>
        <w:rPr>
          <w:sz w:val="24"/>
        </w:rPr>
        <w:t>Delta subsidence, which includes natural and anthropogenic subsidence in 117 deltas worldwide, building on the earlier work of Ericson et</w:t>
      </w:r>
      <w:r>
        <w:rPr>
          <w:spacing w:val="-4"/>
          <w:sz w:val="24"/>
        </w:rPr>
        <w:t xml:space="preserve"> </w:t>
      </w:r>
      <w:r>
        <w:rPr>
          <w:sz w:val="24"/>
        </w:rPr>
        <w:t>al</w:t>
      </w:r>
      <w:r>
        <w:rPr>
          <w:position w:val="9"/>
          <w:sz w:val="16"/>
        </w:rPr>
        <w:t>13</w:t>
      </w:r>
      <w:r>
        <w:rPr>
          <w:sz w:val="24"/>
        </w:rPr>
        <w:t>;</w:t>
      </w:r>
    </w:p>
    <w:p w14:paraId="357DC345" w14:textId="77777777" w:rsidR="007B6A71" w:rsidRDefault="00CE1F16">
      <w:pPr>
        <w:pStyle w:val="ListParagraph"/>
        <w:numPr>
          <w:ilvl w:val="1"/>
          <w:numId w:val="4"/>
        </w:numPr>
        <w:tabs>
          <w:tab w:val="left" w:pos="460"/>
        </w:tabs>
        <w:spacing w:before="18" w:line="475" w:lineRule="auto"/>
        <w:ind w:left="459" w:right="676"/>
        <w:jc w:val="left"/>
        <w:rPr>
          <w:sz w:val="24"/>
        </w:rPr>
      </w:pPr>
      <w:r>
        <w:rPr>
          <w:sz w:val="24"/>
        </w:rPr>
        <w:t>City subsidence, which captures the additional subsidence beyond delta subsidence</w:t>
      </w:r>
      <w:r>
        <w:rPr>
          <w:spacing w:val="-14"/>
          <w:sz w:val="24"/>
        </w:rPr>
        <w:t xml:space="preserve"> </w:t>
      </w:r>
      <w:r>
        <w:rPr>
          <w:sz w:val="24"/>
        </w:rPr>
        <w:t>that coastal cities in deltaic</w:t>
      </w:r>
      <w:r>
        <w:rPr>
          <w:sz w:val="24"/>
        </w:rPr>
        <w:t xml:space="preserve"> and alluvial plains experience. We thereby consider susceptible coastal cities with populations exceeding one million people in 2005 that are prone to subsidence (following Nicholls et</w:t>
      </w:r>
      <w:r>
        <w:rPr>
          <w:spacing w:val="-4"/>
          <w:sz w:val="24"/>
        </w:rPr>
        <w:t xml:space="preserve"> </w:t>
      </w:r>
      <w:r>
        <w:rPr>
          <w:sz w:val="24"/>
        </w:rPr>
        <w:t>al</w:t>
      </w:r>
      <w:r>
        <w:rPr>
          <w:position w:val="9"/>
          <w:sz w:val="16"/>
        </w:rPr>
        <w:t>34</w:t>
      </w:r>
      <w:r>
        <w:rPr>
          <w:sz w:val="24"/>
        </w:rPr>
        <w:t>).</w:t>
      </w:r>
    </w:p>
    <w:p w14:paraId="34B8FB2B" w14:textId="77777777" w:rsidR="007B6A71" w:rsidRDefault="007B6A71">
      <w:pPr>
        <w:spacing w:line="475" w:lineRule="auto"/>
        <w:rPr>
          <w:sz w:val="24"/>
        </w:rPr>
        <w:sectPr w:rsidR="007B6A71">
          <w:type w:val="continuous"/>
          <w:pgSz w:w="12240" w:h="15840"/>
          <w:pgMar w:top="1360" w:right="1000" w:bottom="1720" w:left="260" w:header="720" w:footer="720" w:gutter="0"/>
          <w:cols w:num="2" w:space="720" w:equalWidth="0">
            <w:col w:w="501" w:space="940"/>
            <w:col w:w="9539"/>
          </w:cols>
        </w:sectPr>
      </w:pPr>
    </w:p>
    <w:p w14:paraId="378876F0" w14:textId="77777777" w:rsidR="007B6A71" w:rsidRDefault="00CE1F16">
      <w:pPr>
        <w:pStyle w:val="BodyText"/>
        <w:spacing w:before="8"/>
        <w:ind w:left="1180"/>
      </w:pPr>
      <w:r>
        <w:t>These four components are independent an</w:t>
      </w:r>
      <w:r>
        <w:t>d hence can simply be summed for each segment.</w:t>
      </w:r>
    </w:p>
    <w:p w14:paraId="0947B89F" w14:textId="77777777" w:rsidR="007B6A71" w:rsidRDefault="007B6A71">
      <w:pPr>
        <w:pStyle w:val="BodyText"/>
        <w:spacing w:before="7"/>
        <w:rPr>
          <w:sz w:val="22"/>
        </w:rPr>
      </w:pPr>
    </w:p>
    <w:p w14:paraId="1F8260AA" w14:textId="77777777" w:rsidR="007B6A71" w:rsidRDefault="00CE1F16">
      <w:pPr>
        <w:pStyle w:val="BodyText"/>
        <w:ind w:left="1180"/>
      </w:pPr>
      <w:r>
        <w:t>We exclude uplift and subsidence due to due to other processes such as tectonics</w:t>
      </w:r>
      <w:r>
        <w:rPr>
          <w:position w:val="9"/>
          <w:sz w:val="16"/>
        </w:rPr>
        <w:t xml:space="preserve">6 </w:t>
      </w:r>
      <w:r>
        <w:t>as there are no</w:t>
      </w:r>
    </w:p>
    <w:p w14:paraId="67C3165F" w14:textId="77777777" w:rsidR="007B6A71" w:rsidRDefault="007B6A71">
      <w:pPr>
        <w:pStyle w:val="BodyText"/>
        <w:spacing w:before="2"/>
        <w:rPr>
          <w:sz w:val="16"/>
        </w:rPr>
      </w:pPr>
    </w:p>
    <w:p w14:paraId="423E38B1" w14:textId="77777777" w:rsidR="007B6A71" w:rsidRDefault="007B6A71">
      <w:pPr>
        <w:rPr>
          <w:sz w:val="16"/>
        </w:rPr>
        <w:sectPr w:rsidR="007B6A71">
          <w:type w:val="continuous"/>
          <w:pgSz w:w="12240" w:h="15840"/>
          <w:pgMar w:top="1360" w:right="1000" w:bottom="1720" w:left="260" w:header="720" w:footer="720" w:gutter="0"/>
          <w:cols w:space="720"/>
        </w:sectPr>
      </w:pPr>
    </w:p>
    <w:p w14:paraId="6811B3A4" w14:textId="77777777" w:rsidR="007B6A71" w:rsidRDefault="007B6A71">
      <w:pPr>
        <w:pStyle w:val="BodyText"/>
        <w:rPr>
          <w:sz w:val="26"/>
        </w:rPr>
      </w:pPr>
    </w:p>
    <w:p w14:paraId="0A259683" w14:textId="77777777" w:rsidR="007B6A71" w:rsidRDefault="007B6A71">
      <w:pPr>
        <w:pStyle w:val="BodyText"/>
        <w:rPr>
          <w:sz w:val="26"/>
        </w:rPr>
      </w:pPr>
    </w:p>
    <w:p w14:paraId="5F0BE3B3" w14:textId="77777777" w:rsidR="007B6A71" w:rsidRDefault="007B6A71">
      <w:pPr>
        <w:pStyle w:val="BodyText"/>
        <w:rPr>
          <w:sz w:val="26"/>
        </w:rPr>
      </w:pPr>
    </w:p>
    <w:p w14:paraId="662B2823" w14:textId="77777777" w:rsidR="007B6A71" w:rsidRDefault="007B6A71">
      <w:pPr>
        <w:pStyle w:val="BodyText"/>
        <w:spacing w:before="10"/>
        <w:rPr>
          <w:sz w:val="25"/>
        </w:rPr>
      </w:pPr>
    </w:p>
    <w:p w14:paraId="20AFA5F3" w14:textId="77777777" w:rsidR="007B6A71" w:rsidRDefault="00CE1F16">
      <w:pPr>
        <w:pStyle w:val="BodyText"/>
        <w:ind w:left="100"/>
      </w:pPr>
      <w:r>
        <w:t>330</w:t>
      </w:r>
    </w:p>
    <w:p w14:paraId="0D7E2FF3" w14:textId="77777777" w:rsidR="007B6A71" w:rsidRDefault="007B6A71">
      <w:pPr>
        <w:pStyle w:val="BodyText"/>
        <w:rPr>
          <w:sz w:val="26"/>
        </w:rPr>
      </w:pPr>
    </w:p>
    <w:p w14:paraId="3D023A7F" w14:textId="77777777" w:rsidR="007B6A71" w:rsidRDefault="007B6A71">
      <w:pPr>
        <w:pStyle w:val="BodyText"/>
        <w:rPr>
          <w:sz w:val="26"/>
        </w:rPr>
      </w:pPr>
    </w:p>
    <w:p w14:paraId="198ADCFA" w14:textId="77777777" w:rsidR="007B6A71" w:rsidRDefault="007B6A71">
      <w:pPr>
        <w:pStyle w:val="BodyText"/>
        <w:rPr>
          <w:sz w:val="26"/>
        </w:rPr>
      </w:pPr>
    </w:p>
    <w:p w14:paraId="7F4C1731" w14:textId="77777777" w:rsidR="007B6A71" w:rsidRDefault="007B6A71">
      <w:pPr>
        <w:pStyle w:val="BodyText"/>
        <w:rPr>
          <w:sz w:val="26"/>
        </w:rPr>
      </w:pPr>
    </w:p>
    <w:p w14:paraId="2522B1BB" w14:textId="77777777" w:rsidR="007B6A71" w:rsidRDefault="007B6A71">
      <w:pPr>
        <w:pStyle w:val="BodyText"/>
        <w:rPr>
          <w:sz w:val="26"/>
        </w:rPr>
      </w:pPr>
    </w:p>
    <w:p w14:paraId="3F092162" w14:textId="77777777" w:rsidR="007B6A71" w:rsidRDefault="007B6A71">
      <w:pPr>
        <w:pStyle w:val="BodyText"/>
        <w:rPr>
          <w:sz w:val="26"/>
        </w:rPr>
      </w:pPr>
    </w:p>
    <w:p w14:paraId="5C528D42" w14:textId="77777777" w:rsidR="007B6A71" w:rsidRDefault="007B6A71">
      <w:pPr>
        <w:pStyle w:val="BodyText"/>
        <w:rPr>
          <w:sz w:val="26"/>
        </w:rPr>
      </w:pPr>
    </w:p>
    <w:p w14:paraId="660202F4" w14:textId="77777777" w:rsidR="007B6A71" w:rsidRDefault="007B6A71">
      <w:pPr>
        <w:pStyle w:val="BodyText"/>
        <w:rPr>
          <w:sz w:val="34"/>
        </w:rPr>
      </w:pPr>
    </w:p>
    <w:p w14:paraId="76382CA5" w14:textId="77777777" w:rsidR="007B6A71" w:rsidRDefault="00CE1F16">
      <w:pPr>
        <w:pStyle w:val="BodyText"/>
        <w:spacing w:before="1"/>
        <w:ind w:left="100"/>
      </w:pPr>
      <w:r>
        <w:t>335</w:t>
      </w:r>
    </w:p>
    <w:p w14:paraId="6415A642" w14:textId="77777777" w:rsidR="007B6A71" w:rsidRDefault="00CE1F16">
      <w:pPr>
        <w:pStyle w:val="BodyText"/>
        <w:spacing w:before="90" w:line="470" w:lineRule="auto"/>
        <w:ind w:left="100" w:right="482"/>
      </w:pPr>
      <w:r>
        <w:br w:type="column"/>
      </w:r>
      <w:r>
        <w:t>consistent global datasets available. Most analysis of these processes are local or regional (e.g., National Research Council</w:t>
      </w:r>
      <w:r>
        <w:rPr>
          <w:position w:val="9"/>
          <w:sz w:val="16"/>
        </w:rPr>
        <w:t xml:space="preserve">35 </w:t>
      </w:r>
      <w:r>
        <w:t>) and obtaining the data required to create relative sea-level rise scenarios at the global scale is problematic</w:t>
      </w:r>
      <w:r>
        <w:rPr>
          <w:position w:val="9"/>
          <w:sz w:val="16"/>
        </w:rPr>
        <w:t>27</w:t>
      </w:r>
      <w:r>
        <w:t>. The few stud</w:t>
      </w:r>
      <w:r>
        <w:t>ies that systematically analyse data on vertical land movements globally using measurements at tide gauges</w:t>
      </w:r>
      <w:r>
        <w:rPr>
          <w:position w:val="9"/>
          <w:sz w:val="16"/>
        </w:rPr>
        <w:t xml:space="preserve">36,37 </w:t>
      </w:r>
      <w:r>
        <w:t>find that GIA (already included in the analysis) explains a large part of the observed trends.</w:t>
      </w:r>
    </w:p>
    <w:p w14:paraId="2D98169B" w14:textId="77777777" w:rsidR="007B6A71" w:rsidRDefault="007B6A71">
      <w:pPr>
        <w:pStyle w:val="BodyText"/>
        <w:rPr>
          <w:sz w:val="26"/>
        </w:rPr>
      </w:pPr>
    </w:p>
    <w:p w14:paraId="3EA80FFA" w14:textId="77777777" w:rsidR="007B6A71" w:rsidRDefault="007B6A71">
      <w:pPr>
        <w:pStyle w:val="BodyText"/>
        <w:spacing w:before="10"/>
        <w:rPr>
          <w:sz w:val="22"/>
        </w:rPr>
      </w:pPr>
    </w:p>
    <w:p w14:paraId="5079B13A" w14:textId="77777777" w:rsidR="007B6A71" w:rsidRDefault="00CE1F16">
      <w:pPr>
        <w:pStyle w:val="BodyText"/>
        <w:spacing w:line="480" w:lineRule="auto"/>
        <w:ind w:left="100" w:right="1122"/>
      </w:pPr>
      <w:r>
        <w:t>The major limitation in the analysis is that subsiding cities with less than one million are excluded, again reflecting a lack of consistent data at the global scale. This means that our</w:t>
      </w:r>
    </w:p>
    <w:p w14:paraId="6790DBE1" w14:textId="77777777" w:rsidR="007B6A71" w:rsidRDefault="007B6A71">
      <w:pPr>
        <w:spacing w:line="480" w:lineRule="auto"/>
        <w:sectPr w:rsidR="007B6A71">
          <w:type w:val="continuous"/>
          <w:pgSz w:w="12240" w:h="15840"/>
          <w:pgMar w:top="1360" w:right="1000" w:bottom="1720" w:left="260" w:header="720" w:footer="720" w:gutter="0"/>
          <w:cols w:num="2" w:space="720" w:equalWidth="0">
            <w:col w:w="501" w:space="580"/>
            <w:col w:w="9899"/>
          </w:cols>
        </w:sectPr>
      </w:pPr>
    </w:p>
    <w:p w14:paraId="3B503076" w14:textId="77777777" w:rsidR="007B6A71" w:rsidRDefault="00CE1F16">
      <w:pPr>
        <w:pStyle w:val="BodyText"/>
        <w:ind w:left="1180"/>
      </w:pPr>
      <w:r>
        <w:t xml:space="preserve">estimates of the effect of city subsidence on </w:t>
      </w:r>
      <w:r>
        <w:t>relative SLR are minimum estimates.</w:t>
      </w:r>
    </w:p>
    <w:p w14:paraId="0E600406" w14:textId="77777777" w:rsidR="007B6A71" w:rsidRDefault="007B6A71">
      <w:pPr>
        <w:pStyle w:val="BodyText"/>
        <w:rPr>
          <w:sz w:val="26"/>
        </w:rPr>
      </w:pPr>
    </w:p>
    <w:p w14:paraId="148715E7" w14:textId="77777777" w:rsidR="007B6A71" w:rsidRDefault="007B6A71">
      <w:pPr>
        <w:pStyle w:val="BodyText"/>
        <w:rPr>
          <w:sz w:val="26"/>
        </w:rPr>
      </w:pPr>
    </w:p>
    <w:p w14:paraId="1D5FE97B" w14:textId="77777777" w:rsidR="007B6A71" w:rsidRDefault="00CE1F16">
      <w:pPr>
        <w:pStyle w:val="BodyText"/>
        <w:spacing w:before="231" w:line="465" w:lineRule="auto"/>
        <w:ind w:left="1180" w:right="463"/>
      </w:pPr>
      <w:r>
        <w:t>For assessing the effects of future climate-induced SLR we use the same scenarios as Hinkel et al</w:t>
      </w:r>
      <w:r>
        <w:rPr>
          <w:position w:val="9"/>
          <w:sz w:val="16"/>
        </w:rPr>
        <w:t xml:space="preserve">31 </w:t>
      </w:r>
      <w:r>
        <w:t>For delta and city subsidence from 2015 to 2050, we assume that the observed rates of</w:t>
      </w:r>
    </w:p>
    <w:p w14:paraId="038CCDC2" w14:textId="77777777" w:rsidR="007B6A71" w:rsidRDefault="00CE1F16">
      <w:pPr>
        <w:pStyle w:val="BodyText"/>
        <w:tabs>
          <w:tab w:val="left" w:pos="1180"/>
        </w:tabs>
        <w:spacing w:before="18"/>
        <w:ind w:left="100"/>
      </w:pPr>
      <w:r>
        <w:t>340</w:t>
      </w:r>
      <w:r>
        <w:tab/>
        <w:t>subsidence continue at the s</w:t>
      </w:r>
      <w:r>
        <w:t>ame rate. It is recognised that these rates may be subject</w:t>
      </w:r>
      <w:r>
        <w:rPr>
          <w:spacing w:val="-12"/>
        </w:rPr>
        <w:t xml:space="preserve"> </w:t>
      </w:r>
      <w:r>
        <w:t>to</w:t>
      </w:r>
    </w:p>
    <w:p w14:paraId="4BBE362F" w14:textId="77777777" w:rsidR="007B6A71" w:rsidRDefault="007B6A71">
      <w:pPr>
        <w:sectPr w:rsidR="007B6A71">
          <w:type w:val="continuous"/>
          <w:pgSz w:w="12240" w:h="15840"/>
          <w:pgMar w:top="1360" w:right="1000" w:bottom="1720" w:left="260" w:header="720" w:footer="720" w:gutter="0"/>
          <w:cols w:space="720"/>
        </w:sectPr>
      </w:pPr>
    </w:p>
    <w:p w14:paraId="5B319771" w14:textId="77777777" w:rsidR="007B6A71" w:rsidRDefault="00CE1F16">
      <w:pPr>
        <w:pStyle w:val="BodyText"/>
        <w:spacing w:before="79" w:line="480" w:lineRule="auto"/>
        <w:ind w:left="1180" w:right="525"/>
        <w:jc w:val="both"/>
      </w:pPr>
      <w:r>
        <w:lastRenderedPageBreak/>
        <w:t>significant change, especially those due to human influence (e.g., Phien-wej et al</w:t>
      </w:r>
      <w:r>
        <w:rPr>
          <w:position w:val="9"/>
          <w:sz w:val="16"/>
        </w:rPr>
        <w:t>38</w:t>
      </w:r>
      <w:r>
        <w:t>). Hence, they should be considered as indicative scenarios rather than projections. The purpose of the analysis is to estimate the relative magnitudes of these processes rather than create projections.</w:t>
      </w:r>
    </w:p>
    <w:p w14:paraId="188BB93F" w14:textId="77777777" w:rsidR="007B6A71" w:rsidRDefault="007B6A71">
      <w:pPr>
        <w:pStyle w:val="BodyText"/>
        <w:rPr>
          <w:sz w:val="20"/>
        </w:rPr>
      </w:pPr>
    </w:p>
    <w:p w14:paraId="434E6EA4" w14:textId="77777777" w:rsidR="007B6A71" w:rsidRDefault="007B6A71">
      <w:pPr>
        <w:pStyle w:val="BodyText"/>
        <w:spacing w:before="5"/>
        <w:rPr>
          <w:sz w:val="18"/>
        </w:rPr>
      </w:pPr>
    </w:p>
    <w:p w14:paraId="32F771BB" w14:textId="77777777" w:rsidR="007B6A71" w:rsidRDefault="00CE1F16">
      <w:pPr>
        <w:pStyle w:val="BodyText"/>
        <w:tabs>
          <w:tab w:val="left" w:pos="1180"/>
        </w:tabs>
        <w:spacing w:before="95"/>
        <w:ind w:left="100"/>
      </w:pPr>
      <w:r>
        <w:t>345</w:t>
      </w:r>
      <w:r>
        <w:tab/>
        <w:t>For present and future population we use the sc</w:t>
      </w:r>
      <w:r>
        <w:t>enarios of Merkens et</w:t>
      </w:r>
      <w:r>
        <w:rPr>
          <w:spacing w:val="-4"/>
        </w:rPr>
        <w:t xml:space="preserve"> </w:t>
      </w:r>
      <w:r>
        <w:t>al</w:t>
      </w:r>
      <w:r>
        <w:rPr>
          <w:position w:val="9"/>
          <w:sz w:val="16"/>
        </w:rPr>
        <w:t>39</w:t>
      </w:r>
      <w:r>
        <w:t>.</w:t>
      </w:r>
    </w:p>
    <w:p w14:paraId="59D2D8D7" w14:textId="77777777" w:rsidR="007B6A71" w:rsidRDefault="007B6A71">
      <w:pPr>
        <w:pStyle w:val="BodyText"/>
        <w:rPr>
          <w:sz w:val="20"/>
        </w:rPr>
      </w:pPr>
    </w:p>
    <w:p w14:paraId="08D59C02" w14:textId="77777777" w:rsidR="007B6A71" w:rsidRDefault="007B6A71">
      <w:pPr>
        <w:pStyle w:val="BodyText"/>
        <w:rPr>
          <w:sz w:val="20"/>
        </w:rPr>
      </w:pPr>
    </w:p>
    <w:p w14:paraId="05CE9B6C" w14:textId="77777777" w:rsidR="007B6A71" w:rsidRDefault="007B6A71">
      <w:pPr>
        <w:pStyle w:val="BodyText"/>
        <w:spacing w:before="7"/>
      </w:pPr>
    </w:p>
    <w:p w14:paraId="622D3588" w14:textId="77777777" w:rsidR="007B6A71" w:rsidRDefault="00CE1F16">
      <w:pPr>
        <w:pStyle w:val="Heading1"/>
      </w:pPr>
      <w:r>
        <w:t>Data:</w:t>
      </w:r>
    </w:p>
    <w:p w14:paraId="7B6B7E31" w14:textId="77777777" w:rsidR="007B6A71" w:rsidRDefault="007B6A71">
      <w:pPr>
        <w:pStyle w:val="BodyText"/>
        <w:spacing w:before="7"/>
        <w:rPr>
          <w:b/>
          <w:sz w:val="27"/>
        </w:rPr>
      </w:pPr>
    </w:p>
    <w:p w14:paraId="65D50B32" w14:textId="77777777" w:rsidR="007B6A71" w:rsidRDefault="00CE1F16">
      <w:pPr>
        <w:pStyle w:val="BodyText"/>
        <w:ind w:left="1180"/>
      </w:pPr>
      <w:r>
        <w:t>The following datasets are used in this analysis.</w:t>
      </w:r>
    </w:p>
    <w:p w14:paraId="391B5E7F" w14:textId="77777777" w:rsidR="007B6A71" w:rsidRDefault="007B6A71">
      <w:pPr>
        <w:pStyle w:val="BodyText"/>
        <w:rPr>
          <w:sz w:val="28"/>
        </w:rPr>
      </w:pPr>
    </w:p>
    <w:p w14:paraId="6A05061A" w14:textId="77777777" w:rsidR="007B6A71" w:rsidRDefault="00CE1F16">
      <w:pPr>
        <w:pStyle w:val="Heading2"/>
        <w:spacing w:before="1"/>
      </w:pPr>
      <w:r>
        <w:t>Sea-level change</w:t>
      </w:r>
    </w:p>
    <w:p w14:paraId="5DC7F6B9" w14:textId="77777777" w:rsidR="007B6A71" w:rsidRDefault="007B6A71">
      <w:pPr>
        <w:pStyle w:val="BodyText"/>
        <w:spacing w:before="7"/>
        <w:rPr>
          <w:b/>
          <w:sz w:val="17"/>
        </w:rPr>
      </w:pPr>
    </w:p>
    <w:p w14:paraId="5B510AE5" w14:textId="77777777" w:rsidR="007B6A71" w:rsidRDefault="00CE1F16">
      <w:pPr>
        <w:pStyle w:val="BodyText"/>
        <w:tabs>
          <w:tab w:val="left" w:pos="1180"/>
        </w:tabs>
        <w:spacing w:before="90"/>
        <w:ind w:left="100"/>
      </w:pPr>
      <w:r>
        <w:t>350</w:t>
      </w:r>
      <w:r>
        <w:tab/>
        <w:t>For the sea-level change observations, we use the satellite altimetry product from the</w:t>
      </w:r>
      <w:r>
        <w:rPr>
          <w:spacing w:val="-13"/>
        </w:rPr>
        <w:t xml:space="preserve"> </w:t>
      </w:r>
      <w:r>
        <w:t>European</w:t>
      </w:r>
    </w:p>
    <w:p w14:paraId="4F1BDE6A" w14:textId="77777777" w:rsidR="007B6A71" w:rsidRDefault="007B6A71">
      <w:pPr>
        <w:pStyle w:val="BodyText"/>
        <w:spacing w:before="2"/>
        <w:rPr>
          <w:sz w:val="16"/>
        </w:rPr>
      </w:pPr>
    </w:p>
    <w:p w14:paraId="7B305F92" w14:textId="77777777" w:rsidR="007B6A71" w:rsidRDefault="00CE1F16">
      <w:pPr>
        <w:pStyle w:val="BodyText"/>
        <w:spacing w:before="90" w:line="470" w:lineRule="auto"/>
        <w:ind w:left="1180" w:right="515"/>
      </w:pPr>
      <w:r>
        <w:t>Space Agency (ESA) Climate Change Initiative sea</w:t>
      </w:r>
      <w:r>
        <w:t xml:space="preserve"> level (CCI_SL) project. We use this product because the data is computed with consistent geophysical corrections throughout the whole records and is thus specifically tailored for trend estimates</w:t>
      </w:r>
      <w:r>
        <w:rPr>
          <w:position w:val="9"/>
          <w:sz w:val="16"/>
        </w:rPr>
        <w:t>21,22</w:t>
      </w:r>
      <w:r>
        <w:t>. The product is a 2-D gridded sea surface height of de</w:t>
      </w:r>
      <w:r>
        <w:t>layed time anomalies described and validated in Legeais et al</w:t>
      </w:r>
      <w:r>
        <w:rPr>
          <w:position w:val="9"/>
          <w:sz w:val="16"/>
        </w:rPr>
        <w:t>22</w:t>
      </w:r>
      <w:r>
        <w:t>. The product</w:t>
      </w:r>
    </w:p>
    <w:p w14:paraId="09CF66CB" w14:textId="77777777" w:rsidR="007B6A71" w:rsidRDefault="00CE1F16">
      <w:pPr>
        <w:pStyle w:val="BodyText"/>
        <w:tabs>
          <w:tab w:val="left" w:pos="1180"/>
        </w:tabs>
        <w:spacing w:before="15"/>
        <w:ind w:left="100"/>
      </w:pPr>
      <w:r>
        <w:t>355</w:t>
      </w:r>
      <w:r>
        <w:tab/>
        <w:t>is freely availa</w:t>
      </w:r>
      <w:hyperlink r:id="rId11">
        <w:r>
          <w:t xml:space="preserve">ble on http://www.esa-sealevel-cci.org/products. </w:t>
        </w:r>
      </w:hyperlink>
      <w:r>
        <w:t>We analysed the data over</w:t>
      </w:r>
      <w:r>
        <w:rPr>
          <w:spacing w:val="-11"/>
        </w:rPr>
        <w:t xml:space="preserve"> </w:t>
      </w:r>
      <w:r>
        <w:t>the</w:t>
      </w:r>
    </w:p>
    <w:p w14:paraId="74A72BDF" w14:textId="77777777" w:rsidR="007B6A71" w:rsidRDefault="007B6A71">
      <w:pPr>
        <w:pStyle w:val="BodyText"/>
        <w:spacing w:before="2"/>
        <w:rPr>
          <w:sz w:val="16"/>
        </w:rPr>
      </w:pPr>
    </w:p>
    <w:p w14:paraId="4C4AF7B5" w14:textId="77777777" w:rsidR="007B6A71" w:rsidRDefault="00CE1F16">
      <w:pPr>
        <w:pStyle w:val="BodyText"/>
        <w:spacing w:before="90" w:line="480" w:lineRule="auto"/>
        <w:ind w:left="1180" w:right="669"/>
      </w:pPr>
      <w:r>
        <w:t>period 1993 to 2015. The dataset is provided at monthly intervals on a ¼° regular grid as anomalies computed with reference to the 1993-2012 period. Sea-level anomalies for the study sites were extracted from the global dataset. At high latitude (&gt;82°), sa</w:t>
      </w:r>
      <w:r>
        <w:t>tellite altimetry data is not available (because of the inclination of the satellites). Close to the coast, data is available</w:t>
      </w:r>
    </w:p>
    <w:p w14:paraId="730DB198" w14:textId="77777777" w:rsidR="007B6A71" w:rsidRDefault="00CE1F16">
      <w:pPr>
        <w:pStyle w:val="BodyText"/>
        <w:tabs>
          <w:tab w:val="left" w:pos="1180"/>
        </w:tabs>
        <w:ind w:left="100"/>
      </w:pPr>
      <w:r>
        <w:t>360</w:t>
      </w:r>
      <w:r>
        <w:tab/>
        <w:t>until 15km from the coast. However, at 15 km from the coast some significant errors can arise</w:t>
      </w:r>
      <w:r>
        <w:rPr>
          <w:spacing w:val="-11"/>
        </w:rPr>
        <w:t xml:space="preserve"> </w:t>
      </w:r>
      <w:r>
        <w:t>in</w:t>
      </w:r>
    </w:p>
    <w:p w14:paraId="6F630210" w14:textId="77777777" w:rsidR="007B6A71" w:rsidRDefault="007B6A71">
      <w:pPr>
        <w:pStyle w:val="BodyText"/>
        <w:spacing w:before="2"/>
        <w:rPr>
          <w:sz w:val="16"/>
        </w:rPr>
      </w:pPr>
    </w:p>
    <w:p w14:paraId="445304BE" w14:textId="77777777" w:rsidR="007B6A71" w:rsidRDefault="00CE1F16">
      <w:pPr>
        <w:pStyle w:val="BodyText"/>
        <w:spacing w:before="90" w:line="480" w:lineRule="auto"/>
        <w:ind w:left="1180" w:right="816"/>
      </w:pPr>
      <w:r>
        <w:t>geophysical corrections appl</w:t>
      </w:r>
      <w:r>
        <w:t>ied to the sea level estimate. These errors arise from land contamination in the satellite radiometer measurement which is used for the wet-tropospheric</w:t>
      </w:r>
    </w:p>
    <w:p w14:paraId="3FE9BA46" w14:textId="77777777" w:rsidR="007B6A71" w:rsidRDefault="007B6A71">
      <w:pPr>
        <w:spacing w:line="480" w:lineRule="auto"/>
        <w:sectPr w:rsidR="007B6A71">
          <w:pgSz w:w="12240" w:h="15840"/>
          <w:pgMar w:top="1340" w:right="1000" w:bottom="1800" w:left="260" w:header="0" w:footer="1538" w:gutter="0"/>
          <w:cols w:space="720"/>
        </w:sectPr>
      </w:pPr>
    </w:p>
    <w:p w14:paraId="049BF3B0" w14:textId="77777777" w:rsidR="007B6A71" w:rsidRDefault="00CE1F16">
      <w:pPr>
        <w:pStyle w:val="BodyText"/>
        <w:spacing w:before="74" w:line="480" w:lineRule="auto"/>
        <w:ind w:left="1180" w:right="657"/>
      </w:pPr>
      <w:r>
        <w:lastRenderedPageBreak/>
        <w:t xml:space="preserve">correction, or in the radar measurement which is used to estimate the altimetry range or </w:t>
      </w:r>
      <w:r>
        <w:t>in geophysical models such as tide models (because of inaccurate bathymetry for example). To</w:t>
      </w:r>
    </w:p>
    <w:p w14:paraId="6DE05BC2" w14:textId="77777777" w:rsidR="007B6A71" w:rsidRDefault="00CE1F16">
      <w:pPr>
        <w:pStyle w:val="BodyText"/>
        <w:tabs>
          <w:tab w:val="left" w:pos="1180"/>
        </w:tabs>
        <w:spacing w:before="1"/>
        <w:ind w:left="100"/>
      </w:pPr>
      <w:r>
        <w:t>365</w:t>
      </w:r>
      <w:r>
        <w:tab/>
        <w:t>remove this potential spurious data we discarded all data at less than 25 km from the coast.</w:t>
      </w:r>
      <w:r>
        <w:rPr>
          <w:spacing w:val="-9"/>
        </w:rPr>
        <w:t xml:space="preserve"> </w:t>
      </w:r>
      <w:r>
        <w:t>To</w:t>
      </w:r>
    </w:p>
    <w:p w14:paraId="532D23DA" w14:textId="77777777" w:rsidR="007B6A71" w:rsidRDefault="007B6A71">
      <w:pPr>
        <w:pStyle w:val="BodyText"/>
        <w:spacing w:before="2"/>
        <w:rPr>
          <w:sz w:val="16"/>
        </w:rPr>
      </w:pPr>
    </w:p>
    <w:p w14:paraId="05C53E23" w14:textId="77777777" w:rsidR="007B6A71" w:rsidRDefault="00CE1F16">
      <w:pPr>
        <w:pStyle w:val="BodyText"/>
        <w:spacing w:before="90" w:line="475" w:lineRule="auto"/>
        <w:ind w:left="1180" w:right="536"/>
      </w:pPr>
      <w:r>
        <w:t>ensure that all spurious data was removed we checked that the difference between the data close to the coast and adjacent data offshore was within the typical sea level variability range (following The Climate Change Initiative Coastal Sea Level Team</w:t>
      </w:r>
      <w:r>
        <w:rPr>
          <w:position w:val="9"/>
          <w:sz w:val="16"/>
        </w:rPr>
        <w:t>40</w:t>
      </w:r>
      <w:r>
        <w:t>). F</w:t>
      </w:r>
      <w:r>
        <w:t>or the trend estimate, we used a least square fit that estimate at the same time the annual cycle, the semi-annual cycle and</w:t>
      </w:r>
    </w:p>
    <w:p w14:paraId="7AED7351" w14:textId="77777777" w:rsidR="007B6A71" w:rsidRDefault="007B6A71">
      <w:pPr>
        <w:spacing w:line="475" w:lineRule="auto"/>
        <w:sectPr w:rsidR="007B6A71">
          <w:pgSz w:w="12240" w:h="15840"/>
          <w:pgMar w:top="1360" w:right="1000" w:bottom="1800" w:left="260" w:header="0" w:footer="1538" w:gutter="0"/>
          <w:cols w:space="720"/>
        </w:sectPr>
      </w:pPr>
    </w:p>
    <w:p w14:paraId="026DE9E2" w14:textId="77777777" w:rsidR="007B6A71" w:rsidRDefault="00CE1F16">
      <w:pPr>
        <w:pStyle w:val="BodyText"/>
        <w:spacing w:before="7"/>
        <w:ind w:left="100"/>
      </w:pPr>
      <w:r>
        <w:t>370</w:t>
      </w:r>
    </w:p>
    <w:p w14:paraId="4DB23587" w14:textId="77777777" w:rsidR="007B6A71" w:rsidRDefault="007B6A71">
      <w:pPr>
        <w:pStyle w:val="BodyText"/>
        <w:rPr>
          <w:sz w:val="26"/>
        </w:rPr>
      </w:pPr>
    </w:p>
    <w:p w14:paraId="48BC5F40" w14:textId="77777777" w:rsidR="007B6A71" w:rsidRDefault="007B6A71">
      <w:pPr>
        <w:pStyle w:val="BodyText"/>
        <w:rPr>
          <w:sz w:val="26"/>
        </w:rPr>
      </w:pPr>
    </w:p>
    <w:p w14:paraId="7D9EF79B" w14:textId="77777777" w:rsidR="007B6A71" w:rsidRDefault="007B6A71">
      <w:pPr>
        <w:pStyle w:val="BodyText"/>
        <w:rPr>
          <w:sz w:val="26"/>
        </w:rPr>
      </w:pPr>
    </w:p>
    <w:p w14:paraId="568E01F3" w14:textId="77777777" w:rsidR="007B6A71" w:rsidRDefault="007B6A71">
      <w:pPr>
        <w:pStyle w:val="BodyText"/>
        <w:rPr>
          <w:sz w:val="26"/>
        </w:rPr>
      </w:pPr>
    </w:p>
    <w:p w14:paraId="20ED9EDF" w14:textId="77777777" w:rsidR="007B6A71" w:rsidRDefault="007B6A71">
      <w:pPr>
        <w:pStyle w:val="BodyText"/>
        <w:rPr>
          <w:sz w:val="26"/>
        </w:rPr>
      </w:pPr>
    </w:p>
    <w:p w14:paraId="56F49173" w14:textId="77777777" w:rsidR="007B6A71" w:rsidRDefault="007B6A71">
      <w:pPr>
        <w:pStyle w:val="BodyText"/>
        <w:rPr>
          <w:sz w:val="26"/>
        </w:rPr>
      </w:pPr>
    </w:p>
    <w:p w14:paraId="7F7CCAB4" w14:textId="77777777" w:rsidR="007B6A71" w:rsidRDefault="007B6A71">
      <w:pPr>
        <w:pStyle w:val="BodyText"/>
        <w:rPr>
          <w:sz w:val="26"/>
        </w:rPr>
      </w:pPr>
    </w:p>
    <w:p w14:paraId="71796B1A" w14:textId="77777777" w:rsidR="007B6A71" w:rsidRDefault="007B6A71">
      <w:pPr>
        <w:pStyle w:val="BodyText"/>
        <w:rPr>
          <w:sz w:val="34"/>
        </w:rPr>
      </w:pPr>
    </w:p>
    <w:p w14:paraId="5A0EAD45" w14:textId="77777777" w:rsidR="007B6A71" w:rsidRDefault="00CE1F16">
      <w:pPr>
        <w:pStyle w:val="BodyText"/>
        <w:ind w:left="100"/>
      </w:pPr>
      <w:r>
        <w:t>375</w:t>
      </w:r>
    </w:p>
    <w:p w14:paraId="001A0E68" w14:textId="77777777" w:rsidR="007B6A71" w:rsidRDefault="00CE1F16">
      <w:pPr>
        <w:pStyle w:val="BodyText"/>
        <w:spacing w:before="7" w:line="475" w:lineRule="auto"/>
        <w:ind w:left="100" w:right="434"/>
      </w:pPr>
      <w:r>
        <w:br w:type="column"/>
      </w:r>
      <w:r>
        <w:t>the trend. The uncertainty in the trend is estimated with an error budget approach and is below 3 mm/yr (at the 90% CL level</w:t>
      </w:r>
      <w:r>
        <w:rPr>
          <w:position w:val="9"/>
          <w:sz w:val="16"/>
        </w:rPr>
        <w:t>21</w:t>
      </w:r>
      <w:r>
        <w:t>). Note that there is some difference between the coastal sea level trend and the sea level trend 25 km offshore. But this differe</w:t>
      </w:r>
      <w:r>
        <w:t>nce does not exceed 1.5 mm/yr (1 sigma value) over the satellite altimetry period (as shown by the difference between satellite altimetry and tide gauge records corrected for vertical land motion, see Wöppelmann and Marcos</w:t>
      </w:r>
      <w:r>
        <w:rPr>
          <w:position w:val="9"/>
          <w:sz w:val="16"/>
        </w:rPr>
        <w:t>41</w:t>
      </w:r>
      <w:r>
        <w:t>, or by the analysis from The Cl</w:t>
      </w:r>
      <w:r>
        <w:t>imate Change Initiative Coastal Sea Level Team</w:t>
      </w:r>
      <w:r>
        <w:rPr>
          <w:position w:val="9"/>
          <w:sz w:val="16"/>
        </w:rPr>
        <w:t>40</w:t>
      </w:r>
      <w:r>
        <w:t>).</w:t>
      </w:r>
    </w:p>
    <w:p w14:paraId="02A75333" w14:textId="77777777" w:rsidR="007B6A71" w:rsidRDefault="007B6A71">
      <w:pPr>
        <w:spacing w:line="475" w:lineRule="auto"/>
        <w:sectPr w:rsidR="007B6A71">
          <w:type w:val="continuous"/>
          <w:pgSz w:w="12240" w:h="15840"/>
          <w:pgMar w:top="1360" w:right="1000" w:bottom="1720" w:left="260" w:header="720" w:footer="720" w:gutter="0"/>
          <w:cols w:num="2" w:space="720" w:equalWidth="0">
            <w:col w:w="501" w:space="580"/>
            <w:col w:w="9899"/>
          </w:cols>
        </w:sectPr>
      </w:pPr>
    </w:p>
    <w:p w14:paraId="682F6D78" w14:textId="77777777" w:rsidR="007B6A71" w:rsidRDefault="007B6A71">
      <w:pPr>
        <w:pStyle w:val="BodyText"/>
        <w:rPr>
          <w:sz w:val="20"/>
        </w:rPr>
      </w:pPr>
    </w:p>
    <w:p w14:paraId="7E8787AB" w14:textId="77777777" w:rsidR="007B6A71" w:rsidRDefault="007B6A71">
      <w:pPr>
        <w:pStyle w:val="BodyText"/>
        <w:spacing w:before="7"/>
      </w:pPr>
    </w:p>
    <w:p w14:paraId="306CAB66" w14:textId="77777777" w:rsidR="007B6A71" w:rsidRDefault="00CE1F16">
      <w:pPr>
        <w:pStyle w:val="Heading2"/>
      </w:pPr>
      <w:r>
        <w:t>Glacial Isostatic Adjustment (GIA)</w:t>
      </w:r>
    </w:p>
    <w:p w14:paraId="53F840B2" w14:textId="77777777" w:rsidR="007B6A71" w:rsidRDefault="007B6A71">
      <w:pPr>
        <w:pStyle w:val="BodyText"/>
        <w:spacing w:before="6"/>
        <w:rPr>
          <w:b/>
          <w:sz w:val="25"/>
        </w:rPr>
      </w:pPr>
    </w:p>
    <w:p w14:paraId="75D6C1EE" w14:textId="77777777" w:rsidR="007B6A71" w:rsidRDefault="00CE1F16">
      <w:pPr>
        <w:pStyle w:val="BodyText"/>
        <w:spacing w:line="465" w:lineRule="auto"/>
        <w:ind w:left="1180" w:right="709"/>
      </w:pPr>
      <w:r>
        <w:t>Local sea-level change due to glacial isostatic adjustment caused by ice loading and unloading are taken from the ICE-6G_C (VM5a) model</w:t>
      </w:r>
      <w:r>
        <w:rPr>
          <w:position w:val="9"/>
          <w:sz w:val="16"/>
        </w:rPr>
        <w:t>11</w:t>
      </w:r>
      <w:r>
        <w:t>. Local</w:t>
      </w:r>
      <w:r>
        <w:t xml:space="preserve"> land movement as response to</w:t>
      </w:r>
    </w:p>
    <w:p w14:paraId="4ADABC6C" w14:textId="77777777" w:rsidR="007B6A71" w:rsidRDefault="00CE1F16">
      <w:pPr>
        <w:pStyle w:val="BodyText"/>
        <w:tabs>
          <w:tab w:val="left" w:pos="1180"/>
        </w:tabs>
        <w:spacing w:before="16"/>
        <w:ind w:left="100"/>
      </w:pPr>
      <w:r>
        <w:t>380</w:t>
      </w:r>
      <w:r>
        <w:tab/>
        <w:t>deglaciation and combined with global topography and bathymetry to compute local</w:t>
      </w:r>
      <w:r>
        <w:rPr>
          <w:spacing w:val="-9"/>
        </w:rPr>
        <w:t xml:space="preserve"> </w:t>
      </w:r>
      <w:r>
        <w:t>sea-level</w:t>
      </w:r>
    </w:p>
    <w:p w14:paraId="447B69E7" w14:textId="77777777" w:rsidR="007B6A71" w:rsidRDefault="007B6A71">
      <w:pPr>
        <w:pStyle w:val="BodyText"/>
        <w:spacing w:before="2"/>
        <w:rPr>
          <w:sz w:val="16"/>
        </w:rPr>
      </w:pPr>
    </w:p>
    <w:p w14:paraId="4D9AA79F" w14:textId="77777777" w:rsidR="007B6A71" w:rsidRDefault="00CE1F16">
      <w:pPr>
        <w:pStyle w:val="BodyText"/>
        <w:spacing w:before="90" w:line="480" w:lineRule="auto"/>
        <w:ind w:left="1180" w:right="737"/>
      </w:pPr>
      <w:r>
        <w:t>change on a 0.2°x0.2° grid. This gridded dataset is projected to the DIVA coastal segments by assigning the average sea-level chan</w:t>
      </w:r>
      <w:r>
        <w:t>ge value over all intersected grid cells to each segment.</w:t>
      </w:r>
    </w:p>
    <w:p w14:paraId="411D5D65" w14:textId="77777777" w:rsidR="007B6A71" w:rsidRDefault="007B6A71">
      <w:pPr>
        <w:spacing w:line="480" w:lineRule="auto"/>
        <w:sectPr w:rsidR="007B6A71">
          <w:type w:val="continuous"/>
          <w:pgSz w:w="12240" w:h="15840"/>
          <w:pgMar w:top="1360" w:right="1000" w:bottom="1720" w:left="260" w:header="720" w:footer="720" w:gutter="0"/>
          <w:cols w:space="720"/>
        </w:sectPr>
      </w:pPr>
    </w:p>
    <w:p w14:paraId="1E94D558" w14:textId="77777777" w:rsidR="007B6A71" w:rsidRDefault="00CE1F16">
      <w:pPr>
        <w:pStyle w:val="Heading2"/>
        <w:spacing w:before="59"/>
      </w:pPr>
      <w:r>
        <w:lastRenderedPageBreak/>
        <w:t>Delta subsidence</w:t>
      </w:r>
    </w:p>
    <w:p w14:paraId="4EC948CA" w14:textId="77777777" w:rsidR="007B6A71" w:rsidRDefault="007B6A71">
      <w:pPr>
        <w:pStyle w:val="BodyText"/>
        <w:spacing w:before="9"/>
        <w:rPr>
          <w:b/>
          <w:sz w:val="17"/>
        </w:rPr>
      </w:pPr>
    </w:p>
    <w:p w14:paraId="1AFA5396" w14:textId="77777777" w:rsidR="007B6A71" w:rsidRDefault="00CE1F16">
      <w:pPr>
        <w:pStyle w:val="BodyText"/>
        <w:tabs>
          <w:tab w:val="left" w:pos="1180"/>
        </w:tabs>
        <w:spacing w:before="90"/>
        <w:ind w:left="100"/>
      </w:pPr>
      <w:r>
        <w:t>385</w:t>
      </w:r>
      <w:r>
        <w:tab/>
        <w:t>Delta subsidence is estimated for 117 deltas, comprising the world’s most significant deltas.</w:t>
      </w:r>
      <w:r>
        <w:rPr>
          <w:spacing w:val="-21"/>
        </w:rPr>
        <w:t xml:space="preserve"> </w:t>
      </w:r>
      <w:r>
        <w:t>For</w:t>
      </w:r>
    </w:p>
    <w:p w14:paraId="1065720B" w14:textId="77777777" w:rsidR="007B6A71" w:rsidRDefault="007B6A71">
      <w:pPr>
        <w:pStyle w:val="BodyText"/>
        <w:spacing w:before="2"/>
        <w:rPr>
          <w:sz w:val="16"/>
        </w:rPr>
      </w:pPr>
    </w:p>
    <w:p w14:paraId="1ED4CD97" w14:textId="77777777" w:rsidR="007B6A71" w:rsidRDefault="00CE1F16">
      <w:pPr>
        <w:pStyle w:val="BodyText"/>
        <w:spacing w:before="90"/>
        <w:ind w:left="1180"/>
      </w:pPr>
      <w:r>
        <w:t>each delta a single indicative average value is assumed, except where stated otherwise,</w:t>
      </w:r>
      <w:r>
        <w:rPr>
          <w:spacing w:val="-15"/>
        </w:rPr>
        <w:t xml:space="preserve"> </w:t>
      </w:r>
      <w:r>
        <w:t>covering</w:t>
      </w:r>
    </w:p>
    <w:p w14:paraId="64DFD92B" w14:textId="77777777" w:rsidR="007B6A71" w:rsidRDefault="007B6A71">
      <w:pPr>
        <w:pStyle w:val="BodyText"/>
        <w:spacing w:before="2"/>
        <w:rPr>
          <w:sz w:val="16"/>
        </w:rPr>
      </w:pPr>
    </w:p>
    <w:p w14:paraId="7A9B331D" w14:textId="77777777" w:rsidR="007B6A71" w:rsidRDefault="00CE1F16">
      <w:pPr>
        <w:pStyle w:val="BodyText"/>
        <w:spacing w:before="90" w:line="465" w:lineRule="auto"/>
        <w:ind w:left="1180" w:right="556"/>
      </w:pPr>
      <w:r>
        <w:t>a similar time period to the sea-level measurements. For 40 of the more populated deltas, data is based on that developed by Ericson et al</w:t>
      </w:r>
      <w:r>
        <w:rPr>
          <w:position w:val="9"/>
          <w:sz w:val="16"/>
        </w:rPr>
        <w:t>13</w:t>
      </w:r>
      <w:r>
        <w:t>, with a few corre</w:t>
      </w:r>
      <w:r>
        <w:t>ctions. These include the Ganges- Brahmaputra delta where the value is taken from Brown and Nicholls</w:t>
      </w:r>
      <w:r>
        <w:rPr>
          <w:position w:val="9"/>
          <w:sz w:val="16"/>
        </w:rPr>
        <w:t>42</w:t>
      </w:r>
      <w:r>
        <w:t>, the Mekong delta from</w:t>
      </w:r>
    </w:p>
    <w:p w14:paraId="2F04E057" w14:textId="77777777" w:rsidR="007B6A71" w:rsidRDefault="00CE1F16">
      <w:pPr>
        <w:pStyle w:val="BodyText"/>
        <w:tabs>
          <w:tab w:val="left" w:pos="1180"/>
        </w:tabs>
        <w:spacing w:before="4" w:line="472" w:lineRule="auto"/>
        <w:ind w:left="1180" w:right="482" w:hanging="1081"/>
      </w:pPr>
      <w:r>
        <w:t>390</w:t>
      </w:r>
      <w:r>
        <w:tab/>
        <w:t>Erban et al</w:t>
      </w:r>
      <w:r>
        <w:rPr>
          <w:position w:val="9"/>
          <w:sz w:val="16"/>
        </w:rPr>
        <w:t xml:space="preserve">43 </w:t>
      </w:r>
      <w:r>
        <w:t>and Minderhoud et al</w:t>
      </w:r>
      <w:r>
        <w:rPr>
          <w:position w:val="9"/>
          <w:sz w:val="16"/>
        </w:rPr>
        <w:t>44</w:t>
      </w:r>
      <w:r>
        <w:t>, the North Italian Plain from Tos et al</w:t>
      </w:r>
      <w:r>
        <w:rPr>
          <w:position w:val="9"/>
          <w:sz w:val="16"/>
        </w:rPr>
        <w:t xml:space="preserve">45 </w:t>
      </w:r>
      <w:r>
        <w:t>and the Pearl River delta from Wang et al</w:t>
      </w:r>
      <w:r>
        <w:rPr>
          <w:position w:val="9"/>
          <w:sz w:val="16"/>
        </w:rPr>
        <w:t>46</w:t>
      </w:r>
      <w:r>
        <w:t>. Fo</w:t>
      </w:r>
      <w:r>
        <w:t>r the other 77 deltas, where there is little or no data, a minimum</w:t>
      </w:r>
      <w:r>
        <w:rPr>
          <w:spacing w:val="-18"/>
        </w:rPr>
        <w:t xml:space="preserve"> </w:t>
      </w:r>
      <w:r>
        <w:t>value of subsidence is assumed in all cases at 1 mm/yr, following the estimates of Meckel et al</w:t>
      </w:r>
      <w:r>
        <w:rPr>
          <w:position w:val="9"/>
          <w:sz w:val="16"/>
        </w:rPr>
        <w:t xml:space="preserve">47 </w:t>
      </w:r>
      <w:r>
        <w:t>. The delta extent is linked to the DIVA segments. Supplementary Table 1 summarises the del</w:t>
      </w:r>
      <w:r>
        <w:t>tas considered and subsidence values used.</w:t>
      </w:r>
    </w:p>
    <w:p w14:paraId="691F265F" w14:textId="77777777" w:rsidR="007B6A71" w:rsidRDefault="00CE1F16">
      <w:pPr>
        <w:pStyle w:val="BodyText"/>
        <w:spacing w:before="11"/>
        <w:ind w:left="100"/>
      </w:pPr>
      <w:r>
        <w:t>395</w:t>
      </w:r>
    </w:p>
    <w:p w14:paraId="6B0FF043" w14:textId="77777777" w:rsidR="007B6A71" w:rsidRDefault="007B6A71">
      <w:pPr>
        <w:pStyle w:val="BodyText"/>
        <w:spacing w:before="4"/>
        <w:rPr>
          <w:sz w:val="20"/>
        </w:rPr>
      </w:pPr>
    </w:p>
    <w:p w14:paraId="5D812DCE" w14:textId="77777777" w:rsidR="007B6A71" w:rsidRDefault="00CE1F16">
      <w:pPr>
        <w:pStyle w:val="Heading2"/>
      </w:pPr>
      <w:r>
        <w:t>Coastal city subsidence</w:t>
      </w:r>
    </w:p>
    <w:p w14:paraId="3FC70E3B" w14:textId="77777777" w:rsidR="007B6A71" w:rsidRDefault="007B6A71">
      <w:pPr>
        <w:pStyle w:val="BodyText"/>
        <w:spacing w:before="6"/>
        <w:rPr>
          <w:b/>
          <w:sz w:val="25"/>
        </w:rPr>
      </w:pPr>
    </w:p>
    <w:p w14:paraId="5279B178" w14:textId="77777777" w:rsidR="007B6A71" w:rsidRDefault="00CE1F16">
      <w:pPr>
        <w:pStyle w:val="BodyText"/>
        <w:spacing w:before="1" w:line="465" w:lineRule="auto"/>
        <w:ind w:left="1180" w:right="535"/>
      </w:pPr>
      <w:r>
        <w:t>The set of 136 coastal cities with more than one million people in 2005 as identified by Nicholls et al</w:t>
      </w:r>
      <w:r>
        <w:rPr>
          <w:position w:val="9"/>
          <w:sz w:val="16"/>
        </w:rPr>
        <w:t xml:space="preserve">34 </w:t>
      </w:r>
      <w:r>
        <w:t>and Hallegatte et al</w:t>
      </w:r>
      <w:r>
        <w:rPr>
          <w:position w:val="9"/>
          <w:sz w:val="16"/>
        </w:rPr>
        <w:t xml:space="preserve">48 </w:t>
      </w:r>
      <w:r>
        <w:t>are considered in this analysis, with two additional coastal cities</w:t>
      </w:r>
    </w:p>
    <w:p w14:paraId="219A1FBD" w14:textId="77777777" w:rsidR="007B6A71" w:rsidRDefault="00CE1F16">
      <w:pPr>
        <w:pStyle w:val="BodyText"/>
        <w:spacing w:before="17"/>
        <w:ind w:left="1180"/>
      </w:pPr>
      <w:r>
        <w:t>within Indonesia which exceed the population threshold and are known to be subsiding:</w:t>
      </w:r>
    </w:p>
    <w:p w14:paraId="30C052A7" w14:textId="77777777" w:rsidR="007B6A71" w:rsidRDefault="007B6A71">
      <w:pPr>
        <w:pStyle w:val="BodyText"/>
        <w:spacing w:before="8"/>
        <w:rPr>
          <w:sz w:val="22"/>
        </w:rPr>
      </w:pPr>
    </w:p>
    <w:p w14:paraId="5D2FA4F6" w14:textId="77777777" w:rsidR="007B6A71" w:rsidRDefault="00CE1F16">
      <w:pPr>
        <w:pStyle w:val="BodyText"/>
        <w:tabs>
          <w:tab w:val="left" w:pos="1180"/>
        </w:tabs>
        <w:ind w:left="100"/>
      </w:pPr>
      <w:r>
        <w:t>400</w:t>
      </w:r>
      <w:r>
        <w:tab/>
        <w:t>Semarang and Medan</w:t>
      </w:r>
      <w:r>
        <w:rPr>
          <w:position w:val="9"/>
          <w:sz w:val="16"/>
        </w:rPr>
        <w:t>49</w:t>
      </w:r>
      <w:r>
        <w:t>. These large cities are considered in the analysis as they include</w:t>
      </w:r>
      <w:r>
        <w:rPr>
          <w:spacing w:val="-11"/>
        </w:rPr>
        <w:t xml:space="preserve"> </w:t>
      </w:r>
      <w:r>
        <w:t>the</w:t>
      </w:r>
    </w:p>
    <w:p w14:paraId="07D85879" w14:textId="77777777" w:rsidR="007B6A71" w:rsidRDefault="007B6A71">
      <w:pPr>
        <w:pStyle w:val="BodyText"/>
        <w:spacing w:before="2"/>
        <w:rPr>
          <w:sz w:val="16"/>
        </w:rPr>
      </w:pPr>
    </w:p>
    <w:p w14:paraId="11C6CB0A" w14:textId="77777777" w:rsidR="007B6A71" w:rsidRDefault="00CE1F16">
      <w:pPr>
        <w:pStyle w:val="BodyText"/>
        <w:spacing w:before="90" w:line="480" w:lineRule="auto"/>
        <w:ind w:left="1180" w:right="463"/>
      </w:pPr>
      <w:r>
        <w:t>larg</w:t>
      </w:r>
      <w:r>
        <w:t>est urban populations and the largest observed subsidence is reported in some of them as summarised in Supplementary Table 2. It is found that of these 138 cities, 36 cities are situated wholly or partly on deltaic/alluvial deposits which may subside due t</w:t>
      </w:r>
      <w:r>
        <w:t>o subsurface fluid withdrawal and/or drainage. In each case, the additional subsidence beyond that captured in the</w:t>
      </w:r>
    </w:p>
    <w:p w14:paraId="1267F123" w14:textId="77777777" w:rsidR="007B6A71" w:rsidRDefault="00CE1F16">
      <w:pPr>
        <w:pStyle w:val="BodyText"/>
        <w:tabs>
          <w:tab w:val="left" w:pos="1180"/>
        </w:tabs>
        <w:spacing w:before="1"/>
        <w:ind w:left="100"/>
      </w:pPr>
      <w:r>
        <w:t>405</w:t>
      </w:r>
      <w:r>
        <w:tab/>
      </w:r>
      <w:r>
        <w:t>delta subsidence estimates (Supplementary Table 1) is estimated based on a survey of</w:t>
      </w:r>
      <w:r>
        <w:rPr>
          <w:spacing w:val="-11"/>
        </w:rPr>
        <w:t xml:space="preserve"> </w:t>
      </w:r>
      <w:r>
        <w:t>the</w:t>
      </w:r>
    </w:p>
    <w:p w14:paraId="389A8F87" w14:textId="77777777" w:rsidR="007B6A71" w:rsidRDefault="007B6A71">
      <w:pPr>
        <w:pStyle w:val="BodyText"/>
        <w:spacing w:before="2"/>
        <w:rPr>
          <w:sz w:val="16"/>
        </w:rPr>
      </w:pPr>
    </w:p>
    <w:p w14:paraId="1C80F048" w14:textId="77777777" w:rsidR="007B6A71" w:rsidRDefault="00CE1F16">
      <w:pPr>
        <w:pStyle w:val="BodyText"/>
        <w:spacing w:before="90"/>
        <w:ind w:left="1180"/>
      </w:pPr>
      <w:r>
        <w:t>available literature or expert judgement if required. Given the wide range of values of subsidence</w:t>
      </w:r>
    </w:p>
    <w:p w14:paraId="198EC384" w14:textId="77777777" w:rsidR="007B6A71" w:rsidRDefault="007B6A71">
      <w:pPr>
        <w:sectPr w:rsidR="007B6A71">
          <w:pgSz w:w="12240" w:h="15840"/>
          <w:pgMar w:top="1380" w:right="1000" w:bottom="1760" w:left="260" w:header="0" w:footer="1538" w:gutter="0"/>
          <w:cols w:space="720"/>
        </w:sectPr>
      </w:pPr>
    </w:p>
    <w:p w14:paraId="14EF4BC3" w14:textId="77777777" w:rsidR="007B6A71" w:rsidRDefault="00CE1F16">
      <w:pPr>
        <w:pStyle w:val="BodyText"/>
        <w:spacing w:before="74" w:line="480" w:lineRule="auto"/>
        <w:ind w:left="1180" w:right="476"/>
      </w:pPr>
      <w:r>
        <w:lastRenderedPageBreak/>
        <w:t>reported, a low and a high estimate of average subsid</w:t>
      </w:r>
      <w:r>
        <w:t>ence are made to represent the uncertainty. These are applied as indicative average estimates across the subsiding area in each city. These estimates of subsidence covering a similar time period to the sea-level measurements. The extent</w:t>
      </w:r>
    </w:p>
    <w:p w14:paraId="3B3A4325" w14:textId="77777777" w:rsidR="007B6A71" w:rsidRDefault="00CE1F16">
      <w:pPr>
        <w:pStyle w:val="BodyText"/>
        <w:tabs>
          <w:tab w:val="left" w:pos="1180"/>
        </w:tabs>
        <w:spacing w:before="1"/>
        <w:ind w:left="100"/>
      </w:pPr>
      <w:r>
        <w:t>410</w:t>
      </w:r>
      <w:r>
        <w:tab/>
        <w:t>of subsidence i</w:t>
      </w:r>
      <w:r>
        <w:t>n each city is defined by the extent of Holocene deposits, which in turn is</w:t>
      </w:r>
      <w:r>
        <w:rPr>
          <w:spacing w:val="-8"/>
        </w:rPr>
        <w:t xml:space="preserve"> </w:t>
      </w:r>
      <w:r>
        <w:t>linked</w:t>
      </w:r>
    </w:p>
    <w:p w14:paraId="452EAAF9" w14:textId="77777777" w:rsidR="007B6A71" w:rsidRDefault="007B6A71">
      <w:pPr>
        <w:pStyle w:val="BodyText"/>
        <w:spacing w:before="2"/>
        <w:rPr>
          <w:sz w:val="16"/>
        </w:rPr>
      </w:pPr>
    </w:p>
    <w:p w14:paraId="2A61E5B4" w14:textId="77777777" w:rsidR="007B6A71" w:rsidRDefault="00CE1F16">
      <w:pPr>
        <w:pStyle w:val="BodyText"/>
        <w:spacing w:before="90" w:line="480" w:lineRule="auto"/>
        <w:ind w:left="1180" w:right="462"/>
      </w:pPr>
      <w:r>
        <w:t>to the DIVA segments (i.e., subsidence is not applied to the entire city unless this is appropriate). These estimates are designed to represent average subsidence values ac</w:t>
      </w:r>
      <w:r>
        <w:t>ross the whole subsiding area within each city. Supplementary Table 2 summarises the coastal cites considered and the subsidence values used.</w:t>
      </w:r>
    </w:p>
    <w:p w14:paraId="08B5FCAA" w14:textId="77777777" w:rsidR="007B6A71" w:rsidRDefault="00CE1F16">
      <w:pPr>
        <w:pStyle w:val="BodyText"/>
        <w:ind w:left="100"/>
      </w:pPr>
      <w:r>
        <w:t>415</w:t>
      </w:r>
    </w:p>
    <w:p w14:paraId="48AACA2B" w14:textId="77777777" w:rsidR="007B6A71" w:rsidRDefault="007B6A71">
      <w:pPr>
        <w:pStyle w:val="BodyText"/>
        <w:spacing w:before="4"/>
        <w:rPr>
          <w:sz w:val="20"/>
        </w:rPr>
      </w:pPr>
    </w:p>
    <w:p w14:paraId="5B1AA73D" w14:textId="77777777" w:rsidR="007B6A71" w:rsidRDefault="00CE1F16">
      <w:pPr>
        <w:pStyle w:val="Heading2"/>
        <w:spacing w:before="89"/>
      </w:pPr>
      <w:r>
        <w:t>Socio-economic Scenarios</w:t>
      </w:r>
    </w:p>
    <w:p w14:paraId="288EC446" w14:textId="77777777" w:rsidR="007B6A71" w:rsidRDefault="007B6A71">
      <w:pPr>
        <w:pStyle w:val="BodyText"/>
        <w:spacing w:before="7"/>
        <w:rPr>
          <w:b/>
          <w:sz w:val="17"/>
        </w:rPr>
      </w:pPr>
    </w:p>
    <w:p w14:paraId="080C879A" w14:textId="77777777" w:rsidR="007B6A71" w:rsidRDefault="007B6A71">
      <w:pPr>
        <w:rPr>
          <w:sz w:val="17"/>
        </w:rPr>
        <w:sectPr w:rsidR="007B6A71">
          <w:pgSz w:w="12240" w:h="15840"/>
          <w:pgMar w:top="1360" w:right="1000" w:bottom="1800" w:left="260" w:header="0" w:footer="1538" w:gutter="0"/>
          <w:cols w:space="720"/>
        </w:sectPr>
      </w:pPr>
    </w:p>
    <w:p w14:paraId="63BACE13" w14:textId="77777777" w:rsidR="007B6A71" w:rsidRDefault="007B6A71">
      <w:pPr>
        <w:pStyle w:val="BodyText"/>
        <w:rPr>
          <w:b/>
          <w:sz w:val="26"/>
        </w:rPr>
      </w:pPr>
    </w:p>
    <w:p w14:paraId="10809269" w14:textId="77777777" w:rsidR="007B6A71" w:rsidRDefault="007B6A71">
      <w:pPr>
        <w:pStyle w:val="BodyText"/>
        <w:rPr>
          <w:b/>
          <w:sz w:val="26"/>
        </w:rPr>
      </w:pPr>
    </w:p>
    <w:p w14:paraId="2F7D8203" w14:textId="77777777" w:rsidR="007B6A71" w:rsidRDefault="007B6A71">
      <w:pPr>
        <w:pStyle w:val="BodyText"/>
        <w:rPr>
          <w:b/>
          <w:sz w:val="26"/>
        </w:rPr>
      </w:pPr>
    </w:p>
    <w:p w14:paraId="7CF18BF2" w14:textId="77777777" w:rsidR="007B6A71" w:rsidRDefault="007B6A71">
      <w:pPr>
        <w:pStyle w:val="BodyText"/>
        <w:rPr>
          <w:b/>
          <w:sz w:val="26"/>
        </w:rPr>
      </w:pPr>
    </w:p>
    <w:p w14:paraId="5992C177" w14:textId="77777777" w:rsidR="007B6A71" w:rsidRDefault="007B6A71">
      <w:pPr>
        <w:pStyle w:val="BodyText"/>
        <w:rPr>
          <w:b/>
          <w:sz w:val="26"/>
        </w:rPr>
      </w:pPr>
    </w:p>
    <w:p w14:paraId="6E14EA7D" w14:textId="77777777" w:rsidR="007B6A71" w:rsidRDefault="007B6A71">
      <w:pPr>
        <w:pStyle w:val="BodyText"/>
        <w:spacing w:before="10"/>
        <w:rPr>
          <w:b/>
          <w:sz w:val="21"/>
        </w:rPr>
      </w:pPr>
    </w:p>
    <w:p w14:paraId="3374ABB5" w14:textId="77777777" w:rsidR="007B6A71" w:rsidRDefault="00CE1F16">
      <w:pPr>
        <w:pStyle w:val="BodyText"/>
        <w:ind w:left="100"/>
      </w:pPr>
      <w:r>
        <w:t>420</w:t>
      </w:r>
    </w:p>
    <w:p w14:paraId="1DEC009E" w14:textId="77777777" w:rsidR="007B6A71" w:rsidRDefault="007B6A71">
      <w:pPr>
        <w:pStyle w:val="BodyText"/>
        <w:rPr>
          <w:sz w:val="26"/>
        </w:rPr>
      </w:pPr>
    </w:p>
    <w:p w14:paraId="01E07A47" w14:textId="77777777" w:rsidR="007B6A71" w:rsidRDefault="007B6A71">
      <w:pPr>
        <w:pStyle w:val="BodyText"/>
        <w:rPr>
          <w:sz w:val="26"/>
        </w:rPr>
      </w:pPr>
    </w:p>
    <w:p w14:paraId="1BBFB735" w14:textId="77777777" w:rsidR="007B6A71" w:rsidRDefault="007B6A71">
      <w:pPr>
        <w:pStyle w:val="BodyText"/>
        <w:rPr>
          <w:sz w:val="26"/>
        </w:rPr>
      </w:pPr>
    </w:p>
    <w:p w14:paraId="24E435B0" w14:textId="77777777" w:rsidR="007B6A71" w:rsidRDefault="007B6A71">
      <w:pPr>
        <w:pStyle w:val="BodyText"/>
        <w:rPr>
          <w:sz w:val="26"/>
        </w:rPr>
      </w:pPr>
    </w:p>
    <w:p w14:paraId="61EC6BB7" w14:textId="77777777" w:rsidR="007B6A71" w:rsidRDefault="007B6A71">
      <w:pPr>
        <w:pStyle w:val="BodyText"/>
        <w:rPr>
          <w:sz w:val="26"/>
        </w:rPr>
      </w:pPr>
    </w:p>
    <w:p w14:paraId="45ED2FF6" w14:textId="77777777" w:rsidR="007B6A71" w:rsidRDefault="007B6A71">
      <w:pPr>
        <w:pStyle w:val="BodyText"/>
        <w:rPr>
          <w:sz w:val="26"/>
        </w:rPr>
      </w:pPr>
    </w:p>
    <w:p w14:paraId="3755BA19" w14:textId="77777777" w:rsidR="007B6A71" w:rsidRDefault="007B6A71">
      <w:pPr>
        <w:pStyle w:val="BodyText"/>
        <w:rPr>
          <w:sz w:val="26"/>
        </w:rPr>
      </w:pPr>
    </w:p>
    <w:p w14:paraId="6ED120BA" w14:textId="77777777" w:rsidR="007B6A71" w:rsidRDefault="007B6A71">
      <w:pPr>
        <w:pStyle w:val="BodyText"/>
        <w:spacing w:before="10"/>
        <w:rPr>
          <w:sz w:val="33"/>
        </w:rPr>
      </w:pPr>
    </w:p>
    <w:p w14:paraId="67E182FE" w14:textId="77777777" w:rsidR="007B6A71" w:rsidRDefault="00CE1F16">
      <w:pPr>
        <w:pStyle w:val="BodyText"/>
        <w:ind w:left="100"/>
      </w:pPr>
      <w:r>
        <w:t>425</w:t>
      </w:r>
    </w:p>
    <w:p w14:paraId="516B3B31" w14:textId="77777777" w:rsidR="007B6A71" w:rsidRDefault="00CE1F16">
      <w:pPr>
        <w:pStyle w:val="BodyText"/>
        <w:spacing w:before="90" w:line="472" w:lineRule="auto"/>
        <w:ind w:left="100" w:right="488"/>
      </w:pPr>
      <w:r>
        <w:br w:type="column"/>
      </w:r>
      <w:r>
        <w:t>Population exposure is obtained by overlaying Shuttle Radar Topography Mission (SRTM) elevation data</w:t>
      </w:r>
      <w:r>
        <w:rPr>
          <w:position w:val="9"/>
          <w:sz w:val="16"/>
        </w:rPr>
        <w:t xml:space="preserve">50,51 </w:t>
      </w:r>
      <w:r>
        <w:t>with Global Rural-Urban Mapping Project (GRUMP) population data</w:t>
      </w:r>
      <w:r>
        <w:rPr>
          <w:position w:val="9"/>
          <w:sz w:val="16"/>
        </w:rPr>
        <w:t>52</w:t>
      </w:r>
      <w:r>
        <w:t>, using resampling methods</w:t>
      </w:r>
      <w:r>
        <w:rPr>
          <w:position w:val="9"/>
          <w:sz w:val="16"/>
        </w:rPr>
        <w:t>39</w:t>
      </w:r>
      <w:r>
        <w:t>. As coastal urbanization trends play a major role in the</w:t>
      </w:r>
      <w:r>
        <w:t xml:space="preserve"> population exposure analysis in this study, we use five regionalized population growth projections</w:t>
      </w:r>
      <w:r>
        <w:rPr>
          <w:position w:val="9"/>
          <w:sz w:val="16"/>
        </w:rPr>
        <w:t xml:space="preserve">39 </w:t>
      </w:r>
      <w:r>
        <w:t>based on the Shared Socio-economic Pathways (SSP2)</w:t>
      </w:r>
      <w:r>
        <w:rPr>
          <w:position w:val="9"/>
          <w:sz w:val="16"/>
        </w:rPr>
        <w:t>23,53-55</w:t>
      </w:r>
      <w:r>
        <w:t>. As the population projections do not differ much until the middle of the 21st century, we only</w:t>
      </w:r>
      <w:r>
        <w:t xml:space="preserve"> report the one based on the middle-of- the road scenario from the Shared Socio-economic Pathways (SSP2) in the main paper. Results for other population projections are shown in the Extended Data. We note that other population datasets would lead to differ</w:t>
      </w:r>
      <w:r>
        <w:t>ent quantitative outputs as demonstrated in the analysis of Hinkel et al</w:t>
      </w:r>
      <w:r>
        <w:rPr>
          <w:position w:val="9"/>
          <w:sz w:val="16"/>
        </w:rPr>
        <w:t>31</w:t>
      </w:r>
      <w:r>
        <w:t xml:space="preserve">. However, the main results in the article based on population weighting are unlikely to be sensitive to these differences as the relative distribution of population along the coast </w:t>
      </w:r>
      <w:r>
        <w:t>is common to all global population datasets.</w:t>
      </w:r>
    </w:p>
    <w:p w14:paraId="19CA9661" w14:textId="77777777" w:rsidR="007B6A71" w:rsidRDefault="007B6A71">
      <w:pPr>
        <w:spacing w:line="472" w:lineRule="auto"/>
        <w:sectPr w:rsidR="007B6A71">
          <w:type w:val="continuous"/>
          <w:pgSz w:w="12240" w:h="15840"/>
          <w:pgMar w:top="1360" w:right="1000" w:bottom="1720" w:left="260" w:header="720" w:footer="720" w:gutter="0"/>
          <w:cols w:num="2" w:space="720" w:equalWidth="0">
            <w:col w:w="501" w:space="580"/>
            <w:col w:w="9899"/>
          </w:cols>
        </w:sectPr>
      </w:pPr>
    </w:p>
    <w:p w14:paraId="0BF7B6F9" w14:textId="77777777" w:rsidR="007B6A71" w:rsidRDefault="00CE1F16">
      <w:pPr>
        <w:pStyle w:val="BodyText"/>
        <w:tabs>
          <w:tab w:val="left" w:pos="1180"/>
        </w:tabs>
        <w:spacing w:before="74"/>
        <w:ind w:left="100"/>
      </w:pPr>
      <w:r>
        <w:lastRenderedPageBreak/>
        <w:t>430</w:t>
      </w:r>
      <w:r>
        <w:tab/>
        <w:t>In terms of population statistics, we consider the population living below the 10 m contour</w:t>
      </w:r>
      <w:r>
        <w:rPr>
          <w:spacing w:val="-11"/>
        </w:rPr>
        <w:t xml:space="preserve"> </w:t>
      </w:r>
      <w:r>
        <w:t>in</w:t>
      </w:r>
    </w:p>
    <w:p w14:paraId="3933169F" w14:textId="77777777" w:rsidR="007B6A71" w:rsidRDefault="007B6A71">
      <w:pPr>
        <w:pStyle w:val="BodyText"/>
        <w:spacing w:before="2"/>
        <w:rPr>
          <w:sz w:val="16"/>
        </w:rPr>
      </w:pPr>
    </w:p>
    <w:p w14:paraId="77F79305" w14:textId="77777777" w:rsidR="007B6A71" w:rsidRDefault="00CE1F16">
      <w:pPr>
        <w:pStyle w:val="BodyText"/>
        <w:spacing w:before="90" w:line="480" w:lineRule="auto"/>
        <w:ind w:left="1180" w:right="428"/>
      </w:pPr>
      <w:r>
        <w:t>2015 for the population weighting of sea-level rise comprising 768 million people. To es</w:t>
      </w:r>
      <w:r>
        <w:t>timate population exposure to coastal flooding we also consider the coastal flood plain population living below the 100-year flood elevation which is dynamic in time due to relative sea-level change and population change. This population was 235 million pe</w:t>
      </w:r>
      <w:r>
        <w:t>ople in 2015.</w:t>
      </w:r>
    </w:p>
    <w:p w14:paraId="6FD02F09" w14:textId="77777777" w:rsidR="007B6A71" w:rsidRDefault="00CE1F16">
      <w:pPr>
        <w:pStyle w:val="BodyText"/>
        <w:spacing w:before="1"/>
        <w:ind w:left="100"/>
      </w:pPr>
      <w:r>
        <w:t>435</w:t>
      </w:r>
    </w:p>
    <w:p w14:paraId="20A94ECD" w14:textId="77777777" w:rsidR="007B6A71" w:rsidRDefault="007B6A71">
      <w:pPr>
        <w:pStyle w:val="BodyText"/>
        <w:spacing w:before="3"/>
        <w:rPr>
          <w:sz w:val="20"/>
        </w:rPr>
      </w:pPr>
    </w:p>
    <w:p w14:paraId="1A40E2EB" w14:textId="77777777" w:rsidR="007B6A71" w:rsidRDefault="007B6A71">
      <w:pPr>
        <w:rPr>
          <w:sz w:val="20"/>
        </w:rPr>
        <w:sectPr w:rsidR="007B6A71">
          <w:pgSz w:w="12240" w:h="15840"/>
          <w:pgMar w:top="1360" w:right="1000" w:bottom="1800" w:left="260" w:header="0" w:footer="1538" w:gutter="0"/>
          <w:cols w:space="720"/>
        </w:sectPr>
      </w:pPr>
    </w:p>
    <w:p w14:paraId="464E200C" w14:textId="77777777" w:rsidR="007B6A71" w:rsidRDefault="007B6A71">
      <w:pPr>
        <w:pStyle w:val="BodyText"/>
        <w:rPr>
          <w:sz w:val="26"/>
        </w:rPr>
      </w:pPr>
    </w:p>
    <w:p w14:paraId="3E303B8F" w14:textId="77777777" w:rsidR="007B6A71" w:rsidRDefault="007B6A71">
      <w:pPr>
        <w:pStyle w:val="BodyText"/>
        <w:rPr>
          <w:sz w:val="26"/>
        </w:rPr>
      </w:pPr>
    </w:p>
    <w:p w14:paraId="5B69B690" w14:textId="77777777" w:rsidR="007B6A71" w:rsidRDefault="007B6A71">
      <w:pPr>
        <w:pStyle w:val="BodyText"/>
        <w:rPr>
          <w:sz w:val="26"/>
        </w:rPr>
      </w:pPr>
    </w:p>
    <w:p w14:paraId="018D9572" w14:textId="77777777" w:rsidR="007B6A71" w:rsidRDefault="007B6A71">
      <w:pPr>
        <w:pStyle w:val="BodyText"/>
        <w:rPr>
          <w:sz w:val="26"/>
        </w:rPr>
      </w:pPr>
    </w:p>
    <w:p w14:paraId="2FAAF5CE" w14:textId="77777777" w:rsidR="007B6A71" w:rsidRDefault="007B6A71">
      <w:pPr>
        <w:pStyle w:val="BodyText"/>
        <w:rPr>
          <w:sz w:val="26"/>
        </w:rPr>
      </w:pPr>
    </w:p>
    <w:p w14:paraId="4CA4ACF0" w14:textId="77777777" w:rsidR="007B6A71" w:rsidRDefault="007B6A71">
      <w:pPr>
        <w:pStyle w:val="BodyText"/>
        <w:rPr>
          <w:sz w:val="26"/>
        </w:rPr>
      </w:pPr>
    </w:p>
    <w:p w14:paraId="648B5501" w14:textId="77777777" w:rsidR="007B6A71" w:rsidRDefault="007B6A71">
      <w:pPr>
        <w:pStyle w:val="BodyText"/>
        <w:rPr>
          <w:sz w:val="26"/>
        </w:rPr>
      </w:pPr>
    </w:p>
    <w:p w14:paraId="5048F967" w14:textId="77777777" w:rsidR="007B6A71" w:rsidRDefault="007B6A71">
      <w:pPr>
        <w:pStyle w:val="BodyText"/>
        <w:spacing w:before="3"/>
        <w:rPr>
          <w:sz w:val="21"/>
        </w:rPr>
      </w:pPr>
    </w:p>
    <w:p w14:paraId="1A94CFCB" w14:textId="77777777" w:rsidR="007B6A71" w:rsidRDefault="00CE1F16">
      <w:pPr>
        <w:pStyle w:val="BodyText"/>
        <w:ind w:left="100"/>
      </w:pPr>
      <w:r>
        <w:t>440</w:t>
      </w:r>
    </w:p>
    <w:p w14:paraId="59F45D63" w14:textId="77777777" w:rsidR="007B6A71" w:rsidRDefault="007B6A71">
      <w:pPr>
        <w:pStyle w:val="BodyText"/>
        <w:rPr>
          <w:sz w:val="26"/>
        </w:rPr>
      </w:pPr>
    </w:p>
    <w:p w14:paraId="0EAF731D" w14:textId="77777777" w:rsidR="007B6A71" w:rsidRDefault="007B6A71">
      <w:pPr>
        <w:pStyle w:val="BodyText"/>
        <w:rPr>
          <w:sz w:val="26"/>
        </w:rPr>
      </w:pPr>
    </w:p>
    <w:p w14:paraId="7BDFD255" w14:textId="77777777" w:rsidR="007B6A71" w:rsidRDefault="007B6A71">
      <w:pPr>
        <w:pStyle w:val="BodyText"/>
        <w:rPr>
          <w:sz w:val="26"/>
        </w:rPr>
      </w:pPr>
    </w:p>
    <w:p w14:paraId="54950CED" w14:textId="77777777" w:rsidR="007B6A71" w:rsidRDefault="007B6A71">
      <w:pPr>
        <w:pStyle w:val="BodyText"/>
        <w:rPr>
          <w:sz w:val="26"/>
        </w:rPr>
      </w:pPr>
    </w:p>
    <w:p w14:paraId="751DB849" w14:textId="77777777" w:rsidR="007B6A71" w:rsidRDefault="007B6A71">
      <w:pPr>
        <w:pStyle w:val="BodyText"/>
        <w:rPr>
          <w:sz w:val="26"/>
        </w:rPr>
      </w:pPr>
    </w:p>
    <w:p w14:paraId="1033C0B5" w14:textId="77777777" w:rsidR="007B6A71" w:rsidRDefault="007B6A71">
      <w:pPr>
        <w:pStyle w:val="BodyText"/>
        <w:rPr>
          <w:sz w:val="26"/>
        </w:rPr>
      </w:pPr>
    </w:p>
    <w:p w14:paraId="2C74A0B8" w14:textId="77777777" w:rsidR="007B6A71" w:rsidRDefault="007B6A71">
      <w:pPr>
        <w:pStyle w:val="BodyText"/>
        <w:rPr>
          <w:sz w:val="26"/>
        </w:rPr>
      </w:pPr>
    </w:p>
    <w:p w14:paraId="114678D4" w14:textId="77777777" w:rsidR="007B6A71" w:rsidRDefault="007B6A71">
      <w:pPr>
        <w:pStyle w:val="BodyText"/>
        <w:rPr>
          <w:sz w:val="26"/>
        </w:rPr>
      </w:pPr>
    </w:p>
    <w:p w14:paraId="57962984" w14:textId="77777777" w:rsidR="007B6A71" w:rsidRDefault="00CE1F16">
      <w:pPr>
        <w:pStyle w:val="BodyText"/>
        <w:spacing w:before="184"/>
        <w:ind w:left="100"/>
      </w:pPr>
      <w:r>
        <w:t>445</w:t>
      </w:r>
    </w:p>
    <w:p w14:paraId="36C39840" w14:textId="77777777" w:rsidR="007B6A71" w:rsidRDefault="007B6A71">
      <w:pPr>
        <w:pStyle w:val="BodyText"/>
        <w:rPr>
          <w:sz w:val="26"/>
        </w:rPr>
      </w:pPr>
    </w:p>
    <w:p w14:paraId="08B4AD4A" w14:textId="77777777" w:rsidR="007B6A71" w:rsidRDefault="007B6A71">
      <w:pPr>
        <w:pStyle w:val="BodyText"/>
        <w:rPr>
          <w:sz w:val="26"/>
        </w:rPr>
      </w:pPr>
    </w:p>
    <w:p w14:paraId="1668A1CA" w14:textId="77777777" w:rsidR="007B6A71" w:rsidRDefault="007B6A71">
      <w:pPr>
        <w:pStyle w:val="BodyText"/>
        <w:rPr>
          <w:sz w:val="26"/>
        </w:rPr>
      </w:pPr>
    </w:p>
    <w:p w14:paraId="471374CF" w14:textId="77777777" w:rsidR="007B6A71" w:rsidRDefault="007B6A71">
      <w:pPr>
        <w:pStyle w:val="BodyText"/>
        <w:rPr>
          <w:sz w:val="26"/>
        </w:rPr>
      </w:pPr>
    </w:p>
    <w:p w14:paraId="50750C67" w14:textId="77777777" w:rsidR="007B6A71" w:rsidRDefault="007B6A71">
      <w:pPr>
        <w:pStyle w:val="BodyText"/>
        <w:rPr>
          <w:sz w:val="26"/>
        </w:rPr>
      </w:pPr>
    </w:p>
    <w:p w14:paraId="3569B824" w14:textId="77777777" w:rsidR="007B6A71" w:rsidRDefault="007B6A71">
      <w:pPr>
        <w:pStyle w:val="BodyText"/>
        <w:rPr>
          <w:sz w:val="26"/>
        </w:rPr>
      </w:pPr>
    </w:p>
    <w:p w14:paraId="33CA060F" w14:textId="77777777" w:rsidR="007B6A71" w:rsidRDefault="007B6A71">
      <w:pPr>
        <w:pStyle w:val="BodyText"/>
        <w:rPr>
          <w:sz w:val="26"/>
        </w:rPr>
      </w:pPr>
    </w:p>
    <w:p w14:paraId="68574424" w14:textId="77777777" w:rsidR="007B6A71" w:rsidRDefault="007B6A71">
      <w:pPr>
        <w:pStyle w:val="BodyText"/>
        <w:rPr>
          <w:sz w:val="26"/>
        </w:rPr>
      </w:pPr>
    </w:p>
    <w:p w14:paraId="76DDF8FC" w14:textId="77777777" w:rsidR="007B6A71" w:rsidRDefault="00CE1F16">
      <w:pPr>
        <w:pStyle w:val="BodyText"/>
        <w:spacing w:before="184"/>
        <w:ind w:left="100"/>
      </w:pPr>
      <w:r>
        <w:t>450</w:t>
      </w:r>
    </w:p>
    <w:p w14:paraId="3CA5C891" w14:textId="77777777" w:rsidR="007B6A71" w:rsidRDefault="00CE1F16">
      <w:pPr>
        <w:pStyle w:val="Heading2"/>
        <w:spacing w:before="89"/>
        <w:ind w:left="100"/>
      </w:pPr>
      <w:r>
        <w:rPr>
          <w:b w:val="0"/>
        </w:rPr>
        <w:br w:type="column"/>
      </w:r>
      <w:r>
        <w:t>Mean and extreme sea-level rise scenarios to 2050</w:t>
      </w:r>
    </w:p>
    <w:p w14:paraId="3F0C479B" w14:textId="77777777" w:rsidR="007B6A71" w:rsidRDefault="007B6A71">
      <w:pPr>
        <w:pStyle w:val="BodyText"/>
        <w:spacing w:before="2"/>
        <w:rPr>
          <w:b/>
        </w:rPr>
      </w:pPr>
    </w:p>
    <w:p w14:paraId="5523D27C" w14:textId="77777777" w:rsidR="007B6A71" w:rsidRDefault="00CE1F16">
      <w:pPr>
        <w:pStyle w:val="BodyText"/>
        <w:spacing w:line="465" w:lineRule="auto"/>
        <w:ind w:left="100" w:right="494"/>
      </w:pPr>
      <w:r>
        <w:t>For SLR projections we use three global-mean SLR scenarios taken from Hinkel et al</w:t>
      </w:r>
      <w:r>
        <w:rPr>
          <w:position w:val="9"/>
          <w:sz w:val="16"/>
        </w:rPr>
        <w:t>31</w:t>
      </w:r>
      <w:r>
        <w:t>: the 50th percentile of RCP2.6, RCP4.5 and RCP8.5 using the HadGEM-ES2 model</w:t>
      </w:r>
      <w:r>
        <w:rPr>
          <w:position w:val="9"/>
          <w:sz w:val="16"/>
        </w:rPr>
        <w:t>56</w:t>
      </w:r>
      <w:r>
        <w:t>. Extreme water levels are assumed to uniformly increase with SLR, following 20th century obs</w:t>
      </w:r>
      <w:r>
        <w:t>ervations</w:t>
      </w:r>
      <w:r>
        <w:rPr>
          <w:position w:val="9"/>
          <w:sz w:val="16"/>
        </w:rPr>
        <w:t>57</w:t>
      </w:r>
      <w:r>
        <w:t>.</w:t>
      </w:r>
    </w:p>
    <w:p w14:paraId="5A4EBC55" w14:textId="77777777" w:rsidR="007B6A71" w:rsidRDefault="00CE1F16">
      <w:pPr>
        <w:pStyle w:val="BodyText"/>
        <w:spacing w:before="4" w:line="465" w:lineRule="auto"/>
        <w:ind w:left="100" w:right="635"/>
      </w:pPr>
      <w:r>
        <w:t>Extreme water level distributions are taken from the GTSR database</w:t>
      </w:r>
      <w:r>
        <w:rPr>
          <w:position w:val="9"/>
          <w:sz w:val="16"/>
        </w:rPr>
        <w:t xml:space="preserve">58 </w:t>
      </w:r>
      <w:r>
        <w:t>and referenced to GeoID to be compatible with SRTM</w:t>
      </w:r>
      <w:r>
        <w:rPr>
          <w:spacing w:val="-1"/>
        </w:rPr>
        <w:t xml:space="preserve"> </w:t>
      </w:r>
      <w:r>
        <w:t>data</w:t>
      </w:r>
      <w:r>
        <w:rPr>
          <w:position w:val="9"/>
          <w:sz w:val="16"/>
        </w:rPr>
        <w:t>59</w:t>
      </w:r>
      <w:r>
        <w:t>.</w:t>
      </w:r>
    </w:p>
    <w:p w14:paraId="199BE831" w14:textId="77777777" w:rsidR="007B6A71" w:rsidRDefault="007B6A71">
      <w:pPr>
        <w:pStyle w:val="BodyText"/>
        <w:rPr>
          <w:sz w:val="28"/>
        </w:rPr>
      </w:pPr>
    </w:p>
    <w:p w14:paraId="0D275514" w14:textId="77777777" w:rsidR="007B6A71" w:rsidRDefault="007B6A71">
      <w:pPr>
        <w:pStyle w:val="BodyText"/>
        <w:spacing w:before="10"/>
        <w:rPr>
          <w:sz w:val="21"/>
        </w:rPr>
      </w:pPr>
    </w:p>
    <w:p w14:paraId="38F7995D" w14:textId="77777777" w:rsidR="007B6A71" w:rsidRDefault="00CE1F16">
      <w:pPr>
        <w:pStyle w:val="Heading1"/>
        <w:spacing w:before="1"/>
        <w:ind w:left="100"/>
      </w:pPr>
      <w:r>
        <w:t>Regional definitions</w:t>
      </w:r>
      <w:r>
        <w:rPr>
          <w:spacing w:val="-10"/>
        </w:rPr>
        <w:t xml:space="preserve"> </w:t>
      </w:r>
      <w:r>
        <w:t>utilised:</w:t>
      </w:r>
    </w:p>
    <w:p w14:paraId="0DC34800" w14:textId="77777777" w:rsidR="007B6A71" w:rsidRDefault="007B6A71">
      <w:pPr>
        <w:pStyle w:val="BodyText"/>
        <w:spacing w:before="7"/>
        <w:rPr>
          <w:b/>
          <w:sz w:val="27"/>
        </w:rPr>
      </w:pPr>
    </w:p>
    <w:p w14:paraId="17ADD8DB" w14:textId="77777777" w:rsidR="007B6A71" w:rsidRDefault="00CE1F16">
      <w:pPr>
        <w:pStyle w:val="BodyText"/>
        <w:spacing w:line="475" w:lineRule="auto"/>
        <w:ind w:left="100" w:right="461"/>
      </w:pPr>
      <w:r>
        <w:t>The 23 global coastal regions used in this study are defined by Future Earth Coas</w:t>
      </w:r>
      <w:r>
        <w:t>t, formerly Land Ocean Interactions in the Coastal Zone (LOICZ), and are similar to earlier regional definitions</w:t>
      </w:r>
      <w:r>
        <w:rPr>
          <w:position w:val="9"/>
          <w:sz w:val="16"/>
        </w:rPr>
        <w:t>60,61</w:t>
      </w:r>
      <w:r>
        <w:t>. These 23 regions divide the world’s coast into geographical subsets, as defined</w:t>
      </w:r>
      <w:r>
        <w:rPr>
          <w:spacing w:val="-22"/>
        </w:rPr>
        <w:t xml:space="preserve"> </w:t>
      </w:r>
      <w:r>
        <w:t>in Supplementary Table</w:t>
      </w:r>
      <w:r>
        <w:rPr>
          <w:spacing w:val="-4"/>
        </w:rPr>
        <w:t xml:space="preserve"> </w:t>
      </w:r>
      <w:r>
        <w:t>3.</w:t>
      </w:r>
    </w:p>
    <w:p w14:paraId="03650D86" w14:textId="77777777" w:rsidR="007B6A71" w:rsidRDefault="007B6A71">
      <w:pPr>
        <w:pStyle w:val="BodyText"/>
        <w:rPr>
          <w:sz w:val="26"/>
        </w:rPr>
      </w:pPr>
    </w:p>
    <w:p w14:paraId="56C4777D" w14:textId="77777777" w:rsidR="007B6A71" w:rsidRDefault="007B6A71">
      <w:pPr>
        <w:pStyle w:val="BodyText"/>
        <w:spacing w:before="11"/>
        <w:rPr>
          <w:sz w:val="22"/>
        </w:rPr>
      </w:pPr>
    </w:p>
    <w:p w14:paraId="4A28DDE3" w14:textId="77777777" w:rsidR="007B6A71" w:rsidRDefault="00CE1F16">
      <w:pPr>
        <w:pStyle w:val="Heading1"/>
        <w:spacing w:before="0"/>
        <w:ind w:left="100"/>
      </w:pPr>
      <w:r>
        <w:t>Weighting Approach:</w:t>
      </w:r>
    </w:p>
    <w:p w14:paraId="1CD52163" w14:textId="77777777" w:rsidR="007B6A71" w:rsidRDefault="007B6A71">
      <w:pPr>
        <w:pStyle w:val="BodyText"/>
        <w:spacing w:before="7"/>
        <w:rPr>
          <w:b/>
          <w:sz w:val="27"/>
        </w:rPr>
      </w:pPr>
    </w:p>
    <w:p w14:paraId="376E973A" w14:textId="77777777" w:rsidR="007B6A71" w:rsidRDefault="00CE1F16">
      <w:pPr>
        <w:pStyle w:val="BodyText"/>
        <w:ind w:left="100"/>
      </w:pPr>
      <w:r>
        <w:t>To compu</w:t>
      </w:r>
      <w:r>
        <w:t>te global average values of the relative SLR components and their sums, the weighted</w:t>
      </w:r>
    </w:p>
    <w:p w14:paraId="28AC51C1" w14:textId="77777777" w:rsidR="007B6A71" w:rsidRDefault="007B6A71">
      <w:pPr>
        <w:sectPr w:rsidR="007B6A71">
          <w:type w:val="continuous"/>
          <w:pgSz w:w="12240" w:h="15840"/>
          <w:pgMar w:top="1360" w:right="1000" w:bottom="1720" w:left="260" w:header="720" w:footer="720" w:gutter="0"/>
          <w:cols w:num="2" w:space="720" w:equalWidth="0">
            <w:col w:w="501" w:space="580"/>
            <w:col w:w="9899"/>
          </w:cols>
        </w:sectPr>
      </w:pPr>
    </w:p>
    <w:p w14:paraId="75C9301A" w14:textId="77777777" w:rsidR="007B6A71" w:rsidRDefault="007B6A71">
      <w:pPr>
        <w:pStyle w:val="BodyText"/>
        <w:spacing w:before="2"/>
        <w:rPr>
          <w:sz w:val="16"/>
        </w:rPr>
      </w:pPr>
    </w:p>
    <w:p w14:paraId="4247513A" w14:textId="77777777" w:rsidR="007B6A71" w:rsidRDefault="00CE1F16">
      <w:pPr>
        <w:pStyle w:val="BodyText"/>
        <w:spacing w:before="90"/>
        <w:ind w:left="1180"/>
      </w:pPr>
      <w:r>
        <w:t>average (</w:t>
      </w:r>
      <w:r>
        <w:rPr>
          <w:i/>
        </w:rPr>
        <w:t>wrslr</w:t>
      </w:r>
      <w:r>
        <w:t>) is computed as:</w:t>
      </w:r>
    </w:p>
    <w:p w14:paraId="4503FA9B" w14:textId="77777777" w:rsidR="007B6A71" w:rsidRDefault="007B6A71">
      <w:pPr>
        <w:sectPr w:rsidR="007B6A71">
          <w:type w:val="continuous"/>
          <w:pgSz w:w="12240" w:h="15840"/>
          <w:pgMar w:top="1360" w:right="1000" w:bottom="1720" w:left="260" w:header="720" w:footer="720" w:gutter="0"/>
          <w:cols w:space="720"/>
        </w:sectPr>
      </w:pPr>
    </w:p>
    <w:p w14:paraId="44B1F2A9" w14:textId="03779FA2" w:rsidR="007B6A71" w:rsidRDefault="000E6259">
      <w:pPr>
        <w:spacing w:before="76" w:line="175" w:lineRule="auto"/>
        <w:ind w:left="3837"/>
        <w:rPr>
          <w:rFonts w:ascii="Cambria Math" w:eastAsia="Cambria Math" w:hAnsi="Cambria Math"/>
          <w:sz w:val="17"/>
        </w:rPr>
      </w:pPr>
      <w:r>
        <w:rPr>
          <w:noProof/>
        </w:rPr>
        <w:lastRenderedPageBreak/>
        <mc:AlternateContent>
          <mc:Choice Requires="wps">
            <w:drawing>
              <wp:anchor distT="0" distB="0" distL="114300" distR="114300" simplePos="0" relativeHeight="251659264" behindDoc="1" locked="0" layoutInCell="1" allowOverlap="1" wp14:anchorId="7AE66DA1" wp14:editId="47E0505B">
                <wp:simplePos x="0" y="0"/>
                <wp:positionH relativeFrom="page">
                  <wp:posOffset>3179445</wp:posOffset>
                </wp:positionH>
                <wp:positionV relativeFrom="paragraph">
                  <wp:posOffset>193040</wp:posOffset>
                </wp:positionV>
                <wp:extent cx="114808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A068C"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35pt,15.2pt" to="340.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" strokeweight=".84pt">
                <w10:wrap anchorx="page"/>
              </v:line>
            </w:pict>
          </mc:Fallback>
        </mc:AlternateContent>
      </w:r>
      <w:r w:rsidR="00CE1F16">
        <w:rPr>
          <w:rFonts w:ascii="Cambria Math" w:eastAsia="Cambria Math" w:hAnsi="Cambria Math"/>
          <w:w w:val="105"/>
          <w:position w:val="-14"/>
          <w:sz w:val="24"/>
        </w:rPr>
        <w:t>𝑤𝑟𝑠𝑙𝑟</w:t>
      </w:r>
      <w:r w:rsidR="00CE1F16">
        <w:rPr>
          <w:rFonts w:ascii="Cambria Math" w:eastAsia="Cambria Math" w:hAnsi="Cambria Math"/>
          <w:w w:val="105"/>
          <w:position w:val="-14"/>
          <w:sz w:val="24"/>
        </w:rPr>
        <w:t xml:space="preserve"> = </w:t>
      </w:r>
      <w:r w:rsidR="00CE1F16">
        <w:rPr>
          <w:rFonts w:ascii="Cambria Math" w:eastAsia="Cambria Math" w:hAnsi="Cambria Math"/>
          <w:w w:val="105"/>
          <w:position w:val="1"/>
          <w:sz w:val="17"/>
        </w:rPr>
        <w:t>∑</w:t>
      </w:r>
      <w:r w:rsidR="00CE1F16">
        <w:rPr>
          <w:rFonts w:ascii="Cambria Math" w:eastAsia="Cambria Math" w:hAnsi="Cambria Math"/>
          <w:w w:val="105"/>
          <w:position w:val="-3"/>
          <w:sz w:val="14"/>
        </w:rPr>
        <w:t>𝑐𝑙𝑠</w:t>
      </w:r>
      <w:r w:rsidR="00CE1F16">
        <w:rPr>
          <w:rFonts w:ascii="Cambria Math" w:eastAsia="Cambria Math" w:hAnsi="Cambria Math"/>
          <w:w w:val="105"/>
          <w:sz w:val="17"/>
        </w:rPr>
        <w:t>(</w:t>
      </w:r>
      <w:r w:rsidR="00CE1F16">
        <w:rPr>
          <w:rFonts w:ascii="Cambria Math" w:eastAsia="Cambria Math" w:hAnsi="Cambria Math"/>
          <w:w w:val="105"/>
          <w:sz w:val="17"/>
        </w:rPr>
        <w:t>𝑟𝑠𝑙𝑟</w:t>
      </w:r>
      <w:r w:rsidR="00CE1F16">
        <w:rPr>
          <w:rFonts w:ascii="Cambria Math" w:eastAsia="Cambria Math" w:hAnsi="Cambria Math"/>
          <w:w w:val="105"/>
          <w:position w:val="1"/>
          <w:sz w:val="17"/>
        </w:rPr>
        <w:t>(</w:t>
      </w:r>
      <w:r w:rsidR="00CE1F16">
        <w:rPr>
          <w:rFonts w:ascii="Cambria Math" w:eastAsia="Cambria Math" w:hAnsi="Cambria Math"/>
          <w:w w:val="105"/>
          <w:sz w:val="17"/>
        </w:rPr>
        <w:t>𝑐𝑙𝑠</w:t>
      </w:r>
      <w:r w:rsidR="00CE1F16">
        <w:rPr>
          <w:rFonts w:ascii="Cambria Math" w:eastAsia="Cambria Math" w:hAnsi="Cambria Math"/>
          <w:w w:val="105"/>
          <w:position w:val="1"/>
          <w:sz w:val="17"/>
        </w:rPr>
        <w:t>)</w:t>
      </w:r>
      <w:r w:rsidR="00CE1F16">
        <w:rPr>
          <w:rFonts w:ascii="Cambria Math" w:eastAsia="Cambria Math" w:hAnsi="Cambria Math"/>
          <w:w w:val="105"/>
          <w:sz w:val="17"/>
        </w:rPr>
        <w:t>∗</w:t>
      </w:r>
      <w:r w:rsidR="00CE1F16">
        <w:rPr>
          <w:rFonts w:ascii="Cambria Math" w:eastAsia="Cambria Math" w:hAnsi="Cambria Math"/>
          <w:w w:val="105"/>
          <w:sz w:val="17"/>
        </w:rPr>
        <w:t>𝑤</w:t>
      </w:r>
      <w:r w:rsidR="00CE1F16">
        <w:rPr>
          <w:rFonts w:ascii="Cambria Math" w:eastAsia="Cambria Math" w:hAnsi="Cambria Math"/>
          <w:w w:val="105"/>
          <w:position w:val="1"/>
          <w:sz w:val="17"/>
        </w:rPr>
        <w:t>(</w:t>
      </w:r>
      <w:r w:rsidR="00CE1F16">
        <w:rPr>
          <w:rFonts w:ascii="Cambria Math" w:eastAsia="Cambria Math" w:hAnsi="Cambria Math"/>
          <w:w w:val="105"/>
          <w:sz w:val="17"/>
        </w:rPr>
        <w:t>𝑐𝑙𝑠</w:t>
      </w:r>
      <w:r w:rsidR="00CE1F16">
        <w:rPr>
          <w:rFonts w:ascii="Cambria Math" w:eastAsia="Cambria Math" w:hAnsi="Cambria Math"/>
          <w:w w:val="105"/>
          <w:position w:val="1"/>
          <w:sz w:val="17"/>
        </w:rPr>
        <w:t>)</w:t>
      </w:r>
      <w:r w:rsidR="00CE1F16">
        <w:rPr>
          <w:rFonts w:ascii="Cambria Math" w:eastAsia="Cambria Math" w:hAnsi="Cambria Math"/>
          <w:w w:val="105"/>
          <w:sz w:val="17"/>
        </w:rPr>
        <w:t>)</w:t>
      </w:r>
    </w:p>
    <w:p w14:paraId="79B71BE0" w14:textId="77777777" w:rsidR="007B6A71" w:rsidRDefault="00CE1F16">
      <w:pPr>
        <w:spacing w:line="175" w:lineRule="auto"/>
        <w:ind w:right="433"/>
        <w:jc w:val="right"/>
        <w:rPr>
          <w:rFonts w:ascii="Cambria Math" w:eastAsia="Cambria Math" w:hAnsi="Cambria Math"/>
          <w:sz w:val="17"/>
        </w:rPr>
      </w:pPr>
      <w:r>
        <w:rPr>
          <w:rFonts w:ascii="Cambria Math" w:eastAsia="Cambria Math" w:hAnsi="Cambria Math"/>
          <w:w w:val="110"/>
          <w:position w:val="1"/>
          <w:sz w:val="17"/>
        </w:rPr>
        <w:t>∑</w:t>
      </w:r>
      <w:r>
        <w:rPr>
          <w:rFonts w:ascii="Cambria Math" w:eastAsia="Cambria Math" w:hAnsi="Cambria Math"/>
          <w:w w:val="110"/>
          <w:position w:val="-3"/>
          <w:sz w:val="14"/>
        </w:rPr>
        <w:t>𝑐𝑙𝑠</w:t>
      </w:r>
      <w:r>
        <w:rPr>
          <w:rFonts w:ascii="Cambria Math" w:eastAsia="Cambria Math" w:hAnsi="Cambria Math"/>
          <w:w w:val="110"/>
          <w:position w:val="-3"/>
          <w:sz w:val="14"/>
        </w:rPr>
        <w:t xml:space="preserve"> </w:t>
      </w:r>
      <w:r>
        <w:rPr>
          <w:rFonts w:ascii="Cambria Math" w:eastAsia="Cambria Math" w:hAnsi="Cambria Math"/>
          <w:w w:val="110"/>
          <w:sz w:val="17"/>
        </w:rPr>
        <w:t>𝑤</w:t>
      </w:r>
      <w:r>
        <w:rPr>
          <w:rFonts w:ascii="Cambria Math" w:eastAsia="Cambria Math" w:hAnsi="Cambria Math"/>
          <w:w w:val="110"/>
          <w:sz w:val="17"/>
        </w:rPr>
        <w:t>(</w:t>
      </w:r>
      <w:r>
        <w:rPr>
          <w:rFonts w:ascii="Cambria Math" w:eastAsia="Cambria Math" w:hAnsi="Cambria Math"/>
          <w:w w:val="110"/>
          <w:sz w:val="17"/>
        </w:rPr>
        <w:t>𝑐𝑙𝑠</w:t>
      </w:r>
      <w:r>
        <w:rPr>
          <w:rFonts w:ascii="Cambria Math" w:eastAsia="Cambria Math" w:hAnsi="Cambria Math"/>
          <w:w w:val="110"/>
          <w:sz w:val="17"/>
        </w:rPr>
        <w:t>)</w:t>
      </w:r>
    </w:p>
    <w:p w14:paraId="00B56274" w14:textId="77777777" w:rsidR="007B6A71" w:rsidRDefault="00CE1F16">
      <w:pPr>
        <w:pStyle w:val="BodyText"/>
        <w:spacing w:before="150"/>
        <w:ind w:left="879"/>
      </w:pPr>
      <w:r>
        <w:br w:type="column"/>
      </w:r>
      <w:r>
        <w:t>Eq.1</w:t>
      </w:r>
    </w:p>
    <w:p w14:paraId="498EBC34" w14:textId="77777777" w:rsidR="007B6A71" w:rsidRDefault="007B6A71">
      <w:pPr>
        <w:sectPr w:rsidR="007B6A71">
          <w:pgSz w:w="12240" w:h="15840"/>
          <w:pgMar w:top="1400" w:right="1000" w:bottom="1800" w:left="260" w:header="0" w:footer="1538" w:gutter="0"/>
          <w:cols w:num="2" w:space="720" w:equalWidth="0">
            <w:col w:w="6519" w:space="40"/>
            <w:col w:w="4421"/>
          </w:cols>
        </w:sectPr>
      </w:pPr>
    </w:p>
    <w:p w14:paraId="03D6FC59" w14:textId="77777777" w:rsidR="007B6A71" w:rsidRDefault="007B6A71">
      <w:pPr>
        <w:pStyle w:val="BodyText"/>
        <w:spacing w:before="4"/>
        <w:rPr>
          <w:sz w:val="13"/>
        </w:rPr>
      </w:pPr>
    </w:p>
    <w:p w14:paraId="699B9F06" w14:textId="77777777" w:rsidR="007B6A71" w:rsidRDefault="00CE1F16">
      <w:pPr>
        <w:pStyle w:val="BodyText"/>
        <w:spacing w:before="90"/>
        <w:ind w:left="1880" w:right="1569"/>
        <w:jc w:val="center"/>
      </w:pPr>
      <w:r>
        <w:t xml:space="preserve">where </w:t>
      </w:r>
      <w:r>
        <w:rPr>
          <w:i/>
        </w:rPr>
        <w:t xml:space="preserve">rslr(cls) </w:t>
      </w:r>
      <w:r>
        <w:t>is the relative sea-level change in each coastline segment (</w:t>
      </w:r>
      <w:r>
        <w:rPr>
          <w:i/>
        </w:rPr>
        <w:t>cls</w:t>
      </w:r>
      <w:r>
        <w:t>).</w:t>
      </w:r>
    </w:p>
    <w:p w14:paraId="123087F8" w14:textId="77777777" w:rsidR="007B6A71" w:rsidRDefault="007B6A71">
      <w:pPr>
        <w:pStyle w:val="BodyText"/>
        <w:rPr>
          <w:sz w:val="20"/>
        </w:rPr>
      </w:pPr>
    </w:p>
    <w:p w14:paraId="6ADCDFF3" w14:textId="77777777" w:rsidR="007B6A71" w:rsidRDefault="007B6A71">
      <w:pPr>
        <w:pStyle w:val="BodyText"/>
        <w:rPr>
          <w:sz w:val="20"/>
        </w:rPr>
      </w:pPr>
    </w:p>
    <w:p w14:paraId="36886996" w14:textId="77777777" w:rsidR="007B6A71" w:rsidRDefault="007B6A71">
      <w:pPr>
        <w:pStyle w:val="BodyText"/>
        <w:spacing w:before="2"/>
      </w:pPr>
    </w:p>
    <w:p w14:paraId="2A476028" w14:textId="77777777" w:rsidR="007B6A71" w:rsidRDefault="00CE1F16">
      <w:pPr>
        <w:pStyle w:val="BodyText"/>
        <w:tabs>
          <w:tab w:val="left" w:pos="1180"/>
        </w:tabs>
        <w:spacing w:before="90"/>
        <w:ind w:left="100"/>
      </w:pPr>
      <w:r>
        <w:t>455</w:t>
      </w:r>
      <w:r>
        <w:tab/>
        <w:t xml:space="preserve">For length-weighted global average we set </w:t>
      </w:r>
      <w:r>
        <w:rPr>
          <w:i/>
        </w:rPr>
        <w:t xml:space="preserve">w(cls) </w:t>
      </w:r>
      <w:r>
        <w:t>to the length of the coastline segment (</w:t>
      </w:r>
      <w:r>
        <w:rPr>
          <w:i/>
        </w:rPr>
        <w:t>cls</w:t>
      </w:r>
      <w:r>
        <w:t>).</w:t>
      </w:r>
      <w:r>
        <w:rPr>
          <w:spacing w:val="-14"/>
        </w:rPr>
        <w:t xml:space="preserve"> </w:t>
      </w:r>
      <w:r>
        <w:t>For</w:t>
      </w:r>
    </w:p>
    <w:p w14:paraId="0F40AF02" w14:textId="77777777" w:rsidR="007B6A71" w:rsidRDefault="007B6A71">
      <w:pPr>
        <w:pStyle w:val="BodyText"/>
        <w:spacing w:before="2"/>
        <w:rPr>
          <w:sz w:val="16"/>
        </w:rPr>
      </w:pPr>
    </w:p>
    <w:p w14:paraId="3F86965A" w14:textId="77777777" w:rsidR="007B6A71" w:rsidRDefault="00CE1F16">
      <w:pPr>
        <w:pStyle w:val="BodyText"/>
        <w:spacing w:before="90" w:line="475" w:lineRule="auto"/>
        <w:ind w:left="1180" w:right="628"/>
      </w:pPr>
      <w:r>
        <w:t xml:space="preserve">population-weighted global average we set </w:t>
      </w:r>
      <w:r>
        <w:rPr>
          <w:i/>
        </w:rPr>
        <w:t xml:space="preserve">w(cls) </w:t>
      </w:r>
      <w:r>
        <w:t xml:space="preserve">to the population </w:t>
      </w:r>
      <w:r>
        <w:t>living in the Low Elevation Coastal Zone (i.e., the population living within 10-m elevation of mean sea level</w:t>
      </w:r>
      <w:r>
        <w:rPr>
          <w:position w:val="9"/>
          <w:sz w:val="16"/>
        </w:rPr>
        <w:t>62</w:t>
      </w:r>
      <w:r>
        <w:t>) in each segment in 2015. In this analysis, the global coastal length totals 691,017 km and the global LECZ population is 768 million in 2015.</w:t>
      </w:r>
    </w:p>
    <w:p w14:paraId="2942BE22" w14:textId="77777777" w:rsidR="007B6A71" w:rsidRDefault="007B6A71">
      <w:pPr>
        <w:spacing w:line="475" w:lineRule="auto"/>
        <w:sectPr w:rsidR="007B6A71">
          <w:type w:val="continuous"/>
          <w:pgSz w:w="12240" w:h="15840"/>
          <w:pgMar w:top="1360" w:right="1000" w:bottom="1720" w:left="260" w:header="720" w:footer="720" w:gutter="0"/>
          <w:cols w:space="720"/>
        </w:sectPr>
      </w:pPr>
    </w:p>
    <w:p w14:paraId="0084E41D" w14:textId="77777777" w:rsidR="007B6A71" w:rsidRDefault="00CE1F16">
      <w:pPr>
        <w:pStyle w:val="BodyText"/>
        <w:spacing w:before="8"/>
        <w:ind w:left="100"/>
      </w:pPr>
      <w:r>
        <w:t>460</w:t>
      </w:r>
    </w:p>
    <w:p w14:paraId="052FE423" w14:textId="77777777" w:rsidR="007B6A71" w:rsidRDefault="007B6A71">
      <w:pPr>
        <w:pStyle w:val="BodyText"/>
        <w:rPr>
          <w:sz w:val="26"/>
        </w:rPr>
      </w:pPr>
    </w:p>
    <w:p w14:paraId="194FBDA7" w14:textId="77777777" w:rsidR="007B6A71" w:rsidRDefault="007B6A71">
      <w:pPr>
        <w:pStyle w:val="BodyText"/>
        <w:rPr>
          <w:sz w:val="26"/>
        </w:rPr>
      </w:pPr>
    </w:p>
    <w:p w14:paraId="232B71B7" w14:textId="77777777" w:rsidR="007B6A71" w:rsidRDefault="007B6A71">
      <w:pPr>
        <w:pStyle w:val="BodyText"/>
        <w:rPr>
          <w:sz w:val="26"/>
        </w:rPr>
      </w:pPr>
    </w:p>
    <w:p w14:paraId="54B63CF9" w14:textId="77777777" w:rsidR="007B6A71" w:rsidRDefault="007B6A71">
      <w:pPr>
        <w:pStyle w:val="BodyText"/>
        <w:rPr>
          <w:sz w:val="26"/>
        </w:rPr>
      </w:pPr>
    </w:p>
    <w:p w14:paraId="6E4DF10C" w14:textId="77777777" w:rsidR="007B6A71" w:rsidRDefault="007B6A71">
      <w:pPr>
        <w:pStyle w:val="BodyText"/>
        <w:rPr>
          <w:sz w:val="26"/>
        </w:rPr>
      </w:pPr>
    </w:p>
    <w:p w14:paraId="3F255C56" w14:textId="77777777" w:rsidR="007B6A71" w:rsidRDefault="007B6A71">
      <w:pPr>
        <w:pStyle w:val="BodyText"/>
        <w:rPr>
          <w:sz w:val="26"/>
        </w:rPr>
      </w:pPr>
    </w:p>
    <w:p w14:paraId="17541634" w14:textId="77777777" w:rsidR="007B6A71" w:rsidRDefault="007B6A71">
      <w:pPr>
        <w:pStyle w:val="BodyText"/>
        <w:rPr>
          <w:sz w:val="26"/>
        </w:rPr>
      </w:pPr>
    </w:p>
    <w:p w14:paraId="0FE47CE5" w14:textId="77777777" w:rsidR="007B6A71" w:rsidRDefault="007B6A71">
      <w:pPr>
        <w:pStyle w:val="BodyText"/>
        <w:rPr>
          <w:sz w:val="26"/>
        </w:rPr>
      </w:pPr>
    </w:p>
    <w:p w14:paraId="4B9812EA" w14:textId="77777777" w:rsidR="007B6A71" w:rsidRDefault="00CE1F16">
      <w:pPr>
        <w:pStyle w:val="BodyText"/>
        <w:spacing w:before="188"/>
        <w:ind w:left="100"/>
      </w:pPr>
      <w:r>
        <w:t>465</w:t>
      </w:r>
    </w:p>
    <w:p w14:paraId="241A7DEA" w14:textId="77777777" w:rsidR="007B6A71" w:rsidRDefault="00CE1F16">
      <w:pPr>
        <w:pStyle w:val="BodyText"/>
        <w:rPr>
          <w:sz w:val="30"/>
        </w:rPr>
      </w:pPr>
      <w:r>
        <w:br w:type="column"/>
      </w:r>
    </w:p>
    <w:p w14:paraId="275D4ADB" w14:textId="77777777" w:rsidR="007B6A71" w:rsidRDefault="00CE1F16">
      <w:pPr>
        <w:pStyle w:val="Heading1"/>
        <w:spacing w:before="218"/>
        <w:ind w:left="100"/>
      </w:pPr>
      <w:r>
        <w:t>Coastal Flood Plain Population:</w:t>
      </w:r>
    </w:p>
    <w:p w14:paraId="410D8D06" w14:textId="77777777" w:rsidR="007B6A71" w:rsidRDefault="007B6A71">
      <w:pPr>
        <w:pStyle w:val="BodyText"/>
        <w:spacing w:before="7"/>
        <w:rPr>
          <w:b/>
          <w:sz w:val="27"/>
        </w:rPr>
      </w:pPr>
    </w:p>
    <w:p w14:paraId="3FE7F460" w14:textId="77777777" w:rsidR="007B6A71" w:rsidRDefault="00CE1F16">
      <w:pPr>
        <w:pStyle w:val="BodyText"/>
        <w:spacing w:before="1" w:line="475" w:lineRule="auto"/>
        <w:ind w:left="100" w:right="434"/>
      </w:pPr>
      <w:r>
        <w:t>For the population in the flood plain we consider the 100-year flood plain (using water levels from Muis et al</w:t>
      </w:r>
      <w:r>
        <w:rPr>
          <w:position w:val="9"/>
          <w:sz w:val="16"/>
        </w:rPr>
        <w:t>58</w:t>
      </w:r>
      <w:r>
        <w:t>) based on the elevation data from the SRTM and the population scenarios mentioned above. Changes with time are evaluated per segment assuming S</w:t>
      </w:r>
      <w:r>
        <w:t xml:space="preserve">LR (as defined above), </w:t>
      </w:r>
      <w:r>
        <w:rPr>
          <w:rFonts w:ascii="Cambria Math" w:eastAsia="Cambria Math"/>
        </w:rPr>
        <w:t>𝑠𝑢𝑏𝑠𝑖𝑑𝑒𝑛𝑐𝑒</w:t>
      </w:r>
      <w:r>
        <w:rPr>
          <w:rFonts w:ascii="Cambria Math" w:eastAsia="Cambria Math"/>
        </w:rPr>
        <w:t xml:space="preserve"> </w:t>
      </w:r>
      <w:r>
        <w:t>(or uplift) as defined above and population change (as defined above).</w:t>
      </w:r>
    </w:p>
    <w:p w14:paraId="4096CE82" w14:textId="77777777" w:rsidR="007B6A71" w:rsidRDefault="007B6A71">
      <w:pPr>
        <w:spacing w:line="475" w:lineRule="auto"/>
        <w:sectPr w:rsidR="007B6A71">
          <w:type w:val="continuous"/>
          <w:pgSz w:w="12240" w:h="15840"/>
          <w:pgMar w:top="1360" w:right="1000" w:bottom="1720" w:left="260" w:header="720" w:footer="720" w:gutter="0"/>
          <w:cols w:num="2" w:space="720" w:equalWidth="0">
            <w:col w:w="501" w:space="580"/>
            <w:col w:w="9899"/>
          </w:cols>
        </w:sectPr>
      </w:pPr>
    </w:p>
    <w:p w14:paraId="747D1D93" w14:textId="77777777" w:rsidR="007B6A71" w:rsidRDefault="00CE1F16">
      <w:pPr>
        <w:pStyle w:val="BodyText"/>
        <w:spacing w:before="6" w:line="480" w:lineRule="auto"/>
        <w:ind w:left="1180" w:right="657"/>
      </w:pPr>
      <w:r>
        <w:t>Coastal adaptation including coastal defences are not considered, and the results simply reflect the flood plain popul</w:t>
      </w:r>
      <w:r>
        <w:t>ation.</w:t>
      </w:r>
    </w:p>
    <w:p w14:paraId="7EE4941F" w14:textId="77777777" w:rsidR="007B6A71" w:rsidRDefault="007B6A71">
      <w:pPr>
        <w:pStyle w:val="BodyText"/>
        <w:rPr>
          <w:sz w:val="26"/>
        </w:rPr>
      </w:pPr>
    </w:p>
    <w:p w14:paraId="2213760E" w14:textId="77777777" w:rsidR="007B6A71" w:rsidRDefault="007B6A71">
      <w:pPr>
        <w:pStyle w:val="BodyText"/>
        <w:spacing w:before="7"/>
        <w:rPr>
          <w:sz w:val="20"/>
        </w:rPr>
      </w:pPr>
    </w:p>
    <w:p w14:paraId="5FA4B640" w14:textId="77777777" w:rsidR="007B6A71" w:rsidRDefault="00CE1F16">
      <w:pPr>
        <w:pStyle w:val="BodyText"/>
        <w:spacing w:before="1"/>
        <w:ind w:left="1180"/>
      </w:pPr>
      <w:r>
        <w:t>Studies before Muis et al</w:t>
      </w:r>
      <w:r>
        <w:rPr>
          <w:position w:val="9"/>
          <w:sz w:val="16"/>
        </w:rPr>
        <w:t xml:space="preserve">59 </w:t>
      </w:r>
      <w:r>
        <w:t>did not consider the difference in vertical datum of extreme sea levels</w:t>
      </w:r>
    </w:p>
    <w:p w14:paraId="4CF093CF" w14:textId="77777777" w:rsidR="007B6A71" w:rsidRDefault="007B6A71">
      <w:pPr>
        <w:pStyle w:val="BodyText"/>
        <w:spacing w:before="2"/>
        <w:rPr>
          <w:sz w:val="16"/>
        </w:rPr>
      </w:pPr>
    </w:p>
    <w:p w14:paraId="44634EE1" w14:textId="77777777" w:rsidR="007B6A71" w:rsidRDefault="00CE1F16">
      <w:pPr>
        <w:pStyle w:val="BodyText"/>
        <w:tabs>
          <w:tab w:val="left" w:pos="1180"/>
        </w:tabs>
        <w:spacing w:before="90" w:line="468" w:lineRule="auto"/>
        <w:ind w:left="1180" w:right="733" w:hanging="1081"/>
        <w:rPr>
          <w:sz w:val="16"/>
        </w:rPr>
      </w:pPr>
      <w:r>
        <w:t>470</w:t>
      </w:r>
      <w:r>
        <w:tab/>
        <w:t>and global land elevation and thus underestimated population exposure to flooding. While extreme water level datasets such as GTSR</w:t>
      </w:r>
      <w:r>
        <w:rPr>
          <w:position w:val="9"/>
          <w:sz w:val="16"/>
        </w:rPr>
        <w:t xml:space="preserve">59 </w:t>
      </w:r>
      <w:r>
        <w:t xml:space="preserve">use mean </w:t>
      </w:r>
      <w:r>
        <w:t>sea level as vertical datum, global elevation datasets, such as SRTM, are referenced to the EGM96 geoid</w:t>
      </w:r>
      <w:r>
        <w:rPr>
          <w:position w:val="9"/>
          <w:sz w:val="16"/>
        </w:rPr>
        <w:t>63</w:t>
      </w:r>
      <w:r>
        <w:t>. The offset between mean sea level and the geoid can be up to 1.5 m, due to the dynamic sea surface of the</w:t>
      </w:r>
      <w:r>
        <w:rPr>
          <w:spacing w:val="-10"/>
        </w:rPr>
        <w:t xml:space="preserve"> </w:t>
      </w:r>
      <w:r>
        <w:t>ocean</w:t>
      </w:r>
      <w:r>
        <w:rPr>
          <w:position w:val="9"/>
          <w:sz w:val="16"/>
        </w:rPr>
        <w:t>64</w:t>
      </w:r>
    </w:p>
    <w:p w14:paraId="30D5F00C" w14:textId="77777777" w:rsidR="007B6A71" w:rsidRDefault="007B6A71">
      <w:pPr>
        <w:spacing w:line="468" w:lineRule="auto"/>
        <w:rPr>
          <w:sz w:val="16"/>
        </w:rPr>
        <w:sectPr w:rsidR="007B6A71">
          <w:type w:val="continuous"/>
          <w:pgSz w:w="12240" w:h="15840"/>
          <w:pgMar w:top="1360" w:right="1000" w:bottom="1720" w:left="260" w:header="720" w:footer="720" w:gutter="0"/>
          <w:cols w:space="720"/>
        </w:sectPr>
      </w:pPr>
    </w:p>
    <w:p w14:paraId="1A66BBD4" w14:textId="77777777" w:rsidR="007B6A71" w:rsidRDefault="00CE1F16">
      <w:pPr>
        <w:pStyle w:val="BodyText"/>
        <w:spacing w:before="74"/>
        <w:ind w:left="1180"/>
      </w:pPr>
      <w:r>
        <w:lastRenderedPageBreak/>
        <w:t xml:space="preserve">and largely determined </w:t>
      </w:r>
      <w:r>
        <w:t>by ocean currents. Correcting the vertical datum increases the population</w:t>
      </w:r>
    </w:p>
    <w:p w14:paraId="724061B8" w14:textId="77777777" w:rsidR="007B6A71" w:rsidRDefault="007B6A71">
      <w:pPr>
        <w:pStyle w:val="BodyText"/>
        <w:spacing w:before="8"/>
        <w:rPr>
          <w:sz w:val="22"/>
        </w:rPr>
      </w:pPr>
    </w:p>
    <w:p w14:paraId="2AF1C868" w14:textId="77777777" w:rsidR="007B6A71" w:rsidRDefault="00CE1F16">
      <w:pPr>
        <w:pStyle w:val="BodyText"/>
        <w:tabs>
          <w:tab w:val="left" w:pos="1180"/>
        </w:tabs>
        <w:ind w:left="100"/>
      </w:pPr>
      <w:r>
        <w:t>475</w:t>
      </w:r>
      <w:r>
        <w:tab/>
        <w:t>exposed to the 100-year flood event by</w:t>
      </w:r>
      <w:r>
        <w:rPr>
          <w:spacing w:val="-7"/>
        </w:rPr>
        <w:t xml:space="preserve"> </w:t>
      </w:r>
      <w:r>
        <w:t>39-60%</w:t>
      </w:r>
      <w:r>
        <w:rPr>
          <w:position w:val="9"/>
          <w:sz w:val="16"/>
        </w:rPr>
        <w:t>59</w:t>
      </w:r>
      <w:r>
        <w:t>.</w:t>
      </w:r>
    </w:p>
    <w:p w14:paraId="18A1FB4D" w14:textId="77777777" w:rsidR="007B6A71" w:rsidRDefault="007B6A71">
      <w:pPr>
        <w:pStyle w:val="BodyText"/>
        <w:rPr>
          <w:sz w:val="20"/>
        </w:rPr>
      </w:pPr>
    </w:p>
    <w:p w14:paraId="19327152" w14:textId="77777777" w:rsidR="007B6A71" w:rsidRDefault="007B6A71">
      <w:pPr>
        <w:pStyle w:val="BodyText"/>
        <w:rPr>
          <w:sz w:val="20"/>
        </w:rPr>
      </w:pPr>
    </w:p>
    <w:p w14:paraId="3F32210B" w14:textId="77777777" w:rsidR="007B6A71" w:rsidRDefault="007B6A71">
      <w:pPr>
        <w:pStyle w:val="BodyText"/>
        <w:spacing w:before="2"/>
      </w:pPr>
    </w:p>
    <w:p w14:paraId="012A7D10" w14:textId="77777777" w:rsidR="007B6A71" w:rsidRDefault="00CE1F16">
      <w:pPr>
        <w:pStyle w:val="BodyText"/>
        <w:spacing w:before="90" w:line="472" w:lineRule="auto"/>
        <w:ind w:left="1180" w:right="956"/>
        <w:jc w:val="both"/>
      </w:pPr>
      <w:r>
        <w:t>As noted earlier, other population scenarios would lead to different quantitative estimates of coastal flood plain population (see Hinkel et al</w:t>
      </w:r>
      <w:r>
        <w:rPr>
          <w:position w:val="9"/>
          <w:sz w:val="16"/>
        </w:rPr>
        <w:t>31</w:t>
      </w:r>
      <w:r>
        <w:t>), but the relative distribution of population along the coast would be similar. Hence, it would have little in</w:t>
      </w:r>
      <w:r>
        <w:t>fluence on the weighting by</w:t>
      </w:r>
    </w:p>
    <w:p w14:paraId="560C8F06" w14:textId="77777777" w:rsidR="007B6A71" w:rsidRDefault="00CE1F16">
      <w:pPr>
        <w:pStyle w:val="BodyText"/>
        <w:tabs>
          <w:tab w:val="left" w:pos="1180"/>
        </w:tabs>
        <w:spacing w:before="10"/>
        <w:ind w:left="100"/>
      </w:pPr>
      <w:r>
        <w:t>480</w:t>
      </w:r>
      <w:r>
        <w:tab/>
        <w:t>population described</w:t>
      </w:r>
      <w:r>
        <w:rPr>
          <w:spacing w:val="-1"/>
        </w:rPr>
        <w:t xml:space="preserve"> </w:t>
      </w:r>
      <w:r>
        <w:t>above.</w:t>
      </w:r>
    </w:p>
    <w:p w14:paraId="3AD7CC92" w14:textId="77777777" w:rsidR="007B6A71" w:rsidRDefault="007B6A71">
      <w:pPr>
        <w:pStyle w:val="BodyText"/>
        <w:rPr>
          <w:sz w:val="20"/>
        </w:rPr>
      </w:pPr>
    </w:p>
    <w:p w14:paraId="03CFD7DB" w14:textId="77777777" w:rsidR="007B6A71" w:rsidRDefault="007B6A71">
      <w:pPr>
        <w:pStyle w:val="BodyText"/>
        <w:rPr>
          <w:sz w:val="20"/>
        </w:rPr>
      </w:pPr>
    </w:p>
    <w:p w14:paraId="5798A5BA" w14:textId="77777777" w:rsidR="007B6A71" w:rsidRDefault="007B6A71">
      <w:pPr>
        <w:pStyle w:val="BodyText"/>
        <w:spacing w:before="7"/>
      </w:pPr>
    </w:p>
    <w:p w14:paraId="161AC11E" w14:textId="77777777" w:rsidR="007B6A71" w:rsidRDefault="00CE1F16">
      <w:pPr>
        <w:pStyle w:val="Heading1"/>
      </w:pPr>
      <w:r>
        <w:t>Acknowledgments:</w:t>
      </w:r>
    </w:p>
    <w:p w14:paraId="1B6F48A2" w14:textId="77777777" w:rsidR="007B6A71" w:rsidRDefault="007B6A71">
      <w:pPr>
        <w:pStyle w:val="BodyText"/>
        <w:spacing w:before="7"/>
        <w:rPr>
          <w:b/>
          <w:sz w:val="27"/>
        </w:rPr>
      </w:pPr>
    </w:p>
    <w:p w14:paraId="17423330" w14:textId="77777777" w:rsidR="007B6A71" w:rsidRDefault="00CE1F16">
      <w:pPr>
        <w:pStyle w:val="BodyText"/>
        <w:ind w:left="1180"/>
      </w:pPr>
      <w:r>
        <w:t>We thank Jason Ericson for sharing his dataset on delta subsidence.</w:t>
      </w:r>
    </w:p>
    <w:p w14:paraId="61B28516" w14:textId="77777777" w:rsidR="007B6A71" w:rsidRDefault="007B6A71">
      <w:pPr>
        <w:pStyle w:val="BodyText"/>
        <w:rPr>
          <w:sz w:val="20"/>
        </w:rPr>
      </w:pPr>
    </w:p>
    <w:p w14:paraId="18A8963B" w14:textId="77777777" w:rsidR="007B6A71" w:rsidRDefault="007B6A71">
      <w:pPr>
        <w:pStyle w:val="BodyText"/>
        <w:rPr>
          <w:sz w:val="20"/>
        </w:rPr>
      </w:pPr>
    </w:p>
    <w:p w14:paraId="169804DE" w14:textId="77777777" w:rsidR="007B6A71" w:rsidRDefault="007B6A71">
      <w:pPr>
        <w:pStyle w:val="BodyText"/>
        <w:spacing w:before="7"/>
      </w:pPr>
    </w:p>
    <w:p w14:paraId="60FF6B4C" w14:textId="77777777" w:rsidR="007B6A71" w:rsidRDefault="00CE1F16">
      <w:pPr>
        <w:tabs>
          <w:tab w:val="left" w:pos="1180"/>
        </w:tabs>
        <w:spacing w:before="89"/>
        <w:ind w:left="100"/>
        <w:rPr>
          <w:b/>
          <w:sz w:val="28"/>
        </w:rPr>
      </w:pPr>
      <w:r>
        <w:rPr>
          <w:sz w:val="24"/>
        </w:rPr>
        <w:t>485</w:t>
      </w:r>
      <w:r>
        <w:rPr>
          <w:sz w:val="24"/>
        </w:rPr>
        <w:tab/>
      </w:r>
      <w:r>
        <w:rPr>
          <w:b/>
          <w:sz w:val="28"/>
        </w:rPr>
        <w:t>Funding:</w:t>
      </w:r>
    </w:p>
    <w:p w14:paraId="41C43AB8" w14:textId="77777777" w:rsidR="007B6A71" w:rsidRDefault="007B6A71">
      <w:pPr>
        <w:pStyle w:val="BodyText"/>
        <w:spacing w:before="9"/>
        <w:rPr>
          <w:b/>
          <w:sz w:val="19"/>
        </w:rPr>
      </w:pPr>
    </w:p>
    <w:p w14:paraId="200D8534" w14:textId="77777777" w:rsidR="007B6A71" w:rsidRDefault="00CE1F16">
      <w:pPr>
        <w:pStyle w:val="BodyText"/>
        <w:spacing w:before="90" w:line="480" w:lineRule="auto"/>
        <w:ind w:left="1180" w:right="657"/>
      </w:pPr>
      <w:r>
        <w:t xml:space="preserve">RJN was supported under the Deltas, vulnerability and Climate Change: Migration and Adaptation (DECCMA) project (IDRC 107642) under the Collaborative Adaptation Research Initiative in Africa and Asia (CARIAA) programme with financial support from the U.K. </w:t>
      </w:r>
      <w:r>
        <w:t>Government’s Department for international Development (DFID) and the International</w:t>
      </w:r>
    </w:p>
    <w:p w14:paraId="41BBE5FF" w14:textId="77777777" w:rsidR="007B6A71" w:rsidRDefault="00CE1F16">
      <w:pPr>
        <w:pStyle w:val="BodyText"/>
        <w:tabs>
          <w:tab w:val="left" w:pos="1180"/>
        </w:tabs>
        <w:spacing w:before="1"/>
        <w:ind w:left="100"/>
      </w:pPr>
      <w:r>
        <w:t>490</w:t>
      </w:r>
      <w:r>
        <w:tab/>
        <w:t>Development Research Centre (IDRC), Canada and the PROTECT Project. The views</w:t>
      </w:r>
      <w:r>
        <w:rPr>
          <w:spacing w:val="-8"/>
        </w:rPr>
        <w:t xml:space="preserve"> </w:t>
      </w:r>
      <w:r>
        <w:t>expressed</w:t>
      </w:r>
    </w:p>
    <w:p w14:paraId="607333C3" w14:textId="77777777" w:rsidR="007B6A71" w:rsidRDefault="007B6A71">
      <w:pPr>
        <w:pStyle w:val="BodyText"/>
        <w:spacing w:before="2"/>
        <w:rPr>
          <w:sz w:val="16"/>
        </w:rPr>
      </w:pPr>
    </w:p>
    <w:p w14:paraId="3E95AEA9" w14:textId="77777777" w:rsidR="007B6A71" w:rsidRDefault="00CE1F16">
      <w:pPr>
        <w:pStyle w:val="BodyText"/>
        <w:spacing w:before="90" w:line="480" w:lineRule="auto"/>
        <w:ind w:left="1180" w:right="548"/>
      </w:pPr>
      <w:r>
        <w:t>in this work are those of the creators and do not necessarily represent those of</w:t>
      </w:r>
      <w:r>
        <w:t xml:space="preserve"> DFID and IDRC or their boards of governors. We thank the ESA CCI sea level project for providing the data and CNES for providing the data from Topex, Jason 1 2 and 3. Other portions of this research were made possible by support from the European Union th</w:t>
      </w:r>
      <w:r>
        <w:t>rough the projects RISES-AM (funded by</w:t>
      </w:r>
    </w:p>
    <w:p w14:paraId="0F5A55AD" w14:textId="77777777" w:rsidR="007B6A71" w:rsidRDefault="00CE1F16">
      <w:pPr>
        <w:pStyle w:val="BodyText"/>
        <w:tabs>
          <w:tab w:val="left" w:pos="1180"/>
        </w:tabs>
        <w:spacing w:before="1"/>
        <w:ind w:left="100"/>
      </w:pPr>
      <w:r>
        <w:t>495</w:t>
      </w:r>
      <w:r>
        <w:tab/>
        <w:t>the European Commission’s Seventh Framework Programme, 2007 – 2013, under the</w:t>
      </w:r>
      <w:r>
        <w:rPr>
          <w:spacing w:val="-3"/>
        </w:rPr>
        <w:t xml:space="preserve"> </w:t>
      </w:r>
      <w:r>
        <w:t>grant</w:t>
      </w:r>
    </w:p>
    <w:p w14:paraId="17957DE1" w14:textId="77777777" w:rsidR="007B6A71" w:rsidRDefault="007B6A71">
      <w:pPr>
        <w:sectPr w:rsidR="007B6A71">
          <w:pgSz w:w="12240" w:h="15840"/>
          <w:pgMar w:top="1360" w:right="1000" w:bottom="1800" w:left="260" w:header="0" w:footer="1538" w:gutter="0"/>
          <w:cols w:space="720"/>
        </w:sectPr>
      </w:pPr>
    </w:p>
    <w:p w14:paraId="5D0AE4C6" w14:textId="77777777" w:rsidR="007B6A71" w:rsidRDefault="00CE1F16">
      <w:pPr>
        <w:pStyle w:val="BodyText"/>
        <w:spacing w:before="74" w:line="480" w:lineRule="auto"/>
        <w:ind w:left="1180" w:right="822"/>
      </w:pPr>
      <w:r>
        <w:lastRenderedPageBreak/>
        <w:t>agreement number 603396), GREEN-WIN and COACCH (funded by European Union’s Horizon 2020 research and innovation programme under grant agreement No 642018 and No 776479, respectively). Further funding was received through to projects INSeaPTION and ISIpedia</w:t>
      </w:r>
      <w:r>
        <w:t xml:space="preserve"> which are part of ERA4CS, an ERA-NET initiated by JPI Climate, and funded by</w:t>
      </w:r>
    </w:p>
    <w:p w14:paraId="05F75713" w14:textId="77777777" w:rsidR="007B6A71" w:rsidRDefault="00CE1F16">
      <w:pPr>
        <w:pStyle w:val="BodyText"/>
        <w:tabs>
          <w:tab w:val="left" w:pos="1180"/>
        </w:tabs>
        <w:spacing w:before="1"/>
        <w:ind w:left="100"/>
      </w:pPr>
      <w:r>
        <w:t>500</w:t>
      </w:r>
      <w:r>
        <w:tab/>
        <w:t>FORMAS (SE), BMBF (DE, grant No 01LS1711C and No 01LS1703A), BMWFW (AT),</w:t>
      </w:r>
      <w:r>
        <w:rPr>
          <w:spacing w:val="-7"/>
        </w:rPr>
        <w:t xml:space="preserve"> </w:t>
      </w:r>
      <w:r>
        <w:t>IFD</w:t>
      </w:r>
    </w:p>
    <w:p w14:paraId="7CD430E4" w14:textId="77777777" w:rsidR="007B6A71" w:rsidRDefault="007B6A71">
      <w:pPr>
        <w:pStyle w:val="BodyText"/>
        <w:spacing w:before="2"/>
        <w:rPr>
          <w:sz w:val="16"/>
        </w:rPr>
      </w:pPr>
    </w:p>
    <w:p w14:paraId="7364957C" w14:textId="77777777" w:rsidR="007B6A71" w:rsidRDefault="00CE1F16">
      <w:pPr>
        <w:pStyle w:val="BodyText"/>
        <w:spacing w:before="90" w:line="480" w:lineRule="auto"/>
        <w:ind w:left="1180" w:right="581"/>
      </w:pPr>
      <w:r>
        <w:t>(DK), MINECO (ES), ANR (FR) with co-funding by the European Union (Grant 690462). This publicati</w:t>
      </w:r>
      <w:r>
        <w:t>on was supported by PROTECT. This project has received funding from the European Union’s Horizon 2020 research and innovation programme under grant agreement No 869304, PROTECT contribution number 8.</w:t>
      </w:r>
    </w:p>
    <w:p w14:paraId="74C79D38" w14:textId="77777777" w:rsidR="007B6A71" w:rsidRDefault="007B6A71">
      <w:pPr>
        <w:spacing w:line="480" w:lineRule="auto"/>
        <w:sectPr w:rsidR="007B6A71">
          <w:pgSz w:w="12240" w:h="15840"/>
          <w:pgMar w:top="1360" w:right="1000" w:bottom="1800" w:left="260" w:header="0" w:footer="1538" w:gutter="0"/>
          <w:cols w:space="720"/>
        </w:sectPr>
      </w:pPr>
    </w:p>
    <w:p w14:paraId="28E77231" w14:textId="77777777" w:rsidR="007B6A71" w:rsidRDefault="00CE1F16">
      <w:pPr>
        <w:pStyle w:val="BodyText"/>
        <w:ind w:left="100"/>
      </w:pPr>
      <w:r>
        <w:t>505</w:t>
      </w:r>
    </w:p>
    <w:p w14:paraId="52149D96" w14:textId="77777777" w:rsidR="007B6A71" w:rsidRDefault="007B6A71">
      <w:pPr>
        <w:pStyle w:val="BodyText"/>
        <w:rPr>
          <w:sz w:val="26"/>
        </w:rPr>
      </w:pPr>
    </w:p>
    <w:p w14:paraId="7BEE70E2" w14:textId="77777777" w:rsidR="007B6A71" w:rsidRDefault="007B6A71">
      <w:pPr>
        <w:pStyle w:val="BodyText"/>
        <w:rPr>
          <w:sz w:val="26"/>
        </w:rPr>
      </w:pPr>
    </w:p>
    <w:p w14:paraId="056D95CD" w14:textId="77777777" w:rsidR="007B6A71" w:rsidRDefault="007B6A71">
      <w:pPr>
        <w:pStyle w:val="BodyText"/>
        <w:rPr>
          <w:sz w:val="26"/>
        </w:rPr>
      </w:pPr>
    </w:p>
    <w:p w14:paraId="58188B26" w14:textId="77777777" w:rsidR="007B6A71" w:rsidRDefault="007B6A71">
      <w:pPr>
        <w:pStyle w:val="BodyText"/>
        <w:rPr>
          <w:sz w:val="26"/>
        </w:rPr>
      </w:pPr>
    </w:p>
    <w:p w14:paraId="409F1B0E" w14:textId="77777777" w:rsidR="007B6A71" w:rsidRDefault="007B6A71">
      <w:pPr>
        <w:pStyle w:val="BodyText"/>
        <w:rPr>
          <w:sz w:val="26"/>
        </w:rPr>
      </w:pPr>
    </w:p>
    <w:p w14:paraId="32DDB14B" w14:textId="77777777" w:rsidR="007B6A71" w:rsidRDefault="007B6A71">
      <w:pPr>
        <w:pStyle w:val="BodyText"/>
        <w:rPr>
          <w:sz w:val="26"/>
        </w:rPr>
      </w:pPr>
    </w:p>
    <w:p w14:paraId="7DE74F7A" w14:textId="77777777" w:rsidR="007B6A71" w:rsidRDefault="007B6A71">
      <w:pPr>
        <w:pStyle w:val="BodyText"/>
        <w:rPr>
          <w:sz w:val="26"/>
        </w:rPr>
      </w:pPr>
    </w:p>
    <w:p w14:paraId="2DE0F53B" w14:textId="77777777" w:rsidR="007B6A71" w:rsidRDefault="007B6A71">
      <w:pPr>
        <w:pStyle w:val="BodyText"/>
        <w:rPr>
          <w:sz w:val="26"/>
        </w:rPr>
      </w:pPr>
    </w:p>
    <w:p w14:paraId="2A2CA04B" w14:textId="77777777" w:rsidR="007B6A71" w:rsidRDefault="00CE1F16">
      <w:pPr>
        <w:pStyle w:val="BodyText"/>
        <w:spacing w:before="184"/>
        <w:ind w:left="100"/>
      </w:pPr>
      <w:r>
        <w:t>510</w:t>
      </w:r>
    </w:p>
    <w:p w14:paraId="0D0E1825" w14:textId="77777777" w:rsidR="007B6A71" w:rsidRDefault="00CE1F16">
      <w:pPr>
        <w:pStyle w:val="BodyText"/>
        <w:rPr>
          <w:sz w:val="30"/>
        </w:rPr>
      </w:pPr>
      <w:r>
        <w:br w:type="column"/>
      </w:r>
    </w:p>
    <w:p w14:paraId="70C0EE13" w14:textId="77777777" w:rsidR="007B6A71" w:rsidRDefault="00CE1F16">
      <w:pPr>
        <w:pStyle w:val="Heading1"/>
        <w:spacing w:before="211"/>
        <w:ind w:left="100"/>
      </w:pPr>
      <w:r>
        <w:t>Author contributions:</w:t>
      </w:r>
    </w:p>
    <w:p w14:paraId="347A364E" w14:textId="77777777" w:rsidR="007B6A71" w:rsidRDefault="007B6A71">
      <w:pPr>
        <w:pStyle w:val="BodyText"/>
        <w:spacing w:before="7"/>
        <w:rPr>
          <w:b/>
          <w:sz w:val="27"/>
        </w:rPr>
      </w:pPr>
    </w:p>
    <w:p w14:paraId="4F821B49" w14:textId="77777777" w:rsidR="007B6A71" w:rsidRDefault="00CE1F16">
      <w:pPr>
        <w:pStyle w:val="BodyText"/>
        <w:spacing w:line="480" w:lineRule="auto"/>
        <w:ind w:left="100" w:right="696"/>
      </w:pPr>
      <w:r>
        <w:t>RJN, DL and JH designed and conducted the analysis and wrote the main paper. They also prepared the city subsidence and GIA data. SB and SH contributed to city subsidence data and prepared the data on delta subsidence. AT and JM prep</w:t>
      </w:r>
      <w:r>
        <w:t>ared the socio-economic data. BM provided the satellite sea-level data and the expertise on climate-induced coastal sea-level rise.</w:t>
      </w:r>
    </w:p>
    <w:p w14:paraId="4D5DAE43" w14:textId="77777777" w:rsidR="007B6A71" w:rsidRDefault="007B6A71">
      <w:pPr>
        <w:spacing w:line="480" w:lineRule="auto"/>
        <w:sectPr w:rsidR="007B6A71">
          <w:type w:val="continuous"/>
          <w:pgSz w:w="12240" w:h="15840"/>
          <w:pgMar w:top="1360" w:right="1000" w:bottom="1720" w:left="260" w:header="720" w:footer="720" w:gutter="0"/>
          <w:cols w:num="2" w:space="720" w:equalWidth="0">
            <w:col w:w="501" w:space="580"/>
            <w:col w:w="9899"/>
          </w:cols>
        </w:sectPr>
      </w:pPr>
    </w:p>
    <w:p w14:paraId="1DF32C04" w14:textId="77777777" w:rsidR="007B6A71" w:rsidRDefault="00CE1F16">
      <w:pPr>
        <w:pStyle w:val="BodyText"/>
        <w:spacing w:before="1" w:line="480" w:lineRule="auto"/>
        <w:ind w:left="1180" w:right="809"/>
      </w:pPr>
      <w:r>
        <w:t>JF contributed to the city subsidence data from Asia, especially China. All authors read paper drafts</w:t>
      </w:r>
      <w:r>
        <w:t xml:space="preserve"> and approved the final version.</w:t>
      </w:r>
    </w:p>
    <w:p w14:paraId="14EC499B" w14:textId="77777777" w:rsidR="007B6A71" w:rsidRDefault="00CE1F16">
      <w:pPr>
        <w:pStyle w:val="BodyText"/>
        <w:ind w:left="1180"/>
      </w:pPr>
      <w:r>
        <w:t>Competing interests: “Authors declare no competing interests.”</w:t>
      </w:r>
    </w:p>
    <w:p w14:paraId="47D082F8" w14:textId="77777777" w:rsidR="007B6A71" w:rsidRDefault="007B6A71">
      <w:pPr>
        <w:pStyle w:val="BodyText"/>
        <w:rPr>
          <w:sz w:val="20"/>
        </w:rPr>
      </w:pPr>
    </w:p>
    <w:p w14:paraId="253D3EC2" w14:textId="77777777" w:rsidR="007B6A71" w:rsidRDefault="007B6A71">
      <w:pPr>
        <w:pStyle w:val="BodyText"/>
        <w:rPr>
          <w:sz w:val="20"/>
        </w:rPr>
      </w:pPr>
    </w:p>
    <w:p w14:paraId="399D6A13" w14:textId="77777777" w:rsidR="007B6A71" w:rsidRDefault="007B6A71">
      <w:pPr>
        <w:pStyle w:val="BodyText"/>
        <w:spacing w:before="7"/>
      </w:pPr>
    </w:p>
    <w:p w14:paraId="66FB2D52" w14:textId="77777777" w:rsidR="007B6A71" w:rsidRDefault="00CE1F16">
      <w:pPr>
        <w:pStyle w:val="Heading1"/>
        <w:tabs>
          <w:tab w:val="left" w:pos="1180"/>
        </w:tabs>
        <w:ind w:left="100"/>
      </w:pPr>
      <w:r>
        <w:rPr>
          <w:b w:val="0"/>
          <w:sz w:val="24"/>
        </w:rPr>
        <w:t>515</w:t>
      </w:r>
      <w:r>
        <w:rPr>
          <w:b w:val="0"/>
          <w:sz w:val="24"/>
        </w:rPr>
        <w:tab/>
      </w:r>
      <w:r>
        <w:t>Data Availability</w:t>
      </w:r>
      <w:r>
        <w:rPr>
          <w:spacing w:val="1"/>
        </w:rPr>
        <w:t xml:space="preserve"> </w:t>
      </w:r>
      <w:r>
        <w:t>Statement:</w:t>
      </w:r>
    </w:p>
    <w:p w14:paraId="4D069B80" w14:textId="77777777" w:rsidR="007B6A71" w:rsidRDefault="007B6A71">
      <w:pPr>
        <w:pStyle w:val="BodyText"/>
        <w:spacing w:before="9"/>
        <w:rPr>
          <w:b/>
          <w:sz w:val="19"/>
        </w:rPr>
      </w:pPr>
    </w:p>
    <w:p w14:paraId="118848E2" w14:textId="77777777" w:rsidR="007B6A71" w:rsidRDefault="00CE1F16">
      <w:pPr>
        <w:pStyle w:val="BodyText"/>
        <w:spacing w:before="90" w:line="480" w:lineRule="auto"/>
        <w:ind w:left="1180" w:right="902"/>
      </w:pPr>
      <w:r>
        <w:t xml:space="preserve">All datasets used in the production of this paper are available from </w:t>
      </w:r>
      <w:hyperlink r:id="rId12">
        <w:r>
          <w:rPr>
            <w:color w:val="0462C1"/>
            <w:u w:val="single" w:color="0462C1"/>
          </w:rPr>
          <w:t>http://doi.org/10.5281/zenodo.4434773</w:t>
        </w:r>
        <w:r>
          <w:t>.</w:t>
        </w:r>
      </w:hyperlink>
      <w:r>
        <w:t xml:space="preserve"> The sea-level data is referenced under the following</w:t>
      </w:r>
    </w:p>
    <w:p w14:paraId="3460AF3D" w14:textId="77777777" w:rsidR="007B6A71" w:rsidRDefault="007B6A71">
      <w:pPr>
        <w:spacing w:line="480" w:lineRule="auto"/>
        <w:sectPr w:rsidR="007B6A71">
          <w:type w:val="continuous"/>
          <w:pgSz w:w="12240" w:h="15840"/>
          <w:pgMar w:top="1360" w:right="1000" w:bottom="1720" w:left="260" w:header="720" w:footer="720" w:gutter="0"/>
          <w:cols w:space="720"/>
        </w:sectPr>
      </w:pPr>
    </w:p>
    <w:p w14:paraId="7C2F8648" w14:textId="77777777" w:rsidR="007B6A71" w:rsidRDefault="00CE1F16">
      <w:pPr>
        <w:pStyle w:val="BodyText"/>
        <w:spacing w:before="74"/>
        <w:ind w:left="1180"/>
      </w:pPr>
      <w:r>
        <w:lastRenderedPageBreak/>
        <w:t xml:space="preserve">DOI: </w:t>
      </w:r>
      <w:r>
        <w:rPr>
          <w:color w:val="0462C1"/>
          <w:u w:val="single" w:color="0462C1"/>
        </w:rPr>
        <w:t>10.5270/esa-sea_level_cci-1993_2015-v_2.0-201612</w:t>
      </w:r>
      <w:r>
        <w:rPr>
          <w:color w:val="0462C1"/>
        </w:rPr>
        <w:t xml:space="preserve"> </w:t>
      </w:r>
      <w:r>
        <w:t>. It is freely available from</w:t>
      </w:r>
    </w:p>
    <w:p w14:paraId="463F712A" w14:textId="77777777" w:rsidR="007B6A71" w:rsidRDefault="007B6A71">
      <w:pPr>
        <w:pStyle w:val="BodyText"/>
        <w:spacing w:before="2"/>
        <w:rPr>
          <w:sz w:val="16"/>
        </w:rPr>
      </w:pPr>
    </w:p>
    <w:p w14:paraId="0AE53F96" w14:textId="77777777" w:rsidR="007B6A71" w:rsidRDefault="00CE1F16">
      <w:pPr>
        <w:pStyle w:val="BodyText"/>
        <w:spacing w:before="90"/>
        <w:ind w:left="1180"/>
      </w:pPr>
      <w:hyperlink r:id="rId13">
        <w:r>
          <w:rPr>
            <w:color w:val="0462C1"/>
            <w:u w:val="single" w:color="0462C1"/>
          </w:rPr>
          <w:t>http://www.esa-sealevel-cci.org/products</w:t>
        </w:r>
      </w:hyperlink>
    </w:p>
    <w:p w14:paraId="17C5237A" w14:textId="77777777" w:rsidR="007B6A71" w:rsidRDefault="007B6A71">
      <w:pPr>
        <w:pStyle w:val="BodyText"/>
        <w:spacing w:before="3"/>
        <w:rPr>
          <w:sz w:val="16"/>
        </w:rPr>
      </w:pPr>
    </w:p>
    <w:p w14:paraId="00EECBD4" w14:textId="77777777" w:rsidR="007B6A71" w:rsidRDefault="00CE1F16">
      <w:pPr>
        <w:pStyle w:val="BodyText"/>
        <w:spacing w:before="90"/>
        <w:ind w:left="100"/>
      </w:pPr>
      <w:r>
        <w:t>520</w:t>
      </w:r>
    </w:p>
    <w:p w14:paraId="640E2296" w14:textId="77777777" w:rsidR="007B6A71" w:rsidRDefault="007B6A71">
      <w:pPr>
        <w:pStyle w:val="BodyText"/>
        <w:spacing w:before="3"/>
      </w:pPr>
    </w:p>
    <w:p w14:paraId="0D51B288" w14:textId="77777777" w:rsidR="007B6A71" w:rsidRDefault="00CE1F16">
      <w:pPr>
        <w:pStyle w:val="Heading1"/>
        <w:spacing w:before="0"/>
      </w:pPr>
      <w:r>
        <w:t>Computer Code Availability Statement:</w:t>
      </w:r>
    </w:p>
    <w:p w14:paraId="123AC8C7" w14:textId="77777777" w:rsidR="007B6A71" w:rsidRDefault="007B6A71">
      <w:pPr>
        <w:pStyle w:val="BodyText"/>
        <w:spacing w:before="7"/>
        <w:rPr>
          <w:b/>
          <w:sz w:val="27"/>
        </w:rPr>
      </w:pPr>
    </w:p>
    <w:p w14:paraId="743524B3" w14:textId="77777777" w:rsidR="007B6A71" w:rsidRDefault="00CE1F16">
      <w:pPr>
        <w:pStyle w:val="BodyText"/>
        <w:spacing w:line="480" w:lineRule="auto"/>
        <w:ind w:left="1180" w:right="2368"/>
      </w:pPr>
      <w:r>
        <w:t xml:space="preserve">The R code used to produce the numbers, tables and figures is available from </w:t>
      </w:r>
      <w:hyperlink r:id="rId14">
        <w:r>
          <w:rPr>
            <w:color w:val="0462C1"/>
            <w:u w:val="single" w:color="0462C1"/>
          </w:rPr>
          <w:t>http://doi.org/10.5281/zenodo.4434773</w:t>
        </w:r>
      </w:hyperlink>
    </w:p>
    <w:p w14:paraId="35CDDFE3" w14:textId="77777777" w:rsidR="007B6A71" w:rsidRDefault="007B6A71">
      <w:pPr>
        <w:pStyle w:val="BodyText"/>
        <w:rPr>
          <w:sz w:val="20"/>
        </w:rPr>
      </w:pPr>
    </w:p>
    <w:p w14:paraId="3612E0DB" w14:textId="77777777" w:rsidR="007B6A71" w:rsidRDefault="007B6A71">
      <w:pPr>
        <w:pStyle w:val="BodyText"/>
        <w:spacing w:before="3"/>
        <w:rPr>
          <w:sz w:val="20"/>
        </w:rPr>
      </w:pPr>
    </w:p>
    <w:p w14:paraId="0D48FFCA" w14:textId="77777777" w:rsidR="007B6A71" w:rsidRDefault="00CE1F16">
      <w:pPr>
        <w:pStyle w:val="BodyText"/>
        <w:tabs>
          <w:tab w:val="left" w:pos="1180"/>
        </w:tabs>
        <w:spacing w:before="90"/>
        <w:ind w:left="100"/>
      </w:pPr>
      <w:r>
        <w:t>525</w:t>
      </w:r>
      <w:r>
        <w:tab/>
        <w:t>Correspondence and requests for materials should be addressed to Robert</w:t>
      </w:r>
      <w:r>
        <w:rPr>
          <w:spacing w:val="-3"/>
        </w:rPr>
        <w:t xml:space="preserve"> </w:t>
      </w:r>
      <w:r>
        <w:t>Nicholls</w:t>
      </w:r>
    </w:p>
    <w:p w14:paraId="44898DC6" w14:textId="77777777" w:rsidR="007B6A71" w:rsidRDefault="007B6A71">
      <w:pPr>
        <w:pStyle w:val="BodyText"/>
        <w:spacing w:before="2"/>
        <w:rPr>
          <w:sz w:val="16"/>
        </w:rPr>
      </w:pPr>
    </w:p>
    <w:p w14:paraId="6C10B0E8" w14:textId="77777777" w:rsidR="007B6A71" w:rsidRDefault="00CE1F16">
      <w:pPr>
        <w:pStyle w:val="BodyText"/>
        <w:spacing w:before="90"/>
        <w:ind w:left="1180"/>
      </w:pPr>
      <w:hyperlink r:id="rId15">
        <w:r>
          <w:t>Robert.nicholls@uea.ac.uk</w:t>
        </w:r>
      </w:hyperlink>
    </w:p>
    <w:p w14:paraId="575F952A" w14:textId="77777777" w:rsidR="007B6A71" w:rsidRDefault="007B6A71">
      <w:pPr>
        <w:pStyle w:val="BodyText"/>
        <w:rPr>
          <w:sz w:val="26"/>
        </w:rPr>
      </w:pPr>
    </w:p>
    <w:p w14:paraId="08EA40DB" w14:textId="77777777" w:rsidR="007B6A71" w:rsidRDefault="007B6A71">
      <w:pPr>
        <w:pStyle w:val="BodyText"/>
        <w:rPr>
          <w:sz w:val="26"/>
        </w:rPr>
      </w:pPr>
    </w:p>
    <w:p w14:paraId="1DC6C7CF" w14:textId="77777777" w:rsidR="007B6A71" w:rsidRDefault="00CE1F16">
      <w:pPr>
        <w:pStyle w:val="Heading1"/>
        <w:spacing w:before="234"/>
      </w:pPr>
      <w:r>
        <w:t>References:</w:t>
      </w:r>
    </w:p>
    <w:p w14:paraId="6DEC1727" w14:textId="77777777" w:rsidR="007B6A71" w:rsidRDefault="007B6A71">
      <w:pPr>
        <w:pStyle w:val="BodyText"/>
        <w:spacing w:before="9"/>
        <w:rPr>
          <w:b/>
          <w:sz w:val="19"/>
        </w:rPr>
      </w:pPr>
    </w:p>
    <w:p w14:paraId="154133E6" w14:textId="77777777" w:rsidR="007B6A71" w:rsidRDefault="007B6A71">
      <w:pPr>
        <w:rPr>
          <w:sz w:val="19"/>
        </w:rPr>
        <w:sectPr w:rsidR="007B6A71">
          <w:pgSz w:w="12240" w:h="15840"/>
          <w:pgMar w:top="1360" w:right="1000" w:bottom="1800" w:left="260" w:header="0" w:footer="1538" w:gutter="0"/>
          <w:cols w:space="720"/>
        </w:sectPr>
      </w:pPr>
    </w:p>
    <w:p w14:paraId="0170B46F" w14:textId="77777777" w:rsidR="007B6A71" w:rsidRDefault="007B6A71">
      <w:pPr>
        <w:pStyle w:val="BodyText"/>
        <w:spacing w:before="9"/>
        <w:rPr>
          <w:b/>
          <w:sz w:val="31"/>
        </w:rPr>
      </w:pPr>
    </w:p>
    <w:p w14:paraId="5BC6AA70" w14:textId="77777777" w:rsidR="007B6A71" w:rsidRDefault="00CE1F16">
      <w:pPr>
        <w:pStyle w:val="BodyText"/>
        <w:ind w:left="100"/>
      </w:pPr>
      <w:r>
        <w:t>530</w:t>
      </w:r>
    </w:p>
    <w:p w14:paraId="6F8579A8" w14:textId="77777777" w:rsidR="007B6A71" w:rsidRDefault="007B6A71">
      <w:pPr>
        <w:pStyle w:val="BodyText"/>
        <w:rPr>
          <w:sz w:val="26"/>
        </w:rPr>
      </w:pPr>
    </w:p>
    <w:p w14:paraId="6E9907B5" w14:textId="77777777" w:rsidR="007B6A71" w:rsidRDefault="007B6A71">
      <w:pPr>
        <w:pStyle w:val="BodyText"/>
        <w:rPr>
          <w:sz w:val="26"/>
        </w:rPr>
      </w:pPr>
    </w:p>
    <w:p w14:paraId="7FC99752" w14:textId="77777777" w:rsidR="007B6A71" w:rsidRDefault="007B6A71">
      <w:pPr>
        <w:pStyle w:val="BodyText"/>
        <w:rPr>
          <w:sz w:val="26"/>
        </w:rPr>
      </w:pPr>
    </w:p>
    <w:p w14:paraId="73BF2CA2" w14:textId="77777777" w:rsidR="007B6A71" w:rsidRDefault="00CE1F16">
      <w:pPr>
        <w:pStyle w:val="BodyText"/>
        <w:spacing w:before="208"/>
        <w:ind w:left="100"/>
      </w:pPr>
      <w:r>
        <w:t>535</w:t>
      </w:r>
    </w:p>
    <w:p w14:paraId="082028D5" w14:textId="77777777" w:rsidR="007B6A71" w:rsidRDefault="007B6A71">
      <w:pPr>
        <w:pStyle w:val="BodyText"/>
        <w:rPr>
          <w:sz w:val="26"/>
        </w:rPr>
      </w:pPr>
    </w:p>
    <w:p w14:paraId="54CB2F19" w14:textId="77777777" w:rsidR="007B6A71" w:rsidRDefault="007B6A71">
      <w:pPr>
        <w:pStyle w:val="BodyText"/>
        <w:rPr>
          <w:sz w:val="26"/>
        </w:rPr>
      </w:pPr>
    </w:p>
    <w:p w14:paraId="11DAA302" w14:textId="77777777" w:rsidR="007B6A71" w:rsidRDefault="007B6A71">
      <w:pPr>
        <w:pStyle w:val="BodyText"/>
        <w:rPr>
          <w:sz w:val="26"/>
        </w:rPr>
      </w:pPr>
    </w:p>
    <w:p w14:paraId="0BAC3DCD" w14:textId="77777777" w:rsidR="007B6A71" w:rsidRDefault="00CE1F16">
      <w:pPr>
        <w:pStyle w:val="BodyText"/>
        <w:spacing w:before="207"/>
        <w:ind w:left="100"/>
      </w:pPr>
      <w:r>
        <w:t>540</w:t>
      </w:r>
    </w:p>
    <w:p w14:paraId="69CB8C2E" w14:textId="77777777" w:rsidR="007B6A71" w:rsidRDefault="007B6A71">
      <w:pPr>
        <w:pStyle w:val="BodyText"/>
        <w:rPr>
          <w:sz w:val="26"/>
        </w:rPr>
      </w:pPr>
    </w:p>
    <w:p w14:paraId="40CDAF15" w14:textId="77777777" w:rsidR="007B6A71" w:rsidRDefault="007B6A71">
      <w:pPr>
        <w:pStyle w:val="BodyText"/>
        <w:rPr>
          <w:sz w:val="26"/>
        </w:rPr>
      </w:pPr>
    </w:p>
    <w:p w14:paraId="2DC28176" w14:textId="77777777" w:rsidR="007B6A71" w:rsidRDefault="007B6A71">
      <w:pPr>
        <w:pStyle w:val="BodyText"/>
        <w:rPr>
          <w:sz w:val="26"/>
        </w:rPr>
      </w:pPr>
    </w:p>
    <w:p w14:paraId="19ED54A0" w14:textId="77777777" w:rsidR="007B6A71" w:rsidRDefault="00CE1F16">
      <w:pPr>
        <w:pStyle w:val="BodyText"/>
        <w:spacing w:before="208"/>
        <w:ind w:left="100"/>
      </w:pPr>
      <w:r>
        <w:t>545</w:t>
      </w:r>
    </w:p>
    <w:p w14:paraId="40D43FEA" w14:textId="77777777" w:rsidR="007B6A71" w:rsidRDefault="007B6A71">
      <w:pPr>
        <w:pStyle w:val="BodyText"/>
        <w:rPr>
          <w:sz w:val="26"/>
        </w:rPr>
      </w:pPr>
    </w:p>
    <w:p w14:paraId="29A4B9EB" w14:textId="77777777" w:rsidR="007B6A71" w:rsidRDefault="007B6A71">
      <w:pPr>
        <w:pStyle w:val="BodyText"/>
        <w:rPr>
          <w:sz w:val="26"/>
        </w:rPr>
      </w:pPr>
    </w:p>
    <w:p w14:paraId="2F7D31E8" w14:textId="77777777" w:rsidR="007B6A71" w:rsidRDefault="007B6A71">
      <w:pPr>
        <w:pStyle w:val="BodyText"/>
        <w:rPr>
          <w:sz w:val="26"/>
        </w:rPr>
      </w:pPr>
    </w:p>
    <w:p w14:paraId="70F05A55" w14:textId="77777777" w:rsidR="007B6A71" w:rsidRDefault="00CE1F16">
      <w:pPr>
        <w:pStyle w:val="BodyText"/>
        <w:spacing w:before="207"/>
        <w:ind w:left="100"/>
      </w:pPr>
      <w:r>
        <w:t>550</w:t>
      </w:r>
    </w:p>
    <w:p w14:paraId="4FC672E7" w14:textId="77777777" w:rsidR="007B6A71" w:rsidRDefault="00CE1F16">
      <w:pPr>
        <w:pStyle w:val="ListParagraph"/>
        <w:numPr>
          <w:ilvl w:val="0"/>
          <w:numId w:val="3"/>
        </w:numPr>
        <w:tabs>
          <w:tab w:val="left" w:pos="819"/>
          <w:tab w:val="left" w:pos="820"/>
        </w:tabs>
        <w:spacing w:before="90"/>
        <w:ind w:right="1012"/>
        <w:rPr>
          <w:sz w:val="24"/>
        </w:rPr>
      </w:pPr>
      <w:r>
        <w:rPr>
          <w:sz w:val="24"/>
        </w:rPr>
        <w:br w:type="column"/>
      </w:r>
      <w:r>
        <w:rPr>
          <w:sz w:val="24"/>
        </w:rPr>
        <w:t xml:space="preserve">Hinkel, J. </w:t>
      </w:r>
      <w:r>
        <w:rPr>
          <w:i/>
          <w:sz w:val="24"/>
        </w:rPr>
        <w:t xml:space="preserve">et al. </w:t>
      </w:r>
      <w:r>
        <w:rPr>
          <w:sz w:val="24"/>
        </w:rPr>
        <w:t xml:space="preserve">A global analysis of erosion of sandy beaches and sea-level rise: An application of DIVA. </w:t>
      </w:r>
      <w:r>
        <w:rPr>
          <w:i/>
          <w:sz w:val="24"/>
        </w:rPr>
        <w:t xml:space="preserve">Global and Planetary Change </w:t>
      </w:r>
      <w:r>
        <w:rPr>
          <w:b/>
          <w:sz w:val="24"/>
        </w:rPr>
        <w:t>111</w:t>
      </w:r>
      <w:r>
        <w:rPr>
          <w:sz w:val="24"/>
        </w:rPr>
        <w:t>, 150-158,</w:t>
      </w:r>
      <w:r>
        <w:rPr>
          <w:sz w:val="24"/>
          <w:u w:val="single"/>
        </w:rPr>
        <w:t xml:space="preserve"> https://doi.org/10.1016/j.gloplacha.2013.09.002</w:t>
      </w:r>
      <w:r>
        <w:rPr>
          <w:spacing w:val="1"/>
          <w:sz w:val="24"/>
        </w:rPr>
        <w:t xml:space="preserve"> </w:t>
      </w:r>
      <w:r>
        <w:rPr>
          <w:sz w:val="24"/>
        </w:rPr>
        <w:t>(2013).</w:t>
      </w:r>
    </w:p>
    <w:p w14:paraId="0B32E3DC" w14:textId="77777777" w:rsidR="007B6A71" w:rsidRDefault="00CE1F16">
      <w:pPr>
        <w:pStyle w:val="ListParagraph"/>
        <w:numPr>
          <w:ilvl w:val="0"/>
          <w:numId w:val="3"/>
        </w:numPr>
        <w:tabs>
          <w:tab w:val="left" w:pos="819"/>
          <w:tab w:val="left" w:pos="820"/>
        </w:tabs>
        <w:ind w:right="693"/>
        <w:rPr>
          <w:sz w:val="24"/>
        </w:rPr>
      </w:pPr>
      <w:r>
        <w:rPr>
          <w:sz w:val="24"/>
        </w:rPr>
        <w:t xml:space="preserve">Hinkel, J. </w:t>
      </w:r>
      <w:r>
        <w:rPr>
          <w:i/>
          <w:sz w:val="24"/>
        </w:rPr>
        <w:t xml:space="preserve">et al. </w:t>
      </w:r>
      <w:r>
        <w:rPr>
          <w:sz w:val="24"/>
        </w:rPr>
        <w:t xml:space="preserve">Coastal flood damage and adaptation costs under 21st century sea-level rise. </w:t>
      </w:r>
      <w:r>
        <w:rPr>
          <w:i/>
          <w:sz w:val="24"/>
        </w:rPr>
        <w:t xml:space="preserve">Proceedings of the National Academy of Sciences </w:t>
      </w:r>
      <w:r>
        <w:rPr>
          <w:b/>
          <w:sz w:val="24"/>
        </w:rPr>
        <w:t>111</w:t>
      </w:r>
      <w:r>
        <w:rPr>
          <w:sz w:val="24"/>
        </w:rPr>
        <w:t>, 3292,</w:t>
      </w:r>
      <w:r>
        <w:rPr>
          <w:sz w:val="24"/>
          <w:u w:val="single"/>
        </w:rPr>
        <w:t xml:space="preserve"> https://doi.org/10.1073/pnas.1222469111</w:t>
      </w:r>
      <w:r>
        <w:rPr>
          <w:sz w:val="24"/>
        </w:rPr>
        <w:t xml:space="preserve"> (2014</w:t>
      </w:r>
      <w:r>
        <w:rPr>
          <w:sz w:val="24"/>
        </w:rPr>
        <w:t>).</w:t>
      </w:r>
    </w:p>
    <w:p w14:paraId="3A5C1D87" w14:textId="77777777" w:rsidR="007B6A71" w:rsidRDefault="00CE1F16">
      <w:pPr>
        <w:pStyle w:val="ListParagraph"/>
        <w:numPr>
          <w:ilvl w:val="0"/>
          <w:numId w:val="3"/>
        </w:numPr>
        <w:tabs>
          <w:tab w:val="left" w:pos="819"/>
          <w:tab w:val="left" w:pos="820"/>
        </w:tabs>
        <w:rPr>
          <w:i/>
          <w:sz w:val="24"/>
        </w:rPr>
      </w:pPr>
      <w:r>
        <w:rPr>
          <w:sz w:val="24"/>
        </w:rPr>
        <w:t xml:space="preserve">Schuerch, M. </w:t>
      </w:r>
      <w:r>
        <w:rPr>
          <w:i/>
          <w:sz w:val="24"/>
        </w:rPr>
        <w:t xml:space="preserve">et al. </w:t>
      </w:r>
      <w:r>
        <w:rPr>
          <w:sz w:val="24"/>
        </w:rPr>
        <w:t>Future response of global coastal wetlands to sea-level rise.</w:t>
      </w:r>
      <w:r>
        <w:rPr>
          <w:spacing w:val="-5"/>
          <w:sz w:val="24"/>
        </w:rPr>
        <w:t xml:space="preserve"> </w:t>
      </w:r>
      <w:r>
        <w:rPr>
          <w:i/>
          <w:sz w:val="24"/>
        </w:rPr>
        <w:t>Nature</w:t>
      </w:r>
    </w:p>
    <w:p w14:paraId="7AE59D21" w14:textId="77777777" w:rsidR="007B6A71" w:rsidRDefault="00CE1F16">
      <w:pPr>
        <w:pStyle w:val="BodyText"/>
        <w:ind w:left="819"/>
      </w:pPr>
      <w:r>
        <w:rPr>
          <w:b/>
        </w:rPr>
        <w:t>561</w:t>
      </w:r>
      <w:r>
        <w:t xml:space="preserve">, 231-234, </w:t>
      </w:r>
      <w:r>
        <w:rPr>
          <w:u w:val="single"/>
        </w:rPr>
        <w:t>https://doi.org/10.1038/s41586-018-0476-5</w:t>
      </w:r>
      <w:r>
        <w:t xml:space="preserve"> (2018).</w:t>
      </w:r>
    </w:p>
    <w:p w14:paraId="55C9FA11" w14:textId="77777777" w:rsidR="007B6A71" w:rsidRDefault="00CE1F16">
      <w:pPr>
        <w:pStyle w:val="ListParagraph"/>
        <w:numPr>
          <w:ilvl w:val="0"/>
          <w:numId w:val="3"/>
        </w:numPr>
        <w:tabs>
          <w:tab w:val="left" w:pos="819"/>
          <w:tab w:val="left" w:pos="820"/>
        </w:tabs>
        <w:ind w:right="565"/>
        <w:rPr>
          <w:sz w:val="24"/>
        </w:rPr>
      </w:pPr>
      <w:r>
        <w:rPr>
          <w:sz w:val="24"/>
        </w:rPr>
        <w:t xml:space="preserve">Vafeidis, A. T. </w:t>
      </w:r>
      <w:r>
        <w:rPr>
          <w:i/>
          <w:sz w:val="24"/>
        </w:rPr>
        <w:t xml:space="preserve">et al. </w:t>
      </w:r>
      <w:r>
        <w:rPr>
          <w:sz w:val="24"/>
        </w:rPr>
        <w:t>A new global coastal database for impact and vulnerability</w:t>
      </w:r>
      <w:r>
        <w:rPr>
          <w:spacing w:val="-19"/>
          <w:sz w:val="24"/>
        </w:rPr>
        <w:t xml:space="preserve"> </w:t>
      </w:r>
      <w:r>
        <w:rPr>
          <w:sz w:val="24"/>
        </w:rPr>
        <w:t xml:space="preserve">analysis to sea-level rise. </w:t>
      </w:r>
      <w:r>
        <w:rPr>
          <w:i/>
          <w:sz w:val="24"/>
        </w:rPr>
        <w:t xml:space="preserve">Journal of Coastal Research </w:t>
      </w:r>
      <w:r>
        <w:rPr>
          <w:b/>
          <w:sz w:val="24"/>
        </w:rPr>
        <w:t>24</w:t>
      </w:r>
      <w:r>
        <w:rPr>
          <w:sz w:val="24"/>
        </w:rPr>
        <w:t>, 917-924, (2008).</w:t>
      </w:r>
    </w:p>
    <w:p w14:paraId="408B3A6A" w14:textId="77777777" w:rsidR="007B6A71" w:rsidRDefault="00CE1F16">
      <w:pPr>
        <w:pStyle w:val="ListParagraph"/>
        <w:numPr>
          <w:ilvl w:val="0"/>
          <w:numId w:val="3"/>
        </w:numPr>
        <w:tabs>
          <w:tab w:val="left" w:pos="819"/>
          <w:tab w:val="left" w:pos="820"/>
        </w:tabs>
        <w:spacing w:before="1"/>
        <w:ind w:right="680"/>
        <w:rPr>
          <w:sz w:val="24"/>
        </w:rPr>
      </w:pPr>
      <w:r>
        <w:rPr>
          <w:sz w:val="24"/>
        </w:rPr>
        <w:t xml:space="preserve">Nicholls, R. J. </w:t>
      </w:r>
      <w:r>
        <w:rPr>
          <w:i/>
          <w:sz w:val="24"/>
        </w:rPr>
        <w:t xml:space="preserve">et al. </w:t>
      </w:r>
      <w:r>
        <w:rPr>
          <w:sz w:val="24"/>
        </w:rPr>
        <w:t>Ranking port cities with high exposure and vulnerability to</w:t>
      </w:r>
      <w:r>
        <w:rPr>
          <w:spacing w:val="-15"/>
          <w:sz w:val="24"/>
        </w:rPr>
        <w:t xml:space="preserve"> </w:t>
      </w:r>
      <w:r>
        <w:rPr>
          <w:sz w:val="24"/>
        </w:rPr>
        <w:t>climate extremes - Exposure estimates. (OECD Publishing, Paris, France, 2008)</w:t>
      </w:r>
      <w:r>
        <w:rPr>
          <w:sz w:val="24"/>
          <w:u w:val="single"/>
        </w:rPr>
        <w:t xml:space="preserve"> https://doi.org/10.1787/011766488208</w:t>
      </w:r>
    </w:p>
    <w:p w14:paraId="384CBEFD" w14:textId="77777777" w:rsidR="007B6A71" w:rsidRDefault="00CE1F16">
      <w:pPr>
        <w:pStyle w:val="ListParagraph"/>
        <w:numPr>
          <w:ilvl w:val="0"/>
          <w:numId w:val="3"/>
        </w:numPr>
        <w:tabs>
          <w:tab w:val="left" w:pos="819"/>
          <w:tab w:val="left" w:pos="820"/>
        </w:tabs>
        <w:ind w:right="1077"/>
        <w:rPr>
          <w:sz w:val="24"/>
        </w:rPr>
      </w:pPr>
      <w:r>
        <w:rPr>
          <w:sz w:val="24"/>
        </w:rPr>
        <w:t xml:space="preserve">National Research Council. </w:t>
      </w:r>
      <w:r>
        <w:rPr>
          <w:i/>
          <w:sz w:val="24"/>
        </w:rPr>
        <w:t>Sea-level rise for the coasts of California, Oregon, a</w:t>
      </w:r>
      <w:r>
        <w:rPr>
          <w:i/>
          <w:sz w:val="24"/>
        </w:rPr>
        <w:t>nd Washington: Past, present, and future</w:t>
      </w:r>
      <w:r>
        <w:rPr>
          <w:sz w:val="24"/>
        </w:rPr>
        <w:t>. (National Academic Press,</w:t>
      </w:r>
      <w:r>
        <w:rPr>
          <w:spacing w:val="-5"/>
          <w:sz w:val="24"/>
        </w:rPr>
        <w:t xml:space="preserve"> </w:t>
      </w:r>
      <w:r>
        <w:rPr>
          <w:sz w:val="24"/>
        </w:rPr>
        <w:t>2012).</w:t>
      </w:r>
    </w:p>
    <w:p w14:paraId="7347B883" w14:textId="77777777" w:rsidR="007B6A71" w:rsidRDefault="00CE1F16">
      <w:pPr>
        <w:pStyle w:val="ListParagraph"/>
        <w:numPr>
          <w:ilvl w:val="0"/>
          <w:numId w:val="3"/>
        </w:numPr>
        <w:tabs>
          <w:tab w:val="left" w:pos="819"/>
          <w:tab w:val="left" w:pos="820"/>
        </w:tabs>
        <w:ind w:right="813"/>
        <w:rPr>
          <w:sz w:val="24"/>
        </w:rPr>
      </w:pPr>
      <w:r>
        <w:rPr>
          <w:sz w:val="24"/>
        </w:rPr>
        <w:t>Ostanciaux, E., Husson, L., Choblet, G., Robin, C. &amp; Pedoja, K. Present-day trends</w:t>
      </w:r>
      <w:r>
        <w:rPr>
          <w:spacing w:val="-11"/>
          <w:sz w:val="24"/>
        </w:rPr>
        <w:t xml:space="preserve"> </w:t>
      </w:r>
      <w:r>
        <w:rPr>
          <w:sz w:val="24"/>
        </w:rPr>
        <w:t xml:space="preserve">of vertical ground motion along the coast lines. </w:t>
      </w:r>
      <w:r>
        <w:rPr>
          <w:i/>
          <w:sz w:val="24"/>
        </w:rPr>
        <w:t xml:space="preserve">Earth-Science Reviews </w:t>
      </w:r>
      <w:r>
        <w:rPr>
          <w:b/>
          <w:sz w:val="24"/>
        </w:rPr>
        <w:t>110</w:t>
      </w:r>
      <w:r>
        <w:rPr>
          <w:sz w:val="24"/>
        </w:rPr>
        <w:t>, 75-92,</w:t>
      </w:r>
      <w:r>
        <w:rPr>
          <w:sz w:val="24"/>
          <w:u w:val="single"/>
        </w:rPr>
        <w:t xml:space="preserve"> https://doi.org</w:t>
      </w:r>
      <w:r>
        <w:rPr>
          <w:sz w:val="24"/>
          <w:u w:val="single"/>
        </w:rPr>
        <w:t>/10.1016/j.earscirev.2011.10.004</w:t>
      </w:r>
      <w:r>
        <w:rPr>
          <w:sz w:val="24"/>
        </w:rPr>
        <w:t xml:space="preserve"> (2012).</w:t>
      </w:r>
    </w:p>
    <w:p w14:paraId="217E7A2B" w14:textId="77777777" w:rsidR="007B6A71" w:rsidRDefault="00CE1F16">
      <w:pPr>
        <w:pStyle w:val="ListParagraph"/>
        <w:numPr>
          <w:ilvl w:val="0"/>
          <w:numId w:val="3"/>
        </w:numPr>
        <w:tabs>
          <w:tab w:val="left" w:pos="819"/>
          <w:tab w:val="left" w:pos="820"/>
        </w:tabs>
        <w:ind w:right="1091"/>
        <w:rPr>
          <w:sz w:val="24"/>
        </w:rPr>
      </w:pPr>
      <w:r>
        <w:rPr>
          <w:sz w:val="24"/>
        </w:rPr>
        <w:t>Pfeffer, J. &amp; Allemand, P. The key role of vertical land motions in coastal sea</w:t>
      </w:r>
      <w:r>
        <w:rPr>
          <w:spacing w:val="-16"/>
          <w:sz w:val="24"/>
        </w:rPr>
        <w:t xml:space="preserve"> </w:t>
      </w:r>
      <w:r>
        <w:rPr>
          <w:sz w:val="24"/>
        </w:rPr>
        <w:t xml:space="preserve">level variations: A global synthesis of multisatellite altimetry, tide gauge data and GPS measurements. </w:t>
      </w:r>
      <w:r>
        <w:rPr>
          <w:i/>
          <w:sz w:val="24"/>
        </w:rPr>
        <w:t>Earth and Planetary Science Let</w:t>
      </w:r>
      <w:r>
        <w:rPr>
          <w:i/>
          <w:sz w:val="24"/>
        </w:rPr>
        <w:t xml:space="preserve">ters </w:t>
      </w:r>
      <w:r>
        <w:rPr>
          <w:b/>
          <w:sz w:val="24"/>
        </w:rPr>
        <w:t>439</w:t>
      </w:r>
      <w:r>
        <w:rPr>
          <w:sz w:val="24"/>
        </w:rPr>
        <w:t>, 39-47,</w:t>
      </w:r>
      <w:r>
        <w:rPr>
          <w:sz w:val="24"/>
          <w:u w:val="single"/>
        </w:rPr>
        <w:t xml:space="preserve"> https://doi.org/10.1016/j.epsl.2016.01.027</w:t>
      </w:r>
      <w:r>
        <w:rPr>
          <w:sz w:val="24"/>
        </w:rPr>
        <w:t xml:space="preserve"> (2016).</w:t>
      </w:r>
    </w:p>
    <w:p w14:paraId="0C2191C6" w14:textId="77777777" w:rsidR="007B6A71" w:rsidRDefault="007B6A71">
      <w:pPr>
        <w:rPr>
          <w:sz w:val="24"/>
        </w:rPr>
        <w:sectPr w:rsidR="007B6A71">
          <w:type w:val="continuous"/>
          <w:pgSz w:w="12240" w:h="15840"/>
          <w:pgMar w:top="1360" w:right="1000" w:bottom="1720" w:left="260" w:header="720" w:footer="720" w:gutter="0"/>
          <w:cols w:num="2" w:space="720" w:equalWidth="0">
            <w:col w:w="501" w:space="580"/>
            <w:col w:w="9899"/>
          </w:cols>
        </w:sectPr>
      </w:pPr>
    </w:p>
    <w:p w14:paraId="7EE21DB6" w14:textId="77777777" w:rsidR="007B6A71" w:rsidRDefault="007B6A71">
      <w:pPr>
        <w:pStyle w:val="BodyText"/>
        <w:rPr>
          <w:sz w:val="26"/>
        </w:rPr>
      </w:pPr>
    </w:p>
    <w:p w14:paraId="439AC594" w14:textId="77777777" w:rsidR="007B6A71" w:rsidRDefault="007B6A71">
      <w:pPr>
        <w:pStyle w:val="BodyText"/>
        <w:rPr>
          <w:sz w:val="26"/>
        </w:rPr>
      </w:pPr>
    </w:p>
    <w:p w14:paraId="239A9F5A" w14:textId="77777777" w:rsidR="007B6A71" w:rsidRDefault="007B6A71">
      <w:pPr>
        <w:pStyle w:val="BodyText"/>
        <w:rPr>
          <w:sz w:val="26"/>
        </w:rPr>
      </w:pPr>
    </w:p>
    <w:p w14:paraId="7DDFF856" w14:textId="77777777" w:rsidR="007B6A71" w:rsidRDefault="007B6A71">
      <w:pPr>
        <w:pStyle w:val="BodyText"/>
        <w:spacing w:before="5"/>
      </w:pPr>
    </w:p>
    <w:p w14:paraId="144707BC" w14:textId="77777777" w:rsidR="007B6A71" w:rsidRDefault="00CE1F16">
      <w:pPr>
        <w:pStyle w:val="BodyText"/>
        <w:spacing w:before="1"/>
        <w:ind w:left="100"/>
      </w:pPr>
      <w:r>
        <w:t>555</w:t>
      </w:r>
    </w:p>
    <w:p w14:paraId="040080F5" w14:textId="77777777" w:rsidR="007B6A71" w:rsidRDefault="007B6A71">
      <w:pPr>
        <w:pStyle w:val="BodyText"/>
        <w:rPr>
          <w:sz w:val="26"/>
        </w:rPr>
      </w:pPr>
    </w:p>
    <w:p w14:paraId="225FD953" w14:textId="77777777" w:rsidR="007B6A71" w:rsidRDefault="007B6A71">
      <w:pPr>
        <w:pStyle w:val="BodyText"/>
        <w:rPr>
          <w:sz w:val="26"/>
        </w:rPr>
      </w:pPr>
    </w:p>
    <w:p w14:paraId="5220FFF8" w14:textId="77777777" w:rsidR="007B6A71" w:rsidRDefault="007B6A71">
      <w:pPr>
        <w:pStyle w:val="BodyText"/>
        <w:rPr>
          <w:sz w:val="26"/>
        </w:rPr>
      </w:pPr>
    </w:p>
    <w:p w14:paraId="5708BD7C" w14:textId="77777777" w:rsidR="007B6A71" w:rsidRDefault="00CE1F16">
      <w:pPr>
        <w:pStyle w:val="BodyText"/>
        <w:spacing w:before="207"/>
        <w:ind w:left="100"/>
      </w:pPr>
      <w:r>
        <w:t>560</w:t>
      </w:r>
    </w:p>
    <w:p w14:paraId="055A2993" w14:textId="77777777" w:rsidR="007B6A71" w:rsidRDefault="007B6A71">
      <w:pPr>
        <w:pStyle w:val="BodyText"/>
        <w:rPr>
          <w:sz w:val="26"/>
        </w:rPr>
      </w:pPr>
    </w:p>
    <w:p w14:paraId="6EF9929D" w14:textId="77777777" w:rsidR="007B6A71" w:rsidRDefault="007B6A71">
      <w:pPr>
        <w:pStyle w:val="BodyText"/>
        <w:rPr>
          <w:sz w:val="26"/>
        </w:rPr>
      </w:pPr>
    </w:p>
    <w:p w14:paraId="777A834C" w14:textId="77777777" w:rsidR="007B6A71" w:rsidRDefault="007B6A71">
      <w:pPr>
        <w:pStyle w:val="BodyText"/>
        <w:rPr>
          <w:sz w:val="26"/>
        </w:rPr>
      </w:pPr>
    </w:p>
    <w:p w14:paraId="320BFAF6" w14:textId="77777777" w:rsidR="007B6A71" w:rsidRDefault="00CE1F16">
      <w:pPr>
        <w:pStyle w:val="BodyText"/>
        <w:spacing w:before="207"/>
        <w:ind w:left="100"/>
      </w:pPr>
      <w:r>
        <w:t>565</w:t>
      </w:r>
    </w:p>
    <w:p w14:paraId="10A78F0E" w14:textId="77777777" w:rsidR="007B6A71" w:rsidRDefault="007B6A71">
      <w:pPr>
        <w:pStyle w:val="BodyText"/>
        <w:rPr>
          <w:sz w:val="26"/>
        </w:rPr>
      </w:pPr>
    </w:p>
    <w:p w14:paraId="0727BDD8" w14:textId="77777777" w:rsidR="007B6A71" w:rsidRDefault="007B6A71">
      <w:pPr>
        <w:pStyle w:val="BodyText"/>
        <w:rPr>
          <w:sz w:val="26"/>
        </w:rPr>
      </w:pPr>
    </w:p>
    <w:p w14:paraId="1AAAABF6" w14:textId="77777777" w:rsidR="007B6A71" w:rsidRDefault="007B6A71">
      <w:pPr>
        <w:pStyle w:val="BodyText"/>
        <w:rPr>
          <w:sz w:val="26"/>
        </w:rPr>
      </w:pPr>
    </w:p>
    <w:p w14:paraId="2093C174" w14:textId="77777777" w:rsidR="007B6A71" w:rsidRDefault="00CE1F16">
      <w:pPr>
        <w:pStyle w:val="BodyText"/>
        <w:spacing w:before="207"/>
        <w:ind w:left="100"/>
      </w:pPr>
      <w:r>
        <w:t>570</w:t>
      </w:r>
    </w:p>
    <w:p w14:paraId="5F7144BF" w14:textId="77777777" w:rsidR="007B6A71" w:rsidRDefault="007B6A71">
      <w:pPr>
        <w:pStyle w:val="BodyText"/>
        <w:rPr>
          <w:sz w:val="26"/>
        </w:rPr>
      </w:pPr>
    </w:p>
    <w:p w14:paraId="176749C7" w14:textId="77777777" w:rsidR="007B6A71" w:rsidRDefault="007B6A71">
      <w:pPr>
        <w:pStyle w:val="BodyText"/>
        <w:rPr>
          <w:sz w:val="26"/>
        </w:rPr>
      </w:pPr>
    </w:p>
    <w:p w14:paraId="70860A77" w14:textId="77777777" w:rsidR="007B6A71" w:rsidRDefault="007B6A71">
      <w:pPr>
        <w:pStyle w:val="BodyText"/>
        <w:rPr>
          <w:sz w:val="26"/>
        </w:rPr>
      </w:pPr>
    </w:p>
    <w:p w14:paraId="614C79C1" w14:textId="77777777" w:rsidR="007B6A71" w:rsidRDefault="00CE1F16">
      <w:pPr>
        <w:pStyle w:val="BodyText"/>
        <w:spacing w:before="208"/>
        <w:ind w:left="100"/>
      </w:pPr>
      <w:r>
        <w:t>575</w:t>
      </w:r>
    </w:p>
    <w:p w14:paraId="4DE7CB23" w14:textId="77777777" w:rsidR="007B6A71" w:rsidRDefault="007B6A71">
      <w:pPr>
        <w:pStyle w:val="BodyText"/>
        <w:rPr>
          <w:sz w:val="26"/>
        </w:rPr>
      </w:pPr>
    </w:p>
    <w:p w14:paraId="5068D861" w14:textId="77777777" w:rsidR="007B6A71" w:rsidRDefault="007B6A71">
      <w:pPr>
        <w:pStyle w:val="BodyText"/>
        <w:rPr>
          <w:sz w:val="26"/>
        </w:rPr>
      </w:pPr>
    </w:p>
    <w:p w14:paraId="6141D2D5" w14:textId="77777777" w:rsidR="007B6A71" w:rsidRDefault="007B6A71">
      <w:pPr>
        <w:pStyle w:val="BodyText"/>
        <w:rPr>
          <w:sz w:val="26"/>
        </w:rPr>
      </w:pPr>
    </w:p>
    <w:p w14:paraId="35422E2A" w14:textId="77777777" w:rsidR="007B6A71" w:rsidRDefault="00CE1F16">
      <w:pPr>
        <w:pStyle w:val="BodyText"/>
        <w:spacing w:before="207"/>
        <w:ind w:left="100"/>
      </w:pPr>
      <w:r>
        <w:t>580</w:t>
      </w:r>
    </w:p>
    <w:p w14:paraId="46F1D39B" w14:textId="77777777" w:rsidR="007B6A71" w:rsidRDefault="007B6A71">
      <w:pPr>
        <w:pStyle w:val="BodyText"/>
        <w:rPr>
          <w:sz w:val="26"/>
        </w:rPr>
      </w:pPr>
    </w:p>
    <w:p w14:paraId="464FACB0" w14:textId="77777777" w:rsidR="007B6A71" w:rsidRDefault="007B6A71">
      <w:pPr>
        <w:pStyle w:val="BodyText"/>
        <w:rPr>
          <w:sz w:val="26"/>
        </w:rPr>
      </w:pPr>
    </w:p>
    <w:p w14:paraId="79A0AB6F" w14:textId="77777777" w:rsidR="007B6A71" w:rsidRDefault="007B6A71">
      <w:pPr>
        <w:pStyle w:val="BodyText"/>
        <w:rPr>
          <w:sz w:val="26"/>
        </w:rPr>
      </w:pPr>
    </w:p>
    <w:p w14:paraId="23DDB6D0" w14:textId="77777777" w:rsidR="007B6A71" w:rsidRDefault="00CE1F16">
      <w:pPr>
        <w:pStyle w:val="BodyText"/>
        <w:spacing w:before="207"/>
        <w:ind w:left="100"/>
      </w:pPr>
      <w:r>
        <w:t>585</w:t>
      </w:r>
    </w:p>
    <w:p w14:paraId="0BBB1C36" w14:textId="77777777" w:rsidR="007B6A71" w:rsidRDefault="007B6A71">
      <w:pPr>
        <w:pStyle w:val="BodyText"/>
        <w:rPr>
          <w:sz w:val="26"/>
        </w:rPr>
      </w:pPr>
    </w:p>
    <w:p w14:paraId="24360482" w14:textId="77777777" w:rsidR="007B6A71" w:rsidRDefault="007B6A71">
      <w:pPr>
        <w:pStyle w:val="BodyText"/>
        <w:rPr>
          <w:sz w:val="26"/>
        </w:rPr>
      </w:pPr>
    </w:p>
    <w:p w14:paraId="4757AE3E" w14:textId="77777777" w:rsidR="007B6A71" w:rsidRDefault="007B6A71">
      <w:pPr>
        <w:pStyle w:val="BodyText"/>
        <w:rPr>
          <w:sz w:val="26"/>
        </w:rPr>
      </w:pPr>
    </w:p>
    <w:p w14:paraId="09C45126" w14:textId="77777777" w:rsidR="007B6A71" w:rsidRDefault="00CE1F16">
      <w:pPr>
        <w:pStyle w:val="BodyText"/>
        <w:spacing w:before="208"/>
        <w:ind w:left="100"/>
      </w:pPr>
      <w:r>
        <w:t>590</w:t>
      </w:r>
    </w:p>
    <w:p w14:paraId="4B69E35D" w14:textId="77777777" w:rsidR="007B6A71" w:rsidRDefault="007B6A71">
      <w:pPr>
        <w:pStyle w:val="BodyText"/>
        <w:rPr>
          <w:sz w:val="26"/>
        </w:rPr>
      </w:pPr>
    </w:p>
    <w:p w14:paraId="38444858" w14:textId="77777777" w:rsidR="007B6A71" w:rsidRDefault="007B6A71">
      <w:pPr>
        <w:pStyle w:val="BodyText"/>
        <w:rPr>
          <w:sz w:val="26"/>
        </w:rPr>
      </w:pPr>
    </w:p>
    <w:p w14:paraId="2E981E7A" w14:textId="77777777" w:rsidR="007B6A71" w:rsidRDefault="007B6A71">
      <w:pPr>
        <w:pStyle w:val="BodyText"/>
        <w:rPr>
          <w:sz w:val="26"/>
        </w:rPr>
      </w:pPr>
    </w:p>
    <w:p w14:paraId="1CD6053D" w14:textId="77777777" w:rsidR="007B6A71" w:rsidRDefault="00CE1F16">
      <w:pPr>
        <w:pStyle w:val="BodyText"/>
        <w:spacing w:before="207"/>
        <w:ind w:left="100"/>
      </w:pPr>
      <w:r>
        <w:t>595</w:t>
      </w:r>
    </w:p>
    <w:p w14:paraId="5993C39C" w14:textId="77777777" w:rsidR="007B6A71" w:rsidRDefault="00CE1F16">
      <w:pPr>
        <w:pStyle w:val="ListParagraph"/>
        <w:numPr>
          <w:ilvl w:val="0"/>
          <w:numId w:val="3"/>
        </w:numPr>
        <w:tabs>
          <w:tab w:val="left" w:pos="819"/>
          <w:tab w:val="left" w:pos="820"/>
        </w:tabs>
        <w:spacing w:before="74"/>
        <w:rPr>
          <w:sz w:val="24"/>
        </w:rPr>
      </w:pPr>
      <w:r>
        <w:rPr>
          <w:w w:val="99"/>
          <w:sz w:val="24"/>
        </w:rPr>
        <w:br w:type="column"/>
      </w:r>
      <w:r>
        <w:rPr>
          <w:sz w:val="24"/>
        </w:rPr>
        <w:t>Phien-wej, N., Giao, P. H. &amp; Nutalaya, P. Land subsidence in Bangkok,</w:t>
      </w:r>
      <w:r>
        <w:rPr>
          <w:spacing w:val="-6"/>
          <w:sz w:val="24"/>
        </w:rPr>
        <w:t xml:space="preserve"> </w:t>
      </w:r>
      <w:r>
        <w:rPr>
          <w:sz w:val="24"/>
        </w:rPr>
        <w:t>Thailand.</w:t>
      </w:r>
    </w:p>
    <w:p w14:paraId="14C41855" w14:textId="77777777" w:rsidR="007B6A71" w:rsidRDefault="00CE1F16">
      <w:pPr>
        <w:ind w:left="819"/>
        <w:rPr>
          <w:sz w:val="24"/>
        </w:rPr>
      </w:pPr>
      <w:r>
        <w:rPr>
          <w:i/>
          <w:sz w:val="24"/>
        </w:rPr>
        <w:t xml:space="preserve">Engineering Geology </w:t>
      </w:r>
      <w:r>
        <w:rPr>
          <w:b/>
          <w:sz w:val="24"/>
        </w:rPr>
        <w:t>82</w:t>
      </w:r>
      <w:r>
        <w:rPr>
          <w:sz w:val="24"/>
        </w:rPr>
        <w:t xml:space="preserve">, 187-201, </w:t>
      </w:r>
      <w:r>
        <w:rPr>
          <w:sz w:val="24"/>
          <w:u w:val="single"/>
        </w:rPr>
        <w:t>https://doi.org/10.1016/j.enggeo.2005.10.004</w:t>
      </w:r>
      <w:r>
        <w:rPr>
          <w:sz w:val="24"/>
        </w:rPr>
        <w:t xml:space="preserve"> (2006).</w:t>
      </w:r>
    </w:p>
    <w:p w14:paraId="41E6347E" w14:textId="77777777" w:rsidR="007B6A71" w:rsidRDefault="00CE1F16">
      <w:pPr>
        <w:pStyle w:val="ListParagraph"/>
        <w:numPr>
          <w:ilvl w:val="0"/>
          <w:numId w:val="3"/>
        </w:numPr>
        <w:tabs>
          <w:tab w:val="left" w:pos="819"/>
          <w:tab w:val="left" w:pos="820"/>
        </w:tabs>
        <w:ind w:right="718"/>
        <w:rPr>
          <w:sz w:val="24"/>
        </w:rPr>
      </w:pPr>
      <w:r>
        <w:rPr>
          <w:sz w:val="24"/>
        </w:rPr>
        <w:t>Merkens, J.-L., Lincke, D., Hinkel, J., Brown, S. &amp; Vafeidis, A. T. Regionalisation of pop</w:t>
      </w:r>
      <w:r>
        <w:rPr>
          <w:sz w:val="24"/>
        </w:rPr>
        <w:t xml:space="preserve">ulation growth projections in coastal exposure analysis. </w:t>
      </w:r>
      <w:r>
        <w:rPr>
          <w:i/>
          <w:sz w:val="24"/>
        </w:rPr>
        <w:t xml:space="preserve">Climatic Change </w:t>
      </w:r>
      <w:r>
        <w:rPr>
          <w:b/>
          <w:sz w:val="24"/>
        </w:rPr>
        <w:t>151</w:t>
      </w:r>
      <w:r>
        <w:rPr>
          <w:sz w:val="24"/>
        </w:rPr>
        <w:t xml:space="preserve">, 413- 426, </w:t>
      </w:r>
      <w:r>
        <w:rPr>
          <w:sz w:val="24"/>
          <w:u w:val="single"/>
        </w:rPr>
        <w:t>https://doi.org/10.1007/s10584-018-2334-8</w:t>
      </w:r>
      <w:r>
        <w:rPr>
          <w:spacing w:val="1"/>
          <w:sz w:val="24"/>
        </w:rPr>
        <w:t xml:space="preserve"> </w:t>
      </w:r>
      <w:r>
        <w:rPr>
          <w:sz w:val="24"/>
        </w:rPr>
        <w:t>(2018).</w:t>
      </w:r>
    </w:p>
    <w:p w14:paraId="3778A7C8" w14:textId="77777777" w:rsidR="007B6A71" w:rsidRDefault="00CE1F16">
      <w:pPr>
        <w:pStyle w:val="ListParagraph"/>
        <w:numPr>
          <w:ilvl w:val="0"/>
          <w:numId w:val="3"/>
        </w:numPr>
        <w:tabs>
          <w:tab w:val="left" w:pos="819"/>
          <w:tab w:val="left" w:pos="820"/>
        </w:tabs>
        <w:spacing w:before="1"/>
        <w:ind w:right="524"/>
        <w:rPr>
          <w:sz w:val="24"/>
        </w:rPr>
      </w:pPr>
      <w:r>
        <w:rPr>
          <w:sz w:val="24"/>
        </w:rPr>
        <w:t xml:space="preserve">The Climate Change Initiative Coastal Sea Level Team </w:t>
      </w:r>
      <w:r>
        <w:rPr>
          <w:i/>
          <w:sz w:val="24"/>
        </w:rPr>
        <w:t xml:space="preserve">et al. </w:t>
      </w:r>
      <w:r>
        <w:rPr>
          <w:sz w:val="24"/>
        </w:rPr>
        <w:t>Coastal sea level</w:t>
      </w:r>
      <w:r>
        <w:rPr>
          <w:spacing w:val="-16"/>
          <w:sz w:val="24"/>
        </w:rPr>
        <w:t xml:space="preserve"> </w:t>
      </w:r>
      <w:r>
        <w:rPr>
          <w:sz w:val="24"/>
        </w:rPr>
        <w:t xml:space="preserve">anomalies and associated trends from Jason satellite altimetry over 2002–2018. </w:t>
      </w:r>
      <w:r>
        <w:rPr>
          <w:i/>
          <w:sz w:val="24"/>
        </w:rPr>
        <w:t xml:space="preserve">Scientific Data </w:t>
      </w:r>
      <w:r>
        <w:rPr>
          <w:b/>
          <w:sz w:val="24"/>
        </w:rPr>
        <w:t>7</w:t>
      </w:r>
      <w:r>
        <w:rPr>
          <w:sz w:val="24"/>
        </w:rPr>
        <w:t>,</w:t>
      </w:r>
      <w:r>
        <w:rPr>
          <w:sz w:val="24"/>
          <w:u w:val="single"/>
        </w:rPr>
        <w:t xml:space="preserve"> https://doi.org/10.1038/s41597-020-00694-w</w:t>
      </w:r>
      <w:r>
        <w:rPr>
          <w:spacing w:val="-2"/>
          <w:sz w:val="24"/>
        </w:rPr>
        <w:t xml:space="preserve"> </w:t>
      </w:r>
      <w:r>
        <w:rPr>
          <w:sz w:val="24"/>
        </w:rPr>
        <w:t>(2020).</w:t>
      </w:r>
    </w:p>
    <w:p w14:paraId="2AC96D9D" w14:textId="77777777" w:rsidR="007B6A71" w:rsidRDefault="00CE1F16">
      <w:pPr>
        <w:pStyle w:val="ListParagraph"/>
        <w:numPr>
          <w:ilvl w:val="0"/>
          <w:numId w:val="3"/>
        </w:numPr>
        <w:tabs>
          <w:tab w:val="left" w:pos="819"/>
          <w:tab w:val="left" w:pos="820"/>
        </w:tabs>
        <w:ind w:right="577"/>
        <w:rPr>
          <w:sz w:val="24"/>
        </w:rPr>
      </w:pPr>
      <w:r>
        <w:rPr>
          <w:sz w:val="24"/>
        </w:rPr>
        <w:t>Wöppelmann, G. &amp; Marcos, M. Vertical land motion as a key to understanding sea</w:t>
      </w:r>
      <w:r>
        <w:rPr>
          <w:spacing w:val="-14"/>
          <w:sz w:val="24"/>
        </w:rPr>
        <w:t xml:space="preserve"> </w:t>
      </w:r>
      <w:r>
        <w:rPr>
          <w:sz w:val="24"/>
        </w:rPr>
        <w:t>level change and variability</w:t>
      </w:r>
      <w:r>
        <w:rPr>
          <w:sz w:val="24"/>
        </w:rPr>
        <w:t xml:space="preserve">. </w:t>
      </w:r>
      <w:r>
        <w:rPr>
          <w:i/>
          <w:sz w:val="24"/>
        </w:rPr>
        <w:t xml:space="preserve">Reviews of Geophysics </w:t>
      </w:r>
      <w:r>
        <w:rPr>
          <w:b/>
          <w:sz w:val="24"/>
        </w:rPr>
        <w:t>54</w:t>
      </w:r>
      <w:r>
        <w:rPr>
          <w:sz w:val="24"/>
        </w:rPr>
        <w:t>, 64-92,</w:t>
      </w:r>
      <w:r>
        <w:rPr>
          <w:sz w:val="24"/>
          <w:u w:val="single"/>
        </w:rPr>
        <w:t xml:space="preserve"> https://doi.org/10.1002/2015RG000502</w:t>
      </w:r>
      <w:r>
        <w:rPr>
          <w:sz w:val="24"/>
        </w:rPr>
        <w:t xml:space="preserve"> (2016).</w:t>
      </w:r>
    </w:p>
    <w:p w14:paraId="0C7EDE3B" w14:textId="77777777" w:rsidR="007B6A71" w:rsidRDefault="00CE1F16">
      <w:pPr>
        <w:pStyle w:val="ListParagraph"/>
        <w:numPr>
          <w:ilvl w:val="0"/>
          <w:numId w:val="3"/>
        </w:numPr>
        <w:tabs>
          <w:tab w:val="left" w:pos="820"/>
        </w:tabs>
        <w:ind w:right="445"/>
        <w:jc w:val="both"/>
        <w:rPr>
          <w:sz w:val="24"/>
        </w:rPr>
      </w:pPr>
      <w:r>
        <w:rPr>
          <w:sz w:val="24"/>
        </w:rPr>
        <w:t>Brown, S. &amp; Nicholls, R. J. Subsidence and human influences in mega deltas: The case</w:t>
      </w:r>
      <w:r>
        <w:rPr>
          <w:spacing w:val="-18"/>
          <w:sz w:val="24"/>
        </w:rPr>
        <w:t xml:space="preserve"> </w:t>
      </w:r>
      <w:r>
        <w:rPr>
          <w:sz w:val="24"/>
        </w:rPr>
        <w:t xml:space="preserve">of the Ganges–Brahmaputra–Meghna. </w:t>
      </w:r>
      <w:r>
        <w:rPr>
          <w:i/>
          <w:sz w:val="24"/>
        </w:rPr>
        <w:t xml:space="preserve">Science of The Total Environment </w:t>
      </w:r>
      <w:r>
        <w:rPr>
          <w:b/>
          <w:sz w:val="24"/>
        </w:rPr>
        <w:t>527-528</w:t>
      </w:r>
      <w:r>
        <w:rPr>
          <w:sz w:val="24"/>
        </w:rPr>
        <w:t>, 362-374,</w:t>
      </w:r>
      <w:r>
        <w:rPr>
          <w:sz w:val="24"/>
          <w:u w:val="single"/>
        </w:rPr>
        <w:t xml:space="preserve"> https:</w:t>
      </w:r>
      <w:r>
        <w:rPr>
          <w:sz w:val="24"/>
          <w:u w:val="single"/>
        </w:rPr>
        <w:t>//doi.org/10.1016/j.scitotenv.2015.04.124</w:t>
      </w:r>
      <w:r>
        <w:rPr>
          <w:sz w:val="24"/>
        </w:rPr>
        <w:t xml:space="preserve"> (2015).</w:t>
      </w:r>
    </w:p>
    <w:p w14:paraId="7A2027C4" w14:textId="77777777" w:rsidR="007B6A71" w:rsidRDefault="00CE1F16">
      <w:pPr>
        <w:pStyle w:val="ListParagraph"/>
        <w:numPr>
          <w:ilvl w:val="0"/>
          <w:numId w:val="3"/>
        </w:numPr>
        <w:tabs>
          <w:tab w:val="left" w:pos="819"/>
          <w:tab w:val="left" w:pos="820"/>
        </w:tabs>
        <w:ind w:right="624"/>
        <w:rPr>
          <w:sz w:val="24"/>
        </w:rPr>
      </w:pPr>
      <w:r>
        <w:rPr>
          <w:sz w:val="24"/>
        </w:rPr>
        <w:t>Erban, L. E., Gorelick, S. M. &amp; Zebker, H. A. Groundwater extraction, land</w:t>
      </w:r>
      <w:r>
        <w:rPr>
          <w:spacing w:val="-16"/>
          <w:sz w:val="24"/>
        </w:rPr>
        <w:t xml:space="preserve"> </w:t>
      </w:r>
      <w:r>
        <w:rPr>
          <w:sz w:val="24"/>
        </w:rPr>
        <w:t xml:space="preserve">subsidence, and sea-level rise in the Mekong Delta, Vietnam. </w:t>
      </w:r>
      <w:r>
        <w:rPr>
          <w:i/>
          <w:sz w:val="24"/>
        </w:rPr>
        <w:t xml:space="preserve">Environmental Research Letters </w:t>
      </w:r>
      <w:r>
        <w:rPr>
          <w:b/>
          <w:sz w:val="24"/>
        </w:rPr>
        <w:t>9</w:t>
      </w:r>
      <w:r>
        <w:rPr>
          <w:sz w:val="24"/>
        </w:rPr>
        <w:t xml:space="preserve">, 084010, </w:t>
      </w:r>
      <w:r>
        <w:rPr>
          <w:sz w:val="24"/>
          <w:u w:val="single"/>
        </w:rPr>
        <w:t>https://doi.org/10.1088/1748</w:t>
      </w:r>
      <w:r>
        <w:rPr>
          <w:sz w:val="24"/>
          <w:u w:val="single"/>
        </w:rPr>
        <w:t>-9326/9/8/084010</w:t>
      </w:r>
      <w:r>
        <w:rPr>
          <w:sz w:val="24"/>
        </w:rPr>
        <w:t xml:space="preserve"> (2014).</w:t>
      </w:r>
    </w:p>
    <w:p w14:paraId="3EA27C18" w14:textId="77777777" w:rsidR="007B6A71" w:rsidRDefault="00CE1F16">
      <w:pPr>
        <w:pStyle w:val="ListParagraph"/>
        <w:numPr>
          <w:ilvl w:val="0"/>
          <w:numId w:val="3"/>
        </w:numPr>
        <w:tabs>
          <w:tab w:val="left" w:pos="819"/>
          <w:tab w:val="left" w:pos="820"/>
        </w:tabs>
        <w:ind w:right="660"/>
        <w:rPr>
          <w:sz w:val="24"/>
        </w:rPr>
      </w:pPr>
      <w:r>
        <w:rPr>
          <w:sz w:val="24"/>
        </w:rPr>
        <w:t xml:space="preserve">Minderhoud, P. S. J. </w:t>
      </w:r>
      <w:r>
        <w:rPr>
          <w:i/>
          <w:sz w:val="24"/>
        </w:rPr>
        <w:t xml:space="preserve">et al. </w:t>
      </w:r>
      <w:r>
        <w:rPr>
          <w:sz w:val="24"/>
        </w:rPr>
        <w:t>Impacts of 25 years of groundwater extraction on</w:t>
      </w:r>
      <w:r>
        <w:rPr>
          <w:spacing w:val="-14"/>
          <w:sz w:val="24"/>
        </w:rPr>
        <w:t xml:space="preserve"> </w:t>
      </w:r>
      <w:r>
        <w:rPr>
          <w:sz w:val="24"/>
        </w:rPr>
        <w:t xml:space="preserve">subsidence in the Mekong delta, Vietnam. </w:t>
      </w:r>
      <w:r>
        <w:rPr>
          <w:i/>
          <w:sz w:val="24"/>
        </w:rPr>
        <w:t xml:space="preserve">Environmental Research Letters </w:t>
      </w:r>
      <w:r>
        <w:rPr>
          <w:b/>
          <w:sz w:val="24"/>
        </w:rPr>
        <w:t>12</w:t>
      </w:r>
      <w:r>
        <w:rPr>
          <w:sz w:val="24"/>
        </w:rPr>
        <w:t>, 064006,</w:t>
      </w:r>
      <w:r>
        <w:rPr>
          <w:sz w:val="24"/>
          <w:u w:val="single"/>
        </w:rPr>
        <w:t xml:space="preserve"> https://doi.org/10.1088/1748-9326/aa7146</w:t>
      </w:r>
      <w:r>
        <w:rPr>
          <w:spacing w:val="-1"/>
          <w:sz w:val="24"/>
        </w:rPr>
        <w:t xml:space="preserve"> </w:t>
      </w:r>
      <w:r>
        <w:rPr>
          <w:sz w:val="24"/>
        </w:rPr>
        <w:t>(2017).</w:t>
      </w:r>
    </w:p>
    <w:p w14:paraId="7A7F8227" w14:textId="77777777" w:rsidR="007B6A71" w:rsidRDefault="00CE1F16">
      <w:pPr>
        <w:pStyle w:val="ListParagraph"/>
        <w:numPr>
          <w:ilvl w:val="0"/>
          <w:numId w:val="3"/>
        </w:numPr>
        <w:tabs>
          <w:tab w:val="left" w:pos="819"/>
          <w:tab w:val="left" w:pos="820"/>
        </w:tabs>
        <w:spacing w:before="1"/>
        <w:ind w:right="786"/>
        <w:rPr>
          <w:sz w:val="24"/>
        </w:rPr>
      </w:pPr>
      <w:r>
        <w:rPr>
          <w:sz w:val="24"/>
        </w:rPr>
        <w:t xml:space="preserve">Tos, L., Da Lio, C., </w:t>
      </w:r>
      <w:r>
        <w:rPr>
          <w:sz w:val="24"/>
        </w:rPr>
        <w:t xml:space="preserve">Strozzi, T. &amp; Teatini, P. Combining L- and X-Band SAR interferometry to assess ground displacements in heterogeneous coastal environments: The Po River Delta and Venice Lagoon, Italy. </w:t>
      </w:r>
      <w:r>
        <w:rPr>
          <w:i/>
          <w:sz w:val="24"/>
        </w:rPr>
        <w:t xml:space="preserve">Remote sensing </w:t>
      </w:r>
      <w:r>
        <w:rPr>
          <w:b/>
          <w:sz w:val="24"/>
        </w:rPr>
        <w:t>8</w:t>
      </w:r>
      <w:r>
        <w:rPr>
          <w:sz w:val="24"/>
        </w:rPr>
        <w:t>, 308,</w:t>
      </w:r>
      <w:r>
        <w:rPr>
          <w:sz w:val="24"/>
          <w:u w:val="single"/>
        </w:rPr>
        <w:t xml:space="preserve"> https://doi.org/10.3390/rs8040308</w:t>
      </w:r>
      <w:r>
        <w:rPr>
          <w:sz w:val="24"/>
        </w:rPr>
        <w:t xml:space="preserve"> (2016).</w:t>
      </w:r>
    </w:p>
    <w:p w14:paraId="08B0FF6B" w14:textId="77777777" w:rsidR="007B6A71" w:rsidRDefault="00CE1F16">
      <w:pPr>
        <w:pStyle w:val="ListParagraph"/>
        <w:numPr>
          <w:ilvl w:val="0"/>
          <w:numId w:val="3"/>
        </w:numPr>
        <w:tabs>
          <w:tab w:val="left" w:pos="819"/>
          <w:tab w:val="left" w:pos="820"/>
        </w:tabs>
        <w:ind w:right="1224"/>
        <w:rPr>
          <w:sz w:val="24"/>
        </w:rPr>
      </w:pPr>
      <w:r>
        <w:rPr>
          <w:sz w:val="24"/>
        </w:rPr>
        <w:t>Wang, H</w:t>
      </w:r>
      <w:r>
        <w:rPr>
          <w:sz w:val="24"/>
        </w:rPr>
        <w:t xml:space="preserve">. </w:t>
      </w:r>
      <w:r>
        <w:rPr>
          <w:i/>
          <w:sz w:val="24"/>
        </w:rPr>
        <w:t xml:space="preserve">et al. </w:t>
      </w:r>
      <w:r>
        <w:rPr>
          <w:sz w:val="24"/>
        </w:rPr>
        <w:t xml:space="preserve">InSAR reveals coastal subsidence in the Pearl River Delta, China. </w:t>
      </w:r>
      <w:r>
        <w:rPr>
          <w:i/>
          <w:sz w:val="24"/>
        </w:rPr>
        <w:t xml:space="preserve">Geophysical Journal International </w:t>
      </w:r>
      <w:r>
        <w:rPr>
          <w:b/>
          <w:sz w:val="24"/>
        </w:rPr>
        <w:t>191</w:t>
      </w:r>
      <w:r>
        <w:rPr>
          <w:sz w:val="24"/>
        </w:rPr>
        <w:t>, 1119-1128,</w:t>
      </w:r>
      <w:r>
        <w:rPr>
          <w:sz w:val="24"/>
          <w:u w:val="single"/>
        </w:rPr>
        <w:t xml:space="preserve"> https://doi.org/https://doi.org/10.1111/j.1365-246X.2012.05687.x</w:t>
      </w:r>
      <w:r>
        <w:rPr>
          <w:spacing w:val="2"/>
          <w:sz w:val="24"/>
        </w:rPr>
        <w:t xml:space="preserve"> </w:t>
      </w:r>
      <w:r>
        <w:rPr>
          <w:sz w:val="24"/>
        </w:rPr>
        <w:t>(2012).</w:t>
      </w:r>
    </w:p>
    <w:p w14:paraId="0943590E" w14:textId="77777777" w:rsidR="007B6A71" w:rsidRDefault="00CE1F16">
      <w:pPr>
        <w:pStyle w:val="ListParagraph"/>
        <w:numPr>
          <w:ilvl w:val="0"/>
          <w:numId w:val="3"/>
        </w:numPr>
        <w:tabs>
          <w:tab w:val="left" w:pos="819"/>
          <w:tab w:val="left" w:pos="820"/>
        </w:tabs>
        <w:ind w:right="877"/>
        <w:rPr>
          <w:sz w:val="24"/>
        </w:rPr>
      </w:pPr>
      <w:r>
        <w:rPr>
          <w:sz w:val="24"/>
        </w:rPr>
        <w:t>Meckel, T. A., Ten Brink, U. S. &amp; Williams, S. J. Sediment</w:t>
      </w:r>
      <w:r>
        <w:rPr>
          <w:sz w:val="24"/>
        </w:rPr>
        <w:t xml:space="preserve"> compaction rates and subsidence in deltaic plains: numerical constraints and stratigraphic influences. </w:t>
      </w:r>
      <w:r>
        <w:rPr>
          <w:i/>
          <w:sz w:val="24"/>
        </w:rPr>
        <w:t xml:space="preserve">Basin Research </w:t>
      </w:r>
      <w:r>
        <w:rPr>
          <w:b/>
          <w:sz w:val="24"/>
        </w:rPr>
        <w:t>19</w:t>
      </w:r>
      <w:r>
        <w:rPr>
          <w:sz w:val="24"/>
        </w:rPr>
        <w:t xml:space="preserve">, 19-31, </w:t>
      </w:r>
      <w:r>
        <w:rPr>
          <w:sz w:val="24"/>
          <w:u w:val="single"/>
        </w:rPr>
        <w:t>https://doi.org/10.1111/j.1365-2117.2006.00310.x</w:t>
      </w:r>
      <w:r>
        <w:rPr>
          <w:spacing w:val="-1"/>
          <w:sz w:val="24"/>
        </w:rPr>
        <w:t xml:space="preserve"> </w:t>
      </w:r>
      <w:r>
        <w:rPr>
          <w:sz w:val="24"/>
        </w:rPr>
        <w:t>(2007).</w:t>
      </w:r>
    </w:p>
    <w:p w14:paraId="77BC35DD" w14:textId="77777777" w:rsidR="007B6A71" w:rsidRDefault="00CE1F16">
      <w:pPr>
        <w:pStyle w:val="ListParagraph"/>
        <w:numPr>
          <w:ilvl w:val="0"/>
          <w:numId w:val="3"/>
        </w:numPr>
        <w:tabs>
          <w:tab w:val="left" w:pos="820"/>
        </w:tabs>
        <w:ind w:right="511"/>
        <w:jc w:val="both"/>
        <w:rPr>
          <w:sz w:val="24"/>
        </w:rPr>
      </w:pPr>
      <w:r>
        <w:rPr>
          <w:sz w:val="24"/>
        </w:rPr>
        <w:t xml:space="preserve">Hallegatte, S., Green, C., Nicholls, R. J. &amp; Corfee-Morlot, J. Future flood losses in major coastal cities. </w:t>
      </w:r>
      <w:r>
        <w:rPr>
          <w:i/>
          <w:sz w:val="24"/>
        </w:rPr>
        <w:t xml:space="preserve">Nature Climate Change </w:t>
      </w:r>
      <w:r>
        <w:rPr>
          <w:b/>
          <w:sz w:val="24"/>
        </w:rPr>
        <w:t>3</w:t>
      </w:r>
      <w:r>
        <w:rPr>
          <w:sz w:val="24"/>
        </w:rPr>
        <w:t xml:space="preserve">, 802-806, </w:t>
      </w:r>
      <w:r>
        <w:rPr>
          <w:sz w:val="24"/>
          <w:u w:val="single"/>
        </w:rPr>
        <w:t>https://doi.org/10.1038/nclimate1979</w:t>
      </w:r>
      <w:r>
        <w:rPr>
          <w:sz w:val="24"/>
        </w:rPr>
        <w:t xml:space="preserve"> (2013).</w:t>
      </w:r>
    </w:p>
    <w:p w14:paraId="0A6B5FF1" w14:textId="77777777" w:rsidR="007B6A71" w:rsidRDefault="00CE1F16">
      <w:pPr>
        <w:pStyle w:val="ListParagraph"/>
        <w:numPr>
          <w:ilvl w:val="0"/>
          <w:numId w:val="3"/>
        </w:numPr>
        <w:tabs>
          <w:tab w:val="left" w:pos="819"/>
          <w:tab w:val="left" w:pos="820"/>
        </w:tabs>
        <w:ind w:right="450"/>
        <w:rPr>
          <w:sz w:val="24"/>
        </w:rPr>
      </w:pPr>
      <w:r>
        <w:rPr>
          <w:sz w:val="24"/>
        </w:rPr>
        <w:t xml:space="preserve">Chaussard, E., Amelung, F., Abidin, H. &amp; Hong, S.-H. Sinking cities in Indonesia: ALOS PALSAR detects rapid subsidence due to groundwater and gas extraction. </w:t>
      </w:r>
      <w:r>
        <w:rPr>
          <w:i/>
          <w:sz w:val="24"/>
        </w:rPr>
        <w:t xml:space="preserve">Remote Sensing of Environment </w:t>
      </w:r>
      <w:r>
        <w:rPr>
          <w:b/>
          <w:sz w:val="24"/>
        </w:rPr>
        <w:t>128</w:t>
      </w:r>
      <w:r>
        <w:rPr>
          <w:sz w:val="24"/>
        </w:rPr>
        <w:t xml:space="preserve">, 150-161, </w:t>
      </w:r>
      <w:r>
        <w:rPr>
          <w:sz w:val="24"/>
          <w:u w:val="single"/>
        </w:rPr>
        <w:t>https://doi.org/10.1016/j.rse.2012.10.015</w:t>
      </w:r>
      <w:r>
        <w:rPr>
          <w:spacing w:val="-5"/>
          <w:sz w:val="24"/>
        </w:rPr>
        <w:t xml:space="preserve"> </w:t>
      </w:r>
      <w:r>
        <w:rPr>
          <w:sz w:val="24"/>
        </w:rPr>
        <w:t>(2013).</w:t>
      </w:r>
    </w:p>
    <w:p w14:paraId="544C4F61" w14:textId="77777777" w:rsidR="007B6A71" w:rsidRDefault="00CE1F16">
      <w:pPr>
        <w:pStyle w:val="ListParagraph"/>
        <w:numPr>
          <w:ilvl w:val="0"/>
          <w:numId w:val="3"/>
        </w:numPr>
        <w:tabs>
          <w:tab w:val="left" w:pos="819"/>
          <w:tab w:val="left" w:pos="820"/>
        </w:tabs>
        <w:ind w:right="588"/>
        <w:rPr>
          <w:sz w:val="24"/>
        </w:rPr>
      </w:pPr>
      <w:r>
        <w:rPr>
          <w:sz w:val="24"/>
        </w:rPr>
        <w:t>Rabu</w:t>
      </w:r>
      <w:r>
        <w:rPr>
          <w:sz w:val="24"/>
        </w:rPr>
        <w:t xml:space="preserve">s, B., Eineder, M., Roth, A. &amp; Bamler, R. The shuttle radar topography mission—a new class of digital elevation models acquired by spaceborne radar. </w:t>
      </w:r>
      <w:r>
        <w:rPr>
          <w:i/>
          <w:sz w:val="24"/>
        </w:rPr>
        <w:t xml:space="preserve">ISPRS Journal of Photogrammetry and Remote Sensing </w:t>
      </w:r>
      <w:r>
        <w:rPr>
          <w:b/>
          <w:sz w:val="24"/>
        </w:rPr>
        <w:t>57</w:t>
      </w:r>
      <w:r>
        <w:rPr>
          <w:sz w:val="24"/>
        </w:rPr>
        <w:t xml:space="preserve">, 241-262, </w:t>
      </w:r>
      <w:r>
        <w:rPr>
          <w:sz w:val="24"/>
          <w:u w:val="single"/>
        </w:rPr>
        <w:t>https://doi.org/10.1016/S0924- 2716(02)0012</w:t>
      </w:r>
      <w:r>
        <w:rPr>
          <w:sz w:val="24"/>
          <w:u w:val="single"/>
        </w:rPr>
        <w:t>4-7</w:t>
      </w:r>
      <w:r>
        <w:rPr>
          <w:spacing w:val="-1"/>
          <w:sz w:val="24"/>
        </w:rPr>
        <w:t xml:space="preserve"> </w:t>
      </w:r>
      <w:r>
        <w:rPr>
          <w:sz w:val="24"/>
        </w:rPr>
        <w:t>(2003).</w:t>
      </w:r>
    </w:p>
    <w:p w14:paraId="0E8E2A3D" w14:textId="77777777" w:rsidR="007B6A71" w:rsidRDefault="00CE1F16">
      <w:pPr>
        <w:pStyle w:val="ListParagraph"/>
        <w:numPr>
          <w:ilvl w:val="0"/>
          <w:numId w:val="3"/>
        </w:numPr>
        <w:tabs>
          <w:tab w:val="left" w:pos="819"/>
          <w:tab w:val="left" w:pos="820"/>
        </w:tabs>
        <w:spacing w:before="1"/>
        <w:ind w:right="1139"/>
        <w:rPr>
          <w:sz w:val="24"/>
        </w:rPr>
      </w:pPr>
      <w:r>
        <w:rPr>
          <w:sz w:val="24"/>
        </w:rPr>
        <w:t>Jarvis, A., Reuter, H. I., Nelson, A. &amp; Guevara, E. Hole-filled SRTM for the globe Version 4. (2008)</w:t>
      </w:r>
      <w:r>
        <w:rPr>
          <w:spacing w:val="-2"/>
          <w:sz w:val="24"/>
        </w:rPr>
        <w:t xml:space="preserve"> </w:t>
      </w:r>
      <w:hyperlink r:id="rId16">
        <w:r>
          <w:rPr>
            <w:sz w:val="24"/>
            <w:u w:val="single"/>
          </w:rPr>
          <w:t>http://srtm.csi.cgiar.org</w:t>
        </w:r>
        <w:r>
          <w:rPr>
            <w:sz w:val="24"/>
          </w:rPr>
          <w:t>.</w:t>
        </w:r>
      </w:hyperlink>
    </w:p>
    <w:p w14:paraId="7EF70C25" w14:textId="77777777" w:rsidR="007B6A71" w:rsidRDefault="00CE1F16">
      <w:pPr>
        <w:pStyle w:val="ListParagraph"/>
        <w:numPr>
          <w:ilvl w:val="0"/>
          <w:numId w:val="3"/>
        </w:numPr>
        <w:tabs>
          <w:tab w:val="left" w:pos="819"/>
          <w:tab w:val="left" w:pos="820"/>
        </w:tabs>
        <w:ind w:right="940"/>
        <w:rPr>
          <w:i/>
          <w:sz w:val="24"/>
        </w:rPr>
      </w:pPr>
      <w:r>
        <w:rPr>
          <w:sz w:val="24"/>
        </w:rPr>
        <w:t xml:space="preserve">Center for International Earth Science Information Network - CIESIN - </w:t>
      </w:r>
      <w:r>
        <w:rPr>
          <w:sz w:val="24"/>
        </w:rPr>
        <w:t>Columbia University, International Food Policy Research Institute - IFPRI, The World Bank</w:t>
      </w:r>
      <w:r>
        <w:rPr>
          <w:spacing w:val="-18"/>
          <w:sz w:val="24"/>
        </w:rPr>
        <w:t xml:space="preserve"> </w:t>
      </w:r>
      <w:r>
        <w:rPr>
          <w:sz w:val="24"/>
        </w:rPr>
        <w:t xml:space="preserve">&amp; Centro Internacional de Agricultura Tropical - CIAT. </w:t>
      </w:r>
      <w:r>
        <w:rPr>
          <w:i/>
          <w:sz w:val="24"/>
        </w:rPr>
        <w:t>Global Rural-Urban</w:t>
      </w:r>
      <w:r>
        <w:rPr>
          <w:i/>
          <w:spacing w:val="-10"/>
          <w:sz w:val="24"/>
        </w:rPr>
        <w:t xml:space="preserve"> </w:t>
      </w:r>
      <w:r>
        <w:rPr>
          <w:i/>
          <w:sz w:val="24"/>
        </w:rPr>
        <w:t>Mapping</w:t>
      </w:r>
    </w:p>
    <w:p w14:paraId="6699EB2A" w14:textId="77777777" w:rsidR="007B6A71" w:rsidRDefault="007B6A71">
      <w:pPr>
        <w:rPr>
          <w:sz w:val="24"/>
        </w:rPr>
        <w:sectPr w:rsidR="007B6A71">
          <w:pgSz w:w="12240" w:h="15840"/>
          <w:pgMar w:top="1360" w:right="1000" w:bottom="1800" w:left="260" w:header="0" w:footer="1538" w:gutter="0"/>
          <w:cols w:num="2" w:space="720" w:equalWidth="0">
            <w:col w:w="501" w:space="580"/>
            <w:col w:w="9899"/>
          </w:cols>
        </w:sectPr>
      </w:pPr>
    </w:p>
    <w:p w14:paraId="39DF90AF" w14:textId="77777777" w:rsidR="007B6A71" w:rsidRDefault="007B6A71">
      <w:pPr>
        <w:pStyle w:val="BodyText"/>
        <w:rPr>
          <w:i/>
          <w:sz w:val="26"/>
        </w:rPr>
      </w:pPr>
    </w:p>
    <w:p w14:paraId="50BE6F07" w14:textId="77777777" w:rsidR="007B6A71" w:rsidRDefault="007B6A71">
      <w:pPr>
        <w:pStyle w:val="BodyText"/>
        <w:rPr>
          <w:i/>
          <w:sz w:val="26"/>
        </w:rPr>
      </w:pPr>
    </w:p>
    <w:p w14:paraId="34B63723" w14:textId="77777777" w:rsidR="007B6A71" w:rsidRDefault="007B6A71">
      <w:pPr>
        <w:pStyle w:val="BodyText"/>
        <w:rPr>
          <w:i/>
          <w:sz w:val="26"/>
        </w:rPr>
      </w:pPr>
    </w:p>
    <w:p w14:paraId="4D6DFA27" w14:textId="77777777" w:rsidR="007B6A71" w:rsidRDefault="007B6A71">
      <w:pPr>
        <w:pStyle w:val="BodyText"/>
        <w:spacing w:before="5"/>
        <w:rPr>
          <w:i/>
        </w:rPr>
      </w:pPr>
    </w:p>
    <w:p w14:paraId="0F228C1A" w14:textId="77777777" w:rsidR="007B6A71" w:rsidRDefault="00CE1F16">
      <w:pPr>
        <w:pStyle w:val="BodyText"/>
        <w:spacing w:before="1"/>
        <w:ind w:left="100"/>
      </w:pPr>
      <w:r>
        <w:t>600</w:t>
      </w:r>
    </w:p>
    <w:p w14:paraId="3B65846F" w14:textId="77777777" w:rsidR="007B6A71" w:rsidRDefault="007B6A71">
      <w:pPr>
        <w:pStyle w:val="BodyText"/>
        <w:rPr>
          <w:sz w:val="26"/>
        </w:rPr>
      </w:pPr>
    </w:p>
    <w:p w14:paraId="409658A3" w14:textId="77777777" w:rsidR="007B6A71" w:rsidRDefault="007B6A71">
      <w:pPr>
        <w:pStyle w:val="BodyText"/>
        <w:rPr>
          <w:sz w:val="26"/>
        </w:rPr>
      </w:pPr>
    </w:p>
    <w:p w14:paraId="62D33589" w14:textId="77777777" w:rsidR="007B6A71" w:rsidRDefault="007B6A71">
      <w:pPr>
        <w:pStyle w:val="BodyText"/>
        <w:rPr>
          <w:sz w:val="26"/>
        </w:rPr>
      </w:pPr>
    </w:p>
    <w:p w14:paraId="5BB9BE2E" w14:textId="77777777" w:rsidR="007B6A71" w:rsidRDefault="00CE1F16">
      <w:pPr>
        <w:pStyle w:val="BodyText"/>
        <w:spacing w:before="207"/>
        <w:ind w:left="100"/>
      </w:pPr>
      <w:r>
        <w:t>605</w:t>
      </w:r>
    </w:p>
    <w:p w14:paraId="7FC1DCC0" w14:textId="77777777" w:rsidR="007B6A71" w:rsidRDefault="007B6A71">
      <w:pPr>
        <w:pStyle w:val="BodyText"/>
        <w:rPr>
          <w:sz w:val="26"/>
        </w:rPr>
      </w:pPr>
    </w:p>
    <w:p w14:paraId="4B3E9D1F" w14:textId="77777777" w:rsidR="007B6A71" w:rsidRDefault="007B6A71">
      <w:pPr>
        <w:pStyle w:val="BodyText"/>
        <w:rPr>
          <w:sz w:val="26"/>
        </w:rPr>
      </w:pPr>
    </w:p>
    <w:p w14:paraId="3C1E9357" w14:textId="77777777" w:rsidR="007B6A71" w:rsidRDefault="007B6A71">
      <w:pPr>
        <w:pStyle w:val="BodyText"/>
        <w:rPr>
          <w:sz w:val="26"/>
        </w:rPr>
      </w:pPr>
    </w:p>
    <w:p w14:paraId="7C074BB7" w14:textId="77777777" w:rsidR="007B6A71" w:rsidRDefault="00CE1F16">
      <w:pPr>
        <w:pStyle w:val="BodyText"/>
        <w:spacing w:before="207"/>
        <w:ind w:left="100"/>
      </w:pPr>
      <w:r>
        <w:t>610</w:t>
      </w:r>
    </w:p>
    <w:p w14:paraId="3EF0A6E3" w14:textId="77777777" w:rsidR="007B6A71" w:rsidRDefault="007B6A71">
      <w:pPr>
        <w:pStyle w:val="BodyText"/>
        <w:rPr>
          <w:sz w:val="26"/>
        </w:rPr>
      </w:pPr>
    </w:p>
    <w:p w14:paraId="313F3299" w14:textId="77777777" w:rsidR="007B6A71" w:rsidRDefault="007B6A71">
      <w:pPr>
        <w:pStyle w:val="BodyText"/>
        <w:rPr>
          <w:sz w:val="26"/>
        </w:rPr>
      </w:pPr>
    </w:p>
    <w:p w14:paraId="6084F325" w14:textId="77777777" w:rsidR="007B6A71" w:rsidRDefault="007B6A71">
      <w:pPr>
        <w:pStyle w:val="BodyText"/>
        <w:rPr>
          <w:sz w:val="26"/>
        </w:rPr>
      </w:pPr>
    </w:p>
    <w:p w14:paraId="6770AAEE" w14:textId="77777777" w:rsidR="007B6A71" w:rsidRDefault="00CE1F16">
      <w:pPr>
        <w:pStyle w:val="BodyText"/>
        <w:spacing w:before="207"/>
        <w:ind w:left="100"/>
      </w:pPr>
      <w:r>
        <w:t>615</w:t>
      </w:r>
    </w:p>
    <w:p w14:paraId="685A5A27" w14:textId="77777777" w:rsidR="007B6A71" w:rsidRDefault="007B6A71">
      <w:pPr>
        <w:pStyle w:val="BodyText"/>
        <w:rPr>
          <w:sz w:val="26"/>
        </w:rPr>
      </w:pPr>
    </w:p>
    <w:p w14:paraId="6D41875F" w14:textId="77777777" w:rsidR="007B6A71" w:rsidRDefault="007B6A71">
      <w:pPr>
        <w:pStyle w:val="BodyText"/>
        <w:rPr>
          <w:sz w:val="26"/>
        </w:rPr>
      </w:pPr>
    </w:p>
    <w:p w14:paraId="05F3355C" w14:textId="77777777" w:rsidR="007B6A71" w:rsidRDefault="007B6A71">
      <w:pPr>
        <w:pStyle w:val="BodyText"/>
        <w:rPr>
          <w:sz w:val="26"/>
        </w:rPr>
      </w:pPr>
    </w:p>
    <w:p w14:paraId="5E52C8FC" w14:textId="77777777" w:rsidR="007B6A71" w:rsidRDefault="00CE1F16">
      <w:pPr>
        <w:pStyle w:val="BodyText"/>
        <w:spacing w:before="208"/>
        <w:ind w:left="100"/>
      </w:pPr>
      <w:r>
        <w:t>620</w:t>
      </w:r>
    </w:p>
    <w:p w14:paraId="28F55F17" w14:textId="77777777" w:rsidR="007B6A71" w:rsidRDefault="007B6A71">
      <w:pPr>
        <w:pStyle w:val="BodyText"/>
        <w:rPr>
          <w:sz w:val="26"/>
        </w:rPr>
      </w:pPr>
    </w:p>
    <w:p w14:paraId="684DAC47" w14:textId="77777777" w:rsidR="007B6A71" w:rsidRDefault="007B6A71">
      <w:pPr>
        <w:pStyle w:val="BodyText"/>
        <w:rPr>
          <w:sz w:val="26"/>
        </w:rPr>
      </w:pPr>
    </w:p>
    <w:p w14:paraId="06D6FF1B" w14:textId="77777777" w:rsidR="007B6A71" w:rsidRDefault="007B6A71">
      <w:pPr>
        <w:pStyle w:val="BodyText"/>
        <w:rPr>
          <w:sz w:val="26"/>
        </w:rPr>
      </w:pPr>
    </w:p>
    <w:p w14:paraId="01056416" w14:textId="77777777" w:rsidR="007B6A71" w:rsidRDefault="00CE1F16">
      <w:pPr>
        <w:pStyle w:val="BodyText"/>
        <w:spacing w:before="207"/>
        <w:ind w:left="100"/>
      </w:pPr>
      <w:r>
        <w:t>625</w:t>
      </w:r>
    </w:p>
    <w:p w14:paraId="46DD5916" w14:textId="77777777" w:rsidR="007B6A71" w:rsidRDefault="007B6A71">
      <w:pPr>
        <w:pStyle w:val="BodyText"/>
        <w:rPr>
          <w:sz w:val="26"/>
        </w:rPr>
      </w:pPr>
    </w:p>
    <w:p w14:paraId="34AF8A91" w14:textId="77777777" w:rsidR="007B6A71" w:rsidRDefault="007B6A71">
      <w:pPr>
        <w:pStyle w:val="BodyText"/>
        <w:rPr>
          <w:sz w:val="26"/>
        </w:rPr>
      </w:pPr>
    </w:p>
    <w:p w14:paraId="4D63BF5B" w14:textId="77777777" w:rsidR="007B6A71" w:rsidRDefault="007B6A71">
      <w:pPr>
        <w:pStyle w:val="BodyText"/>
        <w:rPr>
          <w:sz w:val="26"/>
        </w:rPr>
      </w:pPr>
    </w:p>
    <w:p w14:paraId="06B0E85E" w14:textId="77777777" w:rsidR="007B6A71" w:rsidRDefault="00CE1F16">
      <w:pPr>
        <w:pStyle w:val="BodyText"/>
        <w:spacing w:before="207"/>
        <w:ind w:left="100"/>
      </w:pPr>
      <w:r>
        <w:t>630</w:t>
      </w:r>
    </w:p>
    <w:p w14:paraId="4BCF1D9D" w14:textId="77777777" w:rsidR="007B6A71" w:rsidRDefault="007B6A71">
      <w:pPr>
        <w:pStyle w:val="BodyText"/>
        <w:rPr>
          <w:sz w:val="26"/>
        </w:rPr>
      </w:pPr>
    </w:p>
    <w:p w14:paraId="63AFE41A" w14:textId="77777777" w:rsidR="007B6A71" w:rsidRDefault="007B6A71">
      <w:pPr>
        <w:pStyle w:val="BodyText"/>
        <w:rPr>
          <w:sz w:val="26"/>
        </w:rPr>
      </w:pPr>
    </w:p>
    <w:p w14:paraId="6DCEB201" w14:textId="77777777" w:rsidR="007B6A71" w:rsidRDefault="007B6A71">
      <w:pPr>
        <w:pStyle w:val="BodyText"/>
        <w:rPr>
          <w:sz w:val="26"/>
        </w:rPr>
      </w:pPr>
    </w:p>
    <w:p w14:paraId="2D8FB42B" w14:textId="77777777" w:rsidR="007B6A71" w:rsidRDefault="00CE1F16">
      <w:pPr>
        <w:pStyle w:val="BodyText"/>
        <w:spacing w:before="208"/>
        <w:ind w:left="100"/>
      </w:pPr>
      <w:r>
        <w:t>635</w:t>
      </w:r>
    </w:p>
    <w:p w14:paraId="7CFFAD5C" w14:textId="77777777" w:rsidR="007B6A71" w:rsidRDefault="00CE1F16">
      <w:pPr>
        <w:spacing w:before="74"/>
        <w:ind w:left="819" w:right="641"/>
        <w:rPr>
          <w:sz w:val="24"/>
        </w:rPr>
      </w:pPr>
      <w:r>
        <w:br w:type="column"/>
      </w:r>
      <w:r>
        <w:rPr>
          <w:i/>
          <w:sz w:val="24"/>
        </w:rPr>
        <w:t>Project, Version 1 (GRUMPv1): Population Count Grid</w:t>
      </w:r>
      <w:r>
        <w:rPr>
          <w:sz w:val="24"/>
        </w:rPr>
        <w:t>. (NASA Socioeconomic Data and Applications Center (SEDAC), 2011).</w:t>
      </w:r>
      <w:r>
        <w:rPr>
          <w:spacing w:val="55"/>
          <w:sz w:val="24"/>
        </w:rPr>
        <w:t xml:space="preserve"> </w:t>
      </w:r>
      <w:r>
        <w:rPr>
          <w:sz w:val="24"/>
        </w:rPr>
        <w:t>https://doi.org/10.7927/H4VT1Q1H.</w:t>
      </w:r>
    </w:p>
    <w:p w14:paraId="77AA9728" w14:textId="77777777" w:rsidR="007B6A71" w:rsidRDefault="00CE1F16">
      <w:pPr>
        <w:pStyle w:val="ListParagraph"/>
        <w:numPr>
          <w:ilvl w:val="0"/>
          <w:numId w:val="3"/>
        </w:numPr>
        <w:tabs>
          <w:tab w:val="left" w:pos="819"/>
          <w:tab w:val="left" w:pos="820"/>
        </w:tabs>
        <w:rPr>
          <w:sz w:val="24"/>
        </w:rPr>
      </w:pPr>
      <w:r>
        <w:rPr>
          <w:sz w:val="24"/>
        </w:rPr>
        <w:t>IIASA. SSP Database. (2012)</w:t>
      </w:r>
      <w:r>
        <w:rPr>
          <w:spacing w:val="-1"/>
          <w:sz w:val="24"/>
        </w:rPr>
        <w:t xml:space="preserve"> </w:t>
      </w:r>
      <w:r>
        <w:rPr>
          <w:sz w:val="24"/>
          <w:u w:val="single"/>
        </w:rPr>
        <w:t>https://tntcat.iiasa.ac.at/SspDb</w:t>
      </w:r>
      <w:r>
        <w:rPr>
          <w:sz w:val="24"/>
        </w:rPr>
        <w:t>.</w:t>
      </w:r>
    </w:p>
    <w:p w14:paraId="6675D9BB" w14:textId="77777777" w:rsidR="007B6A71" w:rsidRDefault="00CE1F16">
      <w:pPr>
        <w:pStyle w:val="ListParagraph"/>
        <w:numPr>
          <w:ilvl w:val="0"/>
          <w:numId w:val="3"/>
        </w:numPr>
        <w:tabs>
          <w:tab w:val="left" w:pos="819"/>
          <w:tab w:val="left" w:pos="820"/>
        </w:tabs>
        <w:spacing w:before="1"/>
        <w:ind w:right="593"/>
        <w:rPr>
          <w:sz w:val="24"/>
        </w:rPr>
      </w:pPr>
      <w:r>
        <w:rPr>
          <w:sz w:val="24"/>
        </w:rPr>
        <w:t xml:space="preserve">O’Neill, B. C. </w:t>
      </w:r>
      <w:r>
        <w:rPr>
          <w:i/>
          <w:sz w:val="24"/>
        </w:rPr>
        <w:t xml:space="preserve">et al. </w:t>
      </w:r>
      <w:r>
        <w:rPr>
          <w:sz w:val="24"/>
        </w:rPr>
        <w:t>A new scenario framework for climate change research: the</w:t>
      </w:r>
      <w:r>
        <w:rPr>
          <w:spacing w:val="-21"/>
          <w:sz w:val="24"/>
        </w:rPr>
        <w:t xml:space="preserve"> </w:t>
      </w:r>
      <w:r>
        <w:rPr>
          <w:sz w:val="24"/>
        </w:rPr>
        <w:t xml:space="preserve">concept of shared socioeconomic pathways. </w:t>
      </w:r>
      <w:r>
        <w:rPr>
          <w:i/>
          <w:sz w:val="24"/>
        </w:rPr>
        <w:t xml:space="preserve">Climatic Change </w:t>
      </w:r>
      <w:r>
        <w:rPr>
          <w:b/>
          <w:sz w:val="24"/>
        </w:rPr>
        <w:t>122</w:t>
      </w:r>
      <w:r>
        <w:rPr>
          <w:sz w:val="24"/>
        </w:rPr>
        <w:t>, 387-400,</w:t>
      </w:r>
      <w:r>
        <w:rPr>
          <w:sz w:val="24"/>
          <w:u w:val="single"/>
        </w:rPr>
        <w:t xml:space="preserve"> https://doi.org/10.1007/s10584-013-0905-2</w:t>
      </w:r>
      <w:r>
        <w:rPr>
          <w:spacing w:val="-1"/>
          <w:sz w:val="24"/>
        </w:rPr>
        <w:t xml:space="preserve"> </w:t>
      </w:r>
      <w:r>
        <w:rPr>
          <w:sz w:val="24"/>
        </w:rPr>
        <w:t>(2014).</w:t>
      </w:r>
    </w:p>
    <w:p w14:paraId="522ED30B" w14:textId="77777777" w:rsidR="007B6A71" w:rsidRDefault="00CE1F16">
      <w:pPr>
        <w:pStyle w:val="ListParagraph"/>
        <w:numPr>
          <w:ilvl w:val="0"/>
          <w:numId w:val="3"/>
        </w:numPr>
        <w:tabs>
          <w:tab w:val="left" w:pos="819"/>
          <w:tab w:val="left" w:pos="820"/>
        </w:tabs>
        <w:ind w:right="611"/>
        <w:rPr>
          <w:sz w:val="24"/>
        </w:rPr>
      </w:pPr>
      <w:r>
        <w:rPr>
          <w:sz w:val="24"/>
        </w:rPr>
        <w:t>Samir, K. C. &amp; Lutz, W. The human core of the shared socioeconomic pathways:</w:t>
      </w:r>
      <w:r>
        <w:rPr>
          <w:sz w:val="24"/>
        </w:rPr>
        <w:t xml:space="preserve"> Population scenarios by age, sex and level of education for all countries to 2100. </w:t>
      </w:r>
      <w:r>
        <w:rPr>
          <w:i/>
          <w:sz w:val="24"/>
        </w:rPr>
        <w:t xml:space="preserve">Global Environmental Change </w:t>
      </w:r>
      <w:r>
        <w:rPr>
          <w:b/>
          <w:sz w:val="24"/>
        </w:rPr>
        <w:t>42</w:t>
      </w:r>
      <w:r>
        <w:rPr>
          <w:sz w:val="24"/>
        </w:rPr>
        <w:t xml:space="preserve">, 181-192, </w:t>
      </w:r>
      <w:r>
        <w:rPr>
          <w:sz w:val="24"/>
          <w:u w:val="single"/>
        </w:rPr>
        <w:t>https://doi.org/10.1016/j.gloenvcha.2014.06.004</w:t>
      </w:r>
      <w:r>
        <w:rPr>
          <w:sz w:val="24"/>
        </w:rPr>
        <w:t xml:space="preserve"> (2017).</w:t>
      </w:r>
    </w:p>
    <w:p w14:paraId="69632D5A" w14:textId="77777777" w:rsidR="007B6A71" w:rsidRDefault="00CE1F16">
      <w:pPr>
        <w:pStyle w:val="ListParagraph"/>
        <w:numPr>
          <w:ilvl w:val="0"/>
          <w:numId w:val="3"/>
        </w:numPr>
        <w:tabs>
          <w:tab w:val="left" w:pos="819"/>
          <w:tab w:val="left" w:pos="820"/>
        </w:tabs>
        <w:ind w:right="479"/>
        <w:rPr>
          <w:sz w:val="24"/>
        </w:rPr>
      </w:pPr>
      <w:r>
        <w:rPr>
          <w:sz w:val="24"/>
        </w:rPr>
        <w:t xml:space="preserve">Collins, W. J. </w:t>
      </w:r>
      <w:r>
        <w:rPr>
          <w:i/>
          <w:sz w:val="24"/>
        </w:rPr>
        <w:t xml:space="preserve">et al. </w:t>
      </w:r>
      <w:r>
        <w:rPr>
          <w:sz w:val="24"/>
        </w:rPr>
        <w:t>Development and evaluation of an Earth-System model –</w:t>
      </w:r>
      <w:r>
        <w:rPr>
          <w:sz w:val="24"/>
        </w:rPr>
        <w:t xml:space="preserve"> HadGEM2. </w:t>
      </w:r>
      <w:r>
        <w:rPr>
          <w:i/>
          <w:sz w:val="24"/>
        </w:rPr>
        <w:t xml:space="preserve">Geoscientific Model Development </w:t>
      </w:r>
      <w:r>
        <w:rPr>
          <w:b/>
          <w:sz w:val="24"/>
        </w:rPr>
        <w:t>4</w:t>
      </w:r>
      <w:r>
        <w:rPr>
          <w:sz w:val="24"/>
        </w:rPr>
        <w:t xml:space="preserve">, 1051-1075, </w:t>
      </w:r>
      <w:r>
        <w:rPr>
          <w:sz w:val="24"/>
          <w:u w:val="single"/>
        </w:rPr>
        <w:t>https://doi.org/10.5194/gmd-4-1051- 2011</w:t>
      </w:r>
      <w:r>
        <w:rPr>
          <w:sz w:val="24"/>
        </w:rPr>
        <w:t xml:space="preserve"> (2011).</w:t>
      </w:r>
    </w:p>
    <w:p w14:paraId="1CCFC62A" w14:textId="77777777" w:rsidR="007B6A71" w:rsidRDefault="00CE1F16">
      <w:pPr>
        <w:pStyle w:val="ListParagraph"/>
        <w:numPr>
          <w:ilvl w:val="0"/>
          <w:numId w:val="3"/>
        </w:numPr>
        <w:tabs>
          <w:tab w:val="left" w:pos="819"/>
          <w:tab w:val="left" w:pos="820"/>
        </w:tabs>
        <w:ind w:right="914"/>
        <w:rPr>
          <w:sz w:val="24"/>
        </w:rPr>
      </w:pPr>
      <w:r>
        <w:rPr>
          <w:sz w:val="24"/>
        </w:rPr>
        <w:t xml:space="preserve">Menéndez, M. &amp; Woodworth, P. </w:t>
      </w:r>
      <w:r>
        <w:rPr>
          <w:spacing w:val="-3"/>
          <w:sz w:val="24"/>
        </w:rPr>
        <w:t xml:space="preserve">L. </w:t>
      </w:r>
      <w:r>
        <w:rPr>
          <w:sz w:val="24"/>
        </w:rPr>
        <w:t xml:space="preserve">Changes in extreme high water levels based on a quasi-global tide-gauge data set. </w:t>
      </w:r>
      <w:r>
        <w:rPr>
          <w:i/>
          <w:sz w:val="24"/>
        </w:rPr>
        <w:t>Journal of Geophysical Research: Ocea</w:t>
      </w:r>
      <w:r>
        <w:rPr>
          <w:i/>
          <w:sz w:val="24"/>
        </w:rPr>
        <w:t xml:space="preserve">ns </w:t>
      </w:r>
      <w:r>
        <w:rPr>
          <w:b/>
          <w:sz w:val="24"/>
        </w:rPr>
        <w:t>115</w:t>
      </w:r>
      <w:r>
        <w:rPr>
          <w:sz w:val="24"/>
        </w:rPr>
        <w:t>,</w:t>
      </w:r>
      <w:r>
        <w:rPr>
          <w:sz w:val="24"/>
          <w:u w:val="single"/>
        </w:rPr>
        <w:t xml:space="preserve"> https://doi.org/10.1029/2009JC005997</w:t>
      </w:r>
      <w:r>
        <w:rPr>
          <w:sz w:val="24"/>
        </w:rPr>
        <w:t xml:space="preserve"> (2010).</w:t>
      </w:r>
    </w:p>
    <w:p w14:paraId="69F20562" w14:textId="77777777" w:rsidR="007B6A71" w:rsidRDefault="00CE1F16">
      <w:pPr>
        <w:pStyle w:val="ListParagraph"/>
        <w:numPr>
          <w:ilvl w:val="0"/>
          <w:numId w:val="3"/>
        </w:numPr>
        <w:tabs>
          <w:tab w:val="left" w:pos="819"/>
          <w:tab w:val="left" w:pos="820"/>
        </w:tabs>
        <w:ind w:right="916"/>
        <w:rPr>
          <w:sz w:val="24"/>
        </w:rPr>
      </w:pPr>
      <w:r>
        <w:rPr>
          <w:sz w:val="24"/>
        </w:rPr>
        <w:t xml:space="preserve">Muis, S., Verlaan, M., Winsemius, H. C., Aerts, J. C. J. H. &amp; Ward, P. J. A global reanalysis of storm surges and extreme sea levels. </w:t>
      </w:r>
      <w:r>
        <w:rPr>
          <w:i/>
          <w:sz w:val="24"/>
        </w:rPr>
        <w:t xml:space="preserve">Nature Communications </w:t>
      </w:r>
      <w:r>
        <w:rPr>
          <w:b/>
          <w:sz w:val="24"/>
        </w:rPr>
        <w:t>7</w:t>
      </w:r>
      <w:r>
        <w:rPr>
          <w:sz w:val="24"/>
        </w:rPr>
        <w:t>, 11969,</w:t>
      </w:r>
      <w:r>
        <w:rPr>
          <w:sz w:val="24"/>
          <w:u w:val="single"/>
        </w:rPr>
        <w:t xml:space="preserve"> https://doi.org/10.1038/ncomms11969</w:t>
      </w:r>
      <w:r>
        <w:rPr>
          <w:spacing w:val="1"/>
          <w:sz w:val="24"/>
        </w:rPr>
        <w:t xml:space="preserve"> </w:t>
      </w:r>
      <w:r>
        <w:rPr>
          <w:sz w:val="24"/>
        </w:rPr>
        <w:t>(</w:t>
      </w:r>
      <w:r>
        <w:rPr>
          <w:sz w:val="24"/>
        </w:rPr>
        <w:t>2016).</w:t>
      </w:r>
    </w:p>
    <w:p w14:paraId="04C56F6D" w14:textId="77777777" w:rsidR="007B6A71" w:rsidRDefault="00CE1F16">
      <w:pPr>
        <w:pStyle w:val="ListParagraph"/>
        <w:numPr>
          <w:ilvl w:val="0"/>
          <w:numId w:val="3"/>
        </w:numPr>
        <w:tabs>
          <w:tab w:val="left" w:pos="819"/>
          <w:tab w:val="left" w:pos="820"/>
        </w:tabs>
        <w:ind w:right="773"/>
        <w:rPr>
          <w:sz w:val="24"/>
        </w:rPr>
      </w:pPr>
      <w:r>
        <w:rPr>
          <w:sz w:val="24"/>
        </w:rPr>
        <w:t xml:space="preserve">Muis, S. </w:t>
      </w:r>
      <w:r>
        <w:rPr>
          <w:i/>
          <w:sz w:val="24"/>
        </w:rPr>
        <w:t xml:space="preserve">et al. </w:t>
      </w:r>
      <w:r>
        <w:rPr>
          <w:sz w:val="24"/>
        </w:rPr>
        <w:t xml:space="preserve">A comparison of two global datasets of extreme sea levels and resulting flood exposure. </w:t>
      </w:r>
      <w:r>
        <w:rPr>
          <w:i/>
          <w:sz w:val="24"/>
        </w:rPr>
        <w:t xml:space="preserve">Earth's Future </w:t>
      </w:r>
      <w:r>
        <w:rPr>
          <w:b/>
          <w:sz w:val="24"/>
        </w:rPr>
        <w:t>5</w:t>
      </w:r>
      <w:r>
        <w:rPr>
          <w:sz w:val="24"/>
        </w:rPr>
        <w:t xml:space="preserve">, 379-392, </w:t>
      </w:r>
      <w:r>
        <w:rPr>
          <w:sz w:val="24"/>
          <w:u w:val="single"/>
        </w:rPr>
        <w:t>https://doi.org/10.1002/2016EF000430</w:t>
      </w:r>
      <w:r>
        <w:rPr>
          <w:sz w:val="24"/>
        </w:rPr>
        <w:t xml:space="preserve"> (2017).</w:t>
      </w:r>
    </w:p>
    <w:p w14:paraId="25504E83" w14:textId="77777777" w:rsidR="007B6A71" w:rsidRDefault="00CE1F16">
      <w:pPr>
        <w:pStyle w:val="ListParagraph"/>
        <w:numPr>
          <w:ilvl w:val="0"/>
          <w:numId w:val="3"/>
        </w:numPr>
        <w:tabs>
          <w:tab w:val="left" w:pos="819"/>
          <w:tab w:val="left" w:pos="820"/>
        </w:tabs>
        <w:spacing w:before="1"/>
        <w:ind w:right="539"/>
        <w:rPr>
          <w:sz w:val="24"/>
        </w:rPr>
      </w:pPr>
      <w:r>
        <w:rPr>
          <w:sz w:val="24"/>
        </w:rPr>
        <w:t>Hoozemans, F. M. J., Marchand, M. &amp; Pennekamp, H. A. Sea level rise: A gl</w:t>
      </w:r>
      <w:r>
        <w:rPr>
          <w:sz w:val="24"/>
        </w:rPr>
        <w:t>obal vulnerability analysis: Vulnerability assessment for population, coastal wetlands and</w:t>
      </w:r>
      <w:r>
        <w:rPr>
          <w:spacing w:val="-18"/>
          <w:sz w:val="24"/>
        </w:rPr>
        <w:t xml:space="preserve"> </w:t>
      </w:r>
      <w:r>
        <w:rPr>
          <w:sz w:val="24"/>
        </w:rPr>
        <w:t>rice production on a global scale. (Delft Hydraulics, the Netherlands, 1993)</w:t>
      </w:r>
      <w:r>
        <w:rPr>
          <w:sz w:val="24"/>
          <w:u w:val="single"/>
        </w:rPr>
        <w:t xml:space="preserve"> https://repository.tudelft.nl/islandora/object/uuid:651e894a-9ac6-49bf-b4ca- 9aedef51546</w:t>
      </w:r>
      <w:r>
        <w:rPr>
          <w:sz w:val="24"/>
          <w:u w:val="single"/>
        </w:rPr>
        <w:t>f</w:t>
      </w:r>
      <w:r>
        <w:rPr>
          <w:sz w:val="24"/>
        </w:rPr>
        <w:t>.</w:t>
      </w:r>
    </w:p>
    <w:p w14:paraId="14E0CDFC" w14:textId="77777777" w:rsidR="007B6A71" w:rsidRDefault="00CE1F16">
      <w:pPr>
        <w:pStyle w:val="ListParagraph"/>
        <w:numPr>
          <w:ilvl w:val="0"/>
          <w:numId w:val="3"/>
        </w:numPr>
        <w:tabs>
          <w:tab w:val="left" w:pos="819"/>
          <w:tab w:val="left" w:pos="820"/>
        </w:tabs>
        <w:rPr>
          <w:sz w:val="24"/>
        </w:rPr>
      </w:pPr>
      <w:r>
        <w:rPr>
          <w:sz w:val="24"/>
        </w:rPr>
        <w:t xml:space="preserve">Nicholls, R. J. &amp; Hoozemans, F. M. J. in </w:t>
      </w:r>
      <w:r>
        <w:rPr>
          <w:i/>
          <w:sz w:val="24"/>
        </w:rPr>
        <w:t xml:space="preserve">Encyclopedia of Coastal Science </w:t>
      </w:r>
      <w:r>
        <w:rPr>
          <w:sz w:val="24"/>
        </w:rPr>
        <w:t>(ed</w:t>
      </w:r>
      <w:r>
        <w:rPr>
          <w:spacing w:val="-6"/>
          <w:sz w:val="24"/>
        </w:rPr>
        <w:t xml:space="preserve"> </w:t>
      </w:r>
      <w:r>
        <w:rPr>
          <w:sz w:val="24"/>
        </w:rPr>
        <w:t>Maurice</w:t>
      </w:r>
    </w:p>
    <w:p w14:paraId="0F4B0096" w14:textId="77777777" w:rsidR="007B6A71" w:rsidRDefault="00CE1F16">
      <w:pPr>
        <w:pStyle w:val="BodyText"/>
        <w:ind w:left="819" w:right="820"/>
      </w:pPr>
      <w:r>
        <w:t>L. Schwartz) Ch. Global vulnerability analysis, 486-491 (Springer Netherlands, 2005)</w:t>
      </w:r>
      <w:r>
        <w:rPr>
          <w:u w:val="single"/>
        </w:rPr>
        <w:t xml:space="preserve"> https://doi.org/10.1007/1-4020-3880-1_155</w:t>
      </w:r>
    </w:p>
    <w:p w14:paraId="4B622B45" w14:textId="77777777" w:rsidR="007B6A71" w:rsidRDefault="00CE1F16">
      <w:pPr>
        <w:pStyle w:val="ListParagraph"/>
        <w:numPr>
          <w:ilvl w:val="0"/>
          <w:numId w:val="3"/>
        </w:numPr>
        <w:tabs>
          <w:tab w:val="left" w:pos="819"/>
          <w:tab w:val="left" w:pos="820"/>
        </w:tabs>
        <w:ind w:right="595"/>
        <w:rPr>
          <w:sz w:val="24"/>
        </w:rPr>
      </w:pPr>
      <w:r>
        <w:rPr>
          <w:sz w:val="24"/>
        </w:rPr>
        <w:t>McGranahan, G., Balk, D. &amp; Anderson, B. The rising tide: assessing the risks of</w:t>
      </w:r>
      <w:r>
        <w:rPr>
          <w:spacing w:val="-17"/>
          <w:sz w:val="24"/>
        </w:rPr>
        <w:t xml:space="preserve"> </w:t>
      </w:r>
      <w:r>
        <w:rPr>
          <w:sz w:val="24"/>
        </w:rPr>
        <w:t xml:space="preserve">climate change and human settlements in low elevation coastal zones. </w:t>
      </w:r>
      <w:r>
        <w:rPr>
          <w:i/>
          <w:sz w:val="24"/>
        </w:rPr>
        <w:t xml:space="preserve">Environment and Urbanization </w:t>
      </w:r>
      <w:r>
        <w:rPr>
          <w:b/>
          <w:sz w:val="24"/>
        </w:rPr>
        <w:t>19</w:t>
      </w:r>
      <w:r>
        <w:rPr>
          <w:sz w:val="24"/>
        </w:rPr>
        <w:t xml:space="preserve">, 17-37, </w:t>
      </w:r>
      <w:r>
        <w:rPr>
          <w:sz w:val="24"/>
          <w:u w:val="single"/>
        </w:rPr>
        <w:t>https://doi.org/10.1177/0956247807076960</w:t>
      </w:r>
      <w:r>
        <w:rPr>
          <w:spacing w:val="-1"/>
          <w:sz w:val="24"/>
        </w:rPr>
        <w:t xml:space="preserve"> </w:t>
      </w:r>
      <w:r>
        <w:rPr>
          <w:sz w:val="24"/>
        </w:rPr>
        <w:t>(2007).</w:t>
      </w:r>
    </w:p>
    <w:p w14:paraId="1022D96D" w14:textId="77777777" w:rsidR="007B6A71" w:rsidRDefault="00CE1F16">
      <w:pPr>
        <w:pStyle w:val="ListParagraph"/>
        <w:numPr>
          <w:ilvl w:val="0"/>
          <w:numId w:val="3"/>
        </w:numPr>
        <w:tabs>
          <w:tab w:val="left" w:pos="819"/>
          <w:tab w:val="left" w:pos="820"/>
        </w:tabs>
        <w:ind w:right="966"/>
        <w:rPr>
          <w:sz w:val="24"/>
        </w:rPr>
      </w:pPr>
      <w:r>
        <w:rPr>
          <w:sz w:val="24"/>
        </w:rPr>
        <w:t xml:space="preserve">Farr, T. G. </w:t>
      </w:r>
      <w:r>
        <w:rPr>
          <w:i/>
          <w:sz w:val="24"/>
        </w:rPr>
        <w:t xml:space="preserve">et al. </w:t>
      </w:r>
      <w:r>
        <w:rPr>
          <w:sz w:val="24"/>
        </w:rPr>
        <w:t xml:space="preserve">The Shuttle Radar Topography Mission. </w:t>
      </w:r>
      <w:r>
        <w:rPr>
          <w:i/>
          <w:sz w:val="24"/>
        </w:rPr>
        <w:t xml:space="preserve">Reviews of Geophysics </w:t>
      </w:r>
      <w:r>
        <w:rPr>
          <w:b/>
          <w:sz w:val="24"/>
        </w:rPr>
        <w:t>45</w:t>
      </w:r>
      <w:r>
        <w:rPr>
          <w:sz w:val="24"/>
        </w:rPr>
        <w:t>,</w:t>
      </w:r>
      <w:r>
        <w:rPr>
          <w:sz w:val="24"/>
          <w:u w:val="single"/>
        </w:rPr>
        <w:t xml:space="preserve"> https://doi.org/https://doi.org/10.1029/2005RG000183</w:t>
      </w:r>
      <w:r>
        <w:rPr>
          <w:spacing w:val="2"/>
          <w:sz w:val="24"/>
        </w:rPr>
        <w:t xml:space="preserve"> </w:t>
      </w:r>
      <w:r>
        <w:rPr>
          <w:sz w:val="24"/>
        </w:rPr>
        <w:t>(2007).</w:t>
      </w:r>
    </w:p>
    <w:p w14:paraId="23FBD888" w14:textId="77777777" w:rsidR="007B6A71" w:rsidRDefault="00CE1F16">
      <w:pPr>
        <w:pStyle w:val="ListParagraph"/>
        <w:numPr>
          <w:ilvl w:val="0"/>
          <w:numId w:val="3"/>
        </w:numPr>
        <w:tabs>
          <w:tab w:val="left" w:pos="819"/>
          <w:tab w:val="left" w:pos="820"/>
        </w:tabs>
        <w:ind w:right="585"/>
        <w:rPr>
          <w:sz w:val="24"/>
        </w:rPr>
      </w:pPr>
      <w:r>
        <w:rPr>
          <w:sz w:val="24"/>
        </w:rPr>
        <w:t>Schaeffer, M., Hare, W., Rahmstorf, S. &amp; Vermeer, M. Long-term sea-level rise implied by 1.5 °C and 2 °C warming</w:t>
      </w:r>
      <w:r>
        <w:rPr>
          <w:sz w:val="24"/>
        </w:rPr>
        <w:t xml:space="preserve"> levels. </w:t>
      </w:r>
      <w:r>
        <w:rPr>
          <w:i/>
          <w:sz w:val="24"/>
        </w:rPr>
        <w:t xml:space="preserve">Nature Climate Change </w:t>
      </w:r>
      <w:r>
        <w:rPr>
          <w:b/>
          <w:sz w:val="24"/>
        </w:rPr>
        <w:t>2</w:t>
      </w:r>
      <w:r>
        <w:rPr>
          <w:sz w:val="24"/>
        </w:rPr>
        <w:t>, 867-870,</w:t>
      </w:r>
      <w:r>
        <w:rPr>
          <w:sz w:val="24"/>
          <w:u w:val="single"/>
        </w:rPr>
        <w:t xml:space="preserve"> https://doi.org/10.1038/nclimate1584</w:t>
      </w:r>
      <w:r>
        <w:rPr>
          <w:spacing w:val="1"/>
          <w:sz w:val="24"/>
        </w:rPr>
        <w:t xml:space="preserve"> </w:t>
      </w:r>
      <w:r>
        <w:rPr>
          <w:sz w:val="24"/>
        </w:rPr>
        <w:t>(2012).</w:t>
      </w:r>
    </w:p>
    <w:p w14:paraId="0FAE9A26" w14:textId="77777777" w:rsidR="007B6A71" w:rsidRDefault="00CE1F16">
      <w:pPr>
        <w:pStyle w:val="ListParagraph"/>
        <w:numPr>
          <w:ilvl w:val="0"/>
          <w:numId w:val="3"/>
        </w:numPr>
        <w:tabs>
          <w:tab w:val="left" w:pos="820"/>
        </w:tabs>
        <w:spacing w:before="1"/>
        <w:ind w:right="1019"/>
        <w:jc w:val="both"/>
        <w:rPr>
          <w:sz w:val="24"/>
        </w:rPr>
      </w:pPr>
      <w:r>
        <w:rPr>
          <w:sz w:val="24"/>
        </w:rPr>
        <w:t xml:space="preserve">Becker, M. </w:t>
      </w:r>
      <w:r>
        <w:rPr>
          <w:i/>
          <w:sz w:val="24"/>
        </w:rPr>
        <w:t xml:space="preserve">et al. </w:t>
      </w:r>
      <w:r>
        <w:rPr>
          <w:sz w:val="24"/>
        </w:rPr>
        <w:t xml:space="preserve">Water level changes, subsidence, and sea level rise in the Ganges– Brahmaputra–Meghna delta. </w:t>
      </w:r>
      <w:r>
        <w:rPr>
          <w:i/>
          <w:sz w:val="24"/>
        </w:rPr>
        <w:t xml:space="preserve">Proceedings of the National Academy of Sciences </w:t>
      </w:r>
      <w:r>
        <w:rPr>
          <w:b/>
          <w:sz w:val="24"/>
        </w:rPr>
        <w:t>117</w:t>
      </w:r>
      <w:r>
        <w:rPr>
          <w:sz w:val="24"/>
        </w:rPr>
        <w:t>, 1867</w:t>
      </w:r>
      <w:r>
        <w:rPr>
          <w:sz w:val="24"/>
        </w:rPr>
        <w:t xml:space="preserve">, </w:t>
      </w:r>
      <w:r>
        <w:rPr>
          <w:sz w:val="24"/>
          <w:u w:val="single"/>
        </w:rPr>
        <w:t>https://doi.org/10.1073/pnas.1912921117</w:t>
      </w:r>
      <w:r>
        <w:rPr>
          <w:sz w:val="24"/>
        </w:rPr>
        <w:t xml:space="preserve"> (2020).</w:t>
      </w:r>
    </w:p>
    <w:p w14:paraId="385C54E2" w14:textId="77777777" w:rsidR="007B6A71" w:rsidRDefault="00CE1F16">
      <w:pPr>
        <w:pStyle w:val="ListParagraph"/>
        <w:numPr>
          <w:ilvl w:val="0"/>
          <w:numId w:val="3"/>
        </w:numPr>
        <w:tabs>
          <w:tab w:val="left" w:pos="820"/>
        </w:tabs>
        <w:ind w:right="1385"/>
        <w:jc w:val="both"/>
        <w:rPr>
          <w:sz w:val="24"/>
        </w:rPr>
      </w:pPr>
      <w:r>
        <w:rPr>
          <w:sz w:val="24"/>
        </w:rPr>
        <w:t xml:space="preserve">Higgins, S. A. </w:t>
      </w:r>
      <w:r>
        <w:rPr>
          <w:i/>
          <w:sz w:val="24"/>
        </w:rPr>
        <w:t xml:space="preserve">Measurements of deltas at risk </w:t>
      </w:r>
      <w:r>
        <w:rPr>
          <w:sz w:val="24"/>
        </w:rPr>
        <w:t>(University of Colorado, Boulder, Colorado, USA,</w:t>
      </w:r>
      <w:r>
        <w:rPr>
          <w:spacing w:val="-1"/>
          <w:sz w:val="24"/>
        </w:rPr>
        <w:t xml:space="preserve"> </w:t>
      </w:r>
      <w:r>
        <w:rPr>
          <w:sz w:val="24"/>
        </w:rPr>
        <w:t>2014).</w:t>
      </w:r>
    </w:p>
    <w:p w14:paraId="49313AF7" w14:textId="77777777" w:rsidR="007B6A71" w:rsidRDefault="007B6A71">
      <w:pPr>
        <w:jc w:val="both"/>
        <w:rPr>
          <w:sz w:val="24"/>
        </w:rPr>
        <w:sectPr w:rsidR="007B6A71">
          <w:pgSz w:w="12240" w:h="15840"/>
          <w:pgMar w:top="1360" w:right="1000" w:bottom="1800" w:left="260" w:header="0" w:footer="1538" w:gutter="0"/>
          <w:cols w:num="2" w:space="720" w:equalWidth="0">
            <w:col w:w="501" w:space="580"/>
            <w:col w:w="9899"/>
          </w:cols>
        </w:sectPr>
      </w:pPr>
    </w:p>
    <w:p w14:paraId="00AFFFE8" w14:textId="77777777" w:rsidR="007B6A71" w:rsidRDefault="007B6A71">
      <w:pPr>
        <w:pStyle w:val="BodyText"/>
        <w:spacing w:before="5"/>
        <w:rPr>
          <w:sz w:val="30"/>
        </w:rPr>
      </w:pPr>
    </w:p>
    <w:p w14:paraId="7AF92984" w14:textId="77777777" w:rsidR="007B6A71" w:rsidRDefault="00CE1F16">
      <w:pPr>
        <w:pStyle w:val="BodyText"/>
        <w:ind w:left="100"/>
      </w:pPr>
      <w:r>
        <w:t>640</w:t>
      </w:r>
    </w:p>
    <w:p w14:paraId="43BA9CAC" w14:textId="77777777" w:rsidR="007B6A71" w:rsidRDefault="007B6A71">
      <w:pPr>
        <w:pStyle w:val="BodyText"/>
        <w:rPr>
          <w:sz w:val="26"/>
        </w:rPr>
      </w:pPr>
    </w:p>
    <w:p w14:paraId="69195144" w14:textId="77777777" w:rsidR="007B6A71" w:rsidRDefault="007B6A71">
      <w:pPr>
        <w:pStyle w:val="BodyText"/>
        <w:rPr>
          <w:sz w:val="26"/>
        </w:rPr>
      </w:pPr>
    </w:p>
    <w:p w14:paraId="0B4F954B" w14:textId="77777777" w:rsidR="007B6A71" w:rsidRDefault="007B6A71">
      <w:pPr>
        <w:pStyle w:val="BodyText"/>
        <w:rPr>
          <w:sz w:val="26"/>
        </w:rPr>
      </w:pPr>
    </w:p>
    <w:p w14:paraId="071F0DD4" w14:textId="77777777" w:rsidR="007B6A71" w:rsidRDefault="00CE1F16">
      <w:pPr>
        <w:pStyle w:val="BodyText"/>
        <w:spacing w:before="208"/>
        <w:ind w:left="100"/>
      </w:pPr>
      <w:r>
        <w:t>645</w:t>
      </w:r>
    </w:p>
    <w:p w14:paraId="4D623E9A" w14:textId="77777777" w:rsidR="007B6A71" w:rsidRDefault="007B6A71">
      <w:pPr>
        <w:pStyle w:val="BodyText"/>
        <w:rPr>
          <w:sz w:val="26"/>
        </w:rPr>
      </w:pPr>
    </w:p>
    <w:p w14:paraId="4D0889D0" w14:textId="77777777" w:rsidR="007B6A71" w:rsidRDefault="007B6A71">
      <w:pPr>
        <w:pStyle w:val="BodyText"/>
        <w:rPr>
          <w:sz w:val="26"/>
        </w:rPr>
      </w:pPr>
    </w:p>
    <w:p w14:paraId="5B9BD1AB" w14:textId="77777777" w:rsidR="007B6A71" w:rsidRDefault="007B6A71">
      <w:pPr>
        <w:pStyle w:val="BodyText"/>
        <w:rPr>
          <w:sz w:val="26"/>
        </w:rPr>
      </w:pPr>
    </w:p>
    <w:p w14:paraId="03C7768D" w14:textId="77777777" w:rsidR="007B6A71" w:rsidRDefault="00CE1F16">
      <w:pPr>
        <w:pStyle w:val="BodyText"/>
        <w:spacing w:before="207"/>
        <w:ind w:left="100"/>
      </w:pPr>
      <w:r>
        <w:t>650</w:t>
      </w:r>
    </w:p>
    <w:p w14:paraId="161BA224" w14:textId="77777777" w:rsidR="007B6A71" w:rsidRDefault="007B6A71">
      <w:pPr>
        <w:pStyle w:val="BodyText"/>
        <w:rPr>
          <w:sz w:val="26"/>
        </w:rPr>
      </w:pPr>
    </w:p>
    <w:p w14:paraId="3D280B48" w14:textId="77777777" w:rsidR="007B6A71" w:rsidRDefault="007B6A71">
      <w:pPr>
        <w:pStyle w:val="BodyText"/>
        <w:rPr>
          <w:sz w:val="26"/>
        </w:rPr>
      </w:pPr>
    </w:p>
    <w:p w14:paraId="44459895" w14:textId="77777777" w:rsidR="007B6A71" w:rsidRDefault="007B6A71">
      <w:pPr>
        <w:pStyle w:val="BodyText"/>
        <w:rPr>
          <w:sz w:val="26"/>
        </w:rPr>
      </w:pPr>
    </w:p>
    <w:p w14:paraId="3CFB5449" w14:textId="77777777" w:rsidR="007B6A71" w:rsidRDefault="00CE1F16">
      <w:pPr>
        <w:pStyle w:val="BodyText"/>
        <w:spacing w:before="207"/>
        <w:ind w:left="100"/>
      </w:pPr>
      <w:r>
        <w:t>655</w:t>
      </w:r>
    </w:p>
    <w:p w14:paraId="10DD4B4A" w14:textId="77777777" w:rsidR="007B6A71" w:rsidRDefault="007B6A71">
      <w:pPr>
        <w:pStyle w:val="BodyText"/>
        <w:rPr>
          <w:sz w:val="26"/>
        </w:rPr>
      </w:pPr>
    </w:p>
    <w:p w14:paraId="149E1666" w14:textId="77777777" w:rsidR="007B6A71" w:rsidRDefault="007B6A71">
      <w:pPr>
        <w:pStyle w:val="BodyText"/>
        <w:rPr>
          <w:sz w:val="26"/>
        </w:rPr>
      </w:pPr>
    </w:p>
    <w:p w14:paraId="0FCE0998" w14:textId="77777777" w:rsidR="007B6A71" w:rsidRDefault="007B6A71">
      <w:pPr>
        <w:pStyle w:val="BodyText"/>
        <w:rPr>
          <w:sz w:val="26"/>
        </w:rPr>
      </w:pPr>
    </w:p>
    <w:p w14:paraId="6E52CB15" w14:textId="77777777" w:rsidR="007B6A71" w:rsidRDefault="00CE1F16">
      <w:pPr>
        <w:pStyle w:val="BodyText"/>
        <w:spacing w:before="207"/>
        <w:ind w:left="100"/>
      </w:pPr>
      <w:r>
        <w:t>660</w:t>
      </w:r>
    </w:p>
    <w:p w14:paraId="7945CDAD" w14:textId="77777777" w:rsidR="007B6A71" w:rsidRDefault="007B6A71">
      <w:pPr>
        <w:pStyle w:val="BodyText"/>
        <w:rPr>
          <w:sz w:val="26"/>
        </w:rPr>
      </w:pPr>
    </w:p>
    <w:p w14:paraId="05F0592B" w14:textId="77777777" w:rsidR="007B6A71" w:rsidRDefault="007B6A71">
      <w:pPr>
        <w:pStyle w:val="BodyText"/>
        <w:rPr>
          <w:sz w:val="26"/>
        </w:rPr>
      </w:pPr>
    </w:p>
    <w:p w14:paraId="709968B6" w14:textId="77777777" w:rsidR="007B6A71" w:rsidRDefault="007B6A71">
      <w:pPr>
        <w:pStyle w:val="BodyText"/>
        <w:rPr>
          <w:sz w:val="26"/>
        </w:rPr>
      </w:pPr>
    </w:p>
    <w:p w14:paraId="485300C2" w14:textId="77777777" w:rsidR="007B6A71" w:rsidRDefault="00CE1F16">
      <w:pPr>
        <w:pStyle w:val="BodyText"/>
        <w:spacing w:before="208"/>
        <w:ind w:left="100"/>
      </w:pPr>
      <w:r>
        <w:t>665</w:t>
      </w:r>
    </w:p>
    <w:p w14:paraId="3350E905" w14:textId="77777777" w:rsidR="007B6A71" w:rsidRDefault="007B6A71">
      <w:pPr>
        <w:pStyle w:val="BodyText"/>
        <w:rPr>
          <w:sz w:val="26"/>
        </w:rPr>
      </w:pPr>
    </w:p>
    <w:p w14:paraId="420836CA" w14:textId="77777777" w:rsidR="007B6A71" w:rsidRDefault="007B6A71">
      <w:pPr>
        <w:pStyle w:val="BodyText"/>
        <w:rPr>
          <w:sz w:val="26"/>
        </w:rPr>
      </w:pPr>
    </w:p>
    <w:p w14:paraId="502AB248" w14:textId="77777777" w:rsidR="007B6A71" w:rsidRDefault="007B6A71">
      <w:pPr>
        <w:pStyle w:val="BodyText"/>
        <w:rPr>
          <w:sz w:val="26"/>
        </w:rPr>
      </w:pPr>
    </w:p>
    <w:p w14:paraId="11065843" w14:textId="77777777" w:rsidR="007B6A71" w:rsidRDefault="00CE1F16">
      <w:pPr>
        <w:pStyle w:val="BodyText"/>
        <w:spacing w:before="207"/>
        <w:ind w:left="100"/>
      </w:pPr>
      <w:r>
        <w:t>670</w:t>
      </w:r>
    </w:p>
    <w:p w14:paraId="3B74CF97" w14:textId="77777777" w:rsidR="007B6A71" w:rsidRDefault="007B6A71">
      <w:pPr>
        <w:pStyle w:val="BodyText"/>
        <w:rPr>
          <w:sz w:val="26"/>
        </w:rPr>
      </w:pPr>
    </w:p>
    <w:p w14:paraId="0B4CB81D" w14:textId="77777777" w:rsidR="007B6A71" w:rsidRDefault="007B6A71">
      <w:pPr>
        <w:pStyle w:val="BodyText"/>
        <w:rPr>
          <w:sz w:val="26"/>
        </w:rPr>
      </w:pPr>
    </w:p>
    <w:p w14:paraId="193FE55D" w14:textId="77777777" w:rsidR="007B6A71" w:rsidRDefault="007B6A71">
      <w:pPr>
        <w:pStyle w:val="BodyText"/>
        <w:rPr>
          <w:sz w:val="26"/>
        </w:rPr>
      </w:pPr>
    </w:p>
    <w:p w14:paraId="434ED66F" w14:textId="77777777" w:rsidR="007B6A71" w:rsidRDefault="00CE1F16">
      <w:pPr>
        <w:pStyle w:val="BodyText"/>
        <w:spacing w:before="207"/>
        <w:ind w:left="100"/>
      </w:pPr>
      <w:r>
        <w:t>675</w:t>
      </w:r>
    </w:p>
    <w:p w14:paraId="42853C43" w14:textId="77777777" w:rsidR="007B6A71" w:rsidRDefault="007B6A71">
      <w:pPr>
        <w:pStyle w:val="BodyText"/>
        <w:rPr>
          <w:sz w:val="26"/>
        </w:rPr>
      </w:pPr>
    </w:p>
    <w:p w14:paraId="0C65AB50" w14:textId="77777777" w:rsidR="007B6A71" w:rsidRDefault="007B6A71">
      <w:pPr>
        <w:pStyle w:val="BodyText"/>
        <w:rPr>
          <w:sz w:val="26"/>
        </w:rPr>
      </w:pPr>
    </w:p>
    <w:p w14:paraId="3369CECA" w14:textId="77777777" w:rsidR="007B6A71" w:rsidRDefault="007B6A71">
      <w:pPr>
        <w:pStyle w:val="BodyText"/>
        <w:rPr>
          <w:sz w:val="26"/>
        </w:rPr>
      </w:pPr>
    </w:p>
    <w:p w14:paraId="7D2EF418" w14:textId="77777777" w:rsidR="007B6A71" w:rsidRDefault="00CE1F16">
      <w:pPr>
        <w:pStyle w:val="BodyText"/>
        <w:spacing w:before="208"/>
        <w:ind w:left="100"/>
      </w:pPr>
      <w:r>
        <w:t>680</w:t>
      </w:r>
    </w:p>
    <w:p w14:paraId="0D573F52" w14:textId="77777777" w:rsidR="007B6A71" w:rsidRDefault="00CE1F16">
      <w:pPr>
        <w:pStyle w:val="ListParagraph"/>
        <w:numPr>
          <w:ilvl w:val="0"/>
          <w:numId w:val="3"/>
        </w:numPr>
        <w:tabs>
          <w:tab w:val="left" w:pos="819"/>
          <w:tab w:val="left" w:pos="820"/>
        </w:tabs>
        <w:spacing w:before="74"/>
        <w:ind w:right="954"/>
        <w:rPr>
          <w:sz w:val="24"/>
        </w:rPr>
      </w:pPr>
      <w:r>
        <w:rPr>
          <w:spacing w:val="1"/>
          <w:sz w:val="24"/>
        </w:rPr>
        <w:br w:type="column"/>
      </w:r>
      <w:r>
        <w:rPr>
          <w:sz w:val="24"/>
        </w:rPr>
        <w:t xml:space="preserve">Wöppelmann, G. </w:t>
      </w:r>
      <w:r>
        <w:rPr>
          <w:i/>
          <w:sz w:val="24"/>
        </w:rPr>
        <w:t xml:space="preserve">et al. </w:t>
      </w:r>
      <w:r>
        <w:rPr>
          <w:spacing w:val="-3"/>
          <w:sz w:val="24"/>
        </w:rPr>
        <w:t xml:space="preserve">Is </w:t>
      </w:r>
      <w:r>
        <w:rPr>
          <w:sz w:val="24"/>
        </w:rPr>
        <w:t xml:space="preserve">land subsidence increasing the exposure to sea level rise in Alexandria, Egypt? </w:t>
      </w:r>
      <w:r>
        <w:rPr>
          <w:i/>
          <w:sz w:val="24"/>
        </w:rPr>
        <w:t xml:space="preserve">Geophysical Research Letters </w:t>
      </w:r>
      <w:r>
        <w:rPr>
          <w:b/>
          <w:sz w:val="24"/>
        </w:rPr>
        <w:t>40</w:t>
      </w:r>
      <w:r>
        <w:rPr>
          <w:sz w:val="24"/>
        </w:rPr>
        <w:t>, 2953-2957,</w:t>
      </w:r>
      <w:r>
        <w:rPr>
          <w:sz w:val="24"/>
          <w:u w:val="single"/>
        </w:rPr>
        <w:t xml:space="preserve"> https://doi.org/10.1002/grl.50568</w:t>
      </w:r>
      <w:r>
        <w:rPr>
          <w:sz w:val="24"/>
        </w:rPr>
        <w:t xml:space="preserve"> (2013).</w:t>
      </w:r>
    </w:p>
    <w:p w14:paraId="6724F757" w14:textId="77777777" w:rsidR="007B6A71" w:rsidRDefault="00CE1F16">
      <w:pPr>
        <w:pStyle w:val="ListParagraph"/>
        <w:numPr>
          <w:ilvl w:val="0"/>
          <w:numId w:val="3"/>
        </w:numPr>
        <w:tabs>
          <w:tab w:val="left" w:pos="819"/>
          <w:tab w:val="left" w:pos="820"/>
        </w:tabs>
        <w:spacing w:before="1"/>
        <w:ind w:right="886"/>
        <w:rPr>
          <w:sz w:val="24"/>
        </w:rPr>
      </w:pPr>
      <w:r>
        <w:rPr>
          <w:sz w:val="24"/>
        </w:rPr>
        <w:t xml:space="preserve">Gebremichael, E. </w:t>
      </w:r>
      <w:r>
        <w:rPr>
          <w:i/>
          <w:sz w:val="24"/>
        </w:rPr>
        <w:t xml:space="preserve">et al. </w:t>
      </w:r>
      <w:r>
        <w:rPr>
          <w:sz w:val="24"/>
        </w:rPr>
        <w:t xml:space="preserve">Assessing land deformation and sea encroachment in the Nile Delta: A radar interferometric and inundation modeling approach. </w:t>
      </w:r>
      <w:r>
        <w:rPr>
          <w:i/>
          <w:sz w:val="24"/>
        </w:rPr>
        <w:t xml:space="preserve">Journal of Geophysical Research: Solid Earth </w:t>
      </w:r>
      <w:r>
        <w:rPr>
          <w:b/>
          <w:sz w:val="24"/>
        </w:rPr>
        <w:t>123</w:t>
      </w:r>
      <w:r>
        <w:rPr>
          <w:sz w:val="24"/>
        </w:rPr>
        <w:t>, 3208-3224,</w:t>
      </w:r>
      <w:r>
        <w:rPr>
          <w:sz w:val="24"/>
          <w:u w:val="single"/>
        </w:rPr>
        <w:t xml:space="preserve"> https://doi.org/10.1002/2017JB015084</w:t>
      </w:r>
      <w:r>
        <w:rPr>
          <w:sz w:val="24"/>
        </w:rPr>
        <w:t xml:space="preserve"> (2018).</w:t>
      </w:r>
    </w:p>
    <w:p w14:paraId="1031BA8C" w14:textId="77777777" w:rsidR="007B6A71" w:rsidRDefault="00CE1F16">
      <w:pPr>
        <w:pStyle w:val="ListParagraph"/>
        <w:numPr>
          <w:ilvl w:val="0"/>
          <w:numId w:val="3"/>
        </w:numPr>
        <w:tabs>
          <w:tab w:val="left" w:pos="819"/>
          <w:tab w:val="left" w:pos="820"/>
        </w:tabs>
        <w:ind w:right="584"/>
        <w:rPr>
          <w:sz w:val="24"/>
        </w:rPr>
      </w:pPr>
      <w:r>
        <w:rPr>
          <w:sz w:val="24"/>
        </w:rPr>
        <w:t>Deltacommissie. Working together with water. A living land builds for its future.</w:t>
      </w:r>
      <w:r>
        <w:rPr>
          <w:spacing w:val="-18"/>
          <w:sz w:val="24"/>
        </w:rPr>
        <w:t xml:space="preserve"> </w:t>
      </w:r>
      <w:r>
        <w:rPr>
          <w:sz w:val="24"/>
        </w:rPr>
        <w:t>(2008)</w:t>
      </w:r>
      <w:r>
        <w:rPr>
          <w:sz w:val="24"/>
          <w:u w:val="single"/>
        </w:rPr>
        <w:t xml:space="preserve"> </w:t>
      </w:r>
      <w:hyperlink r:id="rId17">
        <w:r>
          <w:rPr>
            <w:sz w:val="24"/>
            <w:u w:val="single"/>
          </w:rPr>
          <w:t>http://www.deltacommissie.com/en/advies</w:t>
        </w:r>
        <w:r>
          <w:rPr>
            <w:sz w:val="24"/>
          </w:rPr>
          <w:t>.</w:t>
        </w:r>
      </w:hyperlink>
    </w:p>
    <w:p w14:paraId="5ECE3C96" w14:textId="77777777" w:rsidR="007B6A71" w:rsidRDefault="00CE1F16">
      <w:pPr>
        <w:pStyle w:val="ListParagraph"/>
        <w:numPr>
          <w:ilvl w:val="0"/>
          <w:numId w:val="3"/>
        </w:numPr>
        <w:tabs>
          <w:tab w:val="left" w:pos="819"/>
          <w:tab w:val="left" w:pos="820"/>
        </w:tabs>
        <w:ind w:right="514"/>
        <w:rPr>
          <w:sz w:val="24"/>
        </w:rPr>
      </w:pPr>
      <w:r>
        <w:rPr>
          <w:sz w:val="24"/>
        </w:rPr>
        <w:t>Suanez, S. &amp; Provansal, M. Morphosedimentary behaviour of the delta</w:t>
      </w:r>
      <w:r>
        <w:rPr>
          <w:sz w:val="24"/>
        </w:rPr>
        <w:t xml:space="preserve">ic fringe in comparison to the relative sea-level rise on the Rhone delta. </w:t>
      </w:r>
      <w:r>
        <w:rPr>
          <w:i/>
          <w:sz w:val="24"/>
        </w:rPr>
        <w:t xml:space="preserve">Quaternary Science Reviews </w:t>
      </w:r>
      <w:r>
        <w:rPr>
          <w:b/>
          <w:sz w:val="24"/>
        </w:rPr>
        <w:t>15</w:t>
      </w:r>
      <w:r>
        <w:rPr>
          <w:sz w:val="24"/>
        </w:rPr>
        <w:t xml:space="preserve">, 811-818, </w:t>
      </w:r>
      <w:r>
        <w:rPr>
          <w:sz w:val="24"/>
          <w:u w:val="single"/>
        </w:rPr>
        <w:t>https://doi.org/10.1016/S0277-3791(96)00067-4</w:t>
      </w:r>
      <w:r>
        <w:rPr>
          <w:spacing w:val="-1"/>
          <w:sz w:val="24"/>
        </w:rPr>
        <w:t xml:space="preserve"> </w:t>
      </w:r>
      <w:r>
        <w:rPr>
          <w:sz w:val="24"/>
        </w:rPr>
        <w:t>(1996).</w:t>
      </w:r>
    </w:p>
    <w:p w14:paraId="28F73B62" w14:textId="77777777" w:rsidR="007B6A71" w:rsidRDefault="00CE1F16">
      <w:pPr>
        <w:pStyle w:val="ListParagraph"/>
        <w:numPr>
          <w:ilvl w:val="0"/>
          <w:numId w:val="3"/>
        </w:numPr>
        <w:tabs>
          <w:tab w:val="left" w:pos="819"/>
          <w:tab w:val="left" w:pos="820"/>
        </w:tabs>
        <w:ind w:right="572"/>
        <w:rPr>
          <w:sz w:val="24"/>
        </w:rPr>
      </w:pPr>
      <w:r>
        <w:rPr>
          <w:sz w:val="24"/>
        </w:rPr>
        <w:t xml:space="preserve">Samsonov, S. V. </w:t>
      </w:r>
      <w:r>
        <w:rPr>
          <w:i/>
          <w:sz w:val="24"/>
        </w:rPr>
        <w:t xml:space="preserve">et al. </w:t>
      </w:r>
      <w:r>
        <w:rPr>
          <w:sz w:val="24"/>
        </w:rPr>
        <w:t xml:space="preserve">Rapidly accelerating subsidence in the Greater Vancouver region </w:t>
      </w:r>
      <w:r>
        <w:rPr>
          <w:sz w:val="24"/>
        </w:rPr>
        <w:t xml:space="preserve">from two decades of ERS-ENVISAT-RADARSAT-2 DInSAR measurements. </w:t>
      </w:r>
      <w:r>
        <w:rPr>
          <w:i/>
          <w:sz w:val="24"/>
        </w:rPr>
        <w:t xml:space="preserve">Remote Sensing of Environment </w:t>
      </w:r>
      <w:r>
        <w:rPr>
          <w:b/>
          <w:sz w:val="24"/>
        </w:rPr>
        <w:t>143</w:t>
      </w:r>
      <w:r>
        <w:rPr>
          <w:sz w:val="24"/>
        </w:rPr>
        <w:t xml:space="preserve">, 180-191, </w:t>
      </w:r>
      <w:r>
        <w:rPr>
          <w:sz w:val="24"/>
          <w:u w:val="single"/>
        </w:rPr>
        <w:t>https://doi.org/10.1016/j.rse.2013.12.017</w:t>
      </w:r>
      <w:r>
        <w:rPr>
          <w:spacing w:val="3"/>
          <w:sz w:val="24"/>
        </w:rPr>
        <w:t xml:space="preserve"> </w:t>
      </w:r>
      <w:r>
        <w:rPr>
          <w:spacing w:val="-3"/>
          <w:sz w:val="24"/>
        </w:rPr>
        <w:t>(2014).</w:t>
      </w:r>
    </w:p>
    <w:p w14:paraId="2FADDFDE" w14:textId="77777777" w:rsidR="007B6A71" w:rsidRDefault="00CE1F16">
      <w:pPr>
        <w:pStyle w:val="ListParagraph"/>
        <w:numPr>
          <w:ilvl w:val="0"/>
          <w:numId w:val="3"/>
        </w:numPr>
        <w:tabs>
          <w:tab w:val="left" w:pos="819"/>
          <w:tab w:val="left" w:pos="820"/>
        </w:tabs>
        <w:ind w:right="730"/>
        <w:rPr>
          <w:sz w:val="24"/>
        </w:rPr>
      </w:pPr>
      <w:r>
        <w:rPr>
          <w:sz w:val="24"/>
        </w:rPr>
        <w:t>Mazzotti, S., Lambert, A., Van der Kooij, M. &amp; Mainville, A. Impact of</w:t>
      </w:r>
      <w:r>
        <w:rPr>
          <w:spacing w:val="-15"/>
          <w:sz w:val="24"/>
        </w:rPr>
        <w:t xml:space="preserve"> </w:t>
      </w:r>
      <w:r>
        <w:rPr>
          <w:sz w:val="24"/>
        </w:rPr>
        <w:t>anthropogenic subsidence on</w:t>
      </w:r>
      <w:r>
        <w:rPr>
          <w:sz w:val="24"/>
        </w:rPr>
        <w:t xml:space="preserve"> relative sea-level rise in the Fraser River delta. </w:t>
      </w:r>
      <w:r>
        <w:rPr>
          <w:i/>
          <w:sz w:val="24"/>
        </w:rPr>
        <w:t xml:space="preserve">Geology </w:t>
      </w:r>
      <w:r>
        <w:rPr>
          <w:b/>
          <w:sz w:val="24"/>
        </w:rPr>
        <w:t>37</w:t>
      </w:r>
      <w:r>
        <w:rPr>
          <w:sz w:val="24"/>
        </w:rPr>
        <w:t>, 771-774,</w:t>
      </w:r>
      <w:r>
        <w:rPr>
          <w:sz w:val="24"/>
          <w:u w:val="single"/>
        </w:rPr>
        <w:t xml:space="preserve"> https://doi.org/10.1130/g25640a.1</w:t>
      </w:r>
      <w:r>
        <w:rPr>
          <w:sz w:val="24"/>
        </w:rPr>
        <w:t xml:space="preserve"> (2009).</w:t>
      </w:r>
    </w:p>
    <w:p w14:paraId="3C720324" w14:textId="77777777" w:rsidR="007B6A71" w:rsidRDefault="00CE1F16">
      <w:pPr>
        <w:pStyle w:val="ListParagraph"/>
        <w:numPr>
          <w:ilvl w:val="0"/>
          <w:numId w:val="3"/>
        </w:numPr>
        <w:tabs>
          <w:tab w:val="left" w:pos="819"/>
          <w:tab w:val="left" w:pos="820"/>
        </w:tabs>
        <w:ind w:right="864"/>
        <w:rPr>
          <w:sz w:val="24"/>
        </w:rPr>
      </w:pPr>
      <w:r>
        <w:rPr>
          <w:sz w:val="24"/>
        </w:rPr>
        <w:t>Zhao, J. K., Wu, M. J., Liu, S. X. &amp; Shen, H. Z. The relation between groundwater exploitation and land subsidence in the coast plain of Zhej</w:t>
      </w:r>
      <w:r>
        <w:rPr>
          <w:sz w:val="24"/>
        </w:rPr>
        <w:t>iang Province (in</w:t>
      </w:r>
      <w:r>
        <w:rPr>
          <w:spacing w:val="-16"/>
          <w:sz w:val="24"/>
        </w:rPr>
        <w:t xml:space="preserve"> </w:t>
      </w:r>
      <w:r>
        <w:rPr>
          <w:sz w:val="24"/>
        </w:rPr>
        <w:t xml:space="preserve">Chinese). </w:t>
      </w:r>
      <w:r>
        <w:rPr>
          <w:i/>
          <w:sz w:val="24"/>
        </w:rPr>
        <w:t xml:space="preserve">Geological Journal of China Universities </w:t>
      </w:r>
      <w:r>
        <w:rPr>
          <w:b/>
          <w:sz w:val="24"/>
        </w:rPr>
        <w:t>12</w:t>
      </w:r>
      <w:r>
        <w:rPr>
          <w:sz w:val="24"/>
        </w:rPr>
        <w:t>, 185-194, (2006).</w:t>
      </w:r>
    </w:p>
    <w:p w14:paraId="7CEF5E75" w14:textId="77777777" w:rsidR="007B6A71" w:rsidRDefault="00CE1F16">
      <w:pPr>
        <w:pStyle w:val="ListParagraph"/>
        <w:numPr>
          <w:ilvl w:val="0"/>
          <w:numId w:val="3"/>
        </w:numPr>
        <w:tabs>
          <w:tab w:val="left" w:pos="819"/>
          <w:tab w:val="left" w:pos="820"/>
        </w:tabs>
        <w:spacing w:before="1"/>
        <w:ind w:right="526"/>
        <w:rPr>
          <w:sz w:val="24"/>
        </w:rPr>
      </w:pPr>
      <w:r>
        <w:rPr>
          <w:sz w:val="24"/>
        </w:rPr>
        <w:t xml:space="preserve">Xu, N. Z., Jiang, Y. H., Wang, J. D., Liu, H. &amp; Jia, J. The types and characteristics of the ground subsidence in southeastern China coastal region (in Chinese). </w:t>
      </w:r>
      <w:r>
        <w:rPr>
          <w:i/>
          <w:sz w:val="24"/>
        </w:rPr>
        <w:t>Jour</w:t>
      </w:r>
      <w:r>
        <w:rPr>
          <w:i/>
          <w:sz w:val="24"/>
        </w:rPr>
        <w:t xml:space="preserve">nal of Catastrophology </w:t>
      </w:r>
      <w:r>
        <w:rPr>
          <w:b/>
          <w:sz w:val="24"/>
        </w:rPr>
        <w:t>20</w:t>
      </w:r>
      <w:r>
        <w:rPr>
          <w:sz w:val="24"/>
        </w:rPr>
        <w:t>, 67-72,</w:t>
      </w:r>
      <w:r>
        <w:rPr>
          <w:spacing w:val="58"/>
          <w:sz w:val="24"/>
        </w:rPr>
        <w:t xml:space="preserve"> </w:t>
      </w:r>
      <w:r>
        <w:rPr>
          <w:sz w:val="24"/>
        </w:rPr>
        <w:t>(2005).</w:t>
      </w:r>
    </w:p>
    <w:p w14:paraId="06079B4E" w14:textId="77777777" w:rsidR="007B6A71" w:rsidRDefault="00CE1F16">
      <w:pPr>
        <w:pStyle w:val="ListParagraph"/>
        <w:numPr>
          <w:ilvl w:val="0"/>
          <w:numId w:val="3"/>
        </w:numPr>
        <w:tabs>
          <w:tab w:val="left" w:pos="819"/>
          <w:tab w:val="left" w:pos="820"/>
        </w:tabs>
        <w:rPr>
          <w:sz w:val="24"/>
        </w:rPr>
      </w:pPr>
      <w:r>
        <w:rPr>
          <w:sz w:val="24"/>
        </w:rPr>
        <w:t>Xue, Y.-Q., Zhang, Y., Ye, S.-J., Wu, J.-C. &amp; Li, Q.-F. Land subsidence in</w:t>
      </w:r>
      <w:r>
        <w:rPr>
          <w:spacing w:val="-6"/>
          <w:sz w:val="24"/>
        </w:rPr>
        <w:t xml:space="preserve"> </w:t>
      </w:r>
      <w:r>
        <w:rPr>
          <w:sz w:val="24"/>
        </w:rPr>
        <w:t>China.</w:t>
      </w:r>
    </w:p>
    <w:p w14:paraId="6CDDA8EB" w14:textId="77777777" w:rsidR="007B6A71" w:rsidRDefault="00CE1F16">
      <w:pPr>
        <w:ind w:left="819"/>
        <w:rPr>
          <w:sz w:val="24"/>
        </w:rPr>
      </w:pPr>
      <w:r>
        <w:rPr>
          <w:i/>
          <w:sz w:val="24"/>
        </w:rPr>
        <w:t xml:space="preserve">Environmental Geology </w:t>
      </w:r>
      <w:r>
        <w:rPr>
          <w:b/>
          <w:sz w:val="24"/>
        </w:rPr>
        <w:t>48</w:t>
      </w:r>
      <w:r>
        <w:rPr>
          <w:sz w:val="24"/>
        </w:rPr>
        <w:t xml:space="preserve">, 713-720, </w:t>
      </w:r>
      <w:r>
        <w:rPr>
          <w:sz w:val="24"/>
          <w:u w:val="single"/>
        </w:rPr>
        <w:t>https://doi.org/10.1007/s00254-005-0010-6</w:t>
      </w:r>
      <w:r>
        <w:rPr>
          <w:sz w:val="24"/>
        </w:rPr>
        <w:t xml:space="preserve"> (2005).</w:t>
      </w:r>
    </w:p>
    <w:p w14:paraId="0EA6384F" w14:textId="77777777" w:rsidR="007B6A71" w:rsidRDefault="00CE1F16">
      <w:pPr>
        <w:pStyle w:val="ListParagraph"/>
        <w:numPr>
          <w:ilvl w:val="0"/>
          <w:numId w:val="3"/>
        </w:numPr>
        <w:tabs>
          <w:tab w:val="left" w:pos="819"/>
          <w:tab w:val="left" w:pos="820"/>
        </w:tabs>
        <w:ind w:right="1254"/>
        <w:rPr>
          <w:sz w:val="24"/>
        </w:rPr>
      </w:pPr>
      <w:r>
        <w:rPr>
          <w:sz w:val="24"/>
        </w:rPr>
        <w:t xml:space="preserve">Yang, C., Pan, </w:t>
      </w:r>
      <w:r>
        <w:rPr>
          <w:spacing w:val="-3"/>
          <w:sz w:val="24"/>
        </w:rPr>
        <w:t xml:space="preserve">L. </w:t>
      </w:r>
      <w:r>
        <w:rPr>
          <w:sz w:val="24"/>
        </w:rPr>
        <w:t xml:space="preserve">Y. &amp; Yu, C. Land subsidence control in Wenzhou, Zhejiang (in Chinese). </w:t>
      </w:r>
      <w:r>
        <w:rPr>
          <w:i/>
          <w:sz w:val="24"/>
        </w:rPr>
        <w:t xml:space="preserve">Low Temperature Architecture Technology </w:t>
      </w:r>
      <w:r>
        <w:rPr>
          <w:b/>
          <w:sz w:val="24"/>
        </w:rPr>
        <w:t>158</w:t>
      </w:r>
      <w:r>
        <w:rPr>
          <w:sz w:val="24"/>
        </w:rPr>
        <w:t>, 114-115,</w:t>
      </w:r>
      <w:r>
        <w:rPr>
          <w:spacing w:val="55"/>
          <w:sz w:val="24"/>
        </w:rPr>
        <w:t xml:space="preserve"> </w:t>
      </w:r>
      <w:r>
        <w:rPr>
          <w:sz w:val="24"/>
        </w:rPr>
        <w:t>(2011).</w:t>
      </w:r>
    </w:p>
    <w:p w14:paraId="19CAE8C5" w14:textId="77777777" w:rsidR="007B6A71" w:rsidRDefault="00CE1F16">
      <w:pPr>
        <w:pStyle w:val="ListParagraph"/>
        <w:numPr>
          <w:ilvl w:val="0"/>
          <w:numId w:val="3"/>
        </w:numPr>
        <w:tabs>
          <w:tab w:val="left" w:pos="819"/>
          <w:tab w:val="left" w:pos="820"/>
        </w:tabs>
        <w:ind w:right="524"/>
        <w:rPr>
          <w:sz w:val="24"/>
        </w:rPr>
      </w:pPr>
      <w:r>
        <w:rPr>
          <w:sz w:val="24"/>
        </w:rPr>
        <w:t xml:space="preserve">Orejarena-Rondón, A. F. </w:t>
      </w:r>
      <w:r>
        <w:rPr>
          <w:i/>
          <w:sz w:val="24"/>
        </w:rPr>
        <w:t xml:space="preserve">et al. </w:t>
      </w:r>
      <w:r>
        <w:rPr>
          <w:sz w:val="24"/>
        </w:rPr>
        <w:t xml:space="preserve">Coastal impacts driven by sea-level rise in Cartagena de Indias. </w:t>
      </w:r>
      <w:r>
        <w:rPr>
          <w:i/>
          <w:sz w:val="24"/>
        </w:rPr>
        <w:t>Frontiers in Marine Science</w:t>
      </w:r>
      <w:r>
        <w:rPr>
          <w:i/>
          <w:sz w:val="24"/>
        </w:rPr>
        <w:t xml:space="preserve"> </w:t>
      </w:r>
      <w:r>
        <w:rPr>
          <w:b/>
          <w:sz w:val="24"/>
        </w:rPr>
        <w:t>6</w:t>
      </w:r>
      <w:r>
        <w:rPr>
          <w:sz w:val="24"/>
        </w:rPr>
        <w:t xml:space="preserve">, </w:t>
      </w:r>
      <w:r>
        <w:rPr>
          <w:sz w:val="24"/>
          <w:u w:val="single"/>
        </w:rPr>
        <w:t>https://doi.org/10.3389/fmars.2019.00614</w:t>
      </w:r>
      <w:r>
        <w:rPr>
          <w:spacing w:val="-12"/>
          <w:sz w:val="24"/>
        </w:rPr>
        <w:t xml:space="preserve"> </w:t>
      </w:r>
      <w:r>
        <w:rPr>
          <w:sz w:val="24"/>
        </w:rPr>
        <w:t>(2019).</w:t>
      </w:r>
    </w:p>
    <w:p w14:paraId="18509EA4" w14:textId="77777777" w:rsidR="007B6A71" w:rsidRDefault="00CE1F16">
      <w:pPr>
        <w:pStyle w:val="ListParagraph"/>
        <w:numPr>
          <w:ilvl w:val="0"/>
          <w:numId w:val="3"/>
        </w:numPr>
        <w:tabs>
          <w:tab w:val="left" w:pos="819"/>
          <w:tab w:val="left" w:pos="820"/>
        </w:tabs>
        <w:ind w:right="500"/>
        <w:rPr>
          <w:sz w:val="24"/>
        </w:rPr>
      </w:pPr>
      <w:r>
        <w:rPr>
          <w:sz w:val="24"/>
        </w:rPr>
        <w:t xml:space="preserve">Chatterjee, R. S. </w:t>
      </w:r>
      <w:r>
        <w:rPr>
          <w:i/>
          <w:sz w:val="24"/>
        </w:rPr>
        <w:t xml:space="preserve">et al. </w:t>
      </w:r>
      <w:r>
        <w:rPr>
          <w:sz w:val="24"/>
        </w:rPr>
        <w:t xml:space="preserve">Subsidence of Kolkata (Calcutta) City, India during the 1990s as observed from space by Differential Synthetic Aperture Radar Interferometry (D-InSAR) technique. </w:t>
      </w:r>
      <w:r>
        <w:rPr>
          <w:i/>
          <w:sz w:val="24"/>
        </w:rPr>
        <w:t>Remote Sensing o</w:t>
      </w:r>
      <w:r>
        <w:rPr>
          <w:i/>
          <w:sz w:val="24"/>
        </w:rPr>
        <w:t xml:space="preserve">f Environment </w:t>
      </w:r>
      <w:r>
        <w:rPr>
          <w:b/>
          <w:sz w:val="24"/>
        </w:rPr>
        <w:t>102</w:t>
      </w:r>
      <w:r>
        <w:rPr>
          <w:sz w:val="24"/>
        </w:rPr>
        <w:t>, 176-185,</w:t>
      </w:r>
      <w:r>
        <w:rPr>
          <w:sz w:val="24"/>
          <w:u w:val="single"/>
        </w:rPr>
        <w:t xml:space="preserve"> https://doi.org/10.1016/j.rse.2006.02.006</w:t>
      </w:r>
      <w:r>
        <w:rPr>
          <w:sz w:val="24"/>
        </w:rPr>
        <w:t xml:space="preserve"> (2006).</w:t>
      </w:r>
    </w:p>
    <w:p w14:paraId="67E2C195" w14:textId="77777777" w:rsidR="007B6A71" w:rsidRDefault="00CE1F16">
      <w:pPr>
        <w:pStyle w:val="ListParagraph"/>
        <w:numPr>
          <w:ilvl w:val="0"/>
          <w:numId w:val="3"/>
        </w:numPr>
        <w:tabs>
          <w:tab w:val="left" w:pos="819"/>
          <w:tab w:val="left" w:pos="820"/>
        </w:tabs>
        <w:ind w:right="661"/>
        <w:rPr>
          <w:sz w:val="24"/>
        </w:rPr>
      </w:pPr>
      <w:r>
        <w:rPr>
          <w:sz w:val="24"/>
        </w:rPr>
        <w:t>Sahu, P. &amp; Sikdar, P. K. Threat of land subsidence in and around Kolkata City and</w:t>
      </w:r>
      <w:r>
        <w:rPr>
          <w:spacing w:val="-13"/>
          <w:sz w:val="24"/>
        </w:rPr>
        <w:t xml:space="preserve"> </w:t>
      </w:r>
      <w:r>
        <w:rPr>
          <w:sz w:val="24"/>
        </w:rPr>
        <w:t xml:space="preserve">East Kolkata Wetlands, West Bengal, India. </w:t>
      </w:r>
      <w:r>
        <w:rPr>
          <w:i/>
          <w:sz w:val="24"/>
        </w:rPr>
        <w:t xml:space="preserve">Journal of Earth System Science </w:t>
      </w:r>
      <w:r>
        <w:rPr>
          <w:b/>
          <w:sz w:val="24"/>
        </w:rPr>
        <w:t>120</w:t>
      </w:r>
      <w:r>
        <w:rPr>
          <w:sz w:val="24"/>
        </w:rPr>
        <w:t>, 435-446,</w:t>
      </w:r>
      <w:r>
        <w:rPr>
          <w:sz w:val="24"/>
          <w:u w:val="single"/>
        </w:rPr>
        <w:t xml:space="preserve"> https://doi.org/10.1007/s12040-011-0077-2</w:t>
      </w:r>
      <w:r>
        <w:rPr>
          <w:spacing w:val="-1"/>
          <w:sz w:val="24"/>
        </w:rPr>
        <w:t xml:space="preserve"> </w:t>
      </w:r>
      <w:r>
        <w:rPr>
          <w:sz w:val="24"/>
        </w:rPr>
        <w:t>(2011).</w:t>
      </w:r>
    </w:p>
    <w:p w14:paraId="01296054" w14:textId="77777777" w:rsidR="007B6A71" w:rsidRDefault="00CE1F16">
      <w:pPr>
        <w:pStyle w:val="ListParagraph"/>
        <w:numPr>
          <w:ilvl w:val="0"/>
          <w:numId w:val="3"/>
        </w:numPr>
        <w:tabs>
          <w:tab w:val="left" w:pos="819"/>
          <w:tab w:val="left" w:pos="820"/>
        </w:tabs>
        <w:ind w:right="738"/>
        <w:rPr>
          <w:sz w:val="24"/>
        </w:rPr>
      </w:pPr>
      <w:r>
        <w:rPr>
          <w:sz w:val="24"/>
        </w:rPr>
        <w:t>Abidin, H. Z., Andreas, H., Gumilar, I., Sidiq, T. P. &amp; Fukuda, Y. Land subsidence in coastal city of Semarang (Indonesia): characteristics, impacts and causes.</w:t>
      </w:r>
      <w:r>
        <w:rPr>
          <w:sz w:val="24"/>
        </w:rPr>
        <w:t xml:space="preserve"> </w:t>
      </w:r>
      <w:r>
        <w:rPr>
          <w:i/>
          <w:sz w:val="24"/>
        </w:rPr>
        <w:t xml:space="preserve">Geomatics, Natural Hazards and Risk </w:t>
      </w:r>
      <w:r>
        <w:rPr>
          <w:b/>
          <w:sz w:val="24"/>
        </w:rPr>
        <w:t>4</w:t>
      </w:r>
      <w:r>
        <w:rPr>
          <w:sz w:val="24"/>
        </w:rPr>
        <w:t>, 226-240,</w:t>
      </w:r>
      <w:r>
        <w:rPr>
          <w:spacing w:val="51"/>
          <w:sz w:val="24"/>
        </w:rPr>
        <w:t xml:space="preserve"> </w:t>
      </w:r>
      <w:r>
        <w:rPr>
          <w:sz w:val="24"/>
          <w:u w:val="single"/>
        </w:rPr>
        <w:t>https://doi.org/10.1080/19475705.2012.692336</w:t>
      </w:r>
      <w:r>
        <w:rPr>
          <w:sz w:val="24"/>
        </w:rPr>
        <w:t xml:space="preserve"> (2013).</w:t>
      </w:r>
    </w:p>
    <w:p w14:paraId="2B6118E9" w14:textId="77777777" w:rsidR="007B6A71" w:rsidRDefault="00CE1F16">
      <w:pPr>
        <w:pStyle w:val="ListParagraph"/>
        <w:numPr>
          <w:ilvl w:val="0"/>
          <w:numId w:val="3"/>
        </w:numPr>
        <w:tabs>
          <w:tab w:val="left" w:pos="819"/>
          <w:tab w:val="left" w:pos="820"/>
        </w:tabs>
        <w:spacing w:before="1"/>
        <w:rPr>
          <w:sz w:val="24"/>
        </w:rPr>
      </w:pPr>
      <w:r>
        <w:rPr>
          <w:sz w:val="24"/>
        </w:rPr>
        <w:t xml:space="preserve">Deltares. </w:t>
      </w:r>
      <w:r>
        <w:rPr>
          <w:i/>
          <w:sz w:val="24"/>
        </w:rPr>
        <w:t>Sinking cities: An integrated approach towards solutions</w:t>
      </w:r>
      <w:r>
        <w:rPr>
          <w:sz w:val="24"/>
        </w:rPr>
        <w:t>. (Deltares,</w:t>
      </w:r>
      <w:r>
        <w:rPr>
          <w:spacing w:val="-2"/>
          <w:sz w:val="24"/>
        </w:rPr>
        <w:t xml:space="preserve"> </w:t>
      </w:r>
      <w:r>
        <w:rPr>
          <w:sz w:val="24"/>
        </w:rPr>
        <w:t>2014).</w:t>
      </w:r>
    </w:p>
    <w:p w14:paraId="4705646F" w14:textId="77777777" w:rsidR="007B6A71" w:rsidRDefault="00CE1F16">
      <w:pPr>
        <w:pStyle w:val="ListParagraph"/>
        <w:numPr>
          <w:ilvl w:val="0"/>
          <w:numId w:val="3"/>
        </w:numPr>
        <w:tabs>
          <w:tab w:val="left" w:pos="819"/>
          <w:tab w:val="left" w:pos="820"/>
        </w:tabs>
        <w:ind w:right="613"/>
        <w:rPr>
          <w:sz w:val="24"/>
        </w:rPr>
      </w:pPr>
      <w:r>
        <w:rPr>
          <w:sz w:val="24"/>
        </w:rPr>
        <w:t>Kasmarek, M. C., Gabrysch, R. K. &amp; Johnson, M. R. Estimated land-sur</w:t>
      </w:r>
      <w:r>
        <w:rPr>
          <w:sz w:val="24"/>
        </w:rPr>
        <w:t>face</w:t>
      </w:r>
      <w:r>
        <w:rPr>
          <w:spacing w:val="-12"/>
          <w:sz w:val="24"/>
        </w:rPr>
        <w:t xml:space="preserve"> </w:t>
      </w:r>
      <w:r>
        <w:rPr>
          <w:sz w:val="24"/>
        </w:rPr>
        <w:t xml:space="preserve">subsidence in Harris County, Texas, 1915-17 to 2001. Report No. 3097, (Reston, VA, 2009) </w:t>
      </w:r>
      <w:hyperlink r:id="rId18">
        <w:r>
          <w:rPr>
            <w:sz w:val="24"/>
          </w:rPr>
          <w:t>http://pubs.er.usgs.gov/publication/sim3097.</w:t>
        </w:r>
      </w:hyperlink>
      <w:r>
        <w:rPr>
          <w:spacing w:val="2"/>
          <w:sz w:val="24"/>
        </w:rPr>
        <w:t xml:space="preserve"> </w:t>
      </w:r>
      <w:r>
        <w:rPr>
          <w:sz w:val="24"/>
          <w:u w:val="single"/>
        </w:rPr>
        <w:t>https://doi.org/10.3133/sim3097</w:t>
      </w:r>
    </w:p>
    <w:p w14:paraId="34EAC7BC" w14:textId="77777777" w:rsidR="007B6A71" w:rsidRDefault="007B6A71">
      <w:pPr>
        <w:rPr>
          <w:sz w:val="24"/>
        </w:rPr>
        <w:sectPr w:rsidR="007B6A71">
          <w:pgSz w:w="12240" w:h="15840"/>
          <w:pgMar w:top="1360" w:right="1000" w:bottom="1800" w:left="260" w:header="0" w:footer="1538" w:gutter="0"/>
          <w:cols w:num="2" w:space="720" w:equalWidth="0">
            <w:col w:w="501" w:space="580"/>
            <w:col w:w="9899"/>
          </w:cols>
        </w:sectPr>
      </w:pPr>
    </w:p>
    <w:p w14:paraId="2DFD4B85" w14:textId="77777777" w:rsidR="007B6A71" w:rsidRDefault="007B6A71">
      <w:pPr>
        <w:pStyle w:val="BodyText"/>
        <w:spacing w:before="5"/>
        <w:rPr>
          <w:sz w:val="30"/>
        </w:rPr>
      </w:pPr>
    </w:p>
    <w:p w14:paraId="6946E715" w14:textId="77777777" w:rsidR="007B6A71" w:rsidRDefault="00CE1F16">
      <w:pPr>
        <w:pStyle w:val="BodyText"/>
        <w:ind w:left="100"/>
      </w:pPr>
      <w:r>
        <w:t>685</w:t>
      </w:r>
    </w:p>
    <w:p w14:paraId="601C128E" w14:textId="77777777" w:rsidR="007B6A71" w:rsidRDefault="007B6A71">
      <w:pPr>
        <w:pStyle w:val="BodyText"/>
        <w:rPr>
          <w:sz w:val="26"/>
        </w:rPr>
      </w:pPr>
    </w:p>
    <w:p w14:paraId="3000AA14" w14:textId="77777777" w:rsidR="007B6A71" w:rsidRDefault="007B6A71">
      <w:pPr>
        <w:pStyle w:val="BodyText"/>
        <w:rPr>
          <w:sz w:val="26"/>
        </w:rPr>
      </w:pPr>
    </w:p>
    <w:p w14:paraId="24898899" w14:textId="77777777" w:rsidR="007B6A71" w:rsidRDefault="007B6A71">
      <w:pPr>
        <w:pStyle w:val="BodyText"/>
        <w:rPr>
          <w:sz w:val="26"/>
        </w:rPr>
      </w:pPr>
    </w:p>
    <w:p w14:paraId="4B4A2C6C" w14:textId="77777777" w:rsidR="007B6A71" w:rsidRDefault="00CE1F16">
      <w:pPr>
        <w:pStyle w:val="BodyText"/>
        <w:spacing w:before="208"/>
        <w:ind w:left="100"/>
      </w:pPr>
      <w:r>
        <w:t>690</w:t>
      </w:r>
    </w:p>
    <w:p w14:paraId="77971914" w14:textId="77777777" w:rsidR="007B6A71" w:rsidRDefault="00CE1F16">
      <w:pPr>
        <w:pStyle w:val="ListParagraph"/>
        <w:numPr>
          <w:ilvl w:val="0"/>
          <w:numId w:val="3"/>
        </w:numPr>
        <w:tabs>
          <w:tab w:val="left" w:pos="819"/>
          <w:tab w:val="left" w:pos="820"/>
        </w:tabs>
        <w:spacing w:before="74"/>
        <w:ind w:right="1130"/>
        <w:rPr>
          <w:sz w:val="24"/>
        </w:rPr>
      </w:pPr>
      <w:r>
        <w:rPr>
          <w:w w:val="99"/>
          <w:sz w:val="24"/>
        </w:rPr>
        <w:br w:type="column"/>
      </w:r>
      <w:r>
        <w:rPr>
          <w:sz w:val="24"/>
        </w:rPr>
        <w:t xml:space="preserve">Dixon, T. H. </w:t>
      </w:r>
      <w:r>
        <w:rPr>
          <w:i/>
          <w:sz w:val="24"/>
        </w:rPr>
        <w:t xml:space="preserve">et al. </w:t>
      </w:r>
      <w:r>
        <w:rPr>
          <w:sz w:val="24"/>
        </w:rPr>
        <w:t xml:space="preserve">Subsidence and flooding in New Orleans. </w:t>
      </w:r>
      <w:r>
        <w:rPr>
          <w:i/>
          <w:sz w:val="24"/>
        </w:rPr>
        <w:t xml:space="preserve">Nature </w:t>
      </w:r>
      <w:r>
        <w:rPr>
          <w:b/>
          <w:sz w:val="24"/>
        </w:rPr>
        <w:t>441</w:t>
      </w:r>
      <w:r>
        <w:rPr>
          <w:sz w:val="24"/>
        </w:rPr>
        <w:t>, 587-588,</w:t>
      </w:r>
      <w:r>
        <w:rPr>
          <w:sz w:val="24"/>
          <w:u w:val="single"/>
        </w:rPr>
        <w:t xml:space="preserve"> https://doi.org/10.1038/441587a</w:t>
      </w:r>
      <w:r>
        <w:rPr>
          <w:spacing w:val="-1"/>
          <w:sz w:val="24"/>
        </w:rPr>
        <w:t xml:space="preserve"> </w:t>
      </w:r>
      <w:r>
        <w:rPr>
          <w:sz w:val="24"/>
        </w:rPr>
        <w:t>(2006).</w:t>
      </w:r>
    </w:p>
    <w:p w14:paraId="7AA9F90A" w14:textId="77777777" w:rsidR="007B6A71" w:rsidRDefault="00CE1F16">
      <w:pPr>
        <w:pStyle w:val="ListParagraph"/>
        <w:numPr>
          <w:ilvl w:val="0"/>
          <w:numId w:val="3"/>
        </w:numPr>
        <w:tabs>
          <w:tab w:val="left" w:pos="819"/>
          <w:tab w:val="left" w:pos="820"/>
        </w:tabs>
        <w:ind w:right="1133"/>
        <w:rPr>
          <w:sz w:val="24"/>
        </w:rPr>
      </w:pPr>
      <w:r>
        <w:rPr>
          <w:sz w:val="24"/>
        </w:rPr>
        <w:t>Nguyen, Q. T. The main causes of land subsidence in Ho Chi Minh City.</w:t>
      </w:r>
      <w:r>
        <w:rPr>
          <w:spacing w:val="-12"/>
          <w:sz w:val="24"/>
        </w:rPr>
        <w:t xml:space="preserve"> </w:t>
      </w:r>
      <w:r>
        <w:rPr>
          <w:i/>
          <w:sz w:val="24"/>
        </w:rPr>
        <w:t xml:space="preserve">Procedia Engineering </w:t>
      </w:r>
      <w:r>
        <w:rPr>
          <w:b/>
          <w:sz w:val="24"/>
        </w:rPr>
        <w:t>142</w:t>
      </w:r>
      <w:r>
        <w:rPr>
          <w:sz w:val="24"/>
        </w:rPr>
        <w:t xml:space="preserve">, 334-341, </w:t>
      </w:r>
      <w:r>
        <w:rPr>
          <w:sz w:val="24"/>
          <w:u w:val="single"/>
        </w:rPr>
        <w:t>https://doi.org/10.1016/j.proeng.2016.02.058</w:t>
      </w:r>
      <w:r>
        <w:rPr>
          <w:spacing w:val="-4"/>
          <w:sz w:val="24"/>
        </w:rPr>
        <w:t xml:space="preserve"> </w:t>
      </w:r>
      <w:r>
        <w:rPr>
          <w:sz w:val="24"/>
        </w:rPr>
        <w:t>(2016).</w:t>
      </w:r>
    </w:p>
    <w:p w14:paraId="65C400AC" w14:textId="77777777" w:rsidR="007B6A71" w:rsidRDefault="00CE1F16">
      <w:pPr>
        <w:pStyle w:val="ListParagraph"/>
        <w:numPr>
          <w:ilvl w:val="0"/>
          <w:numId w:val="3"/>
        </w:numPr>
        <w:tabs>
          <w:tab w:val="left" w:pos="819"/>
          <w:tab w:val="left" w:pos="820"/>
        </w:tabs>
        <w:spacing w:before="1"/>
        <w:ind w:right="445"/>
        <w:rPr>
          <w:sz w:val="24"/>
        </w:rPr>
      </w:pPr>
      <w:r>
        <w:rPr>
          <w:sz w:val="24"/>
        </w:rPr>
        <w:t xml:space="preserve">Nicholls, R. J. </w:t>
      </w:r>
      <w:r>
        <w:rPr>
          <w:i/>
          <w:sz w:val="24"/>
        </w:rPr>
        <w:t xml:space="preserve">et al. </w:t>
      </w:r>
      <w:r>
        <w:rPr>
          <w:sz w:val="24"/>
        </w:rPr>
        <w:t>A global analysis of subsidence, relative sea-level change and coastal floo</w:t>
      </w:r>
      <w:r>
        <w:rPr>
          <w:sz w:val="24"/>
        </w:rPr>
        <w:t>d exposure. Dataset.</w:t>
      </w:r>
      <w:r>
        <w:rPr>
          <w:color w:val="0462C1"/>
          <w:sz w:val="24"/>
        </w:rPr>
        <w:t xml:space="preserve"> </w:t>
      </w:r>
      <w:hyperlink r:id="rId19">
        <w:r>
          <w:rPr>
            <w:color w:val="0462C1"/>
            <w:sz w:val="24"/>
            <w:u w:val="single" w:color="0462C1"/>
          </w:rPr>
          <w:t>http://doi.org/10.5281/zenodo.4434773</w:t>
        </w:r>
        <w:r>
          <w:rPr>
            <w:color w:val="0462C1"/>
            <w:spacing w:val="2"/>
            <w:sz w:val="24"/>
          </w:rPr>
          <w:t xml:space="preserve"> </w:t>
        </w:r>
      </w:hyperlink>
      <w:r>
        <w:rPr>
          <w:sz w:val="24"/>
        </w:rPr>
        <w:t>(2021).</w:t>
      </w:r>
    </w:p>
    <w:p w14:paraId="2B5AB30F" w14:textId="77777777" w:rsidR="007B6A71" w:rsidRDefault="007B6A71">
      <w:pPr>
        <w:rPr>
          <w:sz w:val="24"/>
        </w:rPr>
        <w:sectPr w:rsidR="007B6A71">
          <w:pgSz w:w="12240" w:h="15840"/>
          <w:pgMar w:top="1360" w:right="1000" w:bottom="1800" w:left="260" w:header="0" w:footer="1538" w:gutter="0"/>
          <w:cols w:num="2" w:space="720" w:equalWidth="0">
            <w:col w:w="501" w:space="580"/>
            <w:col w:w="9899"/>
          </w:cols>
        </w:sectPr>
      </w:pPr>
    </w:p>
    <w:p w14:paraId="5194017E" w14:textId="77777777" w:rsidR="007B6A71" w:rsidRDefault="007B6A71">
      <w:pPr>
        <w:pStyle w:val="BodyText"/>
        <w:rPr>
          <w:sz w:val="20"/>
        </w:rPr>
      </w:pPr>
    </w:p>
    <w:p w14:paraId="360A1DB5" w14:textId="77777777" w:rsidR="007B6A71" w:rsidRDefault="00CE1F16">
      <w:pPr>
        <w:pStyle w:val="Heading1"/>
        <w:spacing w:before="260"/>
      </w:pPr>
      <w:r>
        <w:t>List of Tables</w:t>
      </w:r>
    </w:p>
    <w:p w14:paraId="3D2287EA" w14:textId="77777777" w:rsidR="007B6A71" w:rsidRDefault="007B6A71">
      <w:pPr>
        <w:pStyle w:val="BodyText"/>
        <w:spacing w:before="7"/>
        <w:rPr>
          <w:b/>
          <w:sz w:val="27"/>
        </w:rPr>
      </w:pPr>
    </w:p>
    <w:p w14:paraId="70C4E9B5" w14:textId="77777777" w:rsidR="007B6A71" w:rsidRDefault="00CE1F16">
      <w:pPr>
        <w:pStyle w:val="BodyText"/>
        <w:ind w:left="1180"/>
      </w:pPr>
      <w:r>
        <w:rPr>
          <w:b/>
        </w:rPr>
        <w:t xml:space="preserve">Table 1: </w:t>
      </w:r>
      <w:r>
        <w:t>Contribution of the climate and geological components to relative sea-level change for</w:t>
      </w:r>
    </w:p>
    <w:p w14:paraId="4D46AC74" w14:textId="77777777" w:rsidR="007B6A71" w:rsidRDefault="007B6A71">
      <w:pPr>
        <w:pStyle w:val="BodyText"/>
        <w:spacing w:before="2"/>
        <w:rPr>
          <w:sz w:val="16"/>
        </w:rPr>
      </w:pPr>
    </w:p>
    <w:p w14:paraId="2B52C6F8" w14:textId="77777777" w:rsidR="007B6A71" w:rsidRDefault="00CE1F16">
      <w:pPr>
        <w:pStyle w:val="BodyText"/>
        <w:tabs>
          <w:tab w:val="left" w:pos="1180"/>
        </w:tabs>
        <w:spacing w:before="90"/>
        <w:ind w:left="100"/>
      </w:pPr>
      <w:r>
        <w:t>695</w:t>
      </w:r>
      <w:r>
        <w:tab/>
        <w:t>length-weighted and population-weighted cases, respectively. Average values are</w:t>
      </w:r>
      <w:r>
        <w:rPr>
          <w:spacing w:val="-6"/>
        </w:rPr>
        <w:t xml:space="preserve"> </w:t>
      </w:r>
      <w:r>
        <w:t>reported,</w:t>
      </w:r>
    </w:p>
    <w:p w14:paraId="21A7CFFE" w14:textId="77777777" w:rsidR="007B6A71" w:rsidRDefault="007B6A71">
      <w:pPr>
        <w:pStyle w:val="BodyText"/>
        <w:spacing w:before="2"/>
        <w:rPr>
          <w:sz w:val="16"/>
        </w:rPr>
      </w:pPr>
    </w:p>
    <w:p w14:paraId="3DE30A15" w14:textId="77777777" w:rsidR="007B6A71" w:rsidRDefault="00CE1F16">
      <w:pPr>
        <w:pStyle w:val="BodyText"/>
        <w:spacing w:before="90" w:line="480" w:lineRule="auto"/>
        <w:ind w:left="1180" w:right="1349"/>
      </w:pPr>
      <w:r>
        <w:t xml:space="preserve">except for cities and the global-mean sum where a low/high range is used </w:t>
      </w:r>
      <w:r>
        <w:t>to express the uncertainty in subsidence (see Supplementary Table 2).</w:t>
      </w:r>
    </w:p>
    <w:p w14:paraId="4A06940E" w14:textId="77777777" w:rsidR="007B6A71" w:rsidRDefault="007B6A71">
      <w:pPr>
        <w:pStyle w:val="BodyText"/>
        <w:rPr>
          <w:sz w:val="26"/>
        </w:rPr>
      </w:pPr>
    </w:p>
    <w:p w14:paraId="796AC169" w14:textId="77777777" w:rsidR="007B6A71" w:rsidRDefault="007B6A71">
      <w:pPr>
        <w:pStyle w:val="BodyText"/>
        <w:spacing w:before="4"/>
        <w:rPr>
          <w:sz w:val="22"/>
        </w:rPr>
      </w:pPr>
    </w:p>
    <w:p w14:paraId="0F8AE1AB" w14:textId="77777777" w:rsidR="007B6A71" w:rsidRDefault="00CE1F16">
      <w:pPr>
        <w:pStyle w:val="Heading1"/>
        <w:spacing w:before="0"/>
      </w:pPr>
      <w:r>
        <w:t>List of Figures</w:t>
      </w:r>
    </w:p>
    <w:p w14:paraId="5E000ECC" w14:textId="77777777" w:rsidR="007B6A71" w:rsidRDefault="007B6A71">
      <w:pPr>
        <w:pStyle w:val="BodyText"/>
        <w:spacing w:before="1"/>
        <w:rPr>
          <w:b/>
          <w:sz w:val="20"/>
        </w:rPr>
      </w:pPr>
    </w:p>
    <w:p w14:paraId="4344925C" w14:textId="77777777" w:rsidR="007B6A71" w:rsidRDefault="00CE1F16">
      <w:pPr>
        <w:pStyle w:val="BodyText"/>
        <w:tabs>
          <w:tab w:val="left" w:pos="1180"/>
        </w:tabs>
        <w:spacing w:before="90"/>
        <w:ind w:left="100"/>
      </w:pPr>
      <w:r>
        <w:t>700</w:t>
      </w:r>
      <w:r>
        <w:tab/>
      </w:r>
      <w:r>
        <w:rPr>
          <w:b/>
        </w:rPr>
        <w:t xml:space="preserve">Fig 1: </w:t>
      </w:r>
      <w:r>
        <w:t>Cumulative distribution of contemporary length-weighted and</w:t>
      </w:r>
      <w:r>
        <w:rPr>
          <w:spacing w:val="-11"/>
        </w:rPr>
        <w:t xml:space="preserve"> </w:t>
      </w:r>
      <w:r>
        <w:t>population-weighted</w:t>
      </w:r>
    </w:p>
    <w:p w14:paraId="38AF9CA1" w14:textId="77777777" w:rsidR="007B6A71" w:rsidRDefault="007B6A71">
      <w:pPr>
        <w:pStyle w:val="BodyText"/>
        <w:spacing w:before="11"/>
        <w:rPr>
          <w:sz w:val="15"/>
        </w:rPr>
      </w:pPr>
    </w:p>
    <w:p w14:paraId="441891B9" w14:textId="77777777" w:rsidR="007B6A71" w:rsidRDefault="00CE1F16">
      <w:pPr>
        <w:pStyle w:val="BodyText"/>
        <w:spacing w:before="90" w:line="480" w:lineRule="auto"/>
        <w:ind w:left="1180" w:right="729"/>
      </w:pPr>
      <w:r>
        <w:t>coastal relative sea-level rise, respectively. This includes lower and upper estimates to express uncertainty, although for length weighting the difference is too small to be seen.</w:t>
      </w:r>
    </w:p>
    <w:p w14:paraId="7D9B39C0" w14:textId="77777777" w:rsidR="007B6A71" w:rsidRDefault="007B6A71">
      <w:pPr>
        <w:pStyle w:val="BodyText"/>
        <w:rPr>
          <w:sz w:val="26"/>
        </w:rPr>
      </w:pPr>
    </w:p>
    <w:p w14:paraId="470368E5" w14:textId="77777777" w:rsidR="007B6A71" w:rsidRDefault="007B6A71">
      <w:pPr>
        <w:pStyle w:val="BodyText"/>
        <w:rPr>
          <w:sz w:val="22"/>
        </w:rPr>
      </w:pPr>
    </w:p>
    <w:p w14:paraId="68DBF3A1" w14:textId="77777777" w:rsidR="007B6A71" w:rsidRDefault="00CE1F16">
      <w:pPr>
        <w:pStyle w:val="BodyText"/>
        <w:ind w:left="1180"/>
      </w:pPr>
      <w:r>
        <w:rPr>
          <w:b/>
        </w:rPr>
        <w:t xml:space="preserve">Fig 2: </w:t>
      </w:r>
      <w:r>
        <w:t xml:space="preserve">Average relative sea-level rise for 23 coastal world regions. (a) </w:t>
      </w:r>
      <w:r>
        <w:t>Length-weighted and (b)</w:t>
      </w:r>
    </w:p>
    <w:p w14:paraId="591E4A8B" w14:textId="77777777" w:rsidR="007B6A71" w:rsidRDefault="007B6A71">
      <w:pPr>
        <w:pStyle w:val="BodyText"/>
        <w:spacing w:before="2"/>
        <w:rPr>
          <w:sz w:val="16"/>
        </w:rPr>
      </w:pPr>
    </w:p>
    <w:p w14:paraId="7A1E9547" w14:textId="77777777" w:rsidR="007B6A71" w:rsidRDefault="00CE1F16">
      <w:pPr>
        <w:pStyle w:val="BodyText"/>
        <w:tabs>
          <w:tab w:val="left" w:pos="1180"/>
        </w:tabs>
        <w:spacing w:before="90"/>
        <w:ind w:left="100"/>
      </w:pPr>
      <w:r>
        <w:t>705</w:t>
      </w:r>
      <w:r>
        <w:tab/>
        <w:t>population-weighted. (see Supplementary Table 3 for region</w:t>
      </w:r>
      <w:r>
        <w:rPr>
          <w:spacing w:val="-8"/>
        </w:rPr>
        <w:t xml:space="preserve"> </w:t>
      </w:r>
      <w:r>
        <w:t>definitions).</w:t>
      </w:r>
    </w:p>
    <w:p w14:paraId="0251BC62" w14:textId="77777777" w:rsidR="007B6A71" w:rsidRDefault="007B6A71">
      <w:pPr>
        <w:pStyle w:val="BodyText"/>
        <w:rPr>
          <w:sz w:val="20"/>
        </w:rPr>
      </w:pPr>
    </w:p>
    <w:p w14:paraId="14B4AB2F" w14:textId="77777777" w:rsidR="007B6A71" w:rsidRDefault="007B6A71">
      <w:pPr>
        <w:pStyle w:val="BodyText"/>
        <w:rPr>
          <w:sz w:val="20"/>
        </w:rPr>
      </w:pPr>
    </w:p>
    <w:p w14:paraId="7217EAA9" w14:textId="77777777" w:rsidR="007B6A71" w:rsidRDefault="007B6A71">
      <w:pPr>
        <w:pStyle w:val="BodyText"/>
        <w:spacing w:before="2"/>
      </w:pPr>
    </w:p>
    <w:p w14:paraId="1A925C45" w14:textId="77777777" w:rsidR="007B6A71" w:rsidRDefault="00CE1F16">
      <w:pPr>
        <w:pStyle w:val="BodyText"/>
        <w:spacing w:before="90" w:line="480" w:lineRule="auto"/>
        <w:ind w:left="1180" w:right="571"/>
      </w:pPr>
      <w:r>
        <w:rPr>
          <w:b/>
        </w:rPr>
        <w:t xml:space="preserve">Fig 3: </w:t>
      </w:r>
      <w:r>
        <w:t>Global population in the coastal flood plain from 2015 to 2050. This considers sea-level rise scenarios under RCP2.6, RCP4.5 and RCP8.5 emissions, as well as no climate-induced</w:t>
      </w:r>
      <w:r>
        <w:rPr>
          <w:spacing w:val="-17"/>
        </w:rPr>
        <w:t xml:space="preserve"> </w:t>
      </w:r>
      <w:r>
        <w:t>sea- level rise as a reference, and assumes the SSP2 socio-economic scenario.</w:t>
      </w:r>
      <w:r>
        <w:rPr>
          <w:spacing w:val="-8"/>
        </w:rPr>
        <w:t xml:space="preserve"> </w:t>
      </w:r>
      <w:r>
        <w:t>S</w:t>
      </w:r>
      <w:r>
        <w:t>ubsidence/GIA</w:t>
      </w:r>
    </w:p>
    <w:p w14:paraId="7BEA74BE" w14:textId="77777777" w:rsidR="007B6A71" w:rsidRDefault="00CE1F16">
      <w:pPr>
        <w:pStyle w:val="BodyText"/>
        <w:tabs>
          <w:tab w:val="left" w:pos="1180"/>
        </w:tabs>
        <w:spacing w:before="1"/>
        <w:ind w:left="100"/>
      </w:pPr>
      <w:r>
        <w:t>710</w:t>
      </w:r>
      <w:r>
        <w:tab/>
        <w:t>assumptions as indicated. (a) No vertical land movement. (b) GIA only. (c) GIA and</w:t>
      </w:r>
      <w:r>
        <w:rPr>
          <w:spacing w:val="-16"/>
        </w:rPr>
        <w:t xml:space="preserve"> </w:t>
      </w:r>
      <w:r>
        <w:t>delta</w:t>
      </w:r>
    </w:p>
    <w:p w14:paraId="6C8D8745" w14:textId="77777777" w:rsidR="007B6A71" w:rsidRDefault="007B6A71">
      <w:pPr>
        <w:pStyle w:val="BodyText"/>
        <w:spacing w:before="2"/>
        <w:rPr>
          <w:sz w:val="16"/>
        </w:rPr>
      </w:pPr>
    </w:p>
    <w:p w14:paraId="0C8B51CA" w14:textId="77777777" w:rsidR="007B6A71" w:rsidRDefault="00CE1F16">
      <w:pPr>
        <w:pStyle w:val="BodyText"/>
        <w:spacing w:before="90" w:line="480" w:lineRule="auto"/>
        <w:ind w:left="1180" w:right="640"/>
        <w:jc w:val="both"/>
      </w:pPr>
      <w:r>
        <w:t>subsidence. (d) GIA, delta and uncontrolled city subsidence. (e) GIA, delta and city subsidence controlled to 5 mm/yr. The uncertainty bands reflect</w:t>
      </w:r>
      <w:r>
        <w:t xml:space="preserve"> uncertainty in rates of city subsidence</w:t>
      </w:r>
      <w:r>
        <w:rPr>
          <w:spacing w:val="-18"/>
        </w:rPr>
        <w:t xml:space="preserve"> </w:t>
      </w:r>
      <w:r>
        <w:t>(see Fig. 1). Simulations start in 1995, while the flood plain is defined based on the 100-year</w:t>
      </w:r>
      <w:r>
        <w:rPr>
          <w:spacing w:val="-11"/>
        </w:rPr>
        <w:t xml:space="preserve"> </w:t>
      </w:r>
      <w:r>
        <w:t>event.</w:t>
      </w:r>
    </w:p>
    <w:p w14:paraId="57CD5F44" w14:textId="77777777" w:rsidR="007B6A71" w:rsidRDefault="007B6A71">
      <w:pPr>
        <w:spacing w:line="480" w:lineRule="auto"/>
        <w:jc w:val="both"/>
        <w:sectPr w:rsidR="007B6A71">
          <w:pgSz w:w="12240" w:h="15840"/>
          <w:pgMar w:top="1500" w:right="1000" w:bottom="1800" w:left="260" w:header="0" w:footer="1538" w:gutter="0"/>
          <w:cols w:space="720"/>
        </w:sectPr>
      </w:pPr>
    </w:p>
    <w:p w14:paraId="7CCC85F9" w14:textId="77777777" w:rsidR="007B6A71" w:rsidRDefault="007B6A71">
      <w:pPr>
        <w:pStyle w:val="BodyText"/>
        <w:rPr>
          <w:sz w:val="20"/>
        </w:rPr>
      </w:pPr>
    </w:p>
    <w:p w14:paraId="4D3C8C3B" w14:textId="77777777" w:rsidR="007B6A71" w:rsidRDefault="00CE1F16">
      <w:pPr>
        <w:pStyle w:val="Heading1"/>
        <w:tabs>
          <w:tab w:val="left" w:pos="1180"/>
        </w:tabs>
        <w:spacing w:before="260"/>
        <w:ind w:left="100"/>
      </w:pPr>
      <w:r>
        <w:rPr>
          <w:b w:val="0"/>
          <w:sz w:val="24"/>
        </w:rPr>
        <w:t>715</w:t>
      </w:r>
      <w:r>
        <w:rPr>
          <w:b w:val="0"/>
          <w:sz w:val="24"/>
        </w:rPr>
        <w:tab/>
      </w:r>
      <w:r>
        <w:t>List of Extended Data Figures</w:t>
      </w:r>
    </w:p>
    <w:p w14:paraId="26DC8721" w14:textId="77777777" w:rsidR="007B6A71" w:rsidRDefault="007B6A71">
      <w:pPr>
        <w:pStyle w:val="BodyText"/>
        <w:spacing w:before="9"/>
        <w:rPr>
          <w:b/>
          <w:sz w:val="19"/>
        </w:rPr>
      </w:pPr>
    </w:p>
    <w:p w14:paraId="7538D2B4" w14:textId="77777777" w:rsidR="007B6A71" w:rsidRDefault="00CE1F16">
      <w:pPr>
        <w:pStyle w:val="BodyText"/>
        <w:spacing w:before="90" w:line="480" w:lineRule="auto"/>
        <w:ind w:left="1180" w:right="468"/>
      </w:pPr>
      <w:r>
        <w:rPr>
          <w:b/>
        </w:rPr>
        <w:t xml:space="preserve">Extended Data Fig 1: </w:t>
      </w:r>
      <w:r>
        <w:t>Cumulative distribution of contemporary c</w:t>
      </w:r>
      <w:r>
        <w:t>oastal relative SLR. (a) length- weighted, (b) population-weighted. Each panel shows climate-induced SLR alone, and then progressively adds the other components comprising: (1) GIA, (2) GIA and delta subsidence combined, and (3) GIA, delta subsidence and u</w:t>
      </w:r>
      <w:r>
        <w:t>ncontrolled city subsidence combined. For</w:t>
      </w:r>
    </w:p>
    <w:p w14:paraId="1FF83BCD" w14:textId="77777777" w:rsidR="007B6A71" w:rsidRDefault="00CE1F16">
      <w:pPr>
        <w:pStyle w:val="BodyText"/>
        <w:tabs>
          <w:tab w:val="left" w:pos="1180"/>
        </w:tabs>
        <w:ind w:left="100"/>
      </w:pPr>
      <w:r>
        <w:t>720</w:t>
      </w:r>
      <w:r>
        <w:tab/>
        <w:t>uncontrolled city subsidence, the uncertainty is considered by using a low and high</w:t>
      </w:r>
      <w:r>
        <w:rPr>
          <w:spacing w:val="-17"/>
        </w:rPr>
        <w:t xml:space="preserve"> </w:t>
      </w:r>
      <w:r>
        <w:t>estimate.</w:t>
      </w:r>
    </w:p>
    <w:p w14:paraId="111AFD6B" w14:textId="77777777" w:rsidR="007B6A71" w:rsidRDefault="007B6A71">
      <w:pPr>
        <w:pStyle w:val="BodyText"/>
        <w:spacing w:before="3"/>
        <w:rPr>
          <w:sz w:val="16"/>
        </w:rPr>
      </w:pPr>
    </w:p>
    <w:p w14:paraId="5378B275" w14:textId="77777777" w:rsidR="007B6A71" w:rsidRDefault="00CE1F16">
      <w:pPr>
        <w:pStyle w:val="BodyText"/>
        <w:spacing w:before="90" w:line="480" w:lineRule="auto"/>
        <w:ind w:left="1180" w:right="463"/>
      </w:pPr>
      <w:r>
        <w:t>For length weighting, the main change occurs due to adding the GIA component, which reduces the median and mean SLR. Considering delta and city subsidence has little effect as only 6.5 percent and 0.8 percent of the world’s coast length are affected. For p</w:t>
      </w:r>
      <w:r>
        <w:t>opulation weightings, adding GIA also has an effect, but it is smaller than for length weighting being -0.3 mm/yr on</w:t>
      </w:r>
    </w:p>
    <w:p w14:paraId="5863225F" w14:textId="77777777" w:rsidR="007B6A71" w:rsidRDefault="00CE1F16">
      <w:pPr>
        <w:pStyle w:val="BodyText"/>
        <w:tabs>
          <w:tab w:val="left" w:pos="1180"/>
        </w:tabs>
        <w:ind w:left="100"/>
      </w:pPr>
      <w:r>
        <w:t>725</w:t>
      </w:r>
      <w:r>
        <w:tab/>
        <w:t>mean SLR. This reflects that the coastal population is preferentially located in areas where</w:t>
      </w:r>
      <w:r>
        <w:rPr>
          <w:spacing w:val="-13"/>
        </w:rPr>
        <w:t xml:space="preserve"> </w:t>
      </w:r>
      <w:r>
        <w:t>GIA</w:t>
      </w:r>
    </w:p>
    <w:p w14:paraId="6E2A779E" w14:textId="77777777" w:rsidR="007B6A71" w:rsidRDefault="007B6A71">
      <w:pPr>
        <w:pStyle w:val="BodyText"/>
        <w:spacing w:before="2"/>
        <w:rPr>
          <w:sz w:val="16"/>
        </w:rPr>
      </w:pPr>
    </w:p>
    <w:p w14:paraId="6E3BD1D2" w14:textId="77777777" w:rsidR="007B6A71" w:rsidRDefault="00CE1F16">
      <w:pPr>
        <w:pStyle w:val="BodyText"/>
        <w:spacing w:before="90" w:line="480" w:lineRule="auto"/>
        <w:ind w:left="1180" w:right="461"/>
      </w:pPr>
      <w:r>
        <w:t>causes subsidence, which counters the</w:t>
      </w:r>
      <w:r>
        <w:t xml:space="preserve"> effect GIA has when considering length weighting. Adding delta and then uncontrolled city subsidence has a significant effect reflecting the large populations in these areas. In the median, these two components add 1.19 mm/yr and an additional 0.62 mm/yr </w:t>
      </w:r>
      <w:r>
        <w:t>of SLR rise, respectively. The asymmetric distribution of the high-end tail</w:t>
      </w:r>
    </w:p>
    <w:p w14:paraId="07ED5503" w14:textId="77777777" w:rsidR="007B6A71" w:rsidRDefault="00CE1F16">
      <w:pPr>
        <w:pStyle w:val="BodyText"/>
        <w:tabs>
          <w:tab w:val="left" w:pos="1180"/>
        </w:tabs>
        <w:spacing w:before="1"/>
        <w:ind w:left="100"/>
      </w:pPr>
      <w:r>
        <w:t>730</w:t>
      </w:r>
      <w:r>
        <w:tab/>
        <w:t>leads to a larger effect on the mean SLR at 1.6 mm/yr due to delta subsidence alone, and</w:t>
      </w:r>
      <w:r>
        <w:rPr>
          <w:spacing w:val="-11"/>
        </w:rPr>
        <w:t xml:space="preserve"> </w:t>
      </w:r>
      <w:r>
        <w:t>an</w:t>
      </w:r>
    </w:p>
    <w:p w14:paraId="36E300F9" w14:textId="77777777" w:rsidR="007B6A71" w:rsidRDefault="007B6A71">
      <w:pPr>
        <w:pStyle w:val="BodyText"/>
        <w:spacing w:before="2"/>
        <w:rPr>
          <w:sz w:val="16"/>
        </w:rPr>
      </w:pPr>
    </w:p>
    <w:p w14:paraId="3DA922BB" w14:textId="77777777" w:rsidR="007B6A71" w:rsidRDefault="00CE1F16">
      <w:pPr>
        <w:pStyle w:val="BodyText"/>
        <w:spacing w:before="90"/>
        <w:ind w:left="1180"/>
      </w:pPr>
      <w:r>
        <w:t>additional 2.7 to 4.8 mm/yr due to city subsidence alone (Table 1).</w:t>
      </w:r>
    </w:p>
    <w:p w14:paraId="1CA62458" w14:textId="77777777" w:rsidR="007B6A71" w:rsidRDefault="007B6A71">
      <w:pPr>
        <w:pStyle w:val="BodyText"/>
        <w:rPr>
          <w:sz w:val="26"/>
        </w:rPr>
      </w:pPr>
    </w:p>
    <w:p w14:paraId="2CCD1797" w14:textId="77777777" w:rsidR="007B6A71" w:rsidRDefault="007B6A71">
      <w:pPr>
        <w:pStyle w:val="BodyText"/>
        <w:rPr>
          <w:sz w:val="26"/>
        </w:rPr>
      </w:pPr>
    </w:p>
    <w:p w14:paraId="530ECA9B" w14:textId="77777777" w:rsidR="007B6A71" w:rsidRDefault="00CE1F16">
      <w:pPr>
        <w:pStyle w:val="BodyText"/>
        <w:spacing w:before="231" w:line="480" w:lineRule="auto"/>
        <w:ind w:left="1180" w:right="743"/>
      </w:pPr>
      <w:r>
        <w:rPr>
          <w:b/>
        </w:rPr>
        <w:t>Extended Data</w:t>
      </w:r>
      <w:r>
        <w:rPr>
          <w:b/>
        </w:rPr>
        <w:t xml:space="preserve"> Fig 2: </w:t>
      </w:r>
      <w:r>
        <w:t>Sea-level rise components versus coastal population density for all the coastal segments considered in the analysis. These comprise (a) climate-induced sea-level rise</w:t>
      </w:r>
    </w:p>
    <w:p w14:paraId="797F7279" w14:textId="77777777" w:rsidR="007B6A71" w:rsidRDefault="00CE1F16">
      <w:pPr>
        <w:pStyle w:val="BodyText"/>
        <w:tabs>
          <w:tab w:val="left" w:pos="1180"/>
        </w:tabs>
        <w:ind w:left="100"/>
      </w:pPr>
      <w:r>
        <w:t>735</w:t>
      </w:r>
      <w:r>
        <w:tab/>
      </w:r>
      <w:r>
        <w:t>only, (b) GIA only, (c) high estimates of uncontrolled city subsidence only, (d) delta</w:t>
      </w:r>
      <w:r>
        <w:rPr>
          <w:spacing w:val="-11"/>
        </w:rPr>
        <w:t xml:space="preserve"> </w:t>
      </w:r>
      <w:r>
        <w:t>subsidence</w:t>
      </w:r>
    </w:p>
    <w:p w14:paraId="295787D1" w14:textId="77777777" w:rsidR="007B6A71" w:rsidRDefault="007B6A71">
      <w:pPr>
        <w:pStyle w:val="BodyText"/>
        <w:spacing w:before="2"/>
        <w:rPr>
          <w:sz w:val="16"/>
        </w:rPr>
      </w:pPr>
    </w:p>
    <w:p w14:paraId="1E021A25" w14:textId="77777777" w:rsidR="007B6A71" w:rsidRDefault="00CE1F16">
      <w:pPr>
        <w:pStyle w:val="BodyText"/>
        <w:spacing w:before="90"/>
        <w:ind w:left="1180"/>
      </w:pPr>
      <w:r>
        <w:t>only, and (e) the sum of all four components considered previously. The linear best fit and the</w:t>
      </w:r>
    </w:p>
    <w:p w14:paraId="51B1C047" w14:textId="77777777" w:rsidR="007B6A71" w:rsidRDefault="007B6A71">
      <w:pPr>
        <w:sectPr w:rsidR="007B6A71">
          <w:pgSz w:w="12240" w:h="15840"/>
          <w:pgMar w:top="1500" w:right="1000" w:bottom="1800" w:left="260" w:header="0" w:footer="1538" w:gutter="0"/>
          <w:cols w:space="720"/>
        </w:sectPr>
      </w:pPr>
    </w:p>
    <w:p w14:paraId="2B2A3E88" w14:textId="77777777" w:rsidR="007B6A71" w:rsidRDefault="00CE1F16">
      <w:pPr>
        <w:pStyle w:val="BodyText"/>
        <w:spacing w:before="74" w:line="480" w:lineRule="auto"/>
        <w:ind w:left="1180"/>
      </w:pPr>
      <w:r>
        <w:lastRenderedPageBreak/>
        <w:t>explained variance are shown in each case. Whil</w:t>
      </w:r>
      <w:r>
        <w:t>e the explained variance with such a linear fit is small, the slopes are significantly different from zero in all cases.</w:t>
      </w:r>
    </w:p>
    <w:p w14:paraId="0EADBFFA" w14:textId="77777777" w:rsidR="007B6A71" w:rsidRDefault="007B6A71">
      <w:pPr>
        <w:pStyle w:val="BodyText"/>
        <w:rPr>
          <w:sz w:val="20"/>
        </w:rPr>
      </w:pPr>
    </w:p>
    <w:p w14:paraId="3AAA81C2" w14:textId="77777777" w:rsidR="007B6A71" w:rsidRDefault="007B6A71">
      <w:pPr>
        <w:pStyle w:val="BodyText"/>
        <w:spacing w:before="3"/>
        <w:rPr>
          <w:sz w:val="20"/>
        </w:rPr>
      </w:pPr>
    </w:p>
    <w:p w14:paraId="3A40C233" w14:textId="77777777" w:rsidR="007B6A71" w:rsidRDefault="00CE1F16">
      <w:pPr>
        <w:tabs>
          <w:tab w:val="left" w:pos="1180"/>
        </w:tabs>
        <w:spacing w:before="90"/>
        <w:ind w:left="100"/>
        <w:rPr>
          <w:sz w:val="24"/>
        </w:rPr>
      </w:pPr>
      <w:r>
        <w:rPr>
          <w:sz w:val="24"/>
        </w:rPr>
        <w:t>740</w:t>
      </w:r>
      <w:r>
        <w:rPr>
          <w:sz w:val="24"/>
        </w:rPr>
        <w:tab/>
      </w:r>
      <w:r>
        <w:rPr>
          <w:b/>
          <w:sz w:val="24"/>
        </w:rPr>
        <w:t xml:space="preserve">Extended Data Fig 3: </w:t>
      </w:r>
      <w:r>
        <w:rPr>
          <w:sz w:val="24"/>
        </w:rPr>
        <w:t>Global total of people living in the coastal flood plain from 2015 to</w:t>
      </w:r>
      <w:r>
        <w:rPr>
          <w:spacing w:val="-8"/>
          <w:sz w:val="24"/>
        </w:rPr>
        <w:t xml:space="preserve"> </w:t>
      </w:r>
      <w:r>
        <w:rPr>
          <w:sz w:val="24"/>
        </w:rPr>
        <w:t>2050</w:t>
      </w:r>
    </w:p>
    <w:p w14:paraId="6166E662" w14:textId="77777777" w:rsidR="007B6A71" w:rsidRDefault="007B6A71">
      <w:pPr>
        <w:pStyle w:val="BodyText"/>
        <w:spacing w:before="2"/>
        <w:rPr>
          <w:sz w:val="16"/>
        </w:rPr>
      </w:pPr>
    </w:p>
    <w:p w14:paraId="43A11EDC" w14:textId="77777777" w:rsidR="007B6A71" w:rsidRDefault="00CE1F16">
      <w:pPr>
        <w:pStyle w:val="BodyText"/>
        <w:spacing w:before="90" w:line="480" w:lineRule="auto"/>
        <w:ind w:left="1180" w:right="470"/>
      </w:pPr>
      <w:r>
        <w:t xml:space="preserve">under a range of socio-economic and climate scenarios. These comprise five different SSP-based regionalised population scenarios (SSP1 to SSP5), and no climate-induced SLR and the </w:t>
      </w:r>
      <w:r>
        <w:t>RCP2.6 and RCP8.5 SLR scenarios, respectively. Assumptions concerning geological components of relative SLR are as follows: Column (a) No geological component, Column (b) GIA only,</w:t>
      </w:r>
    </w:p>
    <w:p w14:paraId="1729AEEC" w14:textId="77777777" w:rsidR="007B6A71" w:rsidRDefault="00CE1F16">
      <w:pPr>
        <w:pStyle w:val="BodyText"/>
        <w:tabs>
          <w:tab w:val="left" w:pos="1180"/>
        </w:tabs>
        <w:ind w:left="100"/>
      </w:pPr>
      <w:r>
        <w:t>745</w:t>
      </w:r>
      <w:r>
        <w:tab/>
        <w:t>Column (c) GIA and delta subsidence, Column (d) GIA, delta and uncontro</w:t>
      </w:r>
      <w:r>
        <w:t>lled city</w:t>
      </w:r>
      <w:r>
        <w:rPr>
          <w:spacing w:val="-15"/>
        </w:rPr>
        <w:t xml:space="preserve"> </w:t>
      </w:r>
      <w:r>
        <w:t>subsidence.</w:t>
      </w:r>
    </w:p>
    <w:p w14:paraId="352854C6" w14:textId="77777777" w:rsidR="007B6A71" w:rsidRDefault="007B6A71">
      <w:pPr>
        <w:pStyle w:val="BodyText"/>
        <w:spacing w:before="2"/>
        <w:rPr>
          <w:sz w:val="16"/>
        </w:rPr>
      </w:pPr>
    </w:p>
    <w:p w14:paraId="6748FCE1" w14:textId="77777777" w:rsidR="007B6A71" w:rsidRDefault="00CE1F16">
      <w:pPr>
        <w:pStyle w:val="BodyText"/>
        <w:spacing w:before="90" w:line="480" w:lineRule="auto"/>
        <w:ind w:left="1180" w:right="1262"/>
      </w:pPr>
      <w:r>
        <w:t xml:space="preserve">Column (e) GIA, delta and controlled city subsidence (to a maximum of 5 mm/yr). The uncertainty bands in (d) reflect uncertainty in the rates of city subsidence (see Fig 1). All simulations start in 1995. The results indicate little </w:t>
      </w:r>
      <w:r>
        <w:t>variation between SSPs to 2050.</w:t>
      </w:r>
    </w:p>
    <w:p w14:paraId="761A327B" w14:textId="77777777" w:rsidR="007B6A71" w:rsidRDefault="007B6A71">
      <w:pPr>
        <w:pStyle w:val="BodyText"/>
        <w:rPr>
          <w:sz w:val="20"/>
        </w:rPr>
      </w:pPr>
    </w:p>
    <w:p w14:paraId="660F845B" w14:textId="77777777" w:rsidR="007B6A71" w:rsidRDefault="007B6A71">
      <w:pPr>
        <w:pStyle w:val="BodyText"/>
        <w:spacing w:before="7"/>
        <w:rPr>
          <w:sz w:val="20"/>
        </w:rPr>
      </w:pPr>
    </w:p>
    <w:p w14:paraId="7C5571A5" w14:textId="77777777" w:rsidR="007B6A71" w:rsidRDefault="00CE1F16">
      <w:pPr>
        <w:pStyle w:val="Heading1"/>
        <w:tabs>
          <w:tab w:val="left" w:pos="1180"/>
        </w:tabs>
        <w:ind w:left="100"/>
      </w:pPr>
      <w:r>
        <w:rPr>
          <w:b w:val="0"/>
          <w:sz w:val="24"/>
        </w:rPr>
        <w:t>750</w:t>
      </w:r>
      <w:r>
        <w:rPr>
          <w:b w:val="0"/>
          <w:sz w:val="24"/>
        </w:rPr>
        <w:tab/>
      </w:r>
      <w:r>
        <w:t>List of Supplementary Tables</w:t>
      </w:r>
    </w:p>
    <w:p w14:paraId="74F5B7EE" w14:textId="77777777" w:rsidR="007B6A71" w:rsidRDefault="007B6A71">
      <w:pPr>
        <w:pStyle w:val="BodyText"/>
        <w:spacing w:before="10"/>
        <w:rPr>
          <w:b/>
          <w:sz w:val="19"/>
        </w:rPr>
      </w:pPr>
    </w:p>
    <w:p w14:paraId="119E225F" w14:textId="77777777" w:rsidR="007B6A71" w:rsidRDefault="00CE1F16">
      <w:pPr>
        <w:pStyle w:val="BodyText"/>
        <w:spacing w:before="90" w:line="472" w:lineRule="auto"/>
        <w:ind w:left="1180" w:right="657"/>
      </w:pPr>
      <w:r>
        <w:rPr>
          <w:b/>
        </w:rPr>
        <w:t xml:space="preserve">Supplementary Table 1: </w:t>
      </w:r>
      <w:r>
        <w:t>Subsidence rates applied by delta: a positive value indicates subsidence and a negative value indicated aggradation. Expert judgement draws on Meckel et al</w:t>
      </w:r>
      <w:r>
        <w:rPr>
          <w:position w:val="9"/>
          <w:sz w:val="16"/>
        </w:rPr>
        <w:t>47</w:t>
      </w:r>
      <w:r>
        <w:t>.</w:t>
      </w:r>
    </w:p>
    <w:p w14:paraId="7A994231" w14:textId="77777777" w:rsidR="007B6A71" w:rsidRDefault="00CE1F16">
      <w:pPr>
        <w:spacing w:before="9"/>
        <w:ind w:left="1180"/>
        <w:rPr>
          <w:sz w:val="24"/>
        </w:rPr>
      </w:pPr>
      <w:r>
        <w:rPr>
          <w:b/>
          <w:sz w:val="24"/>
        </w:rPr>
        <w:t>Supple</w:t>
      </w:r>
      <w:r>
        <w:rPr>
          <w:b/>
          <w:sz w:val="24"/>
        </w:rPr>
        <w:t xml:space="preserve">mentary Table 2: </w:t>
      </w:r>
      <w:r>
        <w:rPr>
          <w:sz w:val="24"/>
        </w:rPr>
        <w:t>Additional subsidence rates applied by city: a positive value indicates</w:t>
      </w:r>
    </w:p>
    <w:p w14:paraId="648D4E08" w14:textId="77777777" w:rsidR="007B6A71" w:rsidRDefault="007B6A71">
      <w:pPr>
        <w:pStyle w:val="BodyText"/>
        <w:spacing w:before="2"/>
        <w:rPr>
          <w:sz w:val="16"/>
        </w:rPr>
      </w:pPr>
    </w:p>
    <w:p w14:paraId="1BF7690B" w14:textId="77777777" w:rsidR="007B6A71" w:rsidRDefault="00CE1F16">
      <w:pPr>
        <w:pStyle w:val="BodyText"/>
        <w:tabs>
          <w:tab w:val="left" w:pos="1180"/>
        </w:tabs>
        <w:spacing w:before="90"/>
        <w:ind w:left="100"/>
      </w:pPr>
      <w:r>
        <w:t>755</w:t>
      </w:r>
      <w:r>
        <w:tab/>
        <w:t>subsidence. If cities are not listed here, no additional subsidence is applied.</w:t>
      </w:r>
    </w:p>
    <w:p w14:paraId="7D858031" w14:textId="77777777" w:rsidR="007B6A71" w:rsidRDefault="007B6A71">
      <w:pPr>
        <w:pStyle w:val="BodyText"/>
        <w:spacing w:before="3"/>
        <w:rPr>
          <w:sz w:val="16"/>
        </w:rPr>
      </w:pPr>
    </w:p>
    <w:p w14:paraId="0593D6A9" w14:textId="77777777" w:rsidR="007B6A71" w:rsidRDefault="00CE1F16">
      <w:pPr>
        <w:spacing w:before="90"/>
        <w:ind w:left="1180"/>
        <w:rPr>
          <w:sz w:val="24"/>
        </w:rPr>
      </w:pPr>
      <w:r>
        <w:rPr>
          <w:b/>
          <w:sz w:val="24"/>
        </w:rPr>
        <w:t xml:space="preserve">Supplementary Table 3: </w:t>
      </w:r>
      <w:r>
        <w:rPr>
          <w:sz w:val="24"/>
        </w:rPr>
        <w:t>Regional definitions as used in Fig 2.</w:t>
      </w:r>
    </w:p>
    <w:p w14:paraId="139EB271" w14:textId="77777777" w:rsidR="007B6A71" w:rsidRDefault="007B6A71">
      <w:pPr>
        <w:pStyle w:val="BodyText"/>
      </w:pPr>
    </w:p>
    <w:p w14:paraId="4A30507F" w14:textId="77777777" w:rsidR="007B6A71" w:rsidRDefault="00CE1F16">
      <w:pPr>
        <w:pStyle w:val="BodyText"/>
        <w:spacing w:line="480" w:lineRule="auto"/>
        <w:ind w:left="1180" w:right="435"/>
      </w:pPr>
      <w:r>
        <w:rPr>
          <w:b/>
        </w:rPr>
        <w:t xml:space="preserve">Supplementary Table 4: </w:t>
      </w:r>
      <w:r>
        <w:t>Regional-mean relative sea-level rise comparing length and population weightings. Rows coloured yellow see a 50 to 100% increase, while rows coloured green see</w:t>
      </w:r>
    </w:p>
    <w:p w14:paraId="3A8D01DC" w14:textId="77777777" w:rsidR="007B6A71" w:rsidRDefault="007B6A71">
      <w:pPr>
        <w:spacing w:line="480" w:lineRule="auto"/>
        <w:sectPr w:rsidR="007B6A71">
          <w:pgSz w:w="12240" w:h="15840"/>
          <w:pgMar w:top="1360" w:right="1000" w:bottom="1800" w:left="260" w:header="0" w:footer="1538" w:gutter="0"/>
          <w:cols w:space="720"/>
        </w:sectPr>
      </w:pPr>
    </w:p>
    <w:p w14:paraId="4E8D3A13" w14:textId="77777777" w:rsidR="007B6A71" w:rsidRDefault="00CE1F16">
      <w:pPr>
        <w:pStyle w:val="BodyText"/>
        <w:spacing w:before="74"/>
        <w:ind w:left="1180"/>
      </w:pPr>
      <w:r>
        <w:lastRenderedPageBreak/>
        <w:t>more than 100% incr</w:t>
      </w:r>
      <w:r>
        <w:t>ease moving from length to population weightings, respectively. In the</w:t>
      </w:r>
    </w:p>
    <w:p w14:paraId="1AF9CCFC" w14:textId="77777777" w:rsidR="007B6A71" w:rsidRDefault="007B6A71">
      <w:pPr>
        <w:pStyle w:val="BodyText"/>
        <w:spacing w:before="2"/>
        <w:rPr>
          <w:sz w:val="16"/>
        </w:rPr>
      </w:pPr>
    </w:p>
    <w:p w14:paraId="7C39B077" w14:textId="77777777" w:rsidR="007B6A71" w:rsidRDefault="00CE1F16">
      <w:pPr>
        <w:pStyle w:val="BodyText"/>
        <w:tabs>
          <w:tab w:val="left" w:pos="1180"/>
        </w:tabs>
        <w:spacing w:before="90"/>
        <w:ind w:left="100"/>
      </w:pPr>
      <w:r>
        <w:t>760</w:t>
      </w:r>
      <w:r>
        <w:tab/>
        <w:t>other rows, changes are within</w:t>
      </w:r>
      <w:r>
        <w:rPr>
          <w:spacing w:val="-3"/>
        </w:rPr>
        <w:t xml:space="preserve"> </w:t>
      </w:r>
      <w:r>
        <w:t>+50%.</w:t>
      </w:r>
    </w:p>
    <w:p w14:paraId="4C33CC07" w14:textId="77777777" w:rsidR="007B6A71" w:rsidRDefault="007B6A71">
      <w:pPr>
        <w:sectPr w:rsidR="007B6A71">
          <w:pgSz w:w="12240" w:h="15840"/>
          <w:pgMar w:top="1360" w:right="1000" w:bottom="1800" w:left="260" w:header="0" w:footer="1538" w:gutter="0"/>
          <w:cols w:space="720"/>
        </w:sectPr>
      </w:pPr>
    </w:p>
    <w:p w14:paraId="7A26F9B0" w14:textId="77777777" w:rsidR="007B6A71" w:rsidRDefault="007B6A71">
      <w:pPr>
        <w:pStyle w:val="BodyText"/>
        <w:spacing w:before="4"/>
        <w:rPr>
          <w:sz w:val="17"/>
        </w:rPr>
      </w:pPr>
    </w:p>
    <w:p w14:paraId="4445CA46" w14:textId="77777777" w:rsidR="007B6A71" w:rsidRDefault="007B6A71">
      <w:pPr>
        <w:rPr>
          <w:sz w:val="17"/>
        </w:rPr>
        <w:sectPr w:rsidR="007B6A71">
          <w:pgSz w:w="12240" w:h="15840"/>
          <w:pgMar w:top="1500" w:right="1000" w:bottom="1720" w:left="260" w:header="0" w:footer="1538" w:gutter="0"/>
          <w:cols w:space="720"/>
        </w:sectPr>
      </w:pPr>
    </w:p>
    <w:p w14:paraId="446DCAA7" w14:textId="77777777" w:rsidR="007B6A71" w:rsidRDefault="00CE1F16">
      <w:pPr>
        <w:spacing w:before="79"/>
        <w:ind w:left="1180"/>
        <w:rPr>
          <w:b/>
          <w:sz w:val="24"/>
        </w:rPr>
      </w:pPr>
      <w:r>
        <w:rPr>
          <w:b/>
          <w:sz w:val="24"/>
        </w:rPr>
        <w:lastRenderedPageBreak/>
        <w:t>Extended Data Figures</w:t>
      </w:r>
    </w:p>
    <w:p w14:paraId="43043FBC" w14:textId="77777777" w:rsidR="007B6A71" w:rsidRDefault="00CE1F16">
      <w:pPr>
        <w:pStyle w:val="BodyText"/>
        <w:spacing w:before="7"/>
        <w:rPr>
          <w:b/>
          <w:sz w:val="21"/>
        </w:rPr>
      </w:pPr>
      <w:r>
        <w:rPr>
          <w:noProof/>
        </w:rPr>
        <w:drawing>
          <wp:anchor distT="0" distB="0" distL="0" distR="0" simplePos="0" relativeHeight="251656192" behindDoc="0" locked="0" layoutInCell="1" allowOverlap="1" wp14:anchorId="7508B02C" wp14:editId="695B7D65">
            <wp:simplePos x="0" y="0"/>
            <wp:positionH relativeFrom="page">
              <wp:posOffset>1014078</wp:posOffset>
            </wp:positionH>
            <wp:positionV relativeFrom="paragraph">
              <wp:posOffset>182950</wp:posOffset>
            </wp:positionV>
            <wp:extent cx="5597126" cy="5833872"/>
            <wp:effectExtent l="0" t="0" r="0" b="0"/>
            <wp:wrapTopAndBottom/>
            <wp:docPr id="7" name="image4.jpeg" descr="C:\Users\ytc19nxu\Documents\DIVA\Global subsidence\Final paper for journal\Figures\FigS1_cummulative_slr_all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5597126" cy="5833872"/>
                    </a:xfrm>
                    <a:prstGeom prst="rect">
                      <a:avLst/>
                    </a:prstGeom>
                  </pic:spPr>
                </pic:pic>
              </a:graphicData>
            </a:graphic>
          </wp:anchor>
        </w:drawing>
      </w:r>
    </w:p>
    <w:p w14:paraId="150DEBB0" w14:textId="77777777" w:rsidR="007B6A71" w:rsidRDefault="007B6A71">
      <w:pPr>
        <w:pStyle w:val="BodyText"/>
        <w:rPr>
          <w:b/>
          <w:sz w:val="20"/>
        </w:rPr>
      </w:pPr>
    </w:p>
    <w:p w14:paraId="521770FD" w14:textId="77777777" w:rsidR="007B6A71" w:rsidRDefault="007B6A71">
      <w:pPr>
        <w:rPr>
          <w:sz w:val="20"/>
        </w:rPr>
        <w:sectPr w:rsidR="007B6A71">
          <w:pgSz w:w="12240" w:h="15840"/>
          <w:pgMar w:top="1360" w:right="1000" w:bottom="1720" w:left="260" w:header="0" w:footer="1538" w:gutter="0"/>
          <w:cols w:space="720"/>
        </w:sectPr>
      </w:pPr>
    </w:p>
    <w:p w14:paraId="685680A2" w14:textId="77777777" w:rsidR="007B6A71" w:rsidRDefault="00CE1F16">
      <w:pPr>
        <w:pStyle w:val="BodyText"/>
        <w:spacing w:before="210"/>
        <w:ind w:left="100"/>
      </w:pPr>
      <w:r>
        <w:t>765</w:t>
      </w:r>
    </w:p>
    <w:p w14:paraId="5991C82D" w14:textId="77777777" w:rsidR="007B6A71" w:rsidRDefault="007B6A71">
      <w:pPr>
        <w:pStyle w:val="BodyText"/>
        <w:rPr>
          <w:sz w:val="26"/>
        </w:rPr>
      </w:pPr>
    </w:p>
    <w:p w14:paraId="48B953D1" w14:textId="77777777" w:rsidR="007B6A71" w:rsidRDefault="007B6A71">
      <w:pPr>
        <w:pStyle w:val="BodyText"/>
        <w:rPr>
          <w:sz w:val="26"/>
        </w:rPr>
      </w:pPr>
    </w:p>
    <w:p w14:paraId="08D1613B" w14:textId="77777777" w:rsidR="007B6A71" w:rsidRDefault="007B6A71">
      <w:pPr>
        <w:pStyle w:val="BodyText"/>
        <w:rPr>
          <w:sz w:val="26"/>
        </w:rPr>
      </w:pPr>
    </w:p>
    <w:p w14:paraId="638BC1EA" w14:textId="77777777" w:rsidR="007B6A71" w:rsidRDefault="00CE1F16">
      <w:pPr>
        <w:pStyle w:val="BodyText"/>
        <w:spacing w:before="205"/>
        <w:ind w:left="100"/>
      </w:pPr>
      <w:r>
        <w:t>770</w:t>
      </w:r>
    </w:p>
    <w:p w14:paraId="039B11AB" w14:textId="77777777" w:rsidR="007B6A71" w:rsidRDefault="00CE1F16">
      <w:pPr>
        <w:pStyle w:val="BodyText"/>
        <w:spacing w:before="10"/>
        <w:rPr>
          <w:sz w:val="19"/>
        </w:rPr>
      </w:pPr>
      <w:r>
        <w:br w:type="column"/>
      </w:r>
    </w:p>
    <w:p w14:paraId="6F01708F" w14:textId="77777777" w:rsidR="007B6A71" w:rsidRDefault="00CE1F16">
      <w:pPr>
        <w:ind w:left="100"/>
        <w:jc w:val="both"/>
        <w:rPr>
          <w:i/>
        </w:rPr>
      </w:pPr>
      <w:r>
        <w:rPr>
          <w:b/>
          <w:i/>
        </w:rPr>
        <w:t>Extended Data Fig 1</w:t>
      </w:r>
      <w:r>
        <w:rPr>
          <w:i/>
        </w:rPr>
        <w:t>: Cumulative distribution of contemporary coastal relative SLR. (a) length-weighted,</w:t>
      </w:r>
    </w:p>
    <w:p w14:paraId="25481AEE" w14:textId="77777777" w:rsidR="007B6A71" w:rsidRDefault="00CE1F16">
      <w:pPr>
        <w:pStyle w:val="ListParagraph"/>
        <w:numPr>
          <w:ilvl w:val="0"/>
          <w:numId w:val="2"/>
        </w:numPr>
        <w:tabs>
          <w:tab w:val="left" w:pos="427"/>
        </w:tabs>
        <w:spacing w:before="2"/>
        <w:ind w:right="437" w:firstLine="0"/>
        <w:jc w:val="both"/>
        <w:rPr>
          <w:i/>
        </w:rPr>
      </w:pPr>
      <w:r>
        <w:rPr>
          <w:i/>
        </w:rPr>
        <w:t>population-weighted. Each panel shows climate-induced SLR alone, and then progressively adds the other components comprising: (1) GIA, (2) GIA and delta subsidence combine</w:t>
      </w:r>
      <w:r>
        <w:rPr>
          <w:i/>
        </w:rPr>
        <w:t>d, and (3) GIA, delta subsidence and uncontrolled city subsidence combined. For uncontrolled city subsidence, the uncertainty is considered by using a low and high</w:t>
      </w:r>
      <w:r>
        <w:rPr>
          <w:i/>
          <w:spacing w:val="-6"/>
        </w:rPr>
        <w:t xml:space="preserve"> </w:t>
      </w:r>
      <w:r>
        <w:rPr>
          <w:i/>
        </w:rPr>
        <w:t>estimate.</w:t>
      </w:r>
    </w:p>
    <w:p w14:paraId="5A3DF566" w14:textId="77777777" w:rsidR="007B6A71" w:rsidRDefault="00CE1F16">
      <w:pPr>
        <w:spacing w:before="112"/>
        <w:ind w:left="100" w:right="437"/>
        <w:jc w:val="both"/>
        <w:rPr>
          <w:i/>
        </w:rPr>
      </w:pPr>
      <w:r>
        <w:rPr>
          <w:i/>
        </w:rPr>
        <w:t>For</w:t>
      </w:r>
      <w:r>
        <w:rPr>
          <w:i/>
          <w:spacing w:val="-10"/>
        </w:rPr>
        <w:t xml:space="preserve"> </w:t>
      </w:r>
      <w:r>
        <w:rPr>
          <w:i/>
        </w:rPr>
        <w:t>length</w:t>
      </w:r>
      <w:r>
        <w:rPr>
          <w:i/>
          <w:spacing w:val="-9"/>
        </w:rPr>
        <w:t xml:space="preserve"> </w:t>
      </w:r>
      <w:r>
        <w:rPr>
          <w:i/>
        </w:rPr>
        <w:t>weighting,</w:t>
      </w:r>
      <w:r>
        <w:rPr>
          <w:i/>
          <w:spacing w:val="-11"/>
        </w:rPr>
        <w:t xml:space="preserve"> </w:t>
      </w:r>
      <w:r>
        <w:rPr>
          <w:i/>
        </w:rPr>
        <w:t>the</w:t>
      </w:r>
      <w:r>
        <w:rPr>
          <w:i/>
          <w:spacing w:val="-8"/>
        </w:rPr>
        <w:t xml:space="preserve"> </w:t>
      </w:r>
      <w:r>
        <w:rPr>
          <w:i/>
        </w:rPr>
        <w:t>main</w:t>
      </w:r>
      <w:r>
        <w:rPr>
          <w:i/>
          <w:spacing w:val="-9"/>
        </w:rPr>
        <w:t xml:space="preserve"> </w:t>
      </w:r>
      <w:r>
        <w:rPr>
          <w:i/>
        </w:rPr>
        <w:t>change</w:t>
      </w:r>
      <w:r>
        <w:rPr>
          <w:i/>
          <w:spacing w:val="-11"/>
        </w:rPr>
        <w:t xml:space="preserve"> </w:t>
      </w:r>
      <w:r>
        <w:rPr>
          <w:i/>
        </w:rPr>
        <w:t>occurs</w:t>
      </w:r>
      <w:r>
        <w:rPr>
          <w:i/>
          <w:spacing w:val="-10"/>
        </w:rPr>
        <w:t xml:space="preserve"> </w:t>
      </w:r>
      <w:r>
        <w:rPr>
          <w:i/>
        </w:rPr>
        <w:t>due</w:t>
      </w:r>
      <w:r>
        <w:rPr>
          <w:i/>
          <w:spacing w:val="-11"/>
        </w:rPr>
        <w:t xml:space="preserve"> </w:t>
      </w:r>
      <w:r>
        <w:rPr>
          <w:i/>
        </w:rPr>
        <w:t>to</w:t>
      </w:r>
      <w:r>
        <w:rPr>
          <w:i/>
          <w:spacing w:val="-12"/>
        </w:rPr>
        <w:t xml:space="preserve"> </w:t>
      </w:r>
      <w:r>
        <w:rPr>
          <w:i/>
        </w:rPr>
        <w:t>adding</w:t>
      </w:r>
      <w:r>
        <w:rPr>
          <w:i/>
          <w:spacing w:val="-11"/>
        </w:rPr>
        <w:t xml:space="preserve"> </w:t>
      </w:r>
      <w:r>
        <w:rPr>
          <w:i/>
        </w:rPr>
        <w:t>the</w:t>
      </w:r>
      <w:r>
        <w:rPr>
          <w:i/>
          <w:spacing w:val="-11"/>
        </w:rPr>
        <w:t xml:space="preserve"> </w:t>
      </w:r>
      <w:r>
        <w:rPr>
          <w:i/>
        </w:rPr>
        <w:t>GIA</w:t>
      </w:r>
      <w:r>
        <w:rPr>
          <w:i/>
          <w:spacing w:val="-14"/>
        </w:rPr>
        <w:t xml:space="preserve"> </w:t>
      </w:r>
      <w:r>
        <w:rPr>
          <w:i/>
        </w:rPr>
        <w:t>component,</w:t>
      </w:r>
      <w:r>
        <w:rPr>
          <w:i/>
          <w:spacing w:val="-9"/>
        </w:rPr>
        <w:t xml:space="preserve"> </w:t>
      </w:r>
      <w:r>
        <w:rPr>
          <w:i/>
        </w:rPr>
        <w:t>whic</w:t>
      </w:r>
      <w:r>
        <w:rPr>
          <w:i/>
        </w:rPr>
        <w:t>h</w:t>
      </w:r>
      <w:r>
        <w:rPr>
          <w:i/>
          <w:spacing w:val="-10"/>
        </w:rPr>
        <w:t xml:space="preserve"> </w:t>
      </w:r>
      <w:r>
        <w:rPr>
          <w:i/>
        </w:rPr>
        <w:t>reduces</w:t>
      </w:r>
      <w:r>
        <w:rPr>
          <w:i/>
          <w:spacing w:val="-10"/>
        </w:rPr>
        <w:t xml:space="preserve"> </w:t>
      </w:r>
      <w:r>
        <w:rPr>
          <w:i/>
        </w:rPr>
        <w:t>the</w:t>
      </w:r>
      <w:r>
        <w:rPr>
          <w:i/>
          <w:spacing w:val="-8"/>
        </w:rPr>
        <w:t xml:space="preserve"> </w:t>
      </w:r>
      <w:r>
        <w:rPr>
          <w:i/>
        </w:rPr>
        <w:t>median and mean SLR. Considering delta and city subsidence has little effect as only 6.5 percent and 0.8 percent of</w:t>
      </w:r>
      <w:r>
        <w:rPr>
          <w:i/>
          <w:spacing w:val="-4"/>
        </w:rPr>
        <w:t xml:space="preserve"> </w:t>
      </w:r>
      <w:r>
        <w:rPr>
          <w:i/>
        </w:rPr>
        <w:t>the</w:t>
      </w:r>
      <w:r>
        <w:rPr>
          <w:i/>
          <w:spacing w:val="-3"/>
        </w:rPr>
        <w:t xml:space="preserve"> </w:t>
      </w:r>
      <w:r>
        <w:rPr>
          <w:i/>
        </w:rPr>
        <w:t>world’s</w:t>
      </w:r>
      <w:r>
        <w:rPr>
          <w:i/>
          <w:spacing w:val="-3"/>
        </w:rPr>
        <w:t xml:space="preserve"> </w:t>
      </w:r>
      <w:r>
        <w:rPr>
          <w:i/>
        </w:rPr>
        <w:t>coast</w:t>
      </w:r>
      <w:r>
        <w:rPr>
          <w:i/>
          <w:spacing w:val="-5"/>
        </w:rPr>
        <w:t xml:space="preserve"> </w:t>
      </w:r>
      <w:r>
        <w:rPr>
          <w:i/>
        </w:rPr>
        <w:t>length</w:t>
      </w:r>
      <w:r>
        <w:rPr>
          <w:i/>
          <w:spacing w:val="-6"/>
        </w:rPr>
        <w:t xml:space="preserve"> </w:t>
      </w:r>
      <w:r>
        <w:rPr>
          <w:i/>
          <w:spacing w:val="-3"/>
        </w:rPr>
        <w:t>are</w:t>
      </w:r>
      <w:r>
        <w:rPr>
          <w:i/>
          <w:spacing w:val="-4"/>
        </w:rPr>
        <w:t xml:space="preserve"> </w:t>
      </w:r>
      <w:r>
        <w:rPr>
          <w:i/>
        </w:rPr>
        <w:t>affected.</w:t>
      </w:r>
      <w:r>
        <w:rPr>
          <w:i/>
          <w:spacing w:val="-3"/>
        </w:rPr>
        <w:t xml:space="preserve"> </w:t>
      </w:r>
      <w:r>
        <w:rPr>
          <w:i/>
        </w:rPr>
        <w:t>For</w:t>
      </w:r>
      <w:r>
        <w:rPr>
          <w:i/>
          <w:spacing w:val="-4"/>
        </w:rPr>
        <w:t xml:space="preserve"> </w:t>
      </w:r>
      <w:r>
        <w:rPr>
          <w:i/>
        </w:rPr>
        <w:t>population</w:t>
      </w:r>
      <w:r>
        <w:rPr>
          <w:i/>
          <w:spacing w:val="-4"/>
        </w:rPr>
        <w:t xml:space="preserve"> </w:t>
      </w:r>
      <w:r>
        <w:rPr>
          <w:i/>
        </w:rPr>
        <w:t>weightings,</w:t>
      </w:r>
      <w:r>
        <w:rPr>
          <w:i/>
          <w:spacing w:val="-3"/>
        </w:rPr>
        <w:t xml:space="preserve"> </w:t>
      </w:r>
      <w:r>
        <w:rPr>
          <w:i/>
        </w:rPr>
        <w:t>adding</w:t>
      </w:r>
      <w:r>
        <w:rPr>
          <w:i/>
          <w:spacing w:val="-5"/>
        </w:rPr>
        <w:t xml:space="preserve"> </w:t>
      </w:r>
      <w:r>
        <w:rPr>
          <w:i/>
        </w:rPr>
        <w:t>GIA</w:t>
      </w:r>
      <w:r>
        <w:rPr>
          <w:i/>
          <w:spacing w:val="-9"/>
        </w:rPr>
        <w:t xml:space="preserve"> </w:t>
      </w:r>
      <w:r>
        <w:rPr>
          <w:i/>
        </w:rPr>
        <w:t>also</w:t>
      </w:r>
      <w:r>
        <w:rPr>
          <w:i/>
          <w:spacing w:val="-3"/>
        </w:rPr>
        <w:t xml:space="preserve"> </w:t>
      </w:r>
      <w:r>
        <w:rPr>
          <w:i/>
        </w:rPr>
        <w:t>has</w:t>
      </w:r>
      <w:r>
        <w:rPr>
          <w:i/>
          <w:spacing w:val="-3"/>
        </w:rPr>
        <w:t xml:space="preserve"> </w:t>
      </w:r>
      <w:r>
        <w:rPr>
          <w:i/>
        </w:rPr>
        <w:t>an</w:t>
      </w:r>
      <w:r>
        <w:rPr>
          <w:i/>
          <w:spacing w:val="-4"/>
        </w:rPr>
        <w:t xml:space="preserve"> </w:t>
      </w:r>
      <w:r>
        <w:rPr>
          <w:i/>
        </w:rPr>
        <w:t>effect,</w:t>
      </w:r>
      <w:r>
        <w:rPr>
          <w:i/>
          <w:spacing w:val="-5"/>
        </w:rPr>
        <w:t xml:space="preserve"> </w:t>
      </w:r>
      <w:r>
        <w:rPr>
          <w:i/>
        </w:rPr>
        <w:t>but</w:t>
      </w:r>
      <w:r>
        <w:rPr>
          <w:i/>
          <w:spacing w:val="-3"/>
        </w:rPr>
        <w:t xml:space="preserve"> </w:t>
      </w:r>
      <w:r>
        <w:rPr>
          <w:i/>
        </w:rPr>
        <w:t>it</w:t>
      </w:r>
      <w:r>
        <w:rPr>
          <w:i/>
          <w:spacing w:val="-3"/>
        </w:rPr>
        <w:t xml:space="preserve"> </w:t>
      </w:r>
      <w:r>
        <w:rPr>
          <w:i/>
        </w:rPr>
        <w:t>is</w:t>
      </w:r>
    </w:p>
    <w:p w14:paraId="15FC3B33" w14:textId="77777777" w:rsidR="007B6A71" w:rsidRDefault="007B6A71">
      <w:pPr>
        <w:jc w:val="both"/>
        <w:sectPr w:rsidR="007B6A71">
          <w:type w:val="continuous"/>
          <w:pgSz w:w="12240" w:h="15840"/>
          <w:pgMar w:top="1360" w:right="1000" w:bottom="1720" w:left="260" w:header="720" w:footer="720" w:gutter="0"/>
          <w:cols w:num="2" w:space="720" w:equalWidth="0">
            <w:col w:w="501" w:space="580"/>
            <w:col w:w="9899"/>
          </w:cols>
        </w:sectPr>
      </w:pPr>
    </w:p>
    <w:p w14:paraId="0877D1A6" w14:textId="77777777" w:rsidR="007B6A71" w:rsidRDefault="00CE1F16">
      <w:pPr>
        <w:spacing w:before="74"/>
        <w:ind w:left="1180" w:right="433"/>
        <w:jc w:val="both"/>
        <w:rPr>
          <w:i/>
        </w:rPr>
      </w:pPr>
      <w:r>
        <w:rPr>
          <w:i/>
        </w:rPr>
        <w:lastRenderedPageBreak/>
        <w:t>smaller than for length weighting being -0.3 mm/yr on mean SLR. This reflects that the coastal population is</w:t>
      </w:r>
      <w:r>
        <w:rPr>
          <w:i/>
          <w:spacing w:val="13"/>
        </w:rPr>
        <w:t xml:space="preserve"> </w:t>
      </w:r>
      <w:r>
        <w:rPr>
          <w:i/>
        </w:rPr>
        <w:t>preferentially</w:t>
      </w:r>
      <w:r>
        <w:rPr>
          <w:i/>
          <w:spacing w:val="11"/>
        </w:rPr>
        <w:t xml:space="preserve"> </w:t>
      </w:r>
      <w:r>
        <w:rPr>
          <w:i/>
        </w:rPr>
        <w:t>located</w:t>
      </w:r>
      <w:r>
        <w:rPr>
          <w:i/>
          <w:spacing w:val="10"/>
        </w:rPr>
        <w:t xml:space="preserve"> </w:t>
      </w:r>
      <w:r>
        <w:rPr>
          <w:i/>
        </w:rPr>
        <w:t>in</w:t>
      </w:r>
      <w:r>
        <w:rPr>
          <w:i/>
          <w:spacing w:val="11"/>
        </w:rPr>
        <w:t xml:space="preserve"> </w:t>
      </w:r>
      <w:r>
        <w:rPr>
          <w:i/>
        </w:rPr>
        <w:t>areas</w:t>
      </w:r>
      <w:r>
        <w:rPr>
          <w:i/>
          <w:spacing w:val="13"/>
        </w:rPr>
        <w:t xml:space="preserve"> </w:t>
      </w:r>
      <w:r>
        <w:rPr>
          <w:i/>
        </w:rPr>
        <w:t>where</w:t>
      </w:r>
      <w:r>
        <w:rPr>
          <w:i/>
          <w:spacing w:val="14"/>
        </w:rPr>
        <w:t xml:space="preserve"> </w:t>
      </w:r>
      <w:r>
        <w:rPr>
          <w:i/>
        </w:rPr>
        <w:t>GIA</w:t>
      </w:r>
      <w:r>
        <w:rPr>
          <w:i/>
          <w:spacing w:val="7"/>
        </w:rPr>
        <w:t xml:space="preserve"> </w:t>
      </w:r>
      <w:r>
        <w:rPr>
          <w:i/>
        </w:rPr>
        <w:t>causes</w:t>
      </w:r>
      <w:r>
        <w:rPr>
          <w:i/>
          <w:spacing w:val="11"/>
        </w:rPr>
        <w:t xml:space="preserve"> </w:t>
      </w:r>
      <w:r>
        <w:rPr>
          <w:i/>
        </w:rPr>
        <w:t>subsidence,</w:t>
      </w:r>
      <w:r>
        <w:rPr>
          <w:i/>
          <w:spacing w:val="11"/>
        </w:rPr>
        <w:t xml:space="preserve"> </w:t>
      </w:r>
      <w:r>
        <w:rPr>
          <w:i/>
        </w:rPr>
        <w:t>which</w:t>
      </w:r>
      <w:r>
        <w:rPr>
          <w:i/>
          <w:spacing w:val="12"/>
        </w:rPr>
        <w:t xml:space="preserve"> </w:t>
      </w:r>
      <w:r>
        <w:rPr>
          <w:i/>
        </w:rPr>
        <w:t>counters</w:t>
      </w:r>
      <w:r>
        <w:rPr>
          <w:i/>
          <w:spacing w:val="12"/>
        </w:rPr>
        <w:t xml:space="preserve"> </w:t>
      </w:r>
      <w:r>
        <w:rPr>
          <w:i/>
        </w:rPr>
        <w:t>the</w:t>
      </w:r>
      <w:r>
        <w:rPr>
          <w:i/>
          <w:spacing w:val="13"/>
        </w:rPr>
        <w:t xml:space="preserve"> </w:t>
      </w:r>
      <w:r>
        <w:rPr>
          <w:i/>
        </w:rPr>
        <w:t>effect</w:t>
      </w:r>
      <w:r>
        <w:rPr>
          <w:i/>
          <w:spacing w:val="14"/>
        </w:rPr>
        <w:t xml:space="preserve"> </w:t>
      </w:r>
      <w:r>
        <w:rPr>
          <w:i/>
        </w:rPr>
        <w:t>GIA</w:t>
      </w:r>
      <w:r>
        <w:rPr>
          <w:i/>
          <w:spacing w:val="7"/>
        </w:rPr>
        <w:t xml:space="preserve"> </w:t>
      </w:r>
      <w:r>
        <w:rPr>
          <w:i/>
        </w:rPr>
        <w:t>has</w:t>
      </w:r>
      <w:r>
        <w:rPr>
          <w:i/>
          <w:spacing w:val="14"/>
        </w:rPr>
        <w:t xml:space="preserve"> </w:t>
      </w:r>
      <w:r>
        <w:rPr>
          <w:i/>
        </w:rPr>
        <w:t>when</w:t>
      </w:r>
    </w:p>
    <w:p w14:paraId="77B270AB" w14:textId="77777777" w:rsidR="007B6A71" w:rsidRDefault="00CE1F16">
      <w:pPr>
        <w:tabs>
          <w:tab w:val="left" w:pos="1180"/>
        </w:tabs>
        <w:spacing w:line="235" w:lineRule="auto"/>
        <w:ind w:left="1180" w:right="438" w:hanging="1081"/>
        <w:jc w:val="both"/>
        <w:rPr>
          <w:i/>
        </w:rPr>
      </w:pPr>
      <w:r>
        <w:rPr>
          <w:sz w:val="24"/>
        </w:rPr>
        <w:t>775</w:t>
      </w:r>
      <w:r>
        <w:rPr>
          <w:sz w:val="24"/>
        </w:rPr>
        <w:tab/>
      </w:r>
      <w:r>
        <w:rPr>
          <w:i/>
        </w:rPr>
        <w:t>considering length w</w:t>
      </w:r>
      <w:r>
        <w:rPr>
          <w:i/>
        </w:rPr>
        <w:t>eighting. Adding delta and then uncontrolled city subsidence has a significant effect reflecting</w:t>
      </w:r>
      <w:r>
        <w:rPr>
          <w:i/>
          <w:spacing w:val="5"/>
        </w:rPr>
        <w:t xml:space="preserve"> </w:t>
      </w:r>
      <w:r>
        <w:rPr>
          <w:i/>
        </w:rPr>
        <w:t>the</w:t>
      </w:r>
      <w:r>
        <w:rPr>
          <w:i/>
          <w:spacing w:val="6"/>
        </w:rPr>
        <w:t xml:space="preserve"> </w:t>
      </w:r>
      <w:r>
        <w:rPr>
          <w:i/>
        </w:rPr>
        <w:t>large</w:t>
      </w:r>
      <w:r>
        <w:rPr>
          <w:i/>
          <w:spacing w:val="8"/>
        </w:rPr>
        <w:t xml:space="preserve"> </w:t>
      </w:r>
      <w:r>
        <w:rPr>
          <w:i/>
        </w:rPr>
        <w:t>populations</w:t>
      </w:r>
      <w:r>
        <w:rPr>
          <w:i/>
          <w:spacing w:val="6"/>
        </w:rPr>
        <w:t xml:space="preserve"> </w:t>
      </w:r>
      <w:r>
        <w:rPr>
          <w:i/>
        </w:rPr>
        <w:t>in</w:t>
      </w:r>
      <w:r>
        <w:rPr>
          <w:i/>
          <w:spacing w:val="6"/>
        </w:rPr>
        <w:t xml:space="preserve"> </w:t>
      </w:r>
      <w:r>
        <w:rPr>
          <w:i/>
        </w:rPr>
        <w:t>these</w:t>
      </w:r>
      <w:r>
        <w:rPr>
          <w:i/>
          <w:spacing w:val="10"/>
        </w:rPr>
        <w:t xml:space="preserve"> </w:t>
      </w:r>
      <w:r>
        <w:rPr>
          <w:i/>
          <w:spacing w:val="-3"/>
        </w:rPr>
        <w:t>areas.</w:t>
      </w:r>
      <w:r>
        <w:rPr>
          <w:i/>
          <w:spacing w:val="6"/>
        </w:rPr>
        <w:t xml:space="preserve"> </w:t>
      </w:r>
      <w:r>
        <w:rPr>
          <w:i/>
        </w:rPr>
        <w:t>In</w:t>
      </w:r>
      <w:r>
        <w:rPr>
          <w:i/>
          <w:spacing w:val="6"/>
        </w:rPr>
        <w:t xml:space="preserve"> </w:t>
      </w:r>
      <w:r>
        <w:rPr>
          <w:i/>
        </w:rPr>
        <w:t>the</w:t>
      </w:r>
      <w:r>
        <w:rPr>
          <w:i/>
          <w:spacing w:val="4"/>
        </w:rPr>
        <w:t xml:space="preserve"> </w:t>
      </w:r>
      <w:r>
        <w:rPr>
          <w:i/>
        </w:rPr>
        <w:t>median,</w:t>
      </w:r>
      <w:r>
        <w:rPr>
          <w:i/>
          <w:spacing w:val="6"/>
        </w:rPr>
        <w:t xml:space="preserve"> </w:t>
      </w:r>
      <w:r>
        <w:rPr>
          <w:i/>
        </w:rPr>
        <w:t>these</w:t>
      </w:r>
      <w:r>
        <w:rPr>
          <w:i/>
          <w:spacing w:val="6"/>
        </w:rPr>
        <w:t xml:space="preserve"> </w:t>
      </w:r>
      <w:r>
        <w:rPr>
          <w:i/>
        </w:rPr>
        <w:t>two</w:t>
      </w:r>
      <w:r>
        <w:rPr>
          <w:i/>
          <w:spacing w:val="6"/>
        </w:rPr>
        <w:t xml:space="preserve"> </w:t>
      </w:r>
      <w:r>
        <w:rPr>
          <w:i/>
        </w:rPr>
        <w:t>components</w:t>
      </w:r>
      <w:r>
        <w:rPr>
          <w:i/>
          <w:spacing w:val="6"/>
        </w:rPr>
        <w:t xml:space="preserve"> </w:t>
      </w:r>
      <w:r>
        <w:rPr>
          <w:i/>
        </w:rPr>
        <w:t>add</w:t>
      </w:r>
      <w:r>
        <w:rPr>
          <w:i/>
          <w:spacing w:val="6"/>
        </w:rPr>
        <w:t xml:space="preserve"> </w:t>
      </w:r>
      <w:r>
        <w:rPr>
          <w:i/>
        </w:rPr>
        <w:t>1.19</w:t>
      </w:r>
      <w:r>
        <w:rPr>
          <w:i/>
          <w:spacing w:val="6"/>
        </w:rPr>
        <w:t xml:space="preserve"> </w:t>
      </w:r>
      <w:r>
        <w:rPr>
          <w:i/>
        </w:rPr>
        <w:t>mm/yr</w:t>
      </w:r>
      <w:r>
        <w:rPr>
          <w:i/>
          <w:spacing w:val="6"/>
        </w:rPr>
        <w:t xml:space="preserve"> </w:t>
      </w:r>
      <w:r>
        <w:rPr>
          <w:i/>
        </w:rPr>
        <w:t>and</w:t>
      </w:r>
    </w:p>
    <w:p w14:paraId="13994623" w14:textId="77777777" w:rsidR="007B6A71" w:rsidRDefault="00CE1F16">
      <w:pPr>
        <w:ind w:left="1180" w:right="434"/>
        <w:jc w:val="both"/>
        <w:rPr>
          <w:i/>
        </w:rPr>
      </w:pPr>
      <w:r>
        <w:rPr>
          <w:i/>
        </w:rPr>
        <w:t xml:space="preserve">an additional 0.62 mm/yr of SLR rise, </w:t>
      </w:r>
      <w:r>
        <w:rPr>
          <w:i/>
          <w:spacing w:val="-3"/>
        </w:rPr>
        <w:t xml:space="preserve">respectively. </w:t>
      </w:r>
      <w:r>
        <w:rPr>
          <w:i/>
        </w:rPr>
        <w:t>The asymmetric distribution of the high-end tail leads to</w:t>
      </w:r>
      <w:r>
        <w:rPr>
          <w:i/>
          <w:spacing w:val="-4"/>
        </w:rPr>
        <w:t xml:space="preserve"> </w:t>
      </w:r>
      <w:r>
        <w:rPr>
          <w:i/>
        </w:rPr>
        <w:t>a</w:t>
      </w:r>
      <w:r>
        <w:rPr>
          <w:i/>
          <w:spacing w:val="-4"/>
        </w:rPr>
        <w:t xml:space="preserve"> </w:t>
      </w:r>
      <w:r>
        <w:rPr>
          <w:i/>
        </w:rPr>
        <w:t>larger</w:t>
      </w:r>
      <w:r>
        <w:rPr>
          <w:i/>
          <w:spacing w:val="-3"/>
        </w:rPr>
        <w:t xml:space="preserve"> </w:t>
      </w:r>
      <w:r>
        <w:rPr>
          <w:i/>
        </w:rPr>
        <w:t>effect</w:t>
      </w:r>
      <w:r>
        <w:rPr>
          <w:i/>
          <w:spacing w:val="-3"/>
        </w:rPr>
        <w:t xml:space="preserve"> </w:t>
      </w:r>
      <w:r>
        <w:rPr>
          <w:i/>
        </w:rPr>
        <w:t>on</w:t>
      </w:r>
      <w:r>
        <w:rPr>
          <w:i/>
          <w:spacing w:val="-6"/>
        </w:rPr>
        <w:t xml:space="preserve"> </w:t>
      </w:r>
      <w:r>
        <w:rPr>
          <w:i/>
        </w:rPr>
        <w:t>the</w:t>
      </w:r>
      <w:r>
        <w:rPr>
          <w:i/>
          <w:spacing w:val="-2"/>
        </w:rPr>
        <w:t xml:space="preserve"> </w:t>
      </w:r>
      <w:r>
        <w:rPr>
          <w:i/>
        </w:rPr>
        <w:t>mean</w:t>
      </w:r>
      <w:r>
        <w:rPr>
          <w:i/>
          <w:spacing w:val="-4"/>
        </w:rPr>
        <w:t xml:space="preserve"> </w:t>
      </w:r>
      <w:r>
        <w:rPr>
          <w:i/>
        </w:rPr>
        <w:t>SLR</w:t>
      </w:r>
      <w:r>
        <w:rPr>
          <w:i/>
          <w:spacing w:val="-5"/>
        </w:rPr>
        <w:t xml:space="preserve"> </w:t>
      </w:r>
      <w:r>
        <w:rPr>
          <w:i/>
        </w:rPr>
        <w:t>at</w:t>
      </w:r>
      <w:r>
        <w:rPr>
          <w:i/>
          <w:spacing w:val="-3"/>
        </w:rPr>
        <w:t xml:space="preserve"> </w:t>
      </w:r>
      <w:r>
        <w:rPr>
          <w:i/>
        </w:rPr>
        <w:t>1.6</w:t>
      </w:r>
      <w:r>
        <w:rPr>
          <w:i/>
          <w:spacing w:val="-4"/>
        </w:rPr>
        <w:t xml:space="preserve"> </w:t>
      </w:r>
      <w:r>
        <w:rPr>
          <w:i/>
        </w:rPr>
        <w:t>mm/yr</w:t>
      </w:r>
      <w:r>
        <w:rPr>
          <w:i/>
          <w:spacing w:val="-5"/>
        </w:rPr>
        <w:t xml:space="preserve"> </w:t>
      </w:r>
      <w:r>
        <w:rPr>
          <w:i/>
        </w:rPr>
        <w:t>due</w:t>
      </w:r>
      <w:r>
        <w:rPr>
          <w:i/>
          <w:spacing w:val="-5"/>
        </w:rPr>
        <w:t xml:space="preserve"> </w:t>
      </w:r>
      <w:r>
        <w:rPr>
          <w:i/>
        </w:rPr>
        <w:t>to</w:t>
      </w:r>
      <w:r>
        <w:rPr>
          <w:i/>
          <w:spacing w:val="-6"/>
        </w:rPr>
        <w:t xml:space="preserve"> </w:t>
      </w:r>
      <w:r>
        <w:rPr>
          <w:i/>
        </w:rPr>
        <w:t>delta</w:t>
      </w:r>
      <w:r>
        <w:rPr>
          <w:i/>
          <w:spacing w:val="-4"/>
        </w:rPr>
        <w:t xml:space="preserve"> </w:t>
      </w:r>
      <w:r>
        <w:rPr>
          <w:i/>
        </w:rPr>
        <w:t>subsidence</w:t>
      </w:r>
      <w:r>
        <w:rPr>
          <w:i/>
          <w:spacing w:val="-6"/>
        </w:rPr>
        <w:t xml:space="preserve"> </w:t>
      </w:r>
      <w:r>
        <w:rPr>
          <w:i/>
        </w:rPr>
        <w:t>alone,</w:t>
      </w:r>
      <w:r>
        <w:rPr>
          <w:i/>
          <w:spacing w:val="-3"/>
        </w:rPr>
        <w:t xml:space="preserve"> </w:t>
      </w:r>
      <w:r>
        <w:rPr>
          <w:i/>
        </w:rPr>
        <w:t>and</w:t>
      </w:r>
      <w:r>
        <w:rPr>
          <w:i/>
          <w:spacing w:val="-5"/>
        </w:rPr>
        <w:t xml:space="preserve"> </w:t>
      </w:r>
      <w:r>
        <w:rPr>
          <w:i/>
        </w:rPr>
        <w:t>an</w:t>
      </w:r>
      <w:r>
        <w:rPr>
          <w:i/>
          <w:spacing w:val="-4"/>
        </w:rPr>
        <w:t xml:space="preserve"> </w:t>
      </w:r>
      <w:r>
        <w:rPr>
          <w:i/>
        </w:rPr>
        <w:t>additional</w:t>
      </w:r>
      <w:r>
        <w:rPr>
          <w:i/>
          <w:spacing w:val="-5"/>
        </w:rPr>
        <w:t xml:space="preserve"> </w:t>
      </w:r>
      <w:r>
        <w:rPr>
          <w:i/>
        </w:rPr>
        <w:t>2.7</w:t>
      </w:r>
      <w:r>
        <w:rPr>
          <w:i/>
          <w:spacing w:val="-4"/>
        </w:rPr>
        <w:t xml:space="preserve"> </w:t>
      </w:r>
      <w:r>
        <w:rPr>
          <w:i/>
        </w:rPr>
        <w:t>to</w:t>
      </w:r>
      <w:r>
        <w:rPr>
          <w:i/>
          <w:spacing w:val="-4"/>
        </w:rPr>
        <w:t xml:space="preserve"> </w:t>
      </w:r>
      <w:r>
        <w:rPr>
          <w:i/>
        </w:rPr>
        <w:t xml:space="preserve">4.8 mm/yr due to city subsidence alone </w:t>
      </w:r>
      <w:r>
        <w:rPr>
          <w:i/>
          <w:spacing w:val="-5"/>
        </w:rPr>
        <w:t>(Table</w:t>
      </w:r>
      <w:r>
        <w:rPr>
          <w:i/>
          <w:spacing w:val="-5"/>
        </w:rPr>
        <w:t xml:space="preserve"> </w:t>
      </w:r>
      <w:r>
        <w:rPr>
          <w:i/>
        </w:rPr>
        <w:t>1).</w:t>
      </w:r>
    </w:p>
    <w:p w14:paraId="7A24637C" w14:textId="77777777" w:rsidR="007B6A71" w:rsidRDefault="007B6A71">
      <w:pPr>
        <w:jc w:val="both"/>
        <w:sectPr w:rsidR="007B6A71">
          <w:pgSz w:w="12240" w:h="15840"/>
          <w:pgMar w:top="1360" w:right="1000" w:bottom="1800" w:left="260" w:header="0" w:footer="1538" w:gutter="0"/>
          <w:cols w:space="720"/>
        </w:sectPr>
      </w:pPr>
    </w:p>
    <w:p w14:paraId="610983C8" w14:textId="77777777" w:rsidR="007B6A71" w:rsidRDefault="007B6A71">
      <w:pPr>
        <w:pStyle w:val="BodyText"/>
        <w:rPr>
          <w:i/>
          <w:sz w:val="20"/>
        </w:rPr>
      </w:pPr>
    </w:p>
    <w:p w14:paraId="451173AF" w14:textId="77777777" w:rsidR="007B6A71" w:rsidRDefault="007B6A71">
      <w:pPr>
        <w:pStyle w:val="BodyText"/>
        <w:rPr>
          <w:i/>
          <w:sz w:val="20"/>
        </w:rPr>
      </w:pPr>
    </w:p>
    <w:p w14:paraId="498FED38" w14:textId="77777777" w:rsidR="007B6A71" w:rsidRDefault="007B6A71">
      <w:pPr>
        <w:pStyle w:val="BodyText"/>
        <w:rPr>
          <w:i/>
          <w:sz w:val="20"/>
        </w:rPr>
      </w:pPr>
    </w:p>
    <w:p w14:paraId="318C65B8" w14:textId="77777777" w:rsidR="007B6A71" w:rsidRDefault="007B6A71">
      <w:pPr>
        <w:pStyle w:val="BodyText"/>
        <w:rPr>
          <w:i/>
          <w:sz w:val="20"/>
        </w:rPr>
      </w:pPr>
    </w:p>
    <w:p w14:paraId="72271EA7" w14:textId="77777777" w:rsidR="007B6A71" w:rsidRDefault="007B6A71">
      <w:pPr>
        <w:pStyle w:val="BodyText"/>
        <w:rPr>
          <w:i/>
          <w:sz w:val="20"/>
        </w:rPr>
      </w:pPr>
    </w:p>
    <w:p w14:paraId="61CFF290" w14:textId="77777777" w:rsidR="007B6A71" w:rsidRDefault="007B6A71">
      <w:pPr>
        <w:pStyle w:val="BodyText"/>
        <w:rPr>
          <w:i/>
          <w:sz w:val="20"/>
        </w:rPr>
      </w:pPr>
    </w:p>
    <w:p w14:paraId="01996EEF" w14:textId="77777777" w:rsidR="007B6A71" w:rsidRDefault="007B6A71">
      <w:pPr>
        <w:pStyle w:val="BodyText"/>
        <w:rPr>
          <w:i/>
          <w:sz w:val="20"/>
        </w:rPr>
      </w:pPr>
    </w:p>
    <w:p w14:paraId="76417A86" w14:textId="77777777" w:rsidR="007B6A71" w:rsidRDefault="007B6A71">
      <w:pPr>
        <w:pStyle w:val="BodyText"/>
        <w:rPr>
          <w:i/>
          <w:sz w:val="20"/>
        </w:rPr>
      </w:pPr>
    </w:p>
    <w:p w14:paraId="49064D42" w14:textId="77777777" w:rsidR="007B6A71" w:rsidRDefault="007B6A71">
      <w:pPr>
        <w:pStyle w:val="BodyText"/>
        <w:rPr>
          <w:i/>
          <w:sz w:val="20"/>
        </w:rPr>
      </w:pPr>
    </w:p>
    <w:p w14:paraId="11CEB59F" w14:textId="77777777" w:rsidR="007B6A71" w:rsidRDefault="007B6A71">
      <w:pPr>
        <w:pStyle w:val="BodyText"/>
        <w:rPr>
          <w:i/>
          <w:sz w:val="20"/>
        </w:rPr>
      </w:pPr>
    </w:p>
    <w:p w14:paraId="421A43AB" w14:textId="77777777" w:rsidR="007B6A71" w:rsidRDefault="007B6A71">
      <w:pPr>
        <w:pStyle w:val="BodyText"/>
        <w:rPr>
          <w:i/>
          <w:sz w:val="20"/>
        </w:rPr>
      </w:pPr>
    </w:p>
    <w:p w14:paraId="04A2C5BA" w14:textId="77777777" w:rsidR="007B6A71" w:rsidRDefault="007B6A71">
      <w:pPr>
        <w:pStyle w:val="BodyText"/>
        <w:rPr>
          <w:i/>
          <w:sz w:val="20"/>
        </w:rPr>
      </w:pPr>
    </w:p>
    <w:p w14:paraId="7388126F" w14:textId="77777777" w:rsidR="007B6A71" w:rsidRDefault="007B6A71">
      <w:pPr>
        <w:pStyle w:val="BodyText"/>
        <w:rPr>
          <w:i/>
          <w:sz w:val="20"/>
        </w:rPr>
      </w:pPr>
    </w:p>
    <w:p w14:paraId="4638306C" w14:textId="77777777" w:rsidR="007B6A71" w:rsidRDefault="007B6A71">
      <w:pPr>
        <w:pStyle w:val="BodyText"/>
        <w:rPr>
          <w:i/>
          <w:sz w:val="20"/>
        </w:rPr>
      </w:pPr>
    </w:p>
    <w:p w14:paraId="74A68210" w14:textId="77777777" w:rsidR="007B6A71" w:rsidRDefault="007B6A71">
      <w:pPr>
        <w:pStyle w:val="BodyText"/>
        <w:rPr>
          <w:i/>
          <w:sz w:val="20"/>
        </w:rPr>
      </w:pPr>
    </w:p>
    <w:p w14:paraId="32D8900E" w14:textId="77777777" w:rsidR="007B6A71" w:rsidRDefault="007B6A71">
      <w:pPr>
        <w:pStyle w:val="BodyText"/>
        <w:rPr>
          <w:i/>
          <w:sz w:val="20"/>
        </w:rPr>
      </w:pPr>
    </w:p>
    <w:p w14:paraId="391B46D2" w14:textId="77777777" w:rsidR="007B6A71" w:rsidRDefault="007B6A71">
      <w:pPr>
        <w:pStyle w:val="BodyText"/>
        <w:rPr>
          <w:i/>
          <w:sz w:val="20"/>
        </w:rPr>
      </w:pPr>
    </w:p>
    <w:p w14:paraId="6678C90B" w14:textId="77777777" w:rsidR="007B6A71" w:rsidRDefault="007B6A71">
      <w:pPr>
        <w:pStyle w:val="BodyText"/>
        <w:rPr>
          <w:i/>
          <w:sz w:val="20"/>
        </w:rPr>
      </w:pPr>
    </w:p>
    <w:p w14:paraId="42C59445" w14:textId="77777777" w:rsidR="007B6A71" w:rsidRDefault="007B6A71">
      <w:pPr>
        <w:rPr>
          <w:sz w:val="20"/>
        </w:rPr>
        <w:sectPr w:rsidR="007B6A71">
          <w:pgSz w:w="12240" w:h="15840"/>
          <w:pgMar w:top="1500" w:right="1000" w:bottom="1800" w:left="260" w:header="0" w:footer="1538" w:gutter="0"/>
          <w:cols w:space="720"/>
        </w:sectPr>
      </w:pPr>
    </w:p>
    <w:p w14:paraId="30D5FCC6" w14:textId="77777777" w:rsidR="007B6A71" w:rsidRDefault="007B6A71">
      <w:pPr>
        <w:pStyle w:val="BodyText"/>
        <w:spacing w:before="4"/>
        <w:rPr>
          <w:i/>
          <w:sz w:val="22"/>
        </w:rPr>
      </w:pPr>
    </w:p>
    <w:p w14:paraId="1C4F0C60" w14:textId="77777777" w:rsidR="007B6A71" w:rsidRDefault="00CE1F16">
      <w:pPr>
        <w:pStyle w:val="BodyText"/>
        <w:ind w:left="100"/>
      </w:pPr>
      <w:r>
        <w:t>780</w:t>
      </w:r>
    </w:p>
    <w:p w14:paraId="1F9A8D8D" w14:textId="77777777" w:rsidR="007B6A71" w:rsidRDefault="007B6A71">
      <w:pPr>
        <w:pStyle w:val="BodyText"/>
        <w:rPr>
          <w:sz w:val="26"/>
        </w:rPr>
      </w:pPr>
    </w:p>
    <w:p w14:paraId="0735296D" w14:textId="77777777" w:rsidR="007B6A71" w:rsidRDefault="007B6A71">
      <w:pPr>
        <w:pStyle w:val="BodyText"/>
        <w:rPr>
          <w:sz w:val="26"/>
        </w:rPr>
      </w:pPr>
    </w:p>
    <w:p w14:paraId="1D82EDDA" w14:textId="77777777" w:rsidR="007B6A71" w:rsidRDefault="007B6A71">
      <w:pPr>
        <w:pStyle w:val="BodyText"/>
        <w:rPr>
          <w:sz w:val="26"/>
        </w:rPr>
      </w:pPr>
    </w:p>
    <w:p w14:paraId="42EB80F6" w14:textId="77777777" w:rsidR="007B6A71" w:rsidRDefault="00CE1F16">
      <w:pPr>
        <w:pStyle w:val="BodyText"/>
        <w:spacing w:before="152"/>
        <w:ind w:left="100"/>
      </w:pPr>
      <w:r>
        <w:t>785</w:t>
      </w:r>
    </w:p>
    <w:p w14:paraId="5FBF431E" w14:textId="77777777" w:rsidR="007B6A71" w:rsidRDefault="00CE1F16">
      <w:pPr>
        <w:pStyle w:val="BodyText"/>
      </w:pPr>
      <w:r>
        <w:br w:type="column"/>
      </w:r>
    </w:p>
    <w:p w14:paraId="477EC95D" w14:textId="77777777" w:rsidR="007B6A71" w:rsidRDefault="007B6A71">
      <w:pPr>
        <w:pStyle w:val="BodyText"/>
        <w:spacing w:before="1"/>
        <w:rPr>
          <w:sz w:val="27"/>
        </w:rPr>
      </w:pPr>
    </w:p>
    <w:p w14:paraId="65FFCB1A" w14:textId="77777777" w:rsidR="007B6A71" w:rsidRDefault="00CE1F16">
      <w:pPr>
        <w:ind w:left="100" w:right="438"/>
        <w:jc w:val="both"/>
        <w:rPr>
          <w:i/>
        </w:rPr>
      </w:pPr>
      <w:r>
        <w:rPr>
          <w:noProof/>
        </w:rPr>
        <w:drawing>
          <wp:anchor distT="0" distB="0" distL="0" distR="0" simplePos="0" relativeHeight="251658240" behindDoc="0" locked="0" layoutInCell="1" allowOverlap="1" wp14:anchorId="75E67DCE" wp14:editId="26753A2E">
            <wp:simplePos x="0" y="0"/>
            <wp:positionH relativeFrom="page">
              <wp:posOffset>951004</wp:posOffset>
            </wp:positionH>
            <wp:positionV relativeFrom="paragraph">
              <wp:posOffset>-3003499</wp:posOffset>
            </wp:positionV>
            <wp:extent cx="5783456" cy="2893956"/>
            <wp:effectExtent l="0" t="0" r="0" b="0"/>
            <wp:wrapNone/>
            <wp:docPr id="9" name="image5.jpeg" descr="C:\Users\ytc19nxu\Documents\DIVA\Global subsidence\Paper for review\FigS2_subsidence_scatterplots_population_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5783456" cy="2893956"/>
                    </a:xfrm>
                    <a:prstGeom prst="rect">
                      <a:avLst/>
                    </a:prstGeom>
                  </pic:spPr>
                </pic:pic>
              </a:graphicData>
            </a:graphic>
          </wp:anchor>
        </w:drawing>
      </w:r>
      <w:r>
        <w:rPr>
          <w:b/>
          <w:i/>
        </w:rPr>
        <w:t xml:space="preserve">Extended Data Fig 2: </w:t>
      </w:r>
      <w:r>
        <w:rPr>
          <w:i/>
        </w:rPr>
        <w:t xml:space="preserve">Sea-level rise components versus coastal population density for all the coastal </w:t>
      </w:r>
      <w:r>
        <w:rPr>
          <w:i/>
        </w:rPr>
        <w:t>segments considered in the analysis. These comprise (a) climate-induced sea-level rise only, (b) GIA only,</w:t>
      </w:r>
    </w:p>
    <w:p w14:paraId="211F87E1" w14:textId="77777777" w:rsidR="007B6A71" w:rsidRDefault="00CE1F16">
      <w:pPr>
        <w:pStyle w:val="ListParagraph"/>
        <w:numPr>
          <w:ilvl w:val="0"/>
          <w:numId w:val="2"/>
        </w:numPr>
        <w:tabs>
          <w:tab w:val="left" w:pos="391"/>
        </w:tabs>
        <w:spacing w:before="1"/>
        <w:ind w:right="437" w:firstLine="0"/>
        <w:jc w:val="both"/>
        <w:rPr>
          <w:i/>
        </w:rPr>
      </w:pPr>
      <w:r>
        <w:rPr>
          <w:i/>
        </w:rPr>
        <w:t>high</w:t>
      </w:r>
      <w:r>
        <w:rPr>
          <w:i/>
          <w:spacing w:val="-10"/>
        </w:rPr>
        <w:t xml:space="preserve"> </w:t>
      </w:r>
      <w:r>
        <w:rPr>
          <w:i/>
        </w:rPr>
        <w:t>estimates</w:t>
      </w:r>
      <w:r>
        <w:rPr>
          <w:i/>
          <w:spacing w:val="-9"/>
        </w:rPr>
        <w:t xml:space="preserve"> </w:t>
      </w:r>
      <w:r>
        <w:rPr>
          <w:i/>
        </w:rPr>
        <w:t>of</w:t>
      </w:r>
      <w:r>
        <w:rPr>
          <w:i/>
          <w:spacing w:val="-8"/>
        </w:rPr>
        <w:t xml:space="preserve"> </w:t>
      </w:r>
      <w:r>
        <w:rPr>
          <w:i/>
        </w:rPr>
        <w:t>uncontrolled</w:t>
      </w:r>
      <w:r>
        <w:rPr>
          <w:i/>
          <w:spacing w:val="-11"/>
        </w:rPr>
        <w:t xml:space="preserve"> </w:t>
      </w:r>
      <w:r>
        <w:rPr>
          <w:i/>
        </w:rPr>
        <w:t>city</w:t>
      </w:r>
      <w:r>
        <w:rPr>
          <w:i/>
          <w:spacing w:val="-8"/>
        </w:rPr>
        <w:t xml:space="preserve"> </w:t>
      </w:r>
      <w:r>
        <w:rPr>
          <w:i/>
        </w:rPr>
        <w:t>subsidence</w:t>
      </w:r>
      <w:r>
        <w:rPr>
          <w:i/>
          <w:spacing w:val="-9"/>
        </w:rPr>
        <w:t xml:space="preserve"> </w:t>
      </w:r>
      <w:r>
        <w:rPr>
          <w:i/>
          <w:spacing w:val="-3"/>
        </w:rPr>
        <w:t>only,</w:t>
      </w:r>
      <w:r>
        <w:rPr>
          <w:i/>
          <w:spacing w:val="-11"/>
        </w:rPr>
        <w:t xml:space="preserve"> </w:t>
      </w:r>
      <w:r>
        <w:rPr>
          <w:i/>
        </w:rPr>
        <w:t>(d)</w:t>
      </w:r>
      <w:r>
        <w:rPr>
          <w:i/>
          <w:spacing w:val="-11"/>
        </w:rPr>
        <w:t xml:space="preserve"> </w:t>
      </w:r>
      <w:r>
        <w:rPr>
          <w:i/>
        </w:rPr>
        <w:t>delta</w:t>
      </w:r>
      <w:r>
        <w:rPr>
          <w:i/>
          <w:spacing w:val="-9"/>
        </w:rPr>
        <w:t xml:space="preserve"> </w:t>
      </w:r>
      <w:r>
        <w:rPr>
          <w:i/>
        </w:rPr>
        <w:t>subsidence</w:t>
      </w:r>
      <w:r>
        <w:rPr>
          <w:i/>
          <w:spacing w:val="-9"/>
        </w:rPr>
        <w:t xml:space="preserve"> </w:t>
      </w:r>
      <w:r>
        <w:rPr>
          <w:i/>
          <w:spacing w:val="-3"/>
        </w:rPr>
        <w:t>only,</w:t>
      </w:r>
      <w:r>
        <w:rPr>
          <w:i/>
          <w:spacing w:val="-10"/>
        </w:rPr>
        <w:t xml:space="preserve"> </w:t>
      </w:r>
      <w:r>
        <w:rPr>
          <w:i/>
        </w:rPr>
        <w:t>and</w:t>
      </w:r>
      <w:r>
        <w:rPr>
          <w:i/>
          <w:spacing w:val="-9"/>
        </w:rPr>
        <w:t xml:space="preserve"> </w:t>
      </w:r>
      <w:r>
        <w:rPr>
          <w:i/>
        </w:rPr>
        <w:t>(e)</w:t>
      </w:r>
      <w:r>
        <w:rPr>
          <w:i/>
          <w:spacing w:val="-11"/>
        </w:rPr>
        <w:t xml:space="preserve"> </w:t>
      </w:r>
      <w:r>
        <w:rPr>
          <w:i/>
        </w:rPr>
        <w:t>the</w:t>
      </w:r>
      <w:r>
        <w:rPr>
          <w:i/>
          <w:spacing w:val="-8"/>
        </w:rPr>
        <w:t xml:space="preserve"> </w:t>
      </w:r>
      <w:r>
        <w:rPr>
          <w:i/>
        </w:rPr>
        <w:t>sum</w:t>
      </w:r>
      <w:r>
        <w:rPr>
          <w:i/>
          <w:spacing w:val="-10"/>
        </w:rPr>
        <w:t xml:space="preserve"> </w:t>
      </w:r>
      <w:r>
        <w:rPr>
          <w:i/>
        </w:rPr>
        <w:t>of</w:t>
      </w:r>
      <w:r>
        <w:rPr>
          <w:i/>
          <w:spacing w:val="-8"/>
        </w:rPr>
        <w:t xml:space="preserve"> </w:t>
      </w:r>
      <w:r>
        <w:rPr>
          <w:i/>
        </w:rPr>
        <w:t>all</w:t>
      </w:r>
      <w:r>
        <w:rPr>
          <w:i/>
          <w:spacing w:val="-9"/>
        </w:rPr>
        <w:t xml:space="preserve"> </w:t>
      </w:r>
      <w:r>
        <w:rPr>
          <w:i/>
        </w:rPr>
        <w:t xml:space="preserve">four components considered </w:t>
      </w:r>
      <w:r>
        <w:rPr>
          <w:i/>
          <w:spacing w:val="-3"/>
        </w:rPr>
        <w:t xml:space="preserve">previously. </w:t>
      </w:r>
      <w:r>
        <w:rPr>
          <w:i/>
        </w:rPr>
        <w:t>The lin</w:t>
      </w:r>
      <w:r>
        <w:rPr>
          <w:i/>
        </w:rPr>
        <w:t xml:space="preserve">ear best fit and the explained variance </w:t>
      </w:r>
      <w:r>
        <w:rPr>
          <w:i/>
          <w:spacing w:val="-3"/>
        </w:rPr>
        <w:t xml:space="preserve">are </w:t>
      </w:r>
      <w:r>
        <w:rPr>
          <w:i/>
        </w:rPr>
        <w:t xml:space="preserve">shown in each case. While the explained variance with such a linear fit is small, the slopes </w:t>
      </w:r>
      <w:r>
        <w:rPr>
          <w:i/>
          <w:spacing w:val="-4"/>
        </w:rPr>
        <w:t xml:space="preserve">are </w:t>
      </w:r>
      <w:r>
        <w:rPr>
          <w:i/>
        </w:rPr>
        <w:t xml:space="preserve">significantly different </w:t>
      </w:r>
      <w:r>
        <w:rPr>
          <w:i/>
          <w:spacing w:val="-3"/>
        </w:rPr>
        <w:t xml:space="preserve">from </w:t>
      </w:r>
      <w:r>
        <w:rPr>
          <w:i/>
          <w:spacing w:val="-4"/>
        </w:rPr>
        <w:t xml:space="preserve">zero </w:t>
      </w:r>
      <w:r>
        <w:rPr>
          <w:i/>
        </w:rPr>
        <w:t>in all cases.</w:t>
      </w:r>
    </w:p>
    <w:p w14:paraId="51AC77A3" w14:textId="77777777" w:rsidR="007B6A71" w:rsidRDefault="007B6A71">
      <w:pPr>
        <w:jc w:val="both"/>
        <w:sectPr w:rsidR="007B6A71">
          <w:type w:val="continuous"/>
          <w:pgSz w:w="12240" w:h="15840"/>
          <w:pgMar w:top="1360" w:right="1000" w:bottom="1720" w:left="260" w:header="720" w:footer="720" w:gutter="0"/>
          <w:cols w:num="2" w:space="720" w:equalWidth="0">
            <w:col w:w="501" w:space="580"/>
            <w:col w:w="9899"/>
          </w:cols>
        </w:sectPr>
      </w:pPr>
    </w:p>
    <w:p w14:paraId="60768B32" w14:textId="77777777" w:rsidR="007B6A71" w:rsidRDefault="00CE1F16">
      <w:pPr>
        <w:pStyle w:val="BodyText"/>
        <w:ind w:left="1232"/>
        <w:rPr>
          <w:sz w:val="20"/>
        </w:rPr>
      </w:pPr>
      <w:r>
        <w:rPr>
          <w:noProof/>
          <w:sz w:val="20"/>
        </w:rPr>
        <w:lastRenderedPageBreak/>
        <w:drawing>
          <wp:inline distT="0" distB="0" distL="0" distR="0" wp14:anchorId="7A45B160" wp14:editId="5EB2B8B1">
            <wp:extent cx="5698680" cy="469392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5698680" cy="4693920"/>
                    </a:xfrm>
                    <a:prstGeom prst="rect">
                      <a:avLst/>
                    </a:prstGeom>
                  </pic:spPr>
                </pic:pic>
              </a:graphicData>
            </a:graphic>
          </wp:inline>
        </w:drawing>
      </w:r>
    </w:p>
    <w:p w14:paraId="3EC6D4FB" w14:textId="77777777" w:rsidR="007B6A71" w:rsidRDefault="007B6A71">
      <w:pPr>
        <w:pStyle w:val="BodyText"/>
        <w:spacing w:before="5"/>
        <w:rPr>
          <w:i/>
          <w:sz w:val="8"/>
        </w:rPr>
      </w:pPr>
    </w:p>
    <w:p w14:paraId="6CE57686" w14:textId="77777777" w:rsidR="007B6A71" w:rsidRDefault="007B6A71">
      <w:pPr>
        <w:rPr>
          <w:sz w:val="8"/>
        </w:rPr>
        <w:sectPr w:rsidR="007B6A71">
          <w:pgSz w:w="12240" w:h="15840"/>
          <w:pgMar w:top="1500" w:right="1000" w:bottom="1800" w:left="260" w:header="0" w:footer="1538" w:gutter="0"/>
          <w:cols w:space="720"/>
        </w:sectPr>
      </w:pPr>
    </w:p>
    <w:p w14:paraId="3A00EE9D" w14:textId="77777777" w:rsidR="007B6A71" w:rsidRDefault="007B6A71">
      <w:pPr>
        <w:pStyle w:val="BodyText"/>
        <w:spacing w:before="10"/>
        <w:rPr>
          <w:i/>
          <w:sz w:val="31"/>
        </w:rPr>
      </w:pPr>
    </w:p>
    <w:p w14:paraId="50CEC14B" w14:textId="77777777" w:rsidR="007B6A71" w:rsidRDefault="00CE1F16">
      <w:pPr>
        <w:pStyle w:val="BodyText"/>
        <w:ind w:left="100"/>
      </w:pPr>
      <w:r>
        <w:t>790</w:t>
      </w:r>
    </w:p>
    <w:p w14:paraId="26DA464B" w14:textId="77777777" w:rsidR="007B6A71" w:rsidRDefault="007B6A71">
      <w:pPr>
        <w:pStyle w:val="BodyText"/>
        <w:rPr>
          <w:sz w:val="26"/>
        </w:rPr>
      </w:pPr>
    </w:p>
    <w:p w14:paraId="1EC7823D" w14:textId="77777777" w:rsidR="007B6A71" w:rsidRDefault="007B6A71">
      <w:pPr>
        <w:pStyle w:val="BodyText"/>
        <w:rPr>
          <w:sz w:val="26"/>
        </w:rPr>
      </w:pPr>
    </w:p>
    <w:p w14:paraId="66DC3394" w14:textId="77777777" w:rsidR="007B6A71" w:rsidRDefault="007B6A71">
      <w:pPr>
        <w:pStyle w:val="BodyText"/>
        <w:rPr>
          <w:sz w:val="26"/>
        </w:rPr>
      </w:pPr>
    </w:p>
    <w:p w14:paraId="28B3914E" w14:textId="77777777" w:rsidR="007B6A71" w:rsidRDefault="00CE1F16">
      <w:pPr>
        <w:pStyle w:val="BodyText"/>
        <w:spacing w:before="207"/>
        <w:ind w:left="100"/>
      </w:pPr>
      <w:r>
        <w:t>795</w:t>
      </w:r>
    </w:p>
    <w:p w14:paraId="0BDA1D54" w14:textId="77777777" w:rsidR="007B6A71" w:rsidRDefault="00CE1F16">
      <w:pPr>
        <w:spacing w:before="90"/>
        <w:ind w:left="100" w:right="435"/>
        <w:jc w:val="both"/>
        <w:rPr>
          <w:i/>
          <w:sz w:val="24"/>
        </w:rPr>
      </w:pPr>
      <w:r>
        <w:br w:type="column"/>
      </w:r>
      <w:r>
        <w:rPr>
          <w:b/>
          <w:i/>
          <w:sz w:val="24"/>
        </w:rPr>
        <w:t xml:space="preserve">Extended Data Fig 3: </w:t>
      </w:r>
      <w:r>
        <w:rPr>
          <w:i/>
          <w:sz w:val="24"/>
        </w:rPr>
        <w:t xml:space="preserve">Global total of people living in the coastal flood plain </w:t>
      </w:r>
      <w:r>
        <w:rPr>
          <w:i/>
          <w:spacing w:val="-3"/>
          <w:sz w:val="24"/>
        </w:rPr>
        <w:t xml:space="preserve">from </w:t>
      </w:r>
      <w:r>
        <w:rPr>
          <w:i/>
          <w:sz w:val="24"/>
        </w:rPr>
        <w:t>2015 to 2050 under a range of socio-economic and climate scenarios. These comprise five different SSP-based regionalised population scenarios (SSP1 to SSP5), and no climate-</w:t>
      </w:r>
      <w:r>
        <w:rPr>
          <w:i/>
          <w:sz w:val="24"/>
        </w:rPr>
        <w:t xml:space="preserve">induced SLR and the RCP2.6 and RCP8.5 SLR scenarios, </w:t>
      </w:r>
      <w:r>
        <w:rPr>
          <w:i/>
          <w:spacing w:val="-3"/>
          <w:sz w:val="24"/>
        </w:rPr>
        <w:t xml:space="preserve">respectively. </w:t>
      </w:r>
      <w:r>
        <w:rPr>
          <w:i/>
          <w:sz w:val="24"/>
        </w:rPr>
        <w:t xml:space="preserve">Assumptions concerning geological components of relative SLR </w:t>
      </w:r>
      <w:r>
        <w:rPr>
          <w:i/>
          <w:spacing w:val="-4"/>
          <w:sz w:val="24"/>
        </w:rPr>
        <w:t xml:space="preserve">are </w:t>
      </w:r>
      <w:r>
        <w:rPr>
          <w:i/>
          <w:sz w:val="24"/>
        </w:rPr>
        <w:t xml:space="preserve">as follows: Column (a) No geological component, Column (b) GIA </w:t>
      </w:r>
      <w:r>
        <w:rPr>
          <w:i/>
          <w:spacing w:val="-3"/>
          <w:sz w:val="24"/>
        </w:rPr>
        <w:t>only,</w:t>
      </w:r>
      <w:r>
        <w:rPr>
          <w:i/>
          <w:spacing w:val="-26"/>
          <w:sz w:val="24"/>
        </w:rPr>
        <w:t xml:space="preserve"> </w:t>
      </w:r>
      <w:r>
        <w:rPr>
          <w:i/>
          <w:sz w:val="24"/>
        </w:rPr>
        <w:t>Column</w:t>
      </w:r>
    </w:p>
    <w:p w14:paraId="49A3D7A3" w14:textId="77777777" w:rsidR="007B6A71" w:rsidRDefault="00CE1F16">
      <w:pPr>
        <w:pStyle w:val="ListParagraph"/>
        <w:numPr>
          <w:ilvl w:val="0"/>
          <w:numId w:val="1"/>
        </w:numPr>
        <w:tabs>
          <w:tab w:val="left" w:pos="415"/>
        </w:tabs>
        <w:spacing w:before="1"/>
        <w:ind w:right="440" w:firstLine="0"/>
        <w:jc w:val="both"/>
        <w:rPr>
          <w:i/>
          <w:sz w:val="24"/>
        </w:rPr>
      </w:pPr>
      <w:r>
        <w:rPr>
          <w:i/>
          <w:sz w:val="24"/>
        </w:rPr>
        <w:t>GIA</w:t>
      </w:r>
      <w:r>
        <w:rPr>
          <w:i/>
          <w:spacing w:val="-18"/>
          <w:sz w:val="24"/>
        </w:rPr>
        <w:t xml:space="preserve"> </w:t>
      </w:r>
      <w:r>
        <w:rPr>
          <w:i/>
          <w:sz w:val="24"/>
        </w:rPr>
        <w:t>and</w:t>
      </w:r>
      <w:r>
        <w:rPr>
          <w:i/>
          <w:spacing w:val="-12"/>
          <w:sz w:val="24"/>
        </w:rPr>
        <w:t xml:space="preserve"> </w:t>
      </w:r>
      <w:r>
        <w:rPr>
          <w:i/>
          <w:sz w:val="24"/>
        </w:rPr>
        <w:t>delta</w:t>
      </w:r>
      <w:r>
        <w:rPr>
          <w:i/>
          <w:spacing w:val="-13"/>
          <w:sz w:val="24"/>
        </w:rPr>
        <w:t xml:space="preserve"> </w:t>
      </w:r>
      <w:r>
        <w:rPr>
          <w:i/>
          <w:sz w:val="24"/>
        </w:rPr>
        <w:t>subsidence,</w:t>
      </w:r>
      <w:r>
        <w:rPr>
          <w:i/>
          <w:spacing w:val="-12"/>
          <w:sz w:val="24"/>
        </w:rPr>
        <w:t xml:space="preserve"> </w:t>
      </w:r>
      <w:r>
        <w:rPr>
          <w:i/>
          <w:sz w:val="24"/>
        </w:rPr>
        <w:t>Column</w:t>
      </w:r>
      <w:r>
        <w:rPr>
          <w:i/>
          <w:spacing w:val="-11"/>
          <w:sz w:val="24"/>
        </w:rPr>
        <w:t xml:space="preserve"> </w:t>
      </w:r>
      <w:r>
        <w:rPr>
          <w:i/>
          <w:sz w:val="24"/>
        </w:rPr>
        <w:t>(d)</w:t>
      </w:r>
      <w:r>
        <w:rPr>
          <w:i/>
          <w:spacing w:val="-15"/>
          <w:sz w:val="24"/>
        </w:rPr>
        <w:t xml:space="preserve"> </w:t>
      </w:r>
      <w:r>
        <w:rPr>
          <w:i/>
          <w:sz w:val="24"/>
        </w:rPr>
        <w:t>GIA,</w:t>
      </w:r>
      <w:r>
        <w:rPr>
          <w:i/>
          <w:spacing w:val="-12"/>
          <w:sz w:val="24"/>
        </w:rPr>
        <w:t xml:space="preserve"> </w:t>
      </w:r>
      <w:r>
        <w:rPr>
          <w:i/>
          <w:sz w:val="24"/>
        </w:rPr>
        <w:t>delta</w:t>
      </w:r>
      <w:r>
        <w:rPr>
          <w:i/>
          <w:spacing w:val="-13"/>
          <w:sz w:val="24"/>
        </w:rPr>
        <w:t xml:space="preserve"> </w:t>
      </w:r>
      <w:r>
        <w:rPr>
          <w:i/>
          <w:sz w:val="24"/>
        </w:rPr>
        <w:t>and</w:t>
      </w:r>
      <w:r>
        <w:rPr>
          <w:i/>
          <w:spacing w:val="-12"/>
          <w:sz w:val="24"/>
        </w:rPr>
        <w:t xml:space="preserve"> </w:t>
      </w:r>
      <w:r>
        <w:rPr>
          <w:i/>
          <w:sz w:val="24"/>
        </w:rPr>
        <w:t>uncontrolled</w:t>
      </w:r>
      <w:r>
        <w:rPr>
          <w:i/>
          <w:spacing w:val="-13"/>
          <w:sz w:val="24"/>
        </w:rPr>
        <w:t xml:space="preserve"> </w:t>
      </w:r>
      <w:r>
        <w:rPr>
          <w:i/>
          <w:sz w:val="24"/>
        </w:rPr>
        <w:t>city</w:t>
      </w:r>
      <w:r>
        <w:rPr>
          <w:i/>
          <w:spacing w:val="-13"/>
          <w:sz w:val="24"/>
        </w:rPr>
        <w:t xml:space="preserve"> </w:t>
      </w:r>
      <w:r>
        <w:rPr>
          <w:i/>
          <w:sz w:val="24"/>
        </w:rPr>
        <w:t>subsidence.</w:t>
      </w:r>
      <w:r>
        <w:rPr>
          <w:i/>
          <w:spacing w:val="-13"/>
          <w:sz w:val="24"/>
        </w:rPr>
        <w:t xml:space="preserve"> </w:t>
      </w:r>
      <w:r>
        <w:rPr>
          <w:i/>
          <w:sz w:val="24"/>
        </w:rPr>
        <w:t>Column</w:t>
      </w:r>
      <w:r>
        <w:rPr>
          <w:i/>
          <w:spacing w:val="-10"/>
          <w:sz w:val="24"/>
        </w:rPr>
        <w:t xml:space="preserve"> </w:t>
      </w:r>
      <w:r>
        <w:rPr>
          <w:i/>
          <w:sz w:val="24"/>
        </w:rPr>
        <w:t>(e) GIA,</w:t>
      </w:r>
      <w:r>
        <w:rPr>
          <w:i/>
          <w:spacing w:val="9"/>
          <w:sz w:val="24"/>
        </w:rPr>
        <w:t xml:space="preserve"> </w:t>
      </w:r>
      <w:r>
        <w:rPr>
          <w:i/>
          <w:sz w:val="24"/>
        </w:rPr>
        <w:t>delta</w:t>
      </w:r>
      <w:r>
        <w:rPr>
          <w:i/>
          <w:spacing w:val="9"/>
          <w:sz w:val="24"/>
        </w:rPr>
        <w:t xml:space="preserve"> </w:t>
      </w:r>
      <w:r>
        <w:rPr>
          <w:i/>
          <w:sz w:val="24"/>
        </w:rPr>
        <w:t>and</w:t>
      </w:r>
      <w:r>
        <w:rPr>
          <w:i/>
          <w:spacing w:val="12"/>
          <w:sz w:val="24"/>
        </w:rPr>
        <w:t xml:space="preserve"> </w:t>
      </w:r>
      <w:r>
        <w:rPr>
          <w:i/>
          <w:sz w:val="24"/>
        </w:rPr>
        <w:t>controlled</w:t>
      </w:r>
      <w:r>
        <w:rPr>
          <w:i/>
          <w:spacing w:val="9"/>
          <w:sz w:val="24"/>
        </w:rPr>
        <w:t xml:space="preserve"> </w:t>
      </w:r>
      <w:r>
        <w:rPr>
          <w:i/>
          <w:sz w:val="24"/>
        </w:rPr>
        <w:t>city</w:t>
      </w:r>
      <w:r>
        <w:rPr>
          <w:i/>
          <w:spacing w:val="8"/>
          <w:sz w:val="24"/>
        </w:rPr>
        <w:t xml:space="preserve"> </w:t>
      </w:r>
      <w:r>
        <w:rPr>
          <w:i/>
          <w:sz w:val="24"/>
        </w:rPr>
        <w:t>subsidence</w:t>
      </w:r>
      <w:r>
        <w:rPr>
          <w:i/>
          <w:spacing w:val="11"/>
          <w:sz w:val="24"/>
        </w:rPr>
        <w:t xml:space="preserve"> </w:t>
      </w:r>
      <w:r>
        <w:rPr>
          <w:i/>
          <w:sz w:val="24"/>
        </w:rPr>
        <w:t>(to</w:t>
      </w:r>
      <w:r>
        <w:rPr>
          <w:i/>
          <w:spacing w:val="10"/>
          <w:sz w:val="24"/>
        </w:rPr>
        <w:t xml:space="preserve"> </w:t>
      </w:r>
      <w:r>
        <w:rPr>
          <w:i/>
          <w:sz w:val="24"/>
        </w:rPr>
        <w:t>a</w:t>
      </w:r>
      <w:r>
        <w:rPr>
          <w:i/>
          <w:spacing w:val="11"/>
          <w:sz w:val="24"/>
        </w:rPr>
        <w:t xml:space="preserve"> </w:t>
      </w:r>
      <w:r>
        <w:rPr>
          <w:i/>
          <w:sz w:val="24"/>
        </w:rPr>
        <w:t>maximum</w:t>
      </w:r>
      <w:r>
        <w:rPr>
          <w:i/>
          <w:spacing w:val="9"/>
          <w:sz w:val="24"/>
        </w:rPr>
        <w:t xml:space="preserve"> </w:t>
      </w:r>
      <w:r>
        <w:rPr>
          <w:i/>
          <w:sz w:val="24"/>
        </w:rPr>
        <w:t>of</w:t>
      </w:r>
      <w:r>
        <w:rPr>
          <w:i/>
          <w:spacing w:val="10"/>
          <w:sz w:val="24"/>
        </w:rPr>
        <w:t xml:space="preserve"> </w:t>
      </w:r>
      <w:r>
        <w:rPr>
          <w:i/>
          <w:sz w:val="24"/>
        </w:rPr>
        <w:t>5</w:t>
      </w:r>
      <w:r>
        <w:rPr>
          <w:i/>
          <w:spacing w:val="12"/>
          <w:sz w:val="24"/>
        </w:rPr>
        <w:t xml:space="preserve"> </w:t>
      </w:r>
      <w:r>
        <w:rPr>
          <w:i/>
          <w:sz w:val="24"/>
        </w:rPr>
        <w:t>mm/yr).</w:t>
      </w:r>
      <w:r>
        <w:rPr>
          <w:i/>
          <w:spacing w:val="9"/>
          <w:sz w:val="24"/>
        </w:rPr>
        <w:t xml:space="preserve"> </w:t>
      </w:r>
      <w:r>
        <w:rPr>
          <w:i/>
          <w:sz w:val="24"/>
        </w:rPr>
        <w:t>The</w:t>
      </w:r>
      <w:r>
        <w:rPr>
          <w:i/>
          <w:spacing w:val="8"/>
          <w:sz w:val="24"/>
        </w:rPr>
        <w:t xml:space="preserve"> </w:t>
      </w:r>
      <w:r>
        <w:rPr>
          <w:i/>
          <w:sz w:val="24"/>
        </w:rPr>
        <w:t>uncertainty</w:t>
      </w:r>
      <w:r>
        <w:rPr>
          <w:i/>
          <w:spacing w:val="9"/>
          <w:sz w:val="24"/>
        </w:rPr>
        <w:t xml:space="preserve"> </w:t>
      </w:r>
      <w:r>
        <w:rPr>
          <w:i/>
          <w:sz w:val="24"/>
        </w:rPr>
        <w:t>bands</w:t>
      </w:r>
      <w:r>
        <w:rPr>
          <w:i/>
          <w:spacing w:val="12"/>
          <w:sz w:val="24"/>
        </w:rPr>
        <w:t xml:space="preserve"> </w:t>
      </w:r>
      <w:r>
        <w:rPr>
          <w:i/>
          <w:sz w:val="24"/>
        </w:rPr>
        <w:t>in</w:t>
      </w:r>
    </w:p>
    <w:p w14:paraId="2D9463EE" w14:textId="77777777" w:rsidR="007B6A71" w:rsidRDefault="00CE1F16">
      <w:pPr>
        <w:pStyle w:val="ListParagraph"/>
        <w:numPr>
          <w:ilvl w:val="0"/>
          <w:numId w:val="1"/>
        </w:numPr>
        <w:tabs>
          <w:tab w:val="left" w:pos="434"/>
        </w:tabs>
        <w:ind w:right="439" w:firstLine="0"/>
        <w:jc w:val="both"/>
        <w:rPr>
          <w:i/>
          <w:sz w:val="24"/>
        </w:rPr>
      </w:pPr>
      <w:r>
        <w:rPr>
          <w:i/>
          <w:sz w:val="24"/>
        </w:rPr>
        <w:t>reflect</w:t>
      </w:r>
      <w:r>
        <w:rPr>
          <w:i/>
          <w:spacing w:val="-8"/>
          <w:sz w:val="24"/>
        </w:rPr>
        <w:t xml:space="preserve"> </w:t>
      </w:r>
      <w:r>
        <w:rPr>
          <w:i/>
          <w:sz w:val="24"/>
        </w:rPr>
        <w:t>uncertainty</w:t>
      </w:r>
      <w:r>
        <w:rPr>
          <w:i/>
          <w:spacing w:val="-8"/>
          <w:sz w:val="24"/>
        </w:rPr>
        <w:t xml:space="preserve"> </w:t>
      </w:r>
      <w:r>
        <w:rPr>
          <w:i/>
          <w:sz w:val="24"/>
        </w:rPr>
        <w:t>in</w:t>
      </w:r>
      <w:r>
        <w:rPr>
          <w:i/>
          <w:spacing w:val="-5"/>
          <w:sz w:val="24"/>
        </w:rPr>
        <w:t xml:space="preserve"> </w:t>
      </w:r>
      <w:r>
        <w:rPr>
          <w:i/>
          <w:sz w:val="24"/>
        </w:rPr>
        <w:t>the</w:t>
      </w:r>
      <w:r>
        <w:rPr>
          <w:i/>
          <w:spacing w:val="-8"/>
          <w:sz w:val="24"/>
        </w:rPr>
        <w:t xml:space="preserve"> </w:t>
      </w:r>
      <w:r>
        <w:rPr>
          <w:i/>
          <w:sz w:val="24"/>
        </w:rPr>
        <w:t>rates</w:t>
      </w:r>
      <w:r>
        <w:rPr>
          <w:i/>
          <w:spacing w:val="-7"/>
          <w:sz w:val="24"/>
        </w:rPr>
        <w:t xml:space="preserve"> </w:t>
      </w:r>
      <w:r>
        <w:rPr>
          <w:i/>
          <w:sz w:val="24"/>
        </w:rPr>
        <w:t>of</w:t>
      </w:r>
      <w:r>
        <w:rPr>
          <w:i/>
          <w:spacing w:val="-7"/>
          <w:sz w:val="24"/>
        </w:rPr>
        <w:t xml:space="preserve"> </w:t>
      </w:r>
      <w:r>
        <w:rPr>
          <w:i/>
          <w:sz w:val="24"/>
        </w:rPr>
        <w:t>city</w:t>
      </w:r>
      <w:r>
        <w:rPr>
          <w:i/>
          <w:spacing w:val="-8"/>
          <w:sz w:val="24"/>
        </w:rPr>
        <w:t xml:space="preserve"> </w:t>
      </w:r>
      <w:r>
        <w:rPr>
          <w:i/>
          <w:sz w:val="24"/>
        </w:rPr>
        <w:t>subsidence</w:t>
      </w:r>
      <w:r>
        <w:rPr>
          <w:i/>
          <w:spacing w:val="-6"/>
          <w:sz w:val="24"/>
        </w:rPr>
        <w:t xml:space="preserve"> </w:t>
      </w:r>
      <w:r>
        <w:rPr>
          <w:i/>
          <w:sz w:val="24"/>
        </w:rPr>
        <w:t>(see</w:t>
      </w:r>
      <w:r>
        <w:rPr>
          <w:i/>
          <w:spacing w:val="-8"/>
          <w:sz w:val="24"/>
        </w:rPr>
        <w:t xml:space="preserve"> </w:t>
      </w:r>
      <w:r>
        <w:rPr>
          <w:i/>
          <w:sz w:val="24"/>
        </w:rPr>
        <w:t>Fig</w:t>
      </w:r>
      <w:r>
        <w:rPr>
          <w:i/>
          <w:spacing w:val="-7"/>
          <w:sz w:val="24"/>
        </w:rPr>
        <w:t xml:space="preserve"> </w:t>
      </w:r>
      <w:r>
        <w:rPr>
          <w:i/>
          <w:sz w:val="24"/>
        </w:rPr>
        <w:t>1).</w:t>
      </w:r>
      <w:r>
        <w:rPr>
          <w:i/>
          <w:spacing w:val="-10"/>
          <w:sz w:val="24"/>
        </w:rPr>
        <w:t xml:space="preserve"> </w:t>
      </w:r>
      <w:r>
        <w:rPr>
          <w:i/>
          <w:sz w:val="24"/>
        </w:rPr>
        <w:t>All</w:t>
      </w:r>
      <w:r>
        <w:rPr>
          <w:i/>
          <w:spacing w:val="-6"/>
          <w:sz w:val="24"/>
        </w:rPr>
        <w:t xml:space="preserve"> </w:t>
      </w:r>
      <w:r>
        <w:rPr>
          <w:i/>
          <w:sz w:val="24"/>
        </w:rPr>
        <w:t>simulations</w:t>
      </w:r>
      <w:r>
        <w:rPr>
          <w:i/>
          <w:spacing w:val="-7"/>
          <w:sz w:val="24"/>
        </w:rPr>
        <w:t xml:space="preserve"> </w:t>
      </w:r>
      <w:r>
        <w:rPr>
          <w:i/>
          <w:sz w:val="24"/>
        </w:rPr>
        <w:t>start</w:t>
      </w:r>
      <w:r>
        <w:rPr>
          <w:i/>
          <w:spacing w:val="-7"/>
          <w:sz w:val="24"/>
        </w:rPr>
        <w:t xml:space="preserve"> </w:t>
      </w:r>
      <w:r>
        <w:rPr>
          <w:i/>
          <w:sz w:val="24"/>
        </w:rPr>
        <w:t>in</w:t>
      </w:r>
      <w:r>
        <w:rPr>
          <w:i/>
          <w:spacing w:val="-7"/>
          <w:sz w:val="24"/>
        </w:rPr>
        <w:t xml:space="preserve"> </w:t>
      </w:r>
      <w:r>
        <w:rPr>
          <w:i/>
          <w:sz w:val="24"/>
        </w:rPr>
        <w:t>1995.</w:t>
      </w:r>
      <w:r>
        <w:rPr>
          <w:i/>
          <w:spacing w:val="-7"/>
          <w:sz w:val="24"/>
        </w:rPr>
        <w:t xml:space="preserve"> </w:t>
      </w:r>
      <w:r>
        <w:rPr>
          <w:i/>
          <w:sz w:val="24"/>
        </w:rPr>
        <w:t xml:space="preserve">The </w:t>
      </w:r>
      <w:r>
        <w:rPr>
          <w:i/>
          <w:sz w:val="24"/>
        </w:rPr>
        <w:t>results indicate little variation between SSPs to</w:t>
      </w:r>
      <w:r>
        <w:rPr>
          <w:i/>
          <w:spacing w:val="-4"/>
          <w:sz w:val="24"/>
        </w:rPr>
        <w:t xml:space="preserve"> </w:t>
      </w:r>
      <w:r>
        <w:rPr>
          <w:i/>
          <w:sz w:val="24"/>
        </w:rPr>
        <w:t>2050.</w:t>
      </w:r>
    </w:p>
    <w:sectPr w:rsidR="007B6A71">
      <w:type w:val="continuous"/>
      <w:pgSz w:w="12240" w:h="15840"/>
      <w:pgMar w:top="1360" w:right="1000" w:bottom="1720" w:left="260" w:header="720" w:footer="720" w:gutter="0"/>
      <w:cols w:num="2" w:space="720" w:equalWidth="0">
        <w:col w:w="501" w:space="580"/>
        <w:col w:w="98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626E0" w14:textId="77777777" w:rsidR="00CE1F16" w:rsidRDefault="00CE1F16">
      <w:r>
        <w:separator/>
      </w:r>
    </w:p>
  </w:endnote>
  <w:endnote w:type="continuationSeparator" w:id="0">
    <w:p w14:paraId="468AE0C2" w14:textId="77777777" w:rsidR="00CE1F16" w:rsidRDefault="00CE1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CD4B5" w14:textId="38DFAFB7" w:rsidR="007B6A71" w:rsidRDefault="000E6259">
    <w:pPr>
      <w:pStyle w:val="BodyText"/>
      <w:spacing w:line="14" w:lineRule="auto"/>
      <w:rPr>
        <w:sz w:val="19"/>
      </w:rPr>
    </w:pPr>
    <w:r>
      <w:rPr>
        <w:noProof/>
      </w:rPr>
      <mc:AlternateContent>
        <mc:Choice Requires="wps">
          <w:drawing>
            <wp:anchor distT="0" distB="0" distL="114300" distR="114300" simplePos="0" relativeHeight="251657728" behindDoc="1" locked="0" layoutInCell="1" allowOverlap="1" wp14:anchorId="141F50DB" wp14:editId="7A736B13">
              <wp:simplePos x="0" y="0"/>
              <wp:positionH relativeFrom="page">
                <wp:posOffset>876300</wp:posOffset>
              </wp:positionH>
              <wp:positionV relativeFrom="page">
                <wp:posOffset>8891270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AB97" w14:textId="77777777" w:rsidR="007B6A71" w:rsidRDefault="00CE1F16">
                          <w:pPr>
                            <w:pStyle w:val="BodyText"/>
                            <w:spacing w:before="10"/>
                            <w:ind w:left="6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F50DB" id="_x0000_t202" coordsize="21600,21600" o:spt="202" path="m,l,21600r21600,l21600,xe">
              <v:stroke joinstyle="miter"/>
              <v:path gradientshapeok="t" o:connecttype="rect"/>
            </v:shapetype>
            <v:shape id="Text Box 1" o:spid="_x0000_s1026" type="#_x0000_t202" style="position:absolute;margin-left:69pt;margin-top:700.1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" filled="f" stroked="f">
              <v:textbox inset="0,0,0,0">
                <w:txbxContent>
                  <w:p w14:paraId="106DAB97" w14:textId="77777777" w:rsidR="007B6A71" w:rsidRDefault="00CE1F16">
                    <w:pPr>
                      <w:pStyle w:val="BodyText"/>
                      <w:spacing w:before="10"/>
                      <w:ind w:left="6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F3733" w14:textId="77777777" w:rsidR="00CE1F16" w:rsidRDefault="00CE1F16">
      <w:r>
        <w:separator/>
      </w:r>
    </w:p>
  </w:footnote>
  <w:footnote w:type="continuationSeparator" w:id="0">
    <w:p w14:paraId="2DC98C11" w14:textId="77777777" w:rsidR="00CE1F16" w:rsidRDefault="00CE1F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1724"/>
    <w:multiLevelType w:val="hybridMultilevel"/>
    <w:tmpl w:val="EC2C0CC0"/>
    <w:lvl w:ilvl="0" w:tplc="8DEAE99C">
      <w:start w:val="2"/>
      <w:numFmt w:val="lowerLetter"/>
      <w:lvlText w:val="(%1)"/>
      <w:lvlJc w:val="left"/>
      <w:pPr>
        <w:ind w:left="100" w:hanging="327"/>
        <w:jc w:val="left"/>
      </w:pPr>
      <w:rPr>
        <w:rFonts w:ascii="Times New Roman" w:eastAsia="Times New Roman" w:hAnsi="Times New Roman" w:cs="Times New Roman" w:hint="default"/>
        <w:i/>
        <w:spacing w:val="-2"/>
        <w:w w:val="100"/>
        <w:sz w:val="22"/>
        <w:szCs w:val="22"/>
        <w:lang w:val="en-GB" w:eastAsia="en-GB" w:bidi="en-GB"/>
      </w:rPr>
    </w:lvl>
    <w:lvl w:ilvl="1" w:tplc="904E95FC">
      <w:numFmt w:val="bullet"/>
      <w:lvlText w:val="•"/>
      <w:lvlJc w:val="left"/>
      <w:pPr>
        <w:ind w:left="1079" w:hanging="327"/>
      </w:pPr>
      <w:rPr>
        <w:rFonts w:hint="default"/>
        <w:lang w:val="en-GB" w:eastAsia="en-GB" w:bidi="en-GB"/>
      </w:rPr>
    </w:lvl>
    <w:lvl w:ilvl="2" w:tplc="4FEC6C8E">
      <w:numFmt w:val="bullet"/>
      <w:lvlText w:val="•"/>
      <w:lvlJc w:val="left"/>
      <w:pPr>
        <w:ind w:left="2059" w:hanging="327"/>
      </w:pPr>
      <w:rPr>
        <w:rFonts w:hint="default"/>
        <w:lang w:val="en-GB" w:eastAsia="en-GB" w:bidi="en-GB"/>
      </w:rPr>
    </w:lvl>
    <w:lvl w:ilvl="3" w:tplc="F9249C90">
      <w:numFmt w:val="bullet"/>
      <w:lvlText w:val="•"/>
      <w:lvlJc w:val="left"/>
      <w:pPr>
        <w:ind w:left="3039" w:hanging="327"/>
      </w:pPr>
      <w:rPr>
        <w:rFonts w:hint="default"/>
        <w:lang w:val="en-GB" w:eastAsia="en-GB" w:bidi="en-GB"/>
      </w:rPr>
    </w:lvl>
    <w:lvl w:ilvl="4" w:tplc="D9D2F3EE">
      <w:numFmt w:val="bullet"/>
      <w:lvlText w:val="•"/>
      <w:lvlJc w:val="left"/>
      <w:pPr>
        <w:ind w:left="4019" w:hanging="327"/>
      </w:pPr>
      <w:rPr>
        <w:rFonts w:hint="default"/>
        <w:lang w:val="en-GB" w:eastAsia="en-GB" w:bidi="en-GB"/>
      </w:rPr>
    </w:lvl>
    <w:lvl w:ilvl="5" w:tplc="9BEC1556">
      <w:numFmt w:val="bullet"/>
      <w:lvlText w:val="•"/>
      <w:lvlJc w:val="left"/>
      <w:pPr>
        <w:ind w:left="4999" w:hanging="327"/>
      </w:pPr>
      <w:rPr>
        <w:rFonts w:hint="default"/>
        <w:lang w:val="en-GB" w:eastAsia="en-GB" w:bidi="en-GB"/>
      </w:rPr>
    </w:lvl>
    <w:lvl w:ilvl="6" w:tplc="07488EF6">
      <w:numFmt w:val="bullet"/>
      <w:lvlText w:val="•"/>
      <w:lvlJc w:val="left"/>
      <w:pPr>
        <w:ind w:left="5979" w:hanging="327"/>
      </w:pPr>
      <w:rPr>
        <w:rFonts w:hint="default"/>
        <w:lang w:val="en-GB" w:eastAsia="en-GB" w:bidi="en-GB"/>
      </w:rPr>
    </w:lvl>
    <w:lvl w:ilvl="7" w:tplc="20942EF4">
      <w:numFmt w:val="bullet"/>
      <w:lvlText w:val="•"/>
      <w:lvlJc w:val="left"/>
      <w:pPr>
        <w:ind w:left="6959" w:hanging="327"/>
      </w:pPr>
      <w:rPr>
        <w:rFonts w:hint="default"/>
        <w:lang w:val="en-GB" w:eastAsia="en-GB" w:bidi="en-GB"/>
      </w:rPr>
    </w:lvl>
    <w:lvl w:ilvl="8" w:tplc="A2A2C210">
      <w:numFmt w:val="bullet"/>
      <w:lvlText w:val="•"/>
      <w:lvlJc w:val="left"/>
      <w:pPr>
        <w:ind w:left="7939" w:hanging="327"/>
      </w:pPr>
      <w:rPr>
        <w:rFonts w:hint="default"/>
        <w:lang w:val="en-GB" w:eastAsia="en-GB" w:bidi="en-GB"/>
      </w:rPr>
    </w:lvl>
  </w:abstractNum>
  <w:abstractNum w:abstractNumId="1" w15:restartNumberingAfterBreak="0">
    <w:nsid w:val="1DC8385A"/>
    <w:multiLevelType w:val="hybridMultilevel"/>
    <w:tmpl w:val="3B685200"/>
    <w:lvl w:ilvl="0" w:tplc="27100B48">
      <w:start w:val="1"/>
      <w:numFmt w:val="decimal"/>
      <w:lvlText w:val="%1"/>
      <w:lvlJc w:val="left"/>
      <w:pPr>
        <w:ind w:left="819" w:hanging="720"/>
        <w:jc w:val="left"/>
      </w:pPr>
      <w:rPr>
        <w:rFonts w:ascii="Times New Roman" w:eastAsia="Times New Roman" w:hAnsi="Times New Roman" w:cs="Times New Roman" w:hint="default"/>
        <w:spacing w:val="-4"/>
        <w:w w:val="99"/>
        <w:sz w:val="24"/>
        <w:szCs w:val="24"/>
        <w:lang w:val="en-GB" w:eastAsia="en-GB" w:bidi="en-GB"/>
      </w:rPr>
    </w:lvl>
    <w:lvl w:ilvl="1" w:tplc="4EC08C80">
      <w:start w:val="1"/>
      <w:numFmt w:val="decimal"/>
      <w:lvlText w:val="%2."/>
      <w:lvlJc w:val="left"/>
      <w:pPr>
        <w:ind w:left="1900" w:hanging="360"/>
        <w:jc w:val="right"/>
      </w:pPr>
      <w:rPr>
        <w:rFonts w:ascii="Times New Roman" w:eastAsia="Times New Roman" w:hAnsi="Times New Roman" w:cs="Times New Roman" w:hint="default"/>
        <w:spacing w:val="-2"/>
        <w:w w:val="99"/>
        <w:sz w:val="24"/>
        <w:szCs w:val="24"/>
        <w:lang w:val="en-GB" w:eastAsia="en-GB" w:bidi="en-GB"/>
      </w:rPr>
    </w:lvl>
    <w:lvl w:ilvl="2" w:tplc="B6D45510">
      <w:numFmt w:val="bullet"/>
      <w:lvlText w:val="•"/>
      <w:lvlJc w:val="left"/>
      <w:pPr>
        <w:ind w:left="2788" w:hanging="360"/>
      </w:pPr>
      <w:rPr>
        <w:rFonts w:hint="default"/>
        <w:lang w:val="en-GB" w:eastAsia="en-GB" w:bidi="en-GB"/>
      </w:rPr>
    </w:lvl>
    <w:lvl w:ilvl="3" w:tplc="B888D5E4">
      <w:numFmt w:val="bullet"/>
      <w:lvlText w:val="•"/>
      <w:lvlJc w:val="left"/>
      <w:pPr>
        <w:ind w:left="3677" w:hanging="360"/>
      </w:pPr>
      <w:rPr>
        <w:rFonts w:hint="default"/>
        <w:lang w:val="en-GB" w:eastAsia="en-GB" w:bidi="en-GB"/>
      </w:rPr>
    </w:lvl>
    <w:lvl w:ilvl="4" w:tplc="0DD6096A">
      <w:numFmt w:val="bullet"/>
      <w:lvlText w:val="•"/>
      <w:lvlJc w:val="left"/>
      <w:pPr>
        <w:ind w:left="4566" w:hanging="360"/>
      </w:pPr>
      <w:rPr>
        <w:rFonts w:hint="default"/>
        <w:lang w:val="en-GB" w:eastAsia="en-GB" w:bidi="en-GB"/>
      </w:rPr>
    </w:lvl>
    <w:lvl w:ilvl="5" w:tplc="691A8876">
      <w:numFmt w:val="bullet"/>
      <w:lvlText w:val="•"/>
      <w:lvlJc w:val="left"/>
      <w:pPr>
        <w:ind w:left="5455" w:hanging="360"/>
      </w:pPr>
      <w:rPr>
        <w:rFonts w:hint="default"/>
        <w:lang w:val="en-GB" w:eastAsia="en-GB" w:bidi="en-GB"/>
      </w:rPr>
    </w:lvl>
    <w:lvl w:ilvl="6" w:tplc="81344976">
      <w:numFmt w:val="bullet"/>
      <w:lvlText w:val="•"/>
      <w:lvlJc w:val="left"/>
      <w:pPr>
        <w:ind w:left="6344" w:hanging="360"/>
      </w:pPr>
      <w:rPr>
        <w:rFonts w:hint="default"/>
        <w:lang w:val="en-GB" w:eastAsia="en-GB" w:bidi="en-GB"/>
      </w:rPr>
    </w:lvl>
    <w:lvl w:ilvl="7" w:tplc="955A3B00">
      <w:numFmt w:val="bullet"/>
      <w:lvlText w:val="•"/>
      <w:lvlJc w:val="left"/>
      <w:pPr>
        <w:ind w:left="7233" w:hanging="360"/>
      </w:pPr>
      <w:rPr>
        <w:rFonts w:hint="default"/>
        <w:lang w:val="en-GB" w:eastAsia="en-GB" w:bidi="en-GB"/>
      </w:rPr>
    </w:lvl>
    <w:lvl w:ilvl="8" w:tplc="EF10F910">
      <w:numFmt w:val="bullet"/>
      <w:lvlText w:val="•"/>
      <w:lvlJc w:val="left"/>
      <w:pPr>
        <w:ind w:left="8121" w:hanging="360"/>
      </w:pPr>
      <w:rPr>
        <w:rFonts w:hint="default"/>
        <w:lang w:val="en-GB" w:eastAsia="en-GB" w:bidi="en-GB"/>
      </w:rPr>
    </w:lvl>
  </w:abstractNum>
  <w:abstractNum w:abstractNumId="2" w15:restartNumberingAfterBreak="0">
    <w:nsid w:val="3AF17CC7"/>
    <w:multiLevelType w:val="hybridMultilevel"/>
    <w:tmpl w:val="47607AD4"/>
    <w:lvl w:ilvl="0" w:tplc="94DAEF28">
      <w:start w:val="30"/>
      <w:numFmt w:val="decimal"/>
      <w:lvlText w:val="%1"/>
      <w:lvlJc w:val="left"/>
      <w:pPr>
        <w:ind w:left="819" w:hanging="720"/>
        <w:jc w:val="left"/>
      </w:pPr>
      <w:rPr>
        <w:rFonts w:ascii="Times New Roman" w:eastAsia="Times New Roman" w:hAnsi="Times New Roman" w:cs="Times New Roman" w:hint="default"/>
        <w:spacing w:val="-8"/>
        <w:w w:val="99"/>
        <w:sz w:val="24"/>
        <w:szCs w:val="24"/>
        <w:lang w:val="en-GB" w:eastAsia="en-GB" w:bidi="en-GB"/>
      </w:rPr>
    </w:lvl>
    <w:lvl w:ilvl="1" w:tplc="5360EDF0">
      <w:numFmt w:val="bullet"/>
      <w:lvlText w:val="•"/>
      <w:lvlJc w:val="left"/>
      <w:pPr>
        <w:ind w:left="1727" w:hanging="720"/>
      </w:pPr>
      <w:rPr>
        <w:rFonts w:hint="default"/>
        <w:lang w:val="en-GB" w:eastAsia="en-GB" w:bidi="en-GB"/>
      </w:rPr>
    </w:lvl>
    <w:lvl w:ilvl="2" w:tplc="DA4ADF1A">
      <w:numFmt w:val="bullet"/>
      <w:lvlText w:val="•"/>
      <w:lvlJc w:val="left"/>
      <w:pPr>
        <w:ind w:left="2635" w:hanging="720"/>
      </w:pPr>
      <w:rPr>
        <w:rFonts w:hint="default"/>
        <w:lang w:val="en-GB" w:eastAsia="en-GB" w:bidi="en-GB"/>
      </w:rPr>
    </w:lvl>
    <w:lvl w:ilvl="3" w:tplc="AA3C467A">
      <w:numFmt w:val="bullet"/>
      <w:lvlText w:val="•"/>
      <w:lvlJc w:val="left"/>
      <w:pPr>
        <w:ind w:left="3543" w:hanging="720"/>
      </w:pPr>
      <w:rPr>
        <w:rFonts w:hint="default"/>
        <w:lang w:val="en-GB" w:eastAsia="en-GB" w:bidi="en-GB"/>
      </w:rPr>
    </w:lvl>
    <w:lvl w:ilvl="4" w:tplc="3976BD92">
      <w:numFmt w:val="bullet"/>
      <w:lvlText w:val="•"/>
      <w:lvlJc w:val="left"/>
      <w:pPr>
        <w:ind w:left="4451" w:hanging="720"/>
      </w:pPr>
      <w:rPr>
        <w:rFonts w:hint="default"/>
        <w:lang w:val="en-GB" w:eastAsia="en-GB" w:bidi="en-GB"/>
      </w:rPr>
    </w:lvl>
    <w:lvl w:ilvl="5" w:tplc="04F6D0A6">
      <w:numFmt w:val="bullet"/>
      <w:lvlText w:val="•"/>
      <w:lvlJc w:val="left"/>
      <w:pPr>
        <w:ind w:left="5359" w:hanging="720"/>
      </w:pPr>
      <w:rPr>
        <w:rFonts w:hint="default"/>
        <w:lang w:val="en-GB" w:eastAsia="en-GB" w:bidi="en-GB"/>
      </w:rPr>
    </w:lvl>
    <w:lvl w:ilvl="6" w:tplc="1D3A99BC">
      <w:numFmt w:val="bullet"/>
      <w:lvlText w:val="•"/>
      <w:lvlJc w:val="left"/>
      <w:pPr>
        <w:ind w:left="6267" w:hanging="720"/>
      </w:pPr>
      <w:rPr>
        <w:rFonts w:hint="default"/>
        <w:lang w:val="en-GB" w:eastAsia="en-GB" w:bidi="en-GB"/>
      </w:rPr>
    </w:lvl>
    <w:lvl w:ilvl="7" w:tplc="2F66B35E">
      <w:numFmt w:val="bullet"/>
      <w:lvlText w:val="•"/>
      <w:lvlJc w:val="left"/>
      <w:pPr>
        <w:ind w:left="7175" w:hanging="720"/>
      </w:pPr>
      <w:rPr>
        <w:rFonts w:hint="default"/>
        <w:lang w:val="en-GB" w:eastAsia="en-GB" w:bidi="en-GB"/>
      </w:rPr>
    </w:lvl>
    <w:lvl w:ilvl="8" w:tplc="C10C70EA">
      <w:numFmt w:val="bullet"/>
      <w:lvlText w:val="•"/>
      <w:lvlJc w:val="left"/>
      <w:pPr>
        <w:ind w:left="8083" w:hanging="720"/>
      </w:pPr>
      <w:rPr>
        <w:rFonts w:hint="default"/>
        <w:lang w:val="en-GB" w:eastAsia="en-GB" w:bidi="en-GB"/>
      </w:rPr>
    </w:lvl>
  </w:abstractNum>
  <w:abstractNum w:abstractNumId="3" w15:restartNumberingAfterBreak="0">
    <w:nsid w:val="565D6328"/>
    <w:multiLevelType w:val="hybridMultilevel"/>
    <w:tmpl w:val="A388155E"/>
    <w:lvl w:ilvl="0" w:tplc="36E4462C">
      <w:start w:val="3"/>
      <w:numFmt w:val="lowerLetter"/>
      <w:lvlText w:val="(%1)"/>
      <w:lvlJc w:val="left"/>
      <w:pPr>
        <w:ind w:left="100" w:hanging="315"/>
        <w:jc w:val="left"/>
      </w:pPr>
      <w:rPr>
        <w:rFonts w:ascii="Times New Roman" w:eastAsia="Times New Roman" w:hAnsi="Times New Roman" w:cs="Times New Roman" w:hint="default"/>
        <w:i/>
        <w:w w:val="100"/>
        <w:sz w:val="24"/>
        <w:szCs w:val="24"/>
        <w:lang w:val="en-GB" w:eastAsia="en-GB" w:bidi="en-GB"/>
      </w:rPr>
    </w:lvl>
    <w:lvl w:ilvl="1" w:tplc="9490C992">
      <w:numFmt w:val="bullet"/>
      <w:lvlText w:val="•"/>
      <w:lvlJc w:val="left"/>
      <w:pPr>
        <w:ind w:left="1079" w:hanging="315"/>
      </w:pPr>
      <w:rPr>
        <w:rFonts w:hint="default"/>
        <w:lang w:val="en-GB" w:eastAsia="en-GB" w:bidi="en-GB"/>
      </w:rPr>
    </w:lvl>
    <w:lvl w:ilvl="2" w:tplc="8FFC3AEC">
      <w:numFmt w:val="bullet"/>
      <w:lvlText w:val="•"/>
      <w:lvlJc w:val="left"/>
      <w:pPr>
        <w:ind w:left="2059" w:hanging="315"/>
      </w:pPr>
      <w:rPr>
        <w:rFonts w:hint="default"/>
        <w:lang w:val="en-GB" w:eastAsia="en-GB" w:bidi="en-GB"/>
      </w:rPr>
    </w:lvl>
    <w:lvl w:ilvl="3" w:tplc="D91CC0A0">
      <w:numFmt w:val="bullet"/>
      <w:lvlText w:val="•"/>
      <w:lvlJc w:val="left"/>
      <w:pPr>
        <w:ind w:left="3039" w:hanging="315"/>
      </w:pPr>
      <w:rPr>
        <w:rFonts w:hint="default"/>
        <w:lang w:val="en-GB" w:eastAsia="en-GB" w:bidi="en-GB"/>
      </w:rPr>
    </w:lvl>
    <w:lvl w:ilvl="4" w:tplc="691CB272">
      <w:numFmt w:val="bullet"/>
      <w:lvlText w:val="•"/>
      <w:lvlJc w:val="left"/>
      <w:pPr>
        <w:ind w:left="4019" w:hanging="315"/>
      </w:pPr>
      <w:rPr>
        <w:rFonts w:hint="default"/>
        <w:lang w:val="en-GB" w:eastAsia="en-GB" w:bidi="en-GB"/>
      </w:rPr>
    </w:lvl>
    <w:lvl w:ilvl="5" w:tplc="2B4C84D4">
      <w:numFmt w:val="bullet"/>
      <w:lvlText w:val="•"/>
      <w:lvlJc w:val="left"/>
      <w:pPr>
        <w:ind w:left="4999" w:hanging="315"/>
      </w:pPr>
      <w:rPr>
        <w:rFonts w:hint="default"/>
        <w:lang w:val="en-GB" w:eastAsia="en-GB" w:bidi="en-GB"/>
      </w:rPr>
    </w:lvl>
    <w:lvl w:ilvl="6" w:tplc="473E8F5E">
      <w:numFmt w:val="bullet"/>
      <w:lvlText w:val="•"/>
      <w:lvlJc w:val="left"/>
      <w:pPr>
        <w:ind w:left="5979" w:hanging="315"/>
      </w:pPr>
      <w:rPr>
        <w:rFonts w:hint="default"/>
        <w:lang w:val="en-GB" w:eastAsia="en-GB" w:bidi="en-GB"/>
      </w:rPr>
    </w:lvl>
    <w:lvl w:ilvl="7" w:tplc="6E2E503C">
      <w:numFmt w:val="bullet"/>
      <w:lvlText w:val="•"/>
      <w:lvlJc w:val="left"/>
      <w:pPr>
        <w:ind w:left="6959" w:hanging="315"/>
      </w:pPr>
      <w:rPr>
        <w:rFonts w:hint="default"/>
        <w:lang w:val="en-GB" w:eastAsia="en-GB" w:bidi="en-GB"/>
      </w:rPr>
    </w:lvl>
    <w:lvl w:ilvl="8" w:tplc="7466F128">
      <w:numFmt w:val="bullet"/>
      <w:lvlText w:val="•"/>
      <w:lvlJc w:val="left"/>
      <w:pPr>
        <w:ind w:left="7939" w:hanging="315"/>
      </w:pPr>
      <w:rPr>
        <w:rFonts w:hint="default"/>
        <w:lang w:val="en-GB" w:eastAsia="en-GB" w:bidi="en-GB"/>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A71"/>
    <w:rsid w:val="000E6259"/>
    <w:rsid w:val="007B6A71"/>
    <w:rsid w:val="00CE1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ED41C"/>
  <w15:docId w15:val="{0C263DA3-7861-496B-A02F-2DF6AEADE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GB" w:eastAsia="en-GB" w:bidi="en-GB"/>
    </w:rPr>
  </w:style>
  <w:style w:type="paragraph" w:styleId="Heading1">
    <w:name w:val="heading 1"/>
    <w:basedOn w:val="Normal"/>
    <w:uiPriority w:val="9"/>
    <w:qFormat/>
    <w:pPr>
      <w:spacing w:before="89"/>
      <w:ind w:left="1180"/>
      <w:outlineLvl w:val="0"/>
    </w:pPr>
    <w:rPr>
      <w:b/>
      <w:bCs/>
      <w:sz w:val="28"/>
      <w:szCs w:val="28"/>
    </w:rPr>
  </w:style>
  <w:style w:type="paragraph" w:styleId="Heading2">
    <w:name w:val="heading 2"/>
    <w:basedOn w:val="Normal"/>
    <w:uiPriority w:val="9"/>
    <w:unhideWhenUsed/>
    <w:qFormat/>
    <w:pPr>
      <w:spacing w:before="88"/>
      <w:ind w:left="1180"/>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19" w:hanging="720"/>
    </w:pPr>
  </w:style>
  <w:style w:type="paragraph" w:customStyle="1" w:styleId="TableParagraph">
    <w:name w:val="Table Paragraph"/>
    <w:basedOn w:val="Normal"/>
    <w:uiPriority w:val="1"/>
    <w:qFormat/>
    <w:pPr>
      <w:spacing w:before="1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sa-sealevel-cci.org/products" TargetMode="External"/><Relationship Id="rId18" Type="http://schemas.openxmlformats.org/officeDocument/2006/relationships/hyperlink" Target="http://pubs.er.usgs.gov/publication/sim3097"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footer" Target="footer1.xml"/><Relationship Id="rId12" Type="http://schemas.openxmlformats.org/officeDocument/2006/relationships/hyperlink" Target="http://doi.org/10.5281/zenodo.4434773" TargetMode="External"/><Relationship Id="rId17" Type="http://schemas.openxmlformats.org/officeDocument/2006/relationships/hyperlink" Target="http://www.deltacommissie.com/en/advies" TargetMode="External"/><Relationship Id="rId2" Type="http://schemas.openxmlformats.org/officeDocument/2006/relationships/styles" Target="styles.xml"/><Relationship Id="rId16" Type="http://schemas.openxmlformats.org/officeDocument/2006/relationships/hyperlink" Target="http://srtm.csi.cgiar.org/"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a-sealevel-cci.org/product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Robert.nicholls@uea.ac.uk"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doi.org/10.5281/zenodo.443477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doi.org/10.5281/zenodo.4434773"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9121</Words>
  <Characters>51994</Characters>
  <Application>Microsoft Office Word</Application>
  <DocSecurity>0</DocSecurity>
  <Lines>433</Lines>
  <Paragraphs>121</Paragraphs>
  <ScaleCrop>false</ScaleCrop>
  <Company/>
  <LinksUpToDate>false</LinksUpToDate>
  <CharactersWithSpaces>60994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Hanson, S.E.</dc:creator>
  <cp:lastModifiedBy>Sally Brown</cp:lastModifiedBy>
  <cp:revision>2</cp:revision>
  <dcterms:created xsi:type="dcterms:W3CDTF">2021-01-22T14:01:00Z</dcterms:created>
  <dcterms:modified xsi:type="dcterms:W3CDTF">2021-01-22T14:01:00Z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2021-01-21T00:00:00Z</vt:filetime>
  </property>
  <property fmtid="{D5CDD505-2E9C-101B-9397-08002B2CF9AE}" pid="3" name="Creator">
    <vt:lpwstr>Microsoft® Word 2016</vt:lpwstr>
  </property>
  <property fmtid="{D5CDD505-2E9C-101B-9397-08002B2CF9AE}" pid="4" name="LastSaved">
    <vt:filetime>2021-01-22T00:00:00Z</vt:filetime>
  </property>
</Properties>
</file>